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F09360" w14:textId="7A21DAAF" w:rsidR="00E627A4" w:rsidRPr="00E627A4" w:rsidRDefault="00E627A4" w:rsidP="00E627A4">
      <w:pPr>
        <w:jc w:val="center"/>
        <w:rPr>
          <w:b/>
          <w:bCs/>
          <w:lang w:val="en-US"/>
        </w:rPr>
      </w:pPr>
      <w:r w:rsidRPr="00E627A4">
        <w:rPr>
          <w:b/>
          <w:bCs/>
          <w:lang w:val="en-US"/>
        </w:rPr>
        <w:t>Mandate of the Special Rapporteur on adequate housing as a component of the right to an adequate standard of living, and on the right to non-discrimination in this context.</w:t>
      </w:r>
    </w:p>
    <w:p w14:paraId="7B6EA032" w14:textId="740D0371" w:rsidR="00560484" w:rsidRPr="00E627A4" w:rsidRDefault="001A617F" w:rsidP="00E627A4">
      <w:pPr>
        <w:jc w:val="center"/>
        <w:rPr>
          <w:b/>
          <w:bCs/>
          <w:u w:val="single"/>
          <w:lang w:val="en-US"/>
        </w:rPr>
      </w:pPr>
      <w:r w:rsidRPr="00E627A4">
        <w:rPr>
          <w:b/>
          <w:bCs/>
          <w:u w:val="single"/>
          <w:lang w:val="en-US"/>
        </w:rPr>
        <w:t xml:space="preserve">Submission- </w:t>
      </w:r>
      <w:r w:rsidR="00AA4E7B" w:rsidRPr="00E627A4">
        <w:rPr>
          <w:b/>
          <w:bCs/>
          <w:u w:val="single"/>
          <w:lang w:val="en-US"/>
        </w:rPr>
        <w:t>Access to Justice for Housing Discrimination and Spatial Segregation</w:t>
      </w:r>
    </w:p>
    <w:p w14:paraId="62D9C877" w14:textId="77777777" w:rsidR="00AA4E7B" w:rsidRPr="00C64CAB" w:rsidRDefault="00AA4E7B" w:rsidP="00E627A4">
      <w:pPr>
        <w:jc w:val="both"/>
        <w:rPr>
          <w:lang w:val="en-US"/>
        </w:rPr>
      </w:pPr>
    </w:p>
    <w:p w14:paraId="01ABDD1C" w14:textId="77777777" w:rsidR="00A17311" w:rsidRPr="00C64CAB" w:rsidRDefault="00A17311" w:rsidP="00E627A4">
      <w:pPr>
        <w:pStyle w:val="ListParagraph"/>
        <w:numPr>
          <w:ilvl w:val="0"/>
          <w:numId w:val="1"/>
        </w:numPr>
        <w:jc w:val="both"/>
        <w:rPr>
          <w:rFonts w:eastAsia="Times New Roman"/>
          <w:i/>
          <w:color w:val="000000" w:themeColor="text1"/>
        </w:rPr>
      </w:pPr>
      <w:r w:rsidRPr="00C64CAB">
        <w:rPr>
          <w:i/>
        </w:rPr>
        <w:t>What institutional mechanisms exist to report, redress and monitor cases of discrimination or segregation in relation to the right to adequate housing in your country and how effective have they been to addressing discrimination and segregation?</w:t>
      </w:r>
    </w:p>
    <w:p w14:paraId="394E3A90" w14:textId="77777777" w:rsidR="00A17311" w:rsidRPr="00C64CAB" w:rsidRDefault="00A17311" w:rsidP="00E627A4">
      <w:pPr>
        <w:ind w:left="360"/>
        <w:jc w:val="both"/>
        <w:rPr>
          <w:i/>
          <w:color w:val="000000" w:themeColor="text1"/>
        </w:rPr>
      </w:pPr>
    </w:p>
    <w:p w14:paraId="0929736B" w14:textId="77777777" w:rsidR="00A17311" w:rsidRPr="00C64CAB" w:rsidRDefault="00A17311" w:rsidP="00E627A4">
      <w:pPr>
        <w:pStyle w:val="ListParagraph"/>
        <w:numPr>
          <w:ilvl w:val="0"/>
          <w:numId w:val="1"/>
        </w:numPr>
        <w:jc w:val="both"/>
        <w:rPr>
          <w:i/>
        </w:rPr>
      </w:pPr>
      <w:r w:rsidRPr="00C64CAB">
        <w:rPr>
          <w:i/>
        </w:rPr>
        <w:t xml:space="preserve">What are the principal barriers to seek justice for discrimination/segregation in relation to the right to adequate housing? </w:t>
      </w:r>
    </w:p>
    <w:p w14:paraId="163D96D5" w14:textId="77777777" w:rsidR="00A17311" w:rsidRPr="00C64CAB" w:rsidRDefault="00A17311" w:rsidP="00E627A4">
      <w:pPr>
        <w:jc w:val="both"/>
        <w:rPr>
          <w:i/>
        </w:rPr>
      </w:pPr>
    </w:p>
    <w:p w14:paraId="53D01D61" w14:textId="77777777" w:rsidR="00A17311" w:rsidRPr="00C64CAB" w:rsidRDefault="00A17311" w:rsidP="00E627A4">
      <w:pPr>
        <w:pStyle w:val="ListParagraph"/>
        <w:numPr>
          <w:ilvl w:val="0"/>
          <w:numId w:val="1"/>
        </w:numPr>
        <w:jc w:val="both"/>
        <w:rPr>
          <w:i/>
          <w:color w:val="000000" w:themeColor="text1"/>
        </w:rPr>
      </w:pPr>
      <w:r w:rsidRPr="00C64CAB">
        <w:rPr>
          <w:i/>
          <w:color w:val="000000" w:themeColor="text1"/>
        </w:rPr>
        <w:t xml:space="preserve">What policies and measures do you consider important to strengthen access to justice and remedies for households and communities facing housing discrimination and spatial segregation? </w:t>
      </w:r>
    </w:p>
    <w:p w14:paraId="71DA59B1" w14:textId="77777777" w:rsidR="00A17311" w:rsidRPr="00C64CAB" w:rsidRDefault="00A17311" w:rsidP="00E627A4">
      <w:pPr>
        <w:shd w:val="clear" w:color="auto" w:fill="FFFFFF"/>
        <w:jc w:val="both"/>
        <w:rPr>
          <w:b/>
          <w:bCs/>
          <w:color w:val="222222"/>
        </w:rPr>
      </w:pPr>
    </w:p>
    <w:p w14:paraId="0177466A" w14:textId="1FCE7558" w:rsidR="001A617F" w:rsidRDefault="001A617F" w:rsidP="00E627A4">
      <w:pPr>
        <w:jc w:val="both"/>
        <w:rPr>
          <w:b/>
          <w:bCs/>
          <w:u w:val="single"/>
          <w:lang w:val="en-US"/>
        </w:rPr>
      </w:pPr>
      <w:r w:rsidRPr="001A617F">
        <w:rPr>
          <w:b/>
          <w:bCs/>
          <w:u w:val="single"/>
          <w:lang w:val="en-US"/>
        </w:rPr>
        <w:t>India- A Map of Spatially Segregated Communities</w:t>
      </w:r>
      <w:r>
        <w:rPr>
          <w:b/>
          <w:bCs/>
          <w:u w:val="single"/>
          <w:lang w:val="en-US"/>
        </w:rPr>
        <w:t xml:space="preserve">, their locational disadvantage and structural barriers to justice. </w:t>
      </w:r>
    </w:p>
    <w:p w14:paraId="4E787CDF" w14:textId="77777777" w:rsidR="001A617F" w:rsidRPr="00C64CAB" w:rsidRDefault="001A617F" w:rsidP="00E627A4">
      <w:pPr>
        <w:jc w:val="both"/>
        <w:rPr>
          <w:lang w:val="en-US"/>
        </w:rPr>
      </w:pPr>
    </w:p>
    <w:p w14:paraId="06D58E52" w14:textId="07981FFC" w:rsidR="00DF78AA" w:rsidRPr="00C64CAB" w:rsidRDefault="00A17311" w:rsidP="00E627A4">
      <w:pPr>
        <w:jc w:val="both"/>
        <w:rPr>
          <w:color w:val="000000" w:themeColor="text1"/>
          <w:shd w:val="clear" w:color="auto" w:fill="FFFFFF"/>
        </w:rPr>
      </w:pPr>
      <w:r w:rsidRPr="00C64CAB">
        <w:rPr>
          <w:color w:val="000000" w:themeColor="text1"/>
          <w:shd w:val="clear" w:color="auto" w:fill="FFFFFF"/>
        </w:rPr>
        <w:t xml:space="preserve">Dr. B.R Ambedkar, regarded as the architect of </w:t>
      </w:r>
      <w:r w:rsidR="001A617F">
        <w:rPr>
          <w:color w:val="000000" w:themeColor="text1"/>
          <w:shd w:val="clear" w:color="auto" w:fill="FFFFFF"/>
        </w:rPr>
        <w:t>the I</w:t>
      </w:r>
      <w:r w:rsidRPr="00C64CAB">
        <w:rPr>
          <w:color w:val="000000" w:themeColor="text1"/>
          <w:shd w:val="clear" w:color="auto" w:fill="FFFFFF"/>
        </w:rPr>
        <w:t xml:space="preserve">ndian Constitution said, </w:t>
      </w:r>
      <w:r w:rsidRPr="00C64CAB">
        <w:rPr>
          <w:i/>
          <w:iCs/>
          <w:color w:val="000000" w:themeColor="text1"/>
          <w:shd w:val="clear" w:color="auto" w:fill="FFFFFF"/>
        </w:rPr>
        <w:t>“Every Hindu village has a ghetto. The Hindus live in the village and the untouchables live in the ghetto”</w:t>
      </w:r>
      <w:r w:rsidRPr="00C64CAB">
        <w:rPr>
          <w:color w:val="000000" w:themeColor="text1"/>
          <w:shd w:val="clear" w:color="auto" w:fill="FFFFFF"/>
        </w:rPr>
        <w:t>.</w:t>
      </w:r>
      <w:r w:rsidRPr="00C64CAB">
        <w:rPr>
          <w:rStyle w:val="FootnoteReference"/>
          <w:color w:val="000000" w:themeColor="text1"/>
          <w:shd w:val="clear" w:color="auto" w:fill="FFFFFF"/>
        </w:rPr>
        <w:footnoteReference w:id="1"/>
      </w:r>
      <w:r w:rsidR="00800AB5" w:rsidRPr="00C64CAB">
        <w:rPr>
          <w:i/>
          <w:iCs/>
          <w:color w:val="000000" w:themeColor="text1"/>
          <w:shd w:val="clear" w:color="auto" w:fill="FFFFFF"/>
        </w:rPr>
        <w:t xml:space="preserve"> </w:t>
      </w:r>
      <w:r w:rsidRPr="00C64CAB">
        <w:rPr>
          <w:color w:val="000000" w:themeColor="text1"/>
          <w:shd w:val="clear" w:color="auto" w:fill="FFFFFF"/>
        </w:rPr>
        <w:t xml:space="preserve">The Hindu caste system premised on notions of purity and pollution </w:t>
      </w:r>
      <w:r w:rsidR="00DF78AA" w:rsidRPr="00C64CAB">
        <w:rPr>
          <w:color w:val="000000" w:themeColor="text1"/>
          <w:shd w:val="clear" w:color="auto" w:fill="FFFFFF"/>
        </w:rPr>
        <w:t xml:space="preserve">continues to perpetuate </w:t>
      </w:r>
      <w:r w:rsidR="00800AB5" w:rsidRPr="00C64CAB">
        <w:rPr>
          <w:color w:val="000000" w:themeColor="text1"/>
          <w:shd w:val="clear" w:color="auto" w:fill="FFFFFF"/>
        </w:rPr>
        <w:t xml:space="preserve">discrimination and </w:t>
      </w:r>
      <w:r w:rsidR="00DF78AA" w:rsidRPr="00C64CAB">
        <w:rPr>
          <w:color w:val="000000" w:themeColor="text1"/>
          <w:shd w:val="clear" w:color="auto" w:fill="FFFFFF"/>
        </w:rPr>
        <w:t>exclusion</w:t>
      </w:r>
      <w:r w:rsidR="00800AB5" w:rsidRPr="00C64CAB">
        <w:rPr>
          <w:color w:val="000000" w:themeColor="text1"/>
          <w:shd w:val="clear" w:color="auto" w:fill="FFFFFF"/>
        </w:rPr>
        <w:t xml:space="preserve"> in all spheres of life</w:t>
      </w:r>
      <w:r w:rsidRPr="00C64CAB">
        <w:rPr>
          <w:color w:val="000000" w:themeColor="text1"/>
          <w:shd w:val="clear" w:color="auto" w:fill="FFFFFF"/>
        </w:rPr>
        <w:t xml:space="preserve">. </w:t>
      </w:r>
    </w:p>
    <w:p w14:paraId="200539D9" w14:textId="223C63C5" w:rsidR="00DF78AA" w:rsidRPr="00C64CAB" w:rsidRDefault="00EE7341" w:rsidP="00E627A4">
      <w:pPr>
        <w:pStyle w:val="ListParagraph"/>
        <w:tabs>
          <w:tab w:val="left" w:pos="3035"/>
        </w:tabs>
        <w:ind w:left="1080"/>
        <w:jc w:val="both"/>
        <w:rPr>
          <w:rFonts w:eastAsia="Times New Roman"/>
          <w:color w:val="000000" w:themeColor="text1"/>
          <w:shd w:val="clear" w:color="auto" w:fill="FFFFFF"/>
          <w:lang w:eastAsia="en-GB"/>
        </w:rPr>
      </w:pPr>
      <w:r w:rsidRPr="00C64CAB">
        <w:rPr>
          <w:rFonts w:eastAsia="Times New Roman"/>
          <w:color w:val="000000" w:themeColor="text1"/>
          <w:shd w:val="clear" w:color="auto" w:fill="FFFFFF"/>
          <w:lang w:eastAsia="en-GB"/>
        </w:rPr>
        <w:tab/>
      </w:r>
    </w:p>
    <w:p w14:paraId="615AA467" w14:textId="3769D045" w:rsidR="00A17311" w:rsidRPr="00C64CAB" w:rsidRDefault="00393C70" w:rsidP="00E627A4">
      <w:pPr>
        <w:jc w:val="both"/>
        <w:rPr>
          <w:color w:val="000000" w:themeColor="text1"/>
          <w:shd w:val="clear" w:color="auto" w:fill="FFFFFF"/>
        </w:rPr>
      </w:pPr>
      <w:r w:rsidRPr="00C64CAB">
        <w:rPr>
          <w:color w:val="000000" w:themeColor="text1"/>
          <w:shd w:val="clear" w:color="auto" w:fill="FFFFFF"/>
        </w:rPr>
        <w:t>Seven</w:t>
      </w:r>
      <w:r w:rsidR="00A17311" w:rsidRPr="00C64CAB">
        <w:rPr>
          <w:color w:val="000000" w:themeColor="text1"/>
          <w:shd w:val="clear" w:color="auto" w:fill="FFFFFF"/>
        </w:rPr>
        <w:t xml:space="preserve"> decades after independence, </w:t>
      </w:r>
      <w:r w:rsidR="00A17311" w:rsidRPr="00C64CAB">
        <w:rPr>
          <w:lang w:val="en-US"/>
        </w:rPr>
        <w:t xml:space="preserve">urban and rural </w:t>
      </w:r>
      <w:r w:rsidR="00DF78AA" w:rsidRPr="00C64CAB">
        <w:t>areas are marked by spatial segregatio</w:t>
      </w:r>
      <w:r w:rsidR="001A617F">
        <w:t xml:space="preserve">n, </w:t>
      </w:r>
      <w:r w:rsidR="00800AB5" w:rsidRPr="00C64CAB">
        <w:t xml:space="preserve"> </w:t>
      </w:r>
      <w:r w:rsidR="00800AB5" w:rsidRPr="00C64CAB">
        <w:rPr>
          <w:lang w:val="en-US"/>
        </w:rPr>
        <w:t>with</w:t>
      </w:r>
      <w:r w:rsidR="00A17311" w:rsidRPr="00C64CAB">
        <w:rPr>
          <w:lang w:val="en-US"/>
        </w:rPr>
        <w:t xml:space="preserve"> </w:t>
      </w:r>
      <w:r w:rsidR="00800AB5" w:rsidRPr="00C64CAB">
        <w:rPr>
          <w:lang w:val="en-US"/>
        </w:rPr>
        <w:t xml:space="preserve">caste, religion, ethnicity, class and gender identity determining the contours. Urban cities and towns are marked by </w:t>
      </w:r>
      <w:r w:rsidR="00A17311" w:rsidRPr="00C64CAB">
        <w:rPr>
          <w:lang w:val="en-US"/>
        </w:rPr>
        <w:t>residential clusters occupied by</w:t>
      </w:r>
      <w:r w:rsidR="001A617F">
        <w:rPr>
          <w:lang w:val="en-US"/>
        </w:rPr>
        <w:t xml:space="preserve"> </w:t>
      </w:r>
      <w:r w:rsidR="00A17311" w:rsidRPr="00C64CAB">
        <w:rPr>
          <w:lang w:val="en-US"/>
        </w:rPr>
        <w:t xml:space="preserve">migrant regional </w:t>
      </w:r>
      <w:r w:rsidR="0068389A" w:rsidRPr="00C64CAB">
        <w:rPr>
          <w:lang w:val="en-US"/>
        </w:rPr>
        <w:t>working-class</w:t>
      </w:r>
      <w:r w:rsidR="00800AB5" w:rsidRPr="00C64CAB">
        <w:rPr>
          <w:lang w:val="en-US"/>
        </w:rPr>
        <w:t xml:space="preserve"> </w:t>
      </w:r>
      <w:r w:rsidR="00A17311" w:rsidRPr="00C64CAB">
        <w:rPr>
          <w:lang w:val="en-US"/>
        </w:rPr>
        <w:t>communities, ethnic minorities from the North-Eastern</w:t>
      </w:r>
      <w:r w:rsidR="00DF78AA" w:rsidRPr="00C64CAB">
        <w:t xml:space="preserve"> states</w:t>
      </w:r>
      <w:r w:rsidR="00800AB5" w:rsidRPr="00C64CAB">
        <w:t xml:space="preserve">, </w:t>
      </w:r>
      <w:r w:rsidR="00A17311" w:rsidRPr="00C64CAB">
        <w:rPr>
          <w:lang w:val="en-US"/>
        </w:rPr>
        <w:t>Kashmiri</w:t>
      </w:r>
      <w:r w:rsidR="00800AB5" w:rsidRPr="00C64CAB">
        <w:rPr>
          <w:lang w:val="en-US"/>
        </w:rPr>
        <w:t xml:space="preserve">s, </w:t>
      </w:r>
      <w:r w:rsidR="00A17311" w:rsidRPr="00C64CAB">
        <w:rPr>
          <w:lang w:val="en-US"/>
        </w:rPr>
        <w:t>transgender</w:t>
      </w:r>
      <w:r w:rsidR="00DF78AA" w:rsidRPr="00C64CAB">
        <w:t xml:space="preserve"> persons, refugees</w:t>
      </w:r>
      <w:r w:rsidR="00800AB5" w:rsidRPr="00C64CAB">
        <w:t>, manual scavengers</w:t>
      </w:r>
      <w:r w:rsidR="00DF78AA" w:rsidRPr="00C64CAB">
        <w:t xml:space="preserve"> and the poor. </w:t>
      </w:r>
    </w:p>
    <w:p w14:paraId="6D61EC77" w14:textId="77777777" w:rsidR="00A17311" w:rsidRPr="00C64CAB" w:rsidRDefault="00A17311" w:rsidP="00E627A4">
      <w:pPr>
        <w:jc w:val="both"/>
        <w:rPr>
          <w:lang w:val="en-US"/>
        </w:rPr>
      </w:pPr>
    </w:p>
    <w:p w14:paraId="60B98465" w14:textId="315B18BE" w:rsidR="00A17311" w:rsidRPr="00C64CAB" w:rsidRDefault="00A17311" w:rsidP="00E627A4">
      <w:pPr>
        <w:jc w:val="both"/>
        <w:rPr>
          <w:lang w:val="en-US"/>
        </w:rPr>
      </w:pPr>
      <w:r w:rsidRPr="00C64CAB">
        <w:rPr>
          <w:lang w:val="en-US"/>
        </w:rPr>
        <w:t xml:space="preserve">The growth of </w:t>
      </w:r>
      <w:r w:rsidR="00DF78AA" w:rsidRPr="00C64CAB">
        <w:rPr>
          <w:lang w:val="en-US"/>
        </w:rPr>
        <w:t xml:space="preserve">a </w:t>
      </w:r>
      <w:r w:rsidR="0068389A" w:rsidRPr="00C64CAB">
        <w:rPr>
          <w:lang w:val="en-US"/>
        </w:rPr>
        <w:t>free-market</w:t>
      </w:r>
      <w:r w:rsidRPr="00C64CAB">
        <w:rPr>
          <w:lang w:val="en-US"/>
        </w:rPr>
        <w:t xml:space="preserve"> economy and rapid urbanization and migration has not reversed this trend. Far from being a melting pot and harbingers of social mobility Indian cities perpetuate exclusion adding newer categories of discriminated communities.</w:t>
      </w:r>
    </w:p>
    <w:p w14:paraId="0AC11581" w14:textId="77777777" w:rsidR="00800AB5" w:rsidRPr="00C64CAB" w:rsidRDefault="00800AB5" w:rsidP="00E627A4">
      <w:pPr>
        <w:jc w:val="both"/>
        <w:rPr>
          <w:lang w:val="en-US"/>
        </w:rPr>
      </w:pPr>
    </w:p>
    <w:p w14:paraId="7650B160" w14:textId="4903B49A" w:rsidR="00A17311" w:rsidRPr="00C64CAB" w:rsidRDefault="00A17311" w:rsidP="00E627A4">
      <w:pPr>
        <w:jc w:val="both"/>
        <w:rPr>
          <w:lang w:val="en-US"/>
        </w:rPr>
      </w:pPr>
      <w:r w:rsidRPr="00C64CAB">
        <w:rPr>
          <w:lang w:val="en-US"/>
        </w:rPr>
        <w:t xml:space="preserve">A 2018 study </w:t>
      </w:r>
      <w:r w:rsidR="00DF78AA" w:rsidRPr="00C64CAB">
        <w:rPr>
          <w:lang w:val="en-US"/>
        </w:rPr>
        <w:t xml:space="preserve">on the basis of block level census data from 2011, </w:t>
      </w:r>
      <w:r w:rsidRPr="00C64CAB">
        <w:rPr>
          <w:lang w:val="en-US"/>
        </w:rPr>
        <w:t xml:space="preserve">in five </w:t>
      </w:r>
      <w:r w:rsidR="00393C70" w:rsidRPr="00C64CAB">
        <w:rPr>
          <w:lang w:val="en-US"/>
        </w:rPr>
        <w:t xml:space="preserve">of the </w:t>
      </w:r>
      <w:r w:rsidRPr="00C64CAB">
        <w:rPr>
          <w:lang w:val="en-US"/>
        </w:rPr>
        <w:t>largest metropolitan cities</w:t>
      </w:r>
      <w:r w:rsidR="00DF78AA" w:rsidRPr="00C64CAB">
        <w:rPr>
          <w:lang w:val="en-US"/>
        </w:rPr>
        <w:t xml:space="preserve">, </w:t>
      </w:r>
      <w:r w:rsidRPr="00C64CAB">
        <w:rPr>
          <w:lang w:val="en-US"/>
        </w:rPr>
        <w:t>confirm</w:t>
      </w:r>
      <w:r w:rsidR="00DF78AA" w:rsidRPr="00C64CAB">
        <w:rPr>
          <w:lang w:val="en-US"/>
        </w:rPr>
        <w:t>s</w:t>
      </w:r>
      <w:r w:rsidRPr="00C64CAB">
        <w:rPr>
          <w:lang w:val="en-US"/>
        </w:rPr>
        <w:t xml:space="preserve"> that Dalits and members of Scheduled Castes and Scheduled Tribes largely reside in community clusters isolated from the rest of the city, </w:t>
      </w:r>
      <w:r w:rsidR="00393C70" w:rsidRPr="00C64CAB">
        <w:rPr>
          <w:lang w:val="en-US"/>
        </w:rPr>
        <w:t xml:space="preserve">which </w:t>
      </w:r>
      <w:r w:rsidRPr="00C64CAB">
        <w:rPr>
          <w:lang w:val="en-US"/>
        </w:rPr>
        <w:t xml:space="preserve">has a direct bearing on the levels of </w:t>
      </w:r>
      <w:r w:rsidR="00DF78AA" w:rsidRPr="00C64CAB">
        <w:rPr>
          <w:lang w:val="en-US"/>
        </w:rPr>
        <w:t xml:space="preserve">access to </w:t>
      </w:r>
      <w:r w:rsidRPr="00C64CAB">
        <w:rPr>
          <w:lang w:val="en-US"/>
        </w:rPr>
        <w:t>municipal services</w:t>
      </w:r>
      <w:r w:rsidR="00DF78AA" w:rsidRPr="00C64CAB">
        <w:rPr>
          <w:lang w:val="en-US"/>
        </w:rPr>
        <w:t xml:space="preserve">, such as drinking water, sanitation, education and healthcare </w:t>
      </w:r>
      <w:r w:rsidRPr="00C64CAB">
        <w:rPr>
          <w:lang w:val="en-US"/>
        </w:rPr>
        <w:t>that these residents are able to access.</w:t>
      </w:r>
      <w:r w:rsidR="000A7A9F" w:rsidRPr="00C64CAB">
        <w:rPr>
          <w:rStyle w:val="FootnoteReference"/>
          <w:lang w:val="en-US"/>
        </w:rPr>
        <w:footnoteReference w:id="2"/>
      </w:r>
      <w:r w:rsidR="00393C70" w:rsidRPr="00C64CAB">
        <w:rPr>
          <w:lang w:val="en-US"/>
        </w:rPr>
        <w:t xml:space="preserve"> </w:t>
      </w:r>
      <w:r w:rsidRPr="00C64CAB">
        <w:rPr>
          <w:lang w:val="en-US"/>
        </w:rPr>
        <w:t>These studies e</w:t>
      </w:r>
      <w:r w:rsidR="00800AB5" w:rsidRPr="00C64CAB">
        <w:rPr>
          <w:lang w:val="en-US"/>
        </w:rPr>
        <w:t xml:space="preserve">tch </w:t>
      </w:r>
      <w:r w:rsidRPr="00C64CAB">
        <w:rPr>
          <w:lang w:val="en-US"/>
        </w:rPr>
        <w:t xml:space="preserve">a pattern that has been </w:t>
      </w:r>
      <w:r w:rsidR="00800AB5" w:rsidRPr="00C64CAB">
        <w:rPr>
          <w:lang w:val="en-US"/>
        </w:rPr>
        <w:t xml:space="preserve">described as </w:t>
      </w:r>
      <w:r w:rsidRPr="00C64CAB">
        <w:rPr>
          <w:lang w:val="en-US"/>
        </w:rPr>
        <w:t>‘locational disadvantage’.</w:t>
      </w:r>
    </w:p>
    <w:p w14:paraId="098685F5" w14:textId="46CB7896" w:rsidR="00A17311" w:rsidRPr="00C64CAB" w:rsidRDefault="00A17311" w:rsidP="00E627A4">
      <w:pPr>
        <w:jc w:val="both"/>
        <w:rPr>
          <w:lang w:val="en-US"/>
        </w:rPr>
      </w:pPr>
      <w:r w:rsidRPr="00C64CAB">
        <w:rPr>
          <w:lang w:val="en-US"/>
        </w:rPr>
        <w:t xml:space="preserve"> </w:t>
      </w:r>
    </w:p>
    <w:p w14:paraId="08CDC034" w14:textId="10CBE100" w:rsidR="00A17311" w:rsidRPr="00C64CAB" w:rsidRDefault="00A17311" w:rsidP="00E627A4">
      <w:pPr>
        <w:jc w:val="both"/>
        <w:rPr>
          <w:color w:val="000000" w:themeColor="text1"/>
        </w:rPr>
      </w:pPr>
      <w:r w:rsidRPr="00C64CAB">
        <w:rPr>
          <w:lang w:val="en-US"/>
        </w:rPr>
        <w:t>The rise of right</w:t>
      </w:r>
      <w:r w:rsidR="00800AB5" w:rsidRPr="00C64CAB">
        <w:rPr>
          <w:lang w:val="en-US"/>
        </w:rPr>
        <w:t>-</w:t>
      </w:r>
      <w:r w:rsidRPr="00C64CAB">
        <w:rPr>
          <w:lang w:val="en-US"/>
        </w:rPr>
        <w:t xml:space="preserve">wing Hindutva politics, over the last few decades has </w:t>
      </w:r>
      <w:r w:rsidR="00DF78AA" w:rsidRPr="00C64CAB">
        <w:rPr>
          <w:lang w:val="en-US"/>
        </w:rPr>
        <w:t xml:space="preserve">further </w:t>
      </w:r>
      <w:r w:rsidRPr="00C64CAB">
        <w:rPr>
          <w:lang w:val="en-US"/>
        </w:rPr>
        <w:t>polarized social relations</w:t>
      </w:r>
      <w:r w:rsidR="0068389A">
        <w:rPr>
          <w:lang w:val="en-US"/>
        </w:rPr>
        <w:t xml:space="preserve"> through</w:t>
      </w:r>
      <w:r w:rsidR="00DF78AA" w:rsidRPr="00C64CAB">
        <w:rPr>
          <w:lang w:val="en-US"/>
        </w:rPr>
        <w:t xml:space="preserve"> </w:t>
      </w:r>
      <w:r w:rsidR="00800AB5" w:rsidRPr="00C64CAB">
        <w:rPr>
          <w:lang w:val="en-US"/>
        </w:rPr>
        <w:t xml:space="preserve">targeted </w:t>
      </w:r>
      <w:r w:rsidRPr="00C64CAB">
        <w:rPr>
          <w:lang w:val="en-US"/>
        </w:rPr>
        <w:t xml:space="preserve">communal violence, </w:t>
      </w:r>
      <w:r w:rsidR="00393C70" w:rsidRPr="00C64CAB">
        <w:rPr>
          <w:lang w:val="en-US"/>
        </w:rPr>
        <w:t xml:space="preserve">the </w:t>
      </w:r>
      <w:r w:rsidR="00800AB5" w:rsidRPr="00C64CAB">
        <w:rPr>
          <w:lang w:val="en-US"/>
        </w:rPr>
        <w:t>1984 anti-Sikh massacre,</w:t>
      </w:r>
      <w:r w:rsidRPr="00C64CAB">
        <w:rPr>
          <w:lang w:val="en-US"/>
        </w:rPr>
        <w:t xml:space="preserve"> 1992-93 Bombay riots</w:t>
      </w:r>
      <w:r w:rsidR="0068389A">
        <w:rPr>
          <w:lang w:val="en-US"/>
        </w:rPr>
        <w:t xml:space="preserve">, </w:t>
      </w:r>
      <w:r w:rsidRPr="00C64CAB">
        <w:rPr>
          <w:lang w:val="en-US"/>
        </w:rPr>
        <w:t>the anti</w:t>
      </w:r>
      <w:r w:rsidR="00800AB5" w:rsidRPr="00C64CAB">
        <w:rPr>
          <w:lang w:val="en-US"/>
        </w:rPr>
        <w:t>-</w:t>
      </w:r>
      <w:r w:rsidRPr="00C64CAB">
        <w:rPr>
          <w:lang w:val="en-US"/>
        </w:rPr>
        <w:t>Muslim pogrom</w:t>
      </w:r>
      <w:r w:rsidR="00800AB5" w:rsidRPr="00C64CAB">
        <w:rPr>
          <w:lang w:val="en-US"/>
        </w:rPr>
        <w:t>s</w:t>
      </w:r>
      <w:r w:rsidRPr="00C64CAB">
        <w:rPr>
          <w:lang w:val="en-US"/>
        </w:rPr>
        <w:t xml:space="preserve"> of 2002 in Gujarat and </w:t>
      </w:r>
      <w:r w:rsidR="00800AB5" w:rsidRPr="00C64CAB">
        <w:rPr>
          <w:lang w:val="en-US"/>
        </w:rPr>
        <w:t>Muzaffarnagar in Western Uttar Pradesh</w:t>
      </w:r>
      <w:r w:rsidRPr="00C64CAB">
        <w:rPr>
          <w:lang w:val="en-US"/>
        </w:rPr>
        <w:t xml:space="preserve">, </w:t>
      </w:r>
      <w:r w:rsidR="00DF78AA" w:rsidRPr="00C64CAB">
        <w:rPr>
          <w:lang w:val="en-US"/>
        </w:rPr>
        <w:t xml:space="preserve">has </w:t>
      </w:r>
      <w:r w:rsidRPr="00C64CAB">
        <w:rPr>
          <w:lang w:val="en-US"/>
        </w:rPr>
        <w:t>accelerated the cementing of spatially segregated housing. As caste equations and religious identity continue to play a pivotal role in Indian electoral politics, spatial segregation</w:t>
      </w:r>
      <w:r w:rsidRPr="00C64CAB">
        <w:rPr>
          <w:u w:val="single"/>
          <w:lang w:val="en-US"/>
        </w:rPr>
        <w:t xml:space="preserve"> </w:t>
      </w:r>
      <w:r w:rsidRPr="00C64CAB">
        <w:rPr>
          <w:lang w:val="en-US"/>
        </w:rPr>
        <w:t xml:space="preserve">gets further entrenched. </w:t>
      </w:r>
      <w:r w:rsidRPr="00C64CAB">
        <w:rPr>
          <w:color w:val="000000" w:themeColor="text1"/>
          <w:lang w:val="en-US"/>
        </w:rPr>
        <w:t xml:space="preserve">Consequent to the riots in </w:t>
      </w:r>
      <w:r w:rsidRPr="00C64CAB">
        <w:rPr>
          <w:color w:val="000000" w:themeColor="text1"/>
        </w:rPr>
        <w:t>a part of Delhi last year in 2020, a large number of Muslims have resorted to distress sales and driven by concerns of safety and security shifted to Muslim dominated localities.</w:t>
      </w:r>
      <w:r w:rsidR="00916CFA" w:rsidRPr="00C64CAB">
        <w:rPr>
          <w:rStyle w:val="FootnoteReference"/>
          <w:color w:val="000000" w:themeColor="text1"/>
        </w:rPr>
        <w:footnoteReference w:id="3"/>
      </w:r>
      <w:r w:rsidRPr="00C64CAB">
        <w:rPr>
          <w:color w:val="000000" w:themeColor="text1"/>
        </w:rPr>
        <w:t xml:space="preserve"> “</w:t>
      </w:r>
      <w:r w:rsidR="005309FB" w:rsidRPr="00C64CAB">
        <w:rPr>
          <w:color w:val="000000" w:themeColor="text1"/>
        </w:rPr>
        <w:t xml:space="preserve">These </w:t>
      </w:r>
      <w:r w:rsidR="005309FB" w:rsidRPr="00C64CAB">
        <w:rPr>
          <w:i/>
          <w:iCs/>
          <w:color w:val="000000" w:themeColor="text1"/>
        </w:rPr>
        <w:t>d</w:t>
      </w:r>
      <w:r w:rsidRPr="00C64CAB">
        <w:rPr>
          <w:i/>
          <w:iCs/>
          <w:color w:val="000000" w:themeColor="text1"/>
        </w:rPr>
        <w:t xml:space="preserve">ivided populations represent the triumph of communal politics, </w:t>
      </w:r>
      <w:r w:rsidR="005309FB" w:rsidRPr="00C64CAB">
        <w:rPr>
          <w:i/>
          <w:iCs/>
          <w:color w:val="000000" w:themeColor="text1"/>
        </w:rPr>
        <w:t xml:space="preserve">successfully </w:t>
      </w:r>
      <w:r w:rsidRPr="00C64CAB">
        <w:rPr>
          <w:i/>
          <w:iCs/>
          <w:color w:val="000000" w:themeColor="text1"/>
        </w:rPr>
        <w:t>undoing histories of shared living between Hindus and Muslims over centuries.</w:t>
      </w:r>
      <w:r w:rsidRPr="00C64CAB">
        <w:rPr>
          <w:color w:val="000000" w:themeColor="text1"/>
        </w:rPr>
        <w:t>”</w:t>
      </w:r>
      <w:r w:rsidR="00916CFA" w:rsidRPr="00C64CAB">
        <w:rPr>
          <w:rStyle w:val="FootnoteReference"/>
          <w:color w:val="000000" w:themeColor="text1"/>
        </w:rPr>
        <w:footnoteReference w:id="4"/>
      </w:r>
    </w:p>
    <w:p w14:paraId="58534735" w14:textId="77777777" w:rsidR="00A17311" w:rsidRPr="00C64CAB" w:rsidRDefault="00A17311" w:rsidP="00E627A4">
      <w:pPr>
        <w:jc w:val="both"/>
        <w:rPr>
          <w:color w:val="000000"/>
          <w:shd w:val="clear" w:color="auto" w:fill="FFFFFF"/>
        </w:rPr>
      </w:pPr>
    </w:p>
    <w:p w14:paraId="2C3F24F5" w14:textId="77777777" w:rsidR="008D1D86" w:rsidRDefault="00A17311" w:rsidP="00E627A4">
      <w:pPr>
        <w:jc w:val="both"/>
        <w:rPr>
          <w:color w:val="000000"/>
          <w:shd w:val="clear" w:color="auto" w:fill="FFFFFF"/>
        </w:rPr>
      </w:pPr>
      <w:r w:rsidRPr="00C64CAB">
        <w:rPr>
          <w:color w:val="000000"/>
          <w:shd w:val="clear" w:color="auto" w:fill="FFFFFF"/>
        </w:rPr>
        <w:t>A 2015 study</w:t>
      </w:r>
      <w:r w:rsidRPr="00C64CAB">
        <w:rPr>
          <w:rStyle w:val="FootnoteReference"/>
          <w:color w:val="000000"/>
          <w:shd w:val="clear" w:color="auto" w:fill="FFFFFF"/>
        </w:rPr>
        <w:footnoteReference w:id="5"/>
      </w:r>
      <w:r w:rsidRPr="00C64CAB">
        <w:rPr>
          <w:color w:val="000000"/>
          <w:shd w:val="clear" w:color="auto" w:fill="FFFFFF"/>
        </w:rPr>
        <w:t xml:space="preserve"> on the urban rental housing market in the NCR, </w:t>
      </w:r>
      <w:r w:rsidR="00DF78AA" w:rsidRPr="00C64CAB">
        <w:rPr>
          <w:color w:val="000000"/>
          <w:shd w:val="clear" w:color="auto" w:fill="FFFFFF"/>
        </w:rPr>
        <w:t xml:space="preserve">documents that compared to </w:t>
      </w:r>
      <w:r w:rsidR="000A7A9F" w:rsidRPr="00C64CAB">
        <w:rPr>
          <w:color w:val="000000"/>
          <w:shd w:val="clear" w:color="auto" w:fill="FFFFFF"/>
        </w:rPr>
        <w:t xml:space="preserve">99.80% </w:t>
      </w:r>
      <w:r w:rsidR="00DF78AA" w:rsidRPr="00C64CAB">
        <w:rPr>
          <w:color w:val="000000"/>
          <w:shd w:val="clear" w:color="auto" w:fill="FFFFFF"/>
        </w:rPr>
        <w:t>upper caste Hindus</w:t>
      </w:r>
      <w:r w:rsidR="000A7A9F" w:rsidRPr="00C64CAB">
        <w:rPr>
          <w:color w:val="000000"/>
          <w:shd w:val="clear" w:color="auto" w:fill="FFFFFF"/>
        </w:rPr>
        <w:t xml:space="preserve">, only </w:t>
      </w:r>
      <w:r w:rsidR="00DF78AA" w:rsidRPr="00C64CAB">
        <w:rPr>
          <w:color w:val="000000"/>
          <w:shd w:val="clear" w:color="auto" w:fill="FFFFFF"/>
        </w:rPr>
        <w:t>5</w:t>
      </w:r>
      <w:r w:rsidR="000A7A9F" w:rsidRPr="00C64CAB">
        <w:rPr>
          <w:color w:val="000000"/>
          <w:shd w:val="clear" w:color="auto" w:fill="FFFFFF"/>
        </w:rPr>
        <w:t>8.62</w:t>
      </w:r>
      <w:r w:rsidR="00DF78AA" w:rsidRPr="00C64CAB">
        <w:rPr>
          <w:color w:val="000000"/>
          <w:shd w:val="clear" w:color="auto" w:fill="FFFFFF"/>
        </w:rPr>
        <w:t xml:space="preserve">% </w:t>
      </w:r>
      <w:r w:rsidR="000A7A9F" w:rsidRPr="00C64CAB">
        <w:rPr>
          <w:color w:val="000000"/>
          <w:shd w:val="clear" w:color="auto" w:fill="FFFFFF"/>
        </w:rPr>
        <w:t xml:space="preserve"> </w:t>
      </w:r>
      <w:r w:rsidR="00DF78AA" w:rsidRPr="00C64CAB">
        <w:rPr>
          <w:color w:val="000000"/>
          <w:shd w:val="clear" w:color="auto" w:fill="FFFFFF"/>
        </w:rPr>
        <w:t>Dalits and 33</w:t>
      </w:r>
      <w:r w:rsidR="000A7A9F" w:rsidRPr="00C64CAB">
        <w:rPr>
          <w:color w:val="000000"/>
          <w:shd w:val="clear" w:color="auto" w:fill="FFFFFF"/>
        </w:rPr>
        <w:t>.47</w:t>
      </w:r>
      <w:r w:rsidR="00DF78AA" w:rsidRPr="00C64CAB">
        <w:rPr>
          <w:color w:val="000000"/>
          <w:shd w:val="clear" w:color="auto" w:fill="FFFFFF"/>
        </w:rPr>
        <w:t>% Muslims received positive responses</w:t>
      </w:r>
      <w:r w:rsidR="00800AB5" w:rsidRPr="00C64CAB">
        <w:rPr>
          <w:color w:val="000000"/>
          <w:shd w:val="clear" w:color="auto" w:fill="FFFFFF"/>
        </w:rPr>
        <w:t>. The politics of ‘othering’ and demonising the Muslims has further exacerbated the situation.</w:t>
      </w:r>
      <w:r w:rsidR="00DF78AA" w:rsidRPr="00C64CAB">
        <w:rPr>
          <w:color w:val="000000"/>
          <w:shd w:val="clear" w:color="auto" w:fill="FFFFFF"/>
        </w:rPr>
        <w:t xml:space="preserve"> </w:t>
      </w:r>
    </w:p>
    <w:p w14:paraId="0DDF9E90" w14:textId="0D799483" w:rsidR="00A17311" w:rsidRPr="00C64CAB" w:rsidRDefault="00800AB5" w:rsidP="00E627A4">
      <w:pPr>
        <w:jc w:val="both"/>
        <w:rPr>
          <w:color w:val="000000"/>
          <w:shd w:val="clear" w:color="auto" w:fill="FFFFFF"/>
        </w:rPr>
      </w:pPr>
      <w:r w:rsidRPr="00C64CAB">
        <w:rPr>
          <w:color w:val="000000"/>
          <w:shd w:val="clear" w:color="auto" w:fill="FFFFFF"/>
        </w:rPr>
        <w:t xml:space="preserve">The </w:t>
      </w:r>
      <w:r w:rsidR="00EE7341" w:rsidRPr="00C64CAB">
        <w:rPr>
          <w:color w:val="000000"/>
          <w:shd w:val="clear" w:color="auto" w:fill="FFFFFF"/>
        </w:rPr>
        <w:t>demonisation</w:t>
      </w:r>
      <w:r w:rsidRPr="00C64CAB">
        <w:rPr>
          <w:color w:val="000000"/>
          <w:shd w:val="clear" w:color="auto" w:fill="FFFFFF"/>
        </w:rPr>
        <w:t xml:space="preserve"> of Kashmiri Muslims as anti-nationals has further shrunk their access to rental accommodation</w:t>
      </w:r>
      <w:r w:rsidR="008D1D86">
        <w:rPr>
          <w:color w:val="000000"/>
          <w:shd w:val="clear" w:color="auto" w:fill="FFFFFF"/>
        </w:rPr>
        <w:t>, pushing them into sub-ghettos in Muslim dominated localities</w:t>
      </w:r>
      <w:r w:rsidRPr="00C64CAB">
        <w:rPr>
          <w:color w:val="000000"/>
          <w:shd w:val="clear" w:color="auto" w:fill="FFFFFF"/>
        </w:rPr>
        <w:t>.</w:t>
      </w:r>
      <w:r w:rsidRPr="00C64CAB">
        <w:rPr>
          <w:rStyle w:val="FootnoteReference"/>
          <w:color w:val="000000"/>
          <w:shd w:val="clear" w:color="auto" w:fill="FFFFFF"/>
        </w:rPr>
        <w:footnoteReference w:id="6"/>
      </w:r>
      <w:r w:rsidR="0068389A">
        <w:rPr>
          <w:color w:val="000000"/>
          <w:shd w:val="clear" w:color="auto" w:fill="FFFFFF"/>
        </w:rPr>
        <w:t xml:space="preserve"> </w:t>
      </w:r>
      <w:r w:rsidR="00A17311" w:rsidRPr="00C64CAB">
        <w:rPr>
          <w:color w:val="000000"/>
          <w:shd w:val="clear" w:color="auto" w:fill="FFFFFF"/>
        </w:rPr>
        <w:t>Any thinking on this issue will therefore have to factor in the trajectory of majoritarian right wing politics.</w:t>
      </w:r>
    </w:p>
    <w:p w14:paraId="56D2B9C7" w14:textId="77777777" w:rsidR="00A17311" w:rsidRPr="00C64CAB" w:rsidRDefault="00A17311" w:rsidP="00E627A4">
      <w:pPr>
        <w:jc w:val="both"/>
        <w:rPr>
          <w:color w:val="000000"/>
          <w:shd w:val="clear" w:color="auto" w:fill="FFFFFF"/>
        </w:rPr>
      </w:pPr>
    </w:p>
    <w:p w14:paraId="10A8CBCE" w14:textId="33FF649A" w:rsidR="00DF78AA" w:rsidRPr="00C64CAB" w:rsidRDefault="008D1D86" w:rsidP="00E627A4">
      <w:pPr>
        <w:jc w:val="both"/>
        <w:rPr>
          <w:color w:val="000000"/>
          <w:shd w:val="clear" w:color="auto" w:fill="FFFFFF"/>
        </w:rPr>
      </w:pPr>
      <w:r>
        <w:t>A</w:t>
      </w:r>
      <w:r w:rsidR="00800AB5" w:rsidRPr="00C64CAB">
        <w:t xml:space="preserve"> 2019 Report of the</w:t>
      </w:r>
      <w:r w:rsidR="00DF78AA" w:rsidRPr="00C64CAB">
        <w:t xml:space="preserve"> International Commission of Jurists,</w:t>
      </w:r>
      <w:r w:rsidR="00393C70" w:rsidRPr="00C64CAB">
        <w:t xml:space="preserve"> </w:t>
      </w:r>
      <w:r w:rsidR="00DF78AA" w:rsidRPr="00C64CAB">
        <w:t>“Living with Dignity”</w:t>
      </w:r>
      <w:r w:rsidR="00800AB5" w:rsidRPr="00C64CAB">
        <w:t>,</w:t>
      </w:r>
      <w:r w:rsidR="00DF78AA" w:rsidRPr="00C64CAB">
        <w:t xml:space="preserve"> documents the discrimination faced by LGBTQ persons in India in seeking access to rental accommodation, the increased risk of violence and harassment by property owners and landlords.</w:t>
      </w:r>
      <w:r w:rsidR="005309FB" w:rsidRPr="00C64CAB">
        <w:rPr>
          <w:rStyle w:val="FootnoteReference"/>
        </w:rPr>
        <w:footnoteReference w:id="7"/>
      </w:r>
      <w:r w:rsidR="0068389A">
        <w:t xml:space="preserve"> </w:t>
      </w:r>
      <w:r w:rsidR="00DF78AA" w:rsidRPr="00C64CAB">
        <w:t xml:space="preserve">The study noted that </w:t>
      </w:r>
      <w:r w:rsidR="00DF78AA" w:rsidRPr="00C64CAB">
        <w:rPr>
          <w:color w:val="000000"/>
          <w:shd w:val="clear" w:color="auto" w:fill="FFFFFF"/>
        </w:rPr>
        <w:t>“A common reason for denial of rental accommodation is that property owners may tend to associate LGBTQ people with illegality.”</w:t>
      </w:r>
      <w:r w:rsidR="005309FB" w:rsidRPr="00C64CAB">
        <w:rPr>
          <w:color w:val="000000"/>
          <w:shd w:val="clear" w:color="auto" w:fill="FFFFFF"/>
        </w:rPr>
        <w:t xml:space="preserve"> </w:t>
      </w:r>
      <w:r w:rsidR="00800AB5" w:rsidRPr="00C64CAB">
        <w:rPr>
          <w:color w:val="000000"/>
          <w:shd w:val="clear" w:color="auto" w:fill="FFFFFF"/>
        </w:rPr>
        <w:t>During the C</w:t>
      </w:r>
      <w:r w:rsidR="00393C70" w:rsidRPr="00C64CAB">
        <w:rPr>
          <w:color w:val="000000"/>
          <w:shd w:val="clear" w:color="auto" w:fill="FFFFFF"/>
        </w:rPr>
        <w:t>OVID</w:t>
      </w:r>
      <w:r w:rsidR="00800AB5" w:rsidRPr="00C64CAB">
        <w:rPr>
          <w:color w:val="000000"/>
          <w:shd w:val="clear" w:color="auto" w:fill="FFFFFF"/>
        </w:rPr>
        <w:t xml:space="preserve"> pandemic </w:t>
      </w:r>
      <w:r w:rsidR="00393C70" w:rsidRPr="00C64CAB">
        <w:rPr>
          <w:color w:val="000000"/>
          <w:shd w:val="clear" w:color="auto" w:fill="FFFFFF"/>
        </w:rPr>
        <w:t>trans persons</w:t>
      </w:r>
      <w:r w:rsidR="00800AB5" w:rsidRPr="00C64CAB">
        <w:rPr>
          <w:color w:val="000000"/>
          <w:shd w:val="clear" w:color="auto" w:fill="FFFFFF"/>
        </w:rPr>
        <w:t xml:space="preserve"> found it difficult to secure refuge for their safety, with natal homes not always being available for shelter, given their gender identity.</w:t>
      </w:r>
    </w:p>
    <w:p w14:paraId="1C801363" w14:textId="77777777" w:rsidR="00DF78AA" w:rsidRPr="00C64CAB" w:rsidRDefault="00DF78AA" w:rsidP="00E627A4">
      <w:pPr>
        <w:jc w:val="both"/>
        <w:rPr>
          <w:lang w:val="en-US"/>
        </w:rPr>
      </w:pPr>
    </w:p>
    <w:p w14:paraId="6D2DDB5C" w14:textId="66C73F1A" w:rsidR="00A17311" w:rsidRPr="008D1D86" w:rsidRDefault="00A17311" w:rsidP="00E627A4">
      <w:pPr>
        <w:jc w:val="both"/>
        <w:rPr>
          <w:color w:val="000000" w:themeColor="text1"/>
          <w:shd w:val="clear" w:color="auto" w:fill="FFFFFF"/>
        </w:rPr>
      </w:pPr>
      <w:r w:rsidRPr="00C64CAB">
        <w:t xml:space="preserve">For </w:t>
      </w:r>
      <w:r w:rsidR="00800AB5" w:rsidRPr="00C64CAB">
        <w:t>migrants from the North Eastern states of India</w:t>
      </w:r>
      <w:r w:rsidRPr="00C64CAB">
        <w:t>, racism characterises their experiences of ‘mainland’ India</w:t>
      </w:r>
      <w:r w:rsidR="00DF78AA" w:rsidRPr="00C64CAB">
        <w:t xml:space="preserve"> as their choice of food, attire and features lends to their </w:t>
      </w:r>
      <w:r w:rsidR="00393C70" w:rsidRPr="00C64CAB">
        <w:t>ostracization</w:t>
      </w:r>
      <w:r w:rsidR="00DF78AA" w:rsidRPr="00C64CAB">
        <w:t xml:space="preserve">. </w:t>
      </w:r>
      <w:r w:rsidRPr="00C64CAB">
        <w:t xml:space="preserve">A 2020 Netflix film, </w:t>
      </w:r>
      <w:proofErr w:type="spellStart"/>
      <w:r w:rsidRPr="00C64CAB">
        <w:t>Axone</w:t>
      </w:r>
      <w:proofErr w:type="spellEnd"/>
      <w:r w:rsidRPr="00C64CAB">
        <w:t xml:space="preserve">, typifies this, a poignant </w:t>
      </w:r>
      <w:r w:rsidRPr="00C64CAB">
        <w:rPr>
          <w:color w:val="282828"/>
          <w:spacing w:val="3"/>
          <w:shd w:val="clear" w:color="auto" w:fill="FFFFFF"/>
        </w:rPr>
        <w:t xml:space="preserve">scene shows a North Indian landlady </w:t>
      </w:r>
      <w:r w:rsidRPr="00C64CAB">
        <w:rPr>
          <w:color w:val="000000" w:themeColor="text1"/>
          <w:spacing w:val="3"/>
          <w:shd w:val="clear" w:color="auto" w:fill="FFFFFF"/>
        </w:rPr>
        <w:lastRenderedPageBreak/>
        <w:t xml:space="preserve">shouting at a group of tenants who are from the North </w:t>
      </w:r>
      <w:r w:rsidR="008D1D86" w:rsidRPr="00C64CAB">
        <w:rPr>
          <w:color w:val="000000" w:themeColor="text1"/>
          <w:spacing w:val="3"/>
          <w:shd w:val="clear" w:color="auto" w:fill="FFFFFF"/>
        </w:rPr>
        <w:t>East</w:t>
      </w:r>
      <w:r w:rsidR="008D1D86">
        <w:rPr>
          <w:color w:val="000000" w:themeColor="text1"/>
          <w:spacing w:val="3"/>
          <w:shd w:val="clear" w:color="auto" w:fill="FFFFFF"/>
        </w:rPr>
        <w:t>,</w:t>
      </w:r>
      <w:r w:rsidR="008D1D86" w:rsidRPr="00C64CAB">
        <w:rPr>
          <w:color w:val="000000" w:themeColor="text1"/>
          <w:spacing w:val="3"/>
          <w:shd w:val="clear" w:color="auto" w:fill="FFFFFF"/>
        </w:rPr>
        <w:t xml:space="preserve"> “When</w:t>
      </w:r>
      <w:r w:rsidRPr="00C64CAB">
        <w:rPr>
          <w:color w:val="000000" w:themeColor="text1"/>
          <w:spacing w:val="3"/>
          <w:shd w:val="clear" w:color="auto" w:fill="FFFFFF"/>
        </w:rPr>
        <w:t xml:space="preserve"> you rented this apartment, I had told you can’t make that stinky food here, didn’t I?” demanding an explanation from the group who are making pork with ‘</w:t>
      </w:r>
      <w:proofErr w:type="spellStart"/>
      <w:r w:rsidRPr="00C64CAB">
        <w:rPr>
          <w:i/>
          <w:iCs/>
          <w:color w:val="000000" w:themeColor="text1"/>
          <w:spacing w:val="3"/>
        </w:rPr>
        <w:t>axone</w:t>
      </w:r>
      <w:proofErr w:type="spellEnd"/>
      <w:r w:rsidRPr="00C64CAB">
        <w:rPr>
          <w:color w:val="000000" w:themeColor="text1"/>
          <w:spacing w:val="3"/>
          <w:shd w:val="clear" w:color="auto" w:fill="FFFFFF"/>
        </w:rPr>
        <w:t>’ (</w:t>
      </w:r>
      <w:proofErr w:type="spellStart"/>
      <w:r w:rsidRPr="00C64CAB">
        <w:rPr>
          <w:color w:val="000000" w:themeColor="text1"/>
          <w:spacing w:val="3"/>
          <w:shd w:val="clear" w:color="auto" w:fill="FFFFFF"/>
        </w:rPr>
        <w:t>akhuni</w:t>
      </w:r>
      <w:proofErr w:type="spellEnd"/>
      <w:r w:rsidRPr="00C64CAB">
        <w:rPr>
          <w:color w:val="000000" w:themeColor="text1"/>
          <w:spacing w:val="3"/>
          <w:shd w:val="clear" w:color="auto" w:fill="FFFFFF"/>
        </w:rPr>
        <w:t xml:space="preserve">), </w:t>
      </w:r>
      <w:r w:rsidR="008D1D86" w:rsidRPr="008D1D86">
        <w:rPr>
          <w:color w:val="000000" w:themeColor="text1"/>
          <w:spacing w:val="3"/>
          <w:shd w:val="clear" w:color="auto" w:fill="FFFFFF"/>
        </w:rPr>
        <w:t xml:space="preserve">a fermented soya bean </w:t>
      </w:r>
      <w:r w:rsidR="008D1D86">
        <w:rPr>
          <w:color w:val="000000" w:themeColor="text1"/>
          <w:spacing w:val="3"/>
          <w:shd w:val="clear" w:color="auto" w:fill="FFFFFF"/>
        </w:rPr>
        <w:t>used in</w:t>
      </w:r>
      <w:r w:rsidR="008D1D86" w:rsidRPr="008D1D86">
        <w:rPr>
          <w:color w:val="000000" w:themeColor="text1"/>
          <w:spacing w:val="3"/>
          <w:shd w:val="clear" w:color="auto" w:fill="FFFFFF"/>
        </w:rPr>
        <w:t xml:space="preserve"> Naga</w:t>
      </w:r>
      <w:r w:rsidR="008D1D86">
        <w:rPr>
          <w:color w:val="000000" w:themeColor="text1"/>
          <w:spacing w:val="3"/>
          <w:shd w:val="clear" w:color="auto" w:fill="FFFFFF"/>
        </w:rPr>
        <w:t xml:space="preserve"> cuisine</w:t>
      </w:r>
      <w:r w:rsidR="008D1D86" w:rsidRPr="008D1D86">
        <w:rPr>
          <w:color w:val="000000" w:themeColor="text1"/>
          <w:spacing w:val="3"/>
          <w:shd w:val="clear" w:color="auto" w:fill="FFFFFF"/>
        </w:rPr>
        <w:t xml:space="preserve">, known for its distinctive flavour and smell. </w:t>
      </w:r>
      <w:r w:rsidR="008D1D86">
        <w:rPr>
          <w:color w:val="000000" w:themeColor="text1"/>
          <w:spacing w:val="3"/>
          <w:shd w:val="clear" w:color="auto" w:fill="FFFFFF"/>
        </w:rPr>
        <w:t xml:space="preserve">Not only are their cultural rights supressed but they are also forced to pay higher rents. </w:t>
      </w:r>
    </w:p>
    <w:p w14:paraId="295591BD" w14:textId="77777777" w:rsidR="00393C70" w:rsidRPr="00C64CAB" w:rsidRDefault="00393C70" w:rsidP="00E627A4">
      <w:pPr>
        <w:jc w:val="both"/>
        <w:rPr>
          <w:color w:val="000000" w:themeColor="text1"/>
          <w:shd w:val="clear" w:color="auto" w:fill="FFFFFF"/>
        </w:rPr>
      </w:pPr>
    </w:p>
    <w:p w14:paraId="1F57C1FA" w14:textId="58B6040A" w:rsidR="00800AB5" w:rsidRPr="00C64CAB" w:rsidRDefault="00800AB5" w:rsidP="00E627A4">
      <w:pPr>
        <w:jc w:val="both"/>
        <w:rPr>
          <w:color w:val="000000" w:themeColor="text1"/>
          <w:shd w:val="clear" w:color="auto" w:fill="FFFFFF"/>
        </w:rPr>
      </w:pPr>
      <w:r w:rsidRPr="00C64CAB">
        <w:rPr>
          <w:color w:val="000000" w:themeColor="text1"/>
          <w:shd w:val="clear" w:color="auto" w:fill="FFFFFF"/>
        </w:rPr>
        <w:t>Patriarchal control over women is exercised through landlords policing their social interactions and</w:t>
      </w:r>
      <w:r w:rsidR="0068389A">
        <w:rPr>
          <w:color w:val="000000" w:themeColor="text1"/>
          <w:shd w:val="clear" w:color="auto" w:fill="FFFFFF"/>
        </w:rPr>
        <w:t xml:space="preserve"> by imposing curfews</w:t>
      </w:r>
      <w:r w:rsidRPr="00C64CAB">
        <w:rPr>
          <w:color w:val="000000" w:themeColor="text1"/>
          <w:shd w:val="clear" w:color="auto" w:fill="FFFFFF"/>
        </w:rPr>
        <w:t xml:space="preserve"> </w:t>
      </w:r>
      <w:r w:rsidR="0068389A">
        <w:rPr>
          <w:color w:val="000000" w:themeColor="text1"/>
          <w:shd w:val="clear" w:color="auto" w:fill="FFFFFF"/>
        </w:rPr>
        <w:t xml:space="preserve">to </w:t>
      </w:r>
      <w:r w:rsidRPr="00C64CAB">
        <w:rPr>
          <w:color w:val="000000" w:themeColor="text1"/>
          <w:shd w:val="clear" w:color="auto" w:fill="FFFFFF"/>
        </w:rPr>
        <w:t xml:space="preserve">return to home in the evening. Thus social control regulating the sexual autonomy of adult women severely demarcates access and availability for working women. </w:t>
      </w:r>
    </w:p>
    <w:p w14:paraId="077CA522" w14:textId="77777777" w:rsidR="00800AB5" w:rsidRPr="00C64CAB" w:rsidRDefault="00800AB5" w:rsidP="00E627A4">
      <w:pPr>
        <w:jc w:val="both"/>
        <w:rPr>
          <w:color w:val="000000" w:themeColor="text1"/>
          <w:shd w:val="clear" w:color="auto" w:fill="FFFFFF"/>
        </w:rPr>
      </w:pPr>
    </w:p>
    <w:p w14:paraId="3EC30A53" w14:textId="1EBD143E" w:rsidR="00800AB5" w:rsidRPr="00C64CAB" w:rsidRDefault="00800AB5" w:rsidP="00E627A4">
      <w:pPr>
        <w:jc w:val="both"/>
        <w:rPr>
          <w:color w:val="000000" w:themeColor="text1"/>
          <w:shd w:val="clear" w:color="auto" w:fill="FFFFFF"/>
        </w:rPr>
      </w:pPr>
      <w:r w:rsidRPr="00C64CAB">
        <w:rPr>
          <w:color w:val="000000" w:themeColor="text1"/>
          <w:shd w:val="clear" w:color="auto" w:fill="FFFFFF"/>
        </w:rPr>
        <w:t>The above  mapping is not descriptive,</w:t>
      </w:r>
      <w:r w:rsidR="008D1D86">
        <w:rPr>
          <w:color w:val="000000" w:themeColor="text1"/>
          <w:shd w:val="clear" w:color="auto" w:fill="FFFFFF"/>
        </w:rPr>
        <w:t xml:space="preserve"> it</w:t>
      </w:r>
      <w:r w:rsidRPr="00C64CAB">
        <w:rPr>
          <w:color w:val="000000" w:themeColor="text1"/>
          <w:shd w:val="clear" w:color="auto" w:fill="FFFFFF"/>
        </w:rPr>
        <w:t xml:space="preserve"> underlines the structural barriers to justice, in addition to the impediments and infirmities of the legal framework.</w:t>
      </w:r>
    </w:p>
    <w:p w14:paraId="5492B687" w14:textId="678DCCF0" w:rsidR="00A17311" w:rsidRPr="00C64CAB" w:rsidRDefault="00A17311" w:rsidP="00E627A4">
      <w:pPr>
        <w:jc w:val="both"/>
        <w:rPr>
          <w:b/>
          <w:bCs/>
          <w:lang w:val="en-US"/>
        </w:rPr>
      </w:pPr>
    </w:p>
    <w:p w14:paraId="3FA41984" w14:textId="5C195E43" w:rsidR="00800AB5" w:rsidRPr="00C64CAB" w:rsidRDefault="001A617F" w:rsidP="00E627A4">
      <w:pPr>
        <w:shd w:val="clear" w:color="auto" w:fill="FFFFFF"/>
        <w:jc w:val="both"/>
        <w:rPr>
          <w:color w:val="222222"/>
          <w:u w:val="single"/>
        </w:rPr>
      </w:pPr>
      <w:r>
        <w:rPr>
          <w:b/>
          <w:bCs/>
          <w:color w:val="222222"/>
          <w:u w:val="single"/>
        </w:rPr>
        <w:t>Analysis of the</w:t>
      </w:r>
      <w:r w:rsidR="00800AB5" w:rsidRPr="00C64CAB">
        <w:rPr>
          <w:b/>
          <w:bCs/>
          <w:color w:val="222222"/>
          <w:u w:val="single"/>
        </w:rPr>
        <w:t xml:space="preserve"> gaps and infirmities in the</w:t>
      </w:r>
      <w:r>
        <w:rPr>
          <w:b/>
          <w:bCs/>
          <w:color w:val="222222"/>
          <w:u w:val="single"/>
        </w:rPr>
        <w:t xml:space="preserve"> Indian</w:t>
      </w:r>
      <w:r w:rsidR="00800AB5" w:rsidRPr="00C64CAB">
        <w:rPr>
          <w:b/>
          <w:bCs/>
          <w:color w:val="222222"/>
          <w:u w:val="single"/>
        </w:rPr>
        <w:t xml:space="preserve"> legal framework leading to</w:t>
      </w:r>
      <w:r>
        <w:rPr>
          <w:b/>
          <w:bCs/>
          <w:color w:val="222222"/>
          <w:u w:val="single"/>
        </w:rPr>
        <w:t xml:space="preserve"> a</w:t>
      </w:r>
      <w:r w:rsidR="00800AB5" w:rsidRPr="00C64CAB">
        <w:rPr>
          <w:b/>
          <w:bCs/>
          <w:color w:val="222222"/>
          <w:u w:val="single"/>
        </w:rPr>
        <w:t xml:space="preserve"> lack of effective legal remedies</w:t>
      </w:r>
      <w:r w:rsidR="00800AB5" w:rsidRPr="00C64CAB">
        <w:rPr>
          <w:color w:val="222222"/>
          <w:u w:val="single"/>
        </w:rPr>
        <w:t xml:space="preserve">.  </w:t>
      </w:r>
    </w:p>
    <w:p w14:paraId="128063B3" w14:textId="77777777" w:rsidR="00800AB5" w:rsidRPr="00C64CAB" w:rsidRDefault="00800AB5" w:rsidP="00E627A4">
      <w:pPr>
        <w:shd w:val="clear" w:color="auto" w:fill="FFFFFF"/>
        <w:jc w:val="both"/>
        <w:rPr>
          <w:color w:val="222222"/>
        </w:rPr>
      </w:pPr>
    </w:p>
    <w:p w14:paraId="633F6A47" w14:textId="12C9DBCA" w:rsidR="00A17311" w:rsidRPr="00C64CAB" w:rsidRDefault="00A17311" w:rsidP="00E627A4">
      <w:pPr>
        <w:jc w:val="both"/>
        <w:rPr>
          <w:lang w:val="en-US"/>
        </w:rPr>
      </w:pPr>
      <w:r w:rsidRPr="00C64CAB">
        <w:rPr>
          <w:b/>
          <w:bCs/>
          <w:lang w:val="en-US"/>
        </w:rPr>
        <w:t>Constitutional Framework</w:t>
      </w:r>
      <w:r w:rsidRPr="00C64CAB">
        <w:rPr>
          <w:lang w:val="en-US"/>
        </w:rPr>
        <w:t xml:space="preserve">- Part III of the </w:t>
      </w:r>
      <w:r w:rsidR="00800AB5" w:rsidRPr="00C64CAB">
        <w:rPr>
          <w:lang w:val="en-US"/>
        </w:rPr>
        <w:t xml:space="preserve">Indian </w:t>
      </w:r>
      <w:r w:rsidRPr="00C64CAB">
        <w:rPr>
          <w:lang w:val="en-US"/>
        </w:rPr>
        <w:t>Constitution guarantees Fundamental Rights to citizens</w:t>
      </w:r>
      <w:r w:rsidR="00DF78AA" w:rsidRPr="00C64CAB">
        <w:rPr>
          <w:lang w:val="en-US"/>
        </w:rPr>
        <w:t xml:space="preserve"> and persons</w:t>
      </w:r>
      <w:r w:rsidR="00800AB5" w:rsidRPr="00C64CAB">
        <w:rPr>
          <w:lang w:val="en-US"/>
        </w:rPr>
        <w:t xml:space="preserve">. </w:t>
      </w:r>
      <w:r w:rsidRPr="00C64CAB">
        <w:rPr>
          <w:lang w:val="en-US"/>
        </w:rPr>
        <w:t>Article 14 establishes the right to equality, Article 15 prohibits discrimination on various grounds, Article 17 abolishes untouchability and makes it</w:t>
      </w:r>
      <w:r w:rsidR="00393C70" w:rsidRPr="00C64CAB">
        <w:rPr>
          <w:lang w:val="en-US"/>
        </w:rPr>
        <w:t>s</w:t>
      </w:r>
      <w:r w:rsidRPr="00C64CAB">
        <w:rPr>
          <w:lang w:val="en-US"/>
        </w:rPr>
        <w:t xml:space="preserve"> practice an offence, Article 19 guarantees certain freedoms </w:t>
      </w:r>
      <w:r w:rsidR="00DF78AA" w:rsidRPr="00C64CAB">
        <w:rPr>
          <w:lang w:val="en-US"/>
        </w:rPr>
        <w:t xml:space="preserve">to citizens, </w:t>
      </w:r>
      <w:r w:rsidRPr="00C64CAB">
        <w:rPr>
          <w:lang w:val="en-US"/>
        </w:rPr>
        <w:t>including the freedom of association and freedom to reside anywhere in the country, Article 21- the right to life, Article 25</w:t>
      </w:r>
      <w:r w:rsidR="00DF01AF" w:rsidRPr="00C64CAB">
        <w:rPr>
          <w:lang w:val="en-US"/>
        </w:rPr>
        <w:t xml:space="preserve"> to </w:t>
      </w:r>
      <w:r w:rsidRPr="00C64CAB">
        <w:rPr>
          <w:lang w:val="en-US"/>
        </w:rPr>
        <w:t>28 protects the freedom of religion, and Article 29</w:t>
      </w:r>
      <w:r w:rsidR="00DF01AF" w:rsidRPr="00C64CAB">
        <w:rPr>
          <w:lang w:val="en-US"/>
        </w:rPr>
        <w:t xml:space="preserve"> and </w:t>
      </w:r>
      <w:r w:rsidRPr="00C64CAB">
        <w:rPr>
          <w:lang w:val="en-US"/>
        </w:rPr>
        <w:t xml:space="preserve">30 protect the interests of minorities. Most of these fundamental rights apply vertically and are enforceable only against state action by </w:t>
      </w:r>
      <w:r w:rsidR="00DF78AA" w:rsidRPr="00C64CAB">
        <w:rPr>
          <w:lang w:val="en-US"/>
        </w:rPr>
        <w:t xml:space="preserve">invoking </w:t>
      </w:r>
      <w:r w:rsidRPr="00C64CAB">
        <w:rPr>
          <w:lang w:val="en-US"/>
        </w:rPr>
        <w:t xml:space="preserve">the writ jurisdiction </w:t>
      </w:r>
      <w:r w:rsidR="00800AB5" w:rsidRPr="00C64CAB">
        <w:rPr>
          <w:lang w:val="en-US"/>
        </w:rPr>
        <w:t>of Constitutional Courts.</w:t>
      </w:r>
      <w:r w:rsidR="00800AB5" w:rsidRPr="00C64CAB">
        <w:rPr>
          <w:rStyle w:val="FootnoteReference"/>
          <w:lang w:val="en-US"/>
        </w:rPr>
        <w:footnoteReference w:id="8"/>
      </w:r>
      <w:r w:rsidR="00393C70" w:rsidRPr="00C64CAB">
        <w:rPr>
          <w:lang w:val="en-US"/>
        </w:rPr>
        <w:t xml:space="preserve"> I</w:t>
      </w:r>
      <w:r w:rsidRPr="00C64CAB">
        <w:rPr>
          <w:lang w:val="en-US"/>
        </w:rPr>
        <w:t xml:space="preserve">t is that at this juncture, that the most significant gap lies. </w:t>
      </w:r>
    </w:p>
    <w:p w14:paraId="12DD1C55" w14:textId="77777777" w:rsidR="00A17311" w:rsidRPr="00C64CAB" w:rsidRDefault="00A17311" w:rsidP="00E627A4">
      <w:pPr>
        <w:jc w:val="both"/>
        <w:rPr>
          <w:lang w:val="en-US"/>
        </w:rPr>
      </w:pPr>
    </w:p>
    <w:p w14:paraId="4794A9FE" w14:textId="4C179258" w:rsidR="00A17311" w:rsidRPr="00C64CAB" w:rsidRDefault="00800AB5" w:rsidP="00E627A4">
      <w:pPr>
        <w:jc w:val="both"/>
        <w:rPr>
          <w:lang w:val="en-US"/>
        </w:rPr>
      </w:pPr>
      <w:r w:rsidRPr="00C64CAB">
        <w:rPr>
          <w:lang w:val="en-US"/>
        </w:rPr>
        <w:lastRenderedPageBreak/>
        <w:t xml:space="preserve">Indian jurisprudence </w:t>
      </w:r>
      <w:r w:rsidR="00A17311" w:rsidRPr="00C64CAB">
        <w:rPr>
          <w:lang w:val="en-US"/>
        </w:rPr>
        <w:t xml:space="preserve">has recognized the right to shelter as an essential facet of the Right to Life under Article 21 in landmark judgements- Olga </w:t>
      </w:r>
      <w:proofErr w:type="spellStart"/>
      <w:r w:rsidR="00A17311" w:rsidRPr="00C64CAB">
        <w:rPr>
          <w:lang w:val="en-US"/>
        </w:rPr>
        <w:t>Tellis</w:t>
      </w:r>
      <w:proofErr w:type="spellEnd"/>
      <w:r w:rsidR="00A17311" w:rsidRPr="00C64CAB">
        <w:rPr>
          <w:lang w:val="en-US"/>
        </w:rPr>
        <w:t xml:space="preserve"> (1985),</w:t>
      </w:r>
      <w:r w:rsidR="00A17311" w:rsidRPr="00C64CAB">
        <w:rPr>
          <w:rStyle w:val="FootnoteReference"/>
          <w:lang w:val="en-US"/>
        </w:rPr>
        <w:footnoteReference w:id="9"/>
      </w:r>
      <w:r w:rsidR="00A17311" w:rsidRPr="00C64CAB">
        <w:rPr>
          <w:lang w:val="en-US"/>
        </w:rPr>
        <w:t xml:space="preserve"> </w:t>
      </w:r>
      <w:proofErr w:type="spellStart"/>
      <w:r w:rsidR="00A17311" w:rsidRPr="00C64CAB">
        <w:rPr>
          <w:lang w:val="en-US"/>
        </w:rPr>
        <w:t>Chameli</w:t>
      </w:r>
      <w:proofErr w:type="spellEnd"/>
      <w:r w:rsidR="00A17311" w:rsidRPr="00C64CAB">
        <w:rPr>
          <w:lang w:val="en-US"/>
        </w:rPr>
        <w:t xml:space="preserve"> Singh (1996)</w:t>
      </w:r>
      <w:r w:rsidR="00A17311" w:rsidRPr="00C64CAB">
        <w:rPr>
          <w:rStyle w:val="FootnoteReference"/>
          <w:lang w:val="en-US"/>
        </w:rPr>
        <w:footnoteReference w:id="10"/>
      </w:r>
      <w:r w:rsidR="00A17311" w:rsidRPr="00C64CAB">
        <w:rPr>
          <w:lang w:val="en-US"/>
        </w:rPr>
        <w:t>, Ahmedabad Municipal Corporation (1997)</w:t>
      </w:r>
      <w:r w:rsidR="00A17311" w:rsidRPr="00C64CAB">
        <w:rPr>
          <w:rStyle w:val="FootnoteReference"/>
          <w:lang w:val="en-US"/>
        </w:rPr>
        <w:footnoteReference w:id="11"/>
      </w:r>
      <w:r w:rsidR="00393C70" w:rsidRPr="00C64CAB">
        <w:rPr>
          <w:lang w:val="en-US"/>
        </w:rPr>
        <w:t>,</w:t>
      </w:r>
      <w:r w:rsidR="00DF01AF" w:rsidRPr="00C64CAB">
        <w:rPr>
          <w:lang w:val="en-US"/>
        </w:rPr>
        <w:t xml:space="preserve"> </w:t>
      </w:r>
      <w:r w:rsidRPr="00C64CAB">
        <w:rPr>
          <w:lang w:val="en-US"/>
        </w:rPr>
        <w:t>etc</w:t>
      </w:r>
      <w:r w:rsidR="00A17311" w:rsidRPr="00C64CAB">
        <w:rPr>
          <w:lang w:val="en-US"/>
        </w:rPr>
        <w:t>. In 2015, the Delhi High Court in Ajay Maken vs. Union of India</w:t>
      </w:r>
      <w:r w:rsidR="00DF78AA" w:rsidRPr="00C64CAB">
        <w:rPr>
          <w:lang w:val="en-US"/>
        </w:rPr>
        <w:t>,</w:t>
      </w:r>
      <w:r w:rsidR="00A17311" w:rsidRPr="00C64CAB">
        <w:rPr>
          <w:lang w:val="en-US"/>
        </w:rPr>
        <w:t xml:space="preserve"> </w:t>
      </w:r>
      <w:r w:rsidRPr="00C64CAB">
        <w:rPr>
          <w:lang w:val="en-US"/>
        </w:rPr>
        <w:t>held</w:t>
      </w:r>
      <w:r w:rsidR="00A17311" w:rsidRPr="00C64CAB">
        <w:rPr>
          <w:lang w:val="en-US"/>
        </w:rPr>
        <w:t xml:space="preserve"> that the right housing is </w:t>
      </w:r>
      <w:r w:rsidR="00A17311" w:rsidRPr="00C64CAB">
        <w:rPr>
          <w:i/>
          <w:iCs/>
          <w:lang w:val="en-US"/>
        </w:rPr>
        <w:t>“a bundle of rights, not limited to a bare shelter over one’s head. It includes the right to livelihood, right to health, right to education and the right to food, including the right to clean drinking water, sewerage and transport facilities.”</w:t>
      </w:r>
      <w:r w:rsidR="00393C70" w:rsidRPr="00C64CAB">
        <w:rPr>
          <w:rStyle w:val="FootnoteReference"/>
          <w:i/>
          <w:iCs/>
          <w:lang w:val="en-US"/>
        </w:rPr>
        <w:footnoteReference w:id="12"/>
      </w:r>
      <w:r w:rsidR="00A17311" w:rsidRPr="00C64CAB">
        <w:rPr>
          <w:lang w:val="en-US"/>
        </w:rPr>
        <w:t xml:space="preserve"> The Court considered the right to housing in the context of the Right to the City and India’s welfare obligations flowing from international law.  </w:t>
      </w:r>
    </w:p>
    <w:p w14:paraId="741B8CB8" w14:textId="77777777" w:rsidR="00A17311" w:rsidRPr="00C64CAB" w:rsidRDefault="00A17311" w:rsidP="00E627A4">
      <w:pPr>
        <w:shd w:val="clear" w:color="auto" w:fill="FFFFFF"/>
        <w:jc w:val="both"/>
        <w:rPr>
          <w:color w:val="222222"/>
        </w:rPr>
      </w:pPr>
    </w:p>
    <w:p w14:paraId="7AD65A2D" w14:textId="7FB12DC4" w:rsidR="00560484" w:rsidRPr="00C64CAB" w:rsidRDefault="00560484" w:rsidP="00E627A4">
      <w:pPr>
        <w:shd w:val="clear" w:color="auto" w:fill="FFFFFF"/>
        <w:jc w:val="both"/>
        <w:rPr>
          <w:color w:val="222222"/>
        </w:rPr>
      </w:pPr>
      <w:r w:rsidRPr="00C64CAB">
        <w:rPr>
          <w:color w:val="222222"/>
        </w:rPr>
        <w:t xml:space="preserve">Housing is provided in India either through State run schemes and programmes, or by direct purchase of property in the private sector. Since the remedy of writ lies only against the State and its agents, the private sector of housing falls </w:t>
      </w:r>
      <w:r w:rsidR="00800AB5" w:rsidRPr="00C64CAB">
        <w:rPr>
          <w:color w:val="222222"/>
        </w:rPr>
        <w:t xml:space="preserve">largely </w:t>
      </w:r>
      <w:r w:rsidRPr="00C64CAB">
        <w:rPr>
          <w:color w:val="222222"/>
        </w:rPr>
        <w:t>outside the purview of the writ</w:t>
      </w:r>
      <w:r w:rsidR="00DF78AA" w:rsidRPr="00C64CAB">
        <w:rPr>
          <w:color w:val="222222"/>
        </w:rPr>
        <w:t xml:space="preserve"> jurisdiction</w:t>
      </w:r>
      <w:r w:rsidRPr="00C64CAB">
        <w:rPr>
          <w:color w:val="222222"/>
        </w:rPr>
        <w:t xml:space="preserve">, thereby </w:t>
      </w:r>
      <w:r w:rsidR="00DF78AA" w:rsidRPr="00C64CAB">
        <w:rPr>
          <w:color w:val="222222"/>
        </w:rPr>
        <w:t xml:space="preserve">impeding </w:t>
      </w:r>
      <w:r w:rsidRPr="00C64CAB">
        <w:rPr>
          <w:color w:val="222222"/>
        </w:rPr>
        <w:t>access to justice for discrimination in private sector housing.</w:t>
      </w:r>
    </w:p>
    <w:p w14:paraId="143283AE" w14:textId="4CD88721" w:rsidR="00560484" w:rsidRPr="00C64CAB" w:rsidRDefault="00800AB5" w:rsidP="00E627A4">
      <w:pPr>
        <w:shd w:val="clear" w:color="auto" w:fill="FFFFFF"/>
        <w:jc w:val="both"/>
        <w:rPr>
          <w:color w:val="222222"/>
        </w:rPr>
      </w:pPr>
      <w:r w:rsidRPr="00C64CAB">
        <w:rPr>
          <w:color w:val="222222"/>
        </w:rPr>
        <w:t>It is striking that there is very little case law on this issue and few have approached the courts, given the pervasive nature of the segregation and discrimination.</w:t>
      </w:r>
      <w:r w:rsidR="00DF78AA" w:rsidRPr="00C64CAB">
        <w:rPr>
          <w:color w:val="222222"/>
        </w:rPr>
        <w:t xml:space="preserve"> </w:t>
      </w:r>
      <w:r w:rsidRPr="00C64CAB">
        <w:rPr>
          <w:color w:val="222222"/>
        </w:rPr>
        <w:t>C</w:t>
      </w:r>
      <w:r w:rsidR="00560484" w:rsidRPr="00C64CAB">
        <w:rPr>
          <w:color w:val="222222"/>
        </w:rPr>
        <w:t xml:space="preserve">ooperative </w:t>
      </w:r>
      <w:r w:rsidRPr="00C64CAB">
        <w:rPr>
          <w:color w:val="222222"/>
        </w:rPr>
        <w:t xml:space="preserve">housing </w:t>
      </w:r>
      <w:r w:rsidR="00560484" w:rsidRPr="00C64CAB">
        <w:rPr>
          <w:color w:val="222222"/>
        </w:rPr>
        <w:t xml:space="preserve">societies </w:t>
      </w:r>
      <w:r w:rsidRPr="00C64CAB">
        <w:rPr>
          <w:color w:val="222222"/>
        </w:rPr>
        <w:t xml:space="preserve">are governed by statute </w:t>
      </w:r>
      <w:r w:rsidR="00560484" w:rsidRPr="00C64CAB">
        <w:rPr>
          <w:color w:val="222222"/>
        </w:rPr>
        <w:t xml:space="preserve">and </w:t>
      </w:r>
      <w:r w:rsidRPr="00C64CAB">
        <w:rPr>
          <w:color w:val="222222"/>
        </w:rPr>
        <w:t xml:space="preserve">interestingly </w:t>
      </w:r>
      <w:r w:rsidR="00560484" w:rsidRPr="00C64CAB">
        <w:rPr>
          <w:color w:val="222222"/>
        </w:rPr>
        <w:t xml:space="preserve">this has led to some litigation on the question of discrimination and </w:t>
      </w:r>
      <w:r w:rsidRPr="00C64CAB">
        <w:rPr>
          <w:color w:val="222222"/>
        </w:rPr>
        <w:t xml:space="preserve">exclusion </w:t>
      </w:r>
      <w:r w:rsidR="00560484" w:rsidRPr="00C64CAB">
        <w:rPr>
          <w:color w:val="222222"/>
        </w:rPr>
        <w:t>in the membership of these cooperatives.</w:t>
      </w:r>
      <w:r w:rsidRPr="00C64CAB">
        <w:rPr>
          <w:color w:val="222222"/>
        </w:rPr>
        <w:t xml:space="preserve"> </w:t>
      </w:r>
    </w:p>
    <w:p w14:paraId="1C2C442F" w14:textId="7D665A14" w:rsidR="00560484" w:rsidRPr="00C64CAB" w:rsidRDefault="00560484" w:rsidP="00E627A4">
      <w:pPr>
        <w:shd w:val="clear" w:color="auto" w:fill="FFFFFF"/>
        <w:jc w:val="both"/>
        <w:rPr>
          <w:color w:val="222222"/>
        </w:rPr>
      </w:pPr>
    </w:p>
    <w:p w14:paraId="7492BF29" w14:textId="6194DDB0" w:rsidR="00DF78AA" w:rsidRPr="00C64CAB" w:rsidRDefault="00560484" w:rsidP="00E627A4">
      <w:pPr>
        <w:shd w:val="clear" w:color="auto" w:fill="FFFFFF"/>
        <w:jc w:val="both"/>
        <w:rPr>
          <w:color w:val="222222"/>
        </w:rPr>
      </w:pPr>
      <w:r w:rsidRPr="00C64CAB">
        <w:rPr>
          <w:color w:val="222222"/>
        </w:rPr>
        <w:t xml:space="preserve">The </w:t>
      </w:r>
      <w:r w:rsidR="00800AB5" w:rsidRPr="00C64CAB">
        <w:rPr>
          <w:color w:val="222222"/>
        </w:rPr>
        <w:t>questions</w:t>
      </w:r>
      <w:r w:rsidRPr="00C64CAB">
        <w:rPr>
          <w:color w:val="222222"/>
        </w:rPr>
        <w:t xml:space="preserve"> that came up before the court</w:t>
      </w:r>
      <w:r w:rsidR="008D1D86">
        <w:rPr>
          <w:color w:val="222222"/>
        </w:rPr>
        <w:t>,</w:t>
      </w:r>
      <w:r w:rsidRPr="00C64CAB">
        <w:rPr>
          <w:color w:val="222222"/>
        </w:rPr>
        <w:t xml:space="preserve"> </w:t>
      </w:r>
      <w:r w:rsidR="00393C70" w:rsidRPr="00C64CAB">
        <w:rPr>
          <w:color w:val="222222"/>
        </w:rPr>
        <w:t xml:space="preserve">centred </w:t>
      </w:r>
      <w:r w:rsidRPr="00C64CAB">
        <w:rPr>
          <w:color w:val="222222"/>
        </w:rPr>
        <w:t xml:space="preserve">around permitting sale to a member of a different religious denomination or sect, where the cooperative society </w:t>
      </w:r>
      <w:r w:rsidR="00DF78AA" w:rsidRPr="00C64CAB">
        <w:rPr>
          <w:color w:val="222222"/>
        </w:rPr>
        <w:t xml:space="preserve">was </w:t>
      </w:r>
      <w:r w:rsidRPr="00C64CAB">
        <w:rPr>
          <w:color w:val="222222"/>
        </w:rPr>
        <w:t xml:space="preserve">formed by members of a particular faith. </w:t>
      </w:r>
      <w:r w:rsidR="00DF78AA" w:rsidRPr="00C64CAB">
        <w:rPr>
          <w:color w:val="222222"/>
        </w:rPr>
        <w:t>One of the cardinal principles developed under th</w:t>
      </w:r>
      <w:r w:rsidR="00800AB5" w:rsidRPr="00C64CAB">
        <w:rPr>
          <w:color w:val="222222"/>
        </w:rPr>
        <w:t>e Cooperative Society laws</w:t>
      </w:r>
      <w:r w:rsidR="00DF78AA" w:rsidRPr="00C64CAB">
        <w:rPr>
          <w:color w:val="222222"/>
        </w:rPr>
        <w:t xml:space="preserve"> is the principle of </w:t>
      </w:r>
      <w:r w:rsidR="008D1D86">
        <w:rPr>
          <w:color w:val="222222"/>
        </w:rPr>
        <w:t>‘</w:t>
      </w:r>
      <w:r w:rsidR="00DF78AA" w:rsidRPr="00C64CAB">
        <w:rPr>
          <w:color w:val="222222"/>
        </w:rPr>
        <w:t>Open Membership</w:t>
      </w:r>
      <w:r w:rsidR="008D1D86">
        <w:rPr>
          <w:color w:val="222222"/>
        </w:rPr>
        <w:t>’</w:t>
      </w:r>
      <w:r w:rsidR="00DF01AF" w:rsidRPr="00C64CAB">
        <w:rPr>
          <w:color w:val="222222"/>
        </w:rPr>
        <w:t>.</w:t>
      </w:r>
    </w:p>
    <w:p w14:paraId="7D0F31F3" w14:textId="77777777" w:rsidR="00800AB5" w:rsidRPr="00C64CAB" w:rsidRDefault="00800AB5" w:rsidP="00E627A4">
      <w:pPr>
        <w:shd w:val="clear" w:color="auto" w:fill="FFFFFF"/>
        <w:jc w:val="both"/>
        <w:rPr>
          <w:color w:val="222222"/>
        </w:rPr>
      </w:pPr>
    </w:p>
    <w:p w14:paraId="36B12BF3" w14:textId="03730A2A" w:rsidR="00560484" w:rsidRPr="00C64CAB" w:rsidRDefault="00560484" w:rsidP="00E627A4">
      <w:pPr>
        <w:shd w:val="clear" w:color="auto" w:fill="FFFFFF"/>
        <w:jc w:val="both"/>
        <w:rPr>
          <w:color w:val="222222"/>
        </w:rPr>
      </w:pPr>
      <w:r w:rsidRPr="00C64CAB">
        <w:rPr>
          <w:color w:val="222222"/>
        </w:rPr>
        <w:lastRenderedPageBreak/>
        <w:t>The Bombay High Court</w:t>
      </w:r>
      <w:r w:rsidR="00800AB5" w:rsidRPr="00C64CAB">
        <w:rPr>
          <w:color w:val="222222"/>
        </w:rPr>
        <w:t>,</w:t>
      </w:r>
      <w:r w:rsidRPr="00C64CAB">
        <w:rPr>
          <w:color w:val="222222"/>
        </w:rPr>
        <w:t xml:space="preserve"> in 2006</w:t>
      </w:r>
      <w:r w:rsidR="00800AB5" w:rsidRPr="00C64CAB">
        <w:rPr>
          <w:color w:val="222222"/>
        </w:rPr>
        <w:t>,</w:t>
      </w:r>
      <w:r w:rsidRPr="00C64CAB">
        <w:rPr>
          <w:color w:val="222222"/>
        </w:rPr>
        <w:t xml:space="preserve"> in St. Anthony</w:t>
      </w:r>
      <w:r w:rsidR="00DF78AA" w:rsidRPr="00C64CAB">
        <w:rPr>
          <w:color w:val="222222"/>
        </w:rPr>
        <w:t>’</w:t>
      </w:r>
      <w:r w:rsidRPr="00C64CAB">
        <w:rPr>
          <w:color w:val="222222"/>
          <w:lang w:val="en-US"/>
        </w:rPr>
        <w:t>s Co-operative Society vs. Secretary</w:t>
      </w:r>
      <w:r w:rsidR="00800AB5" w:rsidRPr="00C64CAB">
        <w:rPr>
          <w:rStyle w:val="FootnoteReference"/>
          <w:color w:val="222222"/>
          <w:lang w:val="en-US"/>
        </w:rPr>
        <w:footnoteReference w:id="13"/>
      </w:r>
      <w:r w:rsidRPr="00C64CAB">
        <w:rPr>
          <w:color w:val="222222"/>
          <w:lang w:val="en-US"/>
        </w:rPr>
        <w:t xml:space="preserve"> </w:t>
      </w:r>
      <w:r w:rsidRPr="00C64CAB">
        <w:rPr>
          <w:color w:val="222222"/>
        </w:rPr>
        <w:t>highlighted the need for open membership and held:</w:t>
      </w:r>
    </w:p>
    <w:p w14:paraId="45EFDDF2" w14:textId="3ABC9FC2" w:rsidR="00560484" w:rsidRPr="00C64CAB" w:rsidRDefault="00560484" w:rsidP="00E627A4">
      <w:pPr>
        <w:shd w:val="clear" w:color="auto" w:fill="FFFFFF"/>
        <w:ind w:left="720"/>
        <w:jc w:val="both"/>
        <w:rPr>
          <w:color w:val="222222"/>
        </w:rPr>
      </w:pPr>
      <w:r w:rsidRPr="001A617F">
        <w:rPr>
          <w:i/>
          <w:iCs/>
          <w:color w:val="282828"/>
          <w:shd w:val="clear" w:color="auto" w:fill="FFFFFF"/>
        </w:rPr>
        <w:t xml:space="preserve">"Thus, having regard to the uniform position in law </w:t>
      </w:r>
      <w:r w:rsidRPr="001A617F">
        <w:rPr>
          <w:i/>
          <w:iCs/>
          <w:color w:val="000000" w:themeColor="text1"/>
          <w:shd w:val="clear" w:color="auto" w:fill="FFFFFF"/>
        </w:rPr>
        <w:t>which has been accepted by a Judgment of this Court and by Judgments of the High Courts of Madhya Pradesh and Gujarat, it is</w:t>
      </w:r>
      <w:r w:rsidRPr="00C64CAB">
        <w:rPr>
          <w:color w:val="000000" w:themeColor="text1"/>
          <w:shd w:val="clear" w:color="auto" w:fill="FFFFFF"/>
        </w:rPr>
        <w:t xml:space="preserve"> </w:t>
      </w:r>
      <w:r w:rsidRPr="001A617F">
        <w:rPr>
          <w:i/>
          <w:iCs/>
          <w:color w:val="000000" w:themeColor="text1"/>
          <w:shd w:val="clear" w:color="auto" w:fill="FFFFFF"/>
        </w:rPr>
        <w:t xml:space="preserve">abundantly clearly that a restriction in the By-laws of a Co-operative Society </w:t>
      </w:r>
      <w:r w:rsidRPr="001A617F">
        <w:rPr>
          <w:i/>
          <w:iCs/>
          <w:color w:val="282828"/>
          <w:shd w:val="clear" w:color="auto" w:fill="FFFFFF"/>
        </w:rPr>
        <w:t>imposing a condition or qualification restricting membership, to a particular religious group would violate the principle of open membership. That principle of open membership is recognised by Section 23 of the Maharashtra Co-operative Societies Act, 1960. Indeed, it must be recognised that it would not be open to the State Legislature to permit a discrimination only on the ground of religion, race, caste, sex. place of birth or any of them by virtue of the provisions of</w:t>
      </w:r>
      <w:r w:rsidRPr="001A617F">
        <w:rPr>
          <w:i/>
          <w:iCs/>
          <w:color w:val="000000"/>
          <w:shd w:val="clear" w:color="auto" w:fill="FFFFFF"/>
        </w:rPr>
        <w:t xml:space="preserve"> </w:t>
      </w:r>
      <w:hyperlink r:id="rId8" w:tgtFrame="_blank" w:history="1">
        <w:r w:rsidRPr="001A617F">
          <w:rPr>
            <w:i/>
            <w:iCs/>
            <w:color w:val="000000"/>
            <w:shd w:val="clear" w:color="auto" w:fill="FFFFFF"/>
          </w:rPr>
          <w:t>Article 15(1)</w:t>
        </w:r>
      </w:hyperlink>
      <w:r w:rsidRPr="001A617F">
        <w:rPr>
          <w:i/>
          <w:iCs/>
          <w:color w:val="000000"/>
          <w:shd w:val="clear" w:color="auto" w:fill="FFFFFF"/>
        </w:rPr>
        <w:t xml:space="preserve"> of the Constitution. Regard must also be had to the position that cooperative housing societies provide an essential amenity to the citizens, namely the amenity of housing. The right to housing is now itself recognised as a fundamental right under </w:t>
      </w:r>
      <w:hyperlink r:id="rId9" w:tgtFrame="_blank" w:history="1">
        <w:r w:rsidRPr="001A617F">
          <w:rPr>
            <w:i/>
            <w:iCs/>
            <w:color w:val="000000"/>
            <w:shd w:val="clear" w:color="auto" w:fill="FFFFFF"/>
          </w:rPr>
          <w:t>Article 21</w:t>
        </w:r>
      </w:hyperlink>
      <w:r w:rsidRPr="001A617F">
        <w:rPr>
          <w:i/>
          <w:iCs/>
          <w:color w:val="000000"/>
          <w:shd w:val="clear" w:color="auto" w:fill="FFFFFF"/>
        </w:rPr>
        <w:t xml:space="preserve"> of the Constitution in </w:t>
      </w:r>
      <w:hyperlink r:id="rId10" w:tgtFrame="_blank" w:history="1">
        <w:r w:rsidRPr="001A617F">
          <w:rPr>
            <w:i/>
            <w:iCs/>
            <w:color w:val="000000"/>
            <w:shd w:val="clear" w:color="auto" w:fill="FFFFFF"/>
          </w:rPr>
          <w:t xml:space="preserve">M/s. </w:t>
        </w:r>
        <w:proofErr w:type="spellStart"/>
        <w:r w:rsidRPr="001A617F">
          <w:rPr>
            <w:i/>
            <w:iCs/>
            <w:color w:val="000000"/>
            <w:shd w:val="clear" w:color="auto" w:fill="FFFFFF"/>
          </w:rPr>
          <w:t>Shantistar</w:t>
        </w:r>
        <w:proofErr w:type="spellEnd"/>
        <w:r w:rsidRPr="001A617F">
          <w:rPr>
            <w:i/>
            <w:iCs/>
            <w:color w:val="000000"/>
            <w:shd w:val="clear" w:color="auto" w:fill="FFFFFF"/>
          </w:rPr>
          <w:t xml:space="preserve"> Builders v. Narayan </w:t>
        </w:r>
        <w:proofErr w:type="spellStart"/>
        <w:r w:rsidRPr="001A617F">
          <w:rPr>
            <w:i/>
            <w:iCs/>
            <w:color w:val="000000"/>
            <w:shd w:val="clear" w:color="auto" w:fill="FFFFFF"/>
          </w:rPr>
          <w:t>Khimalal</w:t>
        </w:r>
        <w:proofErr w:type="spellEnd"/>
        <w:r w:rsidRPr="001A617F">
          <w:rPr>
            <w:i/>
            <w:iCs/>
            <w:color w:val="000000"/>
            <w:shd w:val="clear" w:color="auto" w:fill="FFFFFF"/>
          </w:rPr>
          <w:t xml:space="preserve"> </w:t>
        </w:r>
        <w:proofErr w:type="spellStart"/>
        <w:r w:rsidRPr="001A617F">
          <w:rPr>
            <w:i/>
            <w:iCs/>
            <w:color w:val="000000"/>
            <w:shd w:val="clear" w:color="auto" w:fill="FFFFFF"/>
          </w:rPr>
          <w:t>Jotame</w:t>
        </w:r>
        <w:proofErr w:type="spellEnd"/>
        <w:r w:rsidRPr="001A617F">
          <w:rPr>
            <w:i/>
            <w:iCs/>
            <w:color w:val="000000"/>
            <w:shd w:val="clear" w:color="auto" w:fill="FFFFFF"/>
          </w:rPr>
          <w:t>,</w:t>
        </w:r>
      </w:hyperlink>
      <w:r w:rsidRPr="001A617F">
        <w:rPr>
          <w:i/>
          <w:iCs/>
          <w:color w:val="000000"/>
          <w:shd w:val="clear" w:color="auto" w:fill="FFFFFF"/>
        </w:rPr>
        <w:t xml:space="preserve">...A faint attempt was made to rely upon the freedom to profess, practice and propagate religion under </w:t>
      </w:r>
      <w:hyperlink r:id="rId11" w:tgtFrame="_blank" w:history="1">
        <w:r w:rsidRPr="001A617F">
          <w:rPr>
            <w:i/>
            <w:iCs/>
            <w:color w:val="000000"/>
            <w:shd w:val="clear" w:color="auto" w:fill="FFFFFF"/>
          </w:rPr>
          <w:t>Article 25</w:t>
        </w:r>
      </w:hyperlink>
      <w:r w:rsidRPr="001A617F">
        <w:rPr>
          <w:i/>
          <w:iCs/>
          <w:color w:val="000000"/>
          <w:shd w:val="clear" w:color="auto" w:fill="FFFFFF"/>
        </w:rPr>
        <w:t xml:space="preserve"> of the Constitution. </w:t>
      </w:r>
      <w:hyperlink r:id="rId12" w:tgtFrame="_blank" w:history="1">
        <w:r w:rsidRPr="001A617F">
          <w:rPr>
            <w:i/>
            <w:iCs/>
            <w:color w:val="000000"/>
            <w:shd w:val="clear" w:color="auto" w:fill="FFFFFF"/>
          </w:rPr>
          <w:t>Article 25</w:t>
        </w:r>
      </w:hyperlink>
      <w:r w:rsidRPr="001A617F">
        <w:rPr>
          <w:i/>
          <w:iCs/>
          <w:color w:val="000000"/>
          <w:shd w:val="clear" w:color="auto" w:fill="FFFFFF"/>
        </w:rPr>
        <w:t>, however, expressly makes a distinction between religion and the secular aspects. The latter can be regulated by the State."</w:t>
      </w:r>
      <w:r w:rsidRPr="00C64CAB">
        <w:rPr>
          <w:color w:val="000000"/>
          <w:shd w:val="clear" w:color="auto" w:fill="FFFFFF"/>
        </w:rPr>
        <w:t xml:space="preserve"> (Para 2</w:t>
      </w:r>
      <w:r w:rsidR="00805B6B" w:rsidRPr="00C64CAB">
        <w:rPr>
          <w:color w:val="000000"/>
          <w:shd w:val="clear" w:color="auto" w:fill="FFFFFF"/>
        </w:rPr>
        <w:t>0</w:t>
      </w:r>
      <w:r w:rsidRPr="00C64CAB">
        <w:rPr>
          <w:color w:val="000000"/>
          <w:shd w:val="clear" w:color="auto" w:fill="FFFFFF"/>
        </w:rPr>
        <w:t>)</w:t>
      </w:r>
    </w:p>
    <w:p w14:paraId="54D5BD56" w14:textId="77777777" w:rsidR="00560484" w:rsidRPr="00C64CAB" w:rsidRDefault="00560484" w:rsidP="00E627A4">
      <w:pPr>
        <w:shd w:val="clear" w:color="auto" w:fill="FFFFFF"/>
        <w:jc w:val="both"/>
        <w:rPr>
          <w:color w:val="222222"/>
        </w:rPr>
      </w:pPr>
    </w:p>
    <w:p w14:paraId="53747D32" w14:textId="77E5AA31" w:rsidR="00560484" w:rsidRPr="00C64CAB" w:rsidRDefault="00560484" w:rsidP="00E627A4">
      <w:pPr>
        <w:shd w:val="clear" w:color="auto" w:fill="FFFFFF"/>
        <w:jc w:val="both"/>
        <w:rPr>
          <w:color w:val="222222"/>
        </w:rPr>
      </w:pPr>
      <w:r w:rsidRPr="00C64CAB">
        <w:rPr>
          <w:color w:val="222222"/>
        </w:rPr>
        <w:t xml:space="preserve">The </w:t>
      </w:r>
      <w:r w:rsidR="00800AB5" w:rsidRPr="00C64CAB">
        <w:rPr>
          <w:color w:val="222222"/>
        </w:rPr>
        <w:t xml:space="preserve">Indian </w:t>
      </w:r>
      <w:r w:rsidRPr="00C64CAB">
        <w:rPr>
          <w:color w:val="222222"/>
        </w:rPr>
        <w:t>Supreme Court however in 2005, in the case of </w:t>
      </w:r>
      <w:r w:rsidRPr="00C64CAB">
        <w:rPr>
          <w:color w:val="222222"/>
          <w:lang w:val="en-US"/>
        </w:rPr>
        <w:t>Zoroastrian Cooperative Housing Society vs. District Registrar</w:t>
      </w:r>
      <w:r w:rsidR="00805B6B" w:rsidRPr="00C64CAB">
        <w:rPr>
          <w:rStyle w:val="FootnoteReference"/>
          <w:color w:val="222222"/>
          <w:lang w:val="en-US"/>
        </w:rPr>
        <w:footnoteReference w:id="14"/>
      </w:r>
      <w:r w:rsidRPr="00C64CAB">
        <w:rPr>
          <w:color w:val="222222"/>
          <w:lang w:val="en-US"/>
        </w:rPr>
        <w:t xml:space="preserve">, upheld the </w:t>
      </w:r>
      <w:r w:rsidR="00800AB5" w:rsidRPr="00C64CAB">
        <w:rPr>
          <w:color w:val="222222"/>
          <w:lang w:val="en-US"/>
        </w:rPr>
        <w:t>B</w:t>
      </w:r>
      <w:r w:rsidRPr="00C64CAB">
        <w:rPr>
          <w:color w:val="222222"/>
          <w:lang w:val="en-US"/>
        </w:rPr>
        <w:t>ye-</w:t>
      </w:r>
      <w:r w:rsidR="00800AB5" w:rsidRPr="00C64CAB">
        <w:rPr>
          <w:color w:val="222222"/>
          <w:lang w:val="en-US"/>
        </w:rPr>
        <w:t>L</w:t>
      </w:r>
      <w:r w:rsidRPr="00C64CAB">
        <w:rPr>
          <w:color w:val="222222"/>
          <w:lang w:val="en-US"/>
        </w:rPr>
        <w:t>aws of a Parsi Housing Society prohibiting the sale of</w:t>
      </w:r>
      <w:proofErr w:type="gramStart"/>
      <w:r w:rsidRPr="00C64CAB">
        <w:rPr>
          <w:color w:val="222222"/>
          <w:lang w:val="en-US"/>
        </w:rPr>
        <w:t>  </w:t>
      </w:r>
      <w:r w:rsidR="00800AB5" w:rsidRPr="00C64CAB">
        <w:rPr>
          <w:color w:val="222222"/>
          <w:lang w:val="en-US"/>
        </w:rPr>
        <w:t>apartments</w:t>
      </w:r>
      <w:proofErr w:type="gramEnd"/>
      <w:r w:rsidRPr="00C64CAB">
        <w:rPr>
          <w:color w:val="222222"/>
          <w:lang w:val="en-US"/>
        </w:rPr>
        <w:t xml:space="preserve"> to non-</w:t>
      </w:r>
      <w:proofErr w:type="spellStart"/>
      <w:r w:rsidRPr="00C64CAB">
        <w:rPr>
          <w:color w:val="222222"/>
          <w:lang w:val="en-US"/>
        </w:rPr>
        <w:t>Parsis</w:t>
      </w:r>
      <w:proofErr w:type="spellEnd"/>
      <w:r w:rsidR="00800AB5" w:rsidRPr="00C64CAB">
        <w:rPr>
          <w:color w:val="222222"/>
          <w:lang w:val="en-US"/>
        </w:rPr>
        <w:t xml:space="preserve">. In my view this is a flawed judgment as it erroneously conflates the freedom of contract and freedom of association of the Parsi community. </w:t>
      </w:r>
      <w:proofErr w:type="gramStart"/>
      <w:r w:rsidR="00800AB5" w:rsidRPr="00C64CAB">
        <w:rPr>
          <w:color w:val="222222"/>
          <w:lang w:val="en-US"/>
        </w:rPr>
        <w:t xml:space="preserve">Further </w:t>
      </w:r>
      <w:r w:rsidRPr="00C64CAB">
        <w:rPr>
          <w:color w:val="222222"/>
          <w:lang w:val="en-US"/>
        </w:rPr>
        <w:t xml:space="preserve"> </w:t>
      </w:r>
      <w:r w:rsidR="00800AB5" w:rsidRPr="00C64CAB">
        <w:rPr>
          <w:color w:val="222222"/>
          <w:lang w:val="en-US"/>
        </w:rPr>
        <w:t>while</w:t>
      </w:r>
      <w:proofErr w:type="gramEnd"/>
      <w:r w:rsidRPr="00C64CAB">
        <w:rPr>
          <w:color w:val="222222"/>
          <w:lang w:val="en-US"/>
        </w:rPr>
        <w:t xml:space="preserve"> </w:t>
      </w:r>
      <w:r w:rsidR="00DF78AA" w:rsidRPr="00C64CAB">
        <w:rPr>
          <w:color w:val="222222"/>
          <w:lang w:val="en-US"/>
        </w:rPr>
        <w:t xml:space="preserve">relying upon </w:t>
      </w:r>
      <w:r w:rsidRPr="00C64CAB">
        <w:rPr>
          <w:color w:val="222222"/>
          <w:lang w:val="en-US"/>
        </w:rPr>
        <w:t>the</w:t>
      </w:r>
      <w:r w:rsidR="00800AB5" w:rsidRPr="00C64CAB">
        <w:rPr>
          <w:color w:val="222222"/>
          <w:lang w:val="en-US"/>
        </w:rPr>
        <w:t xml:space="preserve"> </w:t>
      </w:r>
      <w:proofErr w:type="spellStart"/>
      <w:r w:rsidR="00800AB5" w:rsidRPr="00C64CAB">
        <w:rPr>
          <w:color w:val="222222"/>
          <w:lang w:val="en-US"/>
        </w:rPr>
        <w:t>Pa</w:t>
      </w:r>
      <w:r w:rsidRPr="00C64CAB">
        <w:rPr>
          <w:color w:val="222222"/>
          <w:lang w:val="en-US"/>
        </w:rPr>
        <w:t>r</w:t>
      </w:r>
      <w:r w:rsidR="00800AB5" w:rsidRPr="00C64CAB">
        <w:rPr>
          <w:color w:val="222222"/>
          <w:lang w:val="en-US"/>
        </w:rPr>
        <w:t>sis</w:t>
      </w:r>
      <w:proofErr w:type="spellEnd"/>
      <w:r w:rsidRPr="00C64CAB">
        <w:rPr>
          <w:color w:val="222222"/>
          <w:lang w:val="en-US"/>
        </w:rPr>
        <w:t xml:space="preserve"> fundamental right of association</w:t>
      </w:r>
      <w:r w:rsidR="00800AB5" w:rsidRPr="00C64CAB">
        <w:rPr>
          <w:color w:val="222222"/>
          <w:lang w:val="en-US"/>
        </w:rPr>
        <w:t xml:space="preserve"> under Article 19 (1) (c) and </w:t>
      </w:r>
      <w:r w:rsidRPr="00C64CAB">
        <w:rPr>
          <w:color w:val="222222"/>
          <w:lang w:val="en-US"/>
        </w:rPr>
        <w:t>their rights as a minority to preserve their culture,</w:t>
      </w:r>
      <w:r w:rsidR="00800AB5" w:rsidRPr="00C64CAB">
        <w:rPr>
          <w:color w:val="222222"/>
          <w:lang w:val="en-US"/>
        </w:rPr>
        <w:t xml:space="preserve"> </w:t>
      </w:r>
      <w:r w:rsidR="00800AB5" w:rsidRPr="00C64CAB">
        <w:rPr>
          <w:color w:val="222222"/>
        </w:rPr>
        <w:t>th</w:t>
      </w:r>
      <w:r w:rsidRPr="00C64CAB">
        <w:rPr>
          <w:color w:val="222222"/>
        </w:rPr>
        <w:t>is judgment fails to evaluate the "constitutional morality" check on the freedom of association</w:t>
      </w:r>
      <w:r w:rsidR="00DF78AA" w:rsidRPr="00C64CAB">
        <w:rPr>
          <w:color w:val="222222"/>
        </w:rPr>
        <w:t xml:space="preserve"> under Article </w:t>
      </w:r>
      <w:r w:rsidR="00DF78AA" w:rsidRPr="00C64CAB">
        <w:rPr>
          <w:color w:val="222222"/>
        </w:rPr>
        <w:lastRenderedPageBreak/>
        <w:t>19(4) which governs Art 19(1)(c)</w:t>
      </w:r>
      <w:r w:rsidR="00800AB5" w:rsidRPr="00C64CAB">
        <w:rPr>
          <w:color w:val="222222"/>
        </w:rPr>
        <w:t xml:space="preserve">. It also </w:t>
      </w:r>
      <w:r w:rsidRPr="00C64CAB">
        <w:rPr>
          <w:color w:val="222222"/>
        </w:rPr>
        <w:t>ignores Section 23 of The Indian Contract Act</w:t>
      </w:r>
      <w:r w:rsidR="00800AB5" w:rsidRPr="00C64CAB">
        <w:rPr>
          <w:rStyle w:val="FootnoteReference"/>
          <w:color w:val="222222"/>
        </w:rPr>
        <w:footnoteReference w:id="15"/>
      </w:r>
      <w:r w:rsidRPr="00C64CAB">
        <w:rPr>
          <w:color w:val="222222"/>
        </w:rPr>
        <w:t xml:space="preserve">, which </w:t>
      </w:r>
      <w:r w:rsidR="00DF78AA" w:rsidRPr="00C64CAB">
        <w:rPr>
          <w:color w:val="222222"/>
        </w:rPr>
        <w:t xml:space="preserve">bars contracts contrary to public policy. </w:t>
      </w:r>
    </w:p>
    <w:p w14:paraId="36F3BFBB" w14:textId="77777777" w:rsidR="00560484" w:rsidRPr="00C64CAB" w:rsidRDefault="00560484" w:rsidP="00E627A4">
      <w:pPr>
        <w:shd w:val="clear" w:color="auto" w:fill="FFFFFF"/>
        <w:jc w:val="both"/>
        <w:rPr>
          <w:color w:val="222222"/>
        </w:rPr>
      </w:pPr>
    </w:p>
    <w:p w14:paraId="562720A9" w14:textId="1800433F" w:rsidR="00DF78AA" w:rsidRPr="00C64CAB" w:rsidRDefault="00560484" w:rsidP="00E627A4">
      <w:pPr>
        <w:shd w:val="clear" w:color="auto" w:fill="FFFFFF"/>
        <w:jc w:val="both"/>
        <w:rPr>
          <w:color w:val="222222"/>
        </w:rPr>
      </w:pPr>
      <w:r w:rsidRPr="00C64CAB">
        <w:rPr>
          <w:color w:val="222222"/>
        </w:rPr>
        <w:t xml:space="preserve">The Delhi High Court in </w:t>
      </w:r>
      <w:r w:rsidR="00800AB5" w:rsidRPr="00C64CAB">
        <w:rPr>
          <w:color w:val="222222"/>
        </w:rPr>
        <w:t xml:space="preserve">2012, in </w:t>
      </w:r>
      <w:r w:rsidRPr="00C64CAB">
        <w:rPr>
          <w:color w:val="222222"/>
        </w:rPr>
        <w:t>the case </w:t>
      </w:r>
      <w:r w:rsidRPr="00C64CAB">
        <w:rPr>
          <w:color w:val="222222"/>
          <w:lang w:val="en-US"/>
        </w:rPr>
        <w:t xml:space="preserve">Delhi </w:t>
      </w:r>
      <w:proofErr w:type="spellStart"/>
      <w:r w:rsidRPr="00C64CAB">
        <w:rPr>
          <w:color w:val="222222"/>
          <w:lang w:val="en-US"/>
        </w:rPr>
        <w:t>Dayalbagh</w:t>
      </w:r>
      <w:proofErr w:type="spellEnd"/>
      <w:r w:rsidRPr="00C64CAB">
        <w:rPr>
          <w:color w:val="222222"/>
          <w:lang w:val="en-US"/>
        </w:rPr>
        <w:t xml:space="preserve"> Coop</w:t>
      </w:r>
      <w:r w:rsidR="00805B6B" w:rsidRPr="00C64CAB">
        <w:rPr>
          <w:color w:val="222222"/>
          <w:lang w:val="en-US"/>
        </w:rPr>
        <w:t>.</w:t>
      </w:r>
      <w:r w:rsidRPr="00C64CAB">
        <w:rPr>
          <w:color w:val="222222"/>
          <w:lang w:val="en-US"/>
        </w:rPr>
        <w:t xml:space="preserve"> Hou</w:t>
      </w:r>
      <w:r w:rsidR="00805B6B" w:rsidRPr="00C64CAB">
        <w:rPr>
          <w:color w:val="222222"/>
          <w:lang w:val="en-US"/>
        </w:rPr>
        <w:t>se Building Society Ltd</w:t>
      </w:r>
      <w:r w:rsidRPr="00C64CAB">
        <w:rPr>
          <w:color w:val="222222"/>
          <w:lang w:val="en-US"/>
        </w:rPr>
        <w:t xml:space="preserve"> vs. Registrar</w:t>
      </w:r>
      <w:r w:rsidR="00805B6B" w:rsidRPr="00C64CAB">
        <w:rPr>
          <w:rStyle w:val="FootnoteReference"/>
          <w:color w:val="222222"/>
          <w:lang w:val="en-US"/>
        </w:rPr>
        <w:footnoteReference w:id="16"/>
      </w:r>
      <w:r w:rsidR="0068389A">
        <w:rPr>
          <w:color w:val="222222"/>
          <w:lang w:val="en-US"/>
        </w:rPr>
        <w:t xml:space="preserve"> </w:t>
      </w:r>
      <w:r w:rsidRPr="00C64CAB">
        <w:rPr>
          <w:color w:val="222222"/>
          <w:lang w:val="en-US"/>
        </w:rPr>
        <w:t>noted that amended provisions of the Delhi Cooperative Societies Act, 2003, statutorily enforced the principles of open membership and non-discrimination and further held that restrictive covenants on membership were in violation of the Indian Contract Act</w:t>
      </w:r>
      <w:r w:rsidRPr="00C64CAB">
        <w:rPr>
          <w:color w:val="222222"/>
        </w:rPr>
        <w:t> as it is opposed to public policy.</w:t>
      </w:r>
      <w:r w:rsidR="00393C70" w:rsidRPr="00C64CAB">
        <w:rPr>
          <w:color w:val="222222"/>
        </w:rPr>
        <w:t xml:space="preserve"> The </w:t>
      </w:r>
      <w:r w:rsidR="00DF78AA" w:rsidRPr="00C64CAB">
        <w:rPr>
          <w:color w:val="282828"/>
          <w:shd w:val="clear" w:color="auto" w:fill="FFFFFF"/>
        </w:rPr>
        <w:t>Delhi HC observed</w:t>
      </w:r>
      <w:r w:rsidR="00DF78AA" w:rsidRPr="00C64CAB">
        <w:rPr>
          <w:i/>
          <w:iCs/>
          <w:color w:val="282828"/>
          <w:shd w:val="clear" w:color="auto" w:fill="FFFFFF"/>
        </w:rPr>
        <w:t xml:space="preserve"> </w:t>
      </w:r>
    </w:p>
    <w:p w14:paraId="22C6CB85" w14:textId="40BF0F5D" w:rsidR="00560484" w:rsidRDefault="00393C70" w:rsidP="00E627A4">
      <w:pPr>
        <w:shd w:val="clear" w:color="auto" w:fill="FFFFFF"/>
        <w:ind w:left="720"/>
        <w:jc w:val="both"/>
        <w:rPr>
          <w:color w:val="282828"/>
          <w:shd w:val="clear" w:color="auto" w:fill="FFFFFF"/>
        </w:rPr>
      </w:pPr>
      <w:r w:rsidRPr="00C64CAB">
        <w:rPr>
          <w:i/>
          <w:iCs/>
          <w:color w:val="282828"/>
          <w:shd w:val="clear" w:color="auto" w:fill="FFFFFF"/>
        </w:rPr>
        <w:t xml:space="preserve"> </w:t>
      </w:r>
      <w:r w:rsidR="00560484" w:rsidRPr="00C64CAB">
        <w:rPr>
          <w:i/>
          <w:iCs/>
          <w:color w:val="282828"/>
          <w:shd w:val="clear" w:color="auto" w:fill="FFFFFF"/>
        </w:rPr>
        <w:t>“...our country has the benefit of diversity in cultures, religious and social beliefs. It is always said that there is unity in this diversity. However, recently pernicious tendencies have raised their heads raising disputes based on caste, creed, religion, etc.</w:t>
      </w:r>
      <w:r w:rsidR="00DF78AA" w:rsidRPr="00C64CAB">
        <w:rPr>
          <w:i/>
          <w:iCs/>
          <w:color w:val="282828"/>
          <w:shd w:val="clear" w:color="auto" w:fill="FFFFFF"/>
        </w:rPr>
        <w:t xml:space="preserve"> </w:t>
      </w:r>
      <w:r w:rsidR="00560484" w:rsidRPr="00C64CAB">
        <w:rPr>
          <w:i/>
          <w:iCs/>
          <w:color w:val="282828"/>
          <w:shd w:val="clear" w:color="auto" w:fill="FFFFFF"/>
        </w:rPr>
        <w:t>This has resulted at times in tenets of particular religion, caste, sect, affecting intermingling with different sections of the society, which is required for an overall growth of the country. If this kind of reservation for particular sects in matters of residence is permitted, we will be left with cities divided into areas depending on the religion, caste and cultural belief(s) – a wholly undesirable situation.”</w:t>
      </w:r>
      <w:r w:rsidR="00560484" w:rsidRPr="001A617F">
        <w:rPr>
          <w:color w:val="282828"/>
          <w:shd w:val="clear" w:color="auto" w:fill="FFFFFF"/>
        </w:rPr>
        <w:t>(Para 58)</w:t>
      </w:r>
    </w:p>
    <w:p w14:paraId="7CBD3C79" w14:textId="28587436" w:rsidR="00BA027F" w:rsidRPr="00BA027F" w:rsidRDefault="00BA027F" w:rsidP="00BA027F">
      <w:pPr>
        <w:shd w:val="clear" w:color="auto" w:fill="FFFFFF"/>
        <w:jc w:val="both"/>
        <w:rPr>
          <w:color w:val="222222"/>
        </w:rPr>
      </w:pPr>
      <w:r>
        <w:rPr>
          <w:color w:val="282828"/>
          <w:shd w:val="clear" w:color="auto" w:fill="FFFFFF"/>
        </w:rPr>
        <w:t>This judgement was affirmed by the Supreme Court in 2019.</w:t>
      </w:r>
      <w:r>
        <w:rPr>
          <w:rStyle w:val="FootnoteReference"/>
          <w:color w:val="282828"/>
          <w:shd w:val="clear" w:color="auto" w:fill="FFFFFF"/>
        </w:rPr>
        <w:footnoteReference w:id="17"/>
      </w:r>
    </w:p>
    <w:p w14:paraId="3F7A752C" w14:textId="77777777" w:rsidR="00560484" w:rsidRPr="00C64CAB" w:rsidRDefault="00560484" w:rsidP="00E627A4">
      <w:pPr>
        <w:shd w:val="clear" w:color="auto" w:fill="FFFFFF"/>
        <w:jc w:val="both"/>
        <w:rPr>
          <w:color w:val="222222"/>
        </w:rPr>
      </w:pPr>
    </w:p>
    <w:p w14:paraId="57EDFA3D" w14:textId="2B39FFE0" w:rsidR="00560484" w:rsidRPr="00C64CAB" w:rsidRDefault="00800AB5" w:rsidP="00E627A4">
      <w:pPr>
        <w:shd w:val="clear" w:color="auto" w:fill="FFFFFF"/>
        <w:jc w:val="both"/>
        <w:rPr>
          <w:color w:val="222222"/>
        </w:rPr>
      </w:pPr>
      <w:r w:rsidRPr="00C64CAB">
        <w:rPr>
          <w:color w:val="222222"/>
        </w:rPr>
        <w:t>In this context it would be pertinent to note that a</w:t>
      </w:r>
      <w:r w:rsidR="00560484" w:rsidRPr="00C64CAB">
        <w:rPr>
          <w:color w:val="222222"/>
        </w:rPr>
        <w:t>ny assessment of the Constitution which suggests that private transaction qua housing is beyond the scope of the anti</w:t>
      </w:r>
      <w:r w:rsidRPr="00C64CAB">
        <w:rPr>
          <w:color w:val="222222"/>
        </w:rPr>
        <w:t>-</w:t>
      </w:r>
      <w:r w:rsidR="00560484" w:rsidRPr="00C64CAB">
        <w:rPr>
          <w:color w:val="222222"/>
        </w:rPr>
        <w:t>discrimination principle of the Constitution, ignores the constitutional scheme as outlined in Art</w:t>
      </w:r>
      <w:r w:rsidR="00550E27" w:rsidRPr="00C64CAB">
        <w:rPr>
          <w:color w:val="222222"/>
        </w:rPr>
        <w:t>icle</w:t>
      </w:r>
      <w:r w:rsidR="00560484" w:rsidRPr="00C64CAB">
        <w:rPr>
          <w:color w:val="222222"/>
        </w:rPr>
        <w:t xml:space="preserve"> 15(2)</w:t>
      </w:r>
      <w:r w:rsidR="001A617F">
        <w:rPr>
          <w:color w:val="222222"/>
        </w:rPr>
        <w:t>, which provides</w:t>
      </w:r>
    </w:p>
    <w:p w14:paraId="5FA5ED85" w14:textId="5CA8B3F3" w:rsidR="00560484" w:rsidRPr="001A617F" w:rsidRDefault="00560484" w:rsidP="00E627A4">
      <w:pPr>
        <w:shd w:val="clear" w:color="auto" w:fill="FFFFFF"/>
        <w:ind w:left="720"/>
        <w:jc w:val="both"/>
        <w:rPr>
          <w:i/>
          <w:iCs/>
          <w:color w:val="222222"/>
        </w:rPr>
      </w:pPr>
      <w:r w:rsidRPr="001A617F">
        <w:rPr>
          <w:i/>
          <w:iCs/>
          <w:color w:val="000000"/>
          <w:shd w:val="clear" w:color="auto" w:fill="FFFFFF"/>
        </w:rPr>
        <w:lastRenderedPageBreak/>
        <w:t>15 (2)</w:t>
      </w:r>
      <w:r w:rsidR="00800AB5" w:rsidRPr="001A617F">
        <w:rPr>
          <w:i/>
          <w:iCs/>
          <w:color w:val="000000"/>
          <w:shd w:val="clear" w:color="auto" w:fill="FFFFFF"/>
        </w:rPr>
        <w:t xml:space="preserve">: </w:t>
      </w:r>
      <w:r w:rsidRPr="001A617F">
        <w:rPr>
          <w:i/>
          <w:iCs/>
          <w:color w:val="000000"/>
          <w:shd w:val="clear" w:color="auto" w:fill="FFFFFF"/>
        </w:rPr>
        <w:t>No citizen shall, on grounds only of religion, race, caste, sex, place of birth or any of them, be subject to any disability, liability, restriction or condition with regard to</w:t>
      </w:r>
    </w:p>
    <w:p w14:paraId="7B95EEB7" w14:textId="77777777" w:rsidR="00560484" w:rsidRPr="001A617F" w:rsidRDefault="00083D53" w:rsidP="00E627A4">
      <w:pPr>
        <w:shd w:val="clear" w:color="auto" w:fill="FFFFFF"/>
        <w:ind w:left="720"/>
        <w:jc w:val="both"/>
        <w:rPr>
          <w:i/>
          <w:iCs/>
          <w:color w:val="222222"/>
        </w:rPr>
      </w:pPr>
      <w:hyperlink r:id="rId13" w:tgtFrame="_blank" w:history="1">
        <w:r w:rsidR="00560484" w:rsidRPr="001A617F">
          <w:rPr>
            <w:i/>
            <w:iCs/>
            <w:color w:val="000000" w:themeColor="text1"/>
          </w:rPr>
          <w:t>(a)</w:t>
        </w:r>
      </w:hyperlink>
      <w:r w:rsidR="00560484" w:rsidRPr="001A617F">
        <w:rPr>
          <w:i/>
          <w:iCs/>
          <w:color w:val="000000" w:themeColor="text1"/>
        </w:rPr>
        <w:t xml:space="preserve"> access </w:t>
      </w:r>
      <w:r w:rsidR="00560484" w:rsidRPr="001A617F">
        <w:rPr>
          <w:i/>
          <w:iCs/>
          <w:color w:val="000000"/>
        </w:rPr>
        <w:t>to shops, public restaurants, hotels and places of public entertainment</w:t>
      </w:r>
    </w:p>
    <w:p w14:paraId="41F3D5CC" w14:textId="77777777" w:rsidR="00560484" w:rsidRPr="00C64CAB" w:rsidRDefault="00560484" w:rsidP="00E627A4">
      <w:pPr>
        <w:shd w:val="clear" w:color="auto" w:fill="FFFFFF"/>
        <w:jc w:val="both"/>
        <w:rPr>
          <w:color w:val="222222"/>
        </w:rPr>
      </w:pPr>
      <w:r w:rsidRPr="00C64CAB">
        <w:rPr>
          <w:color w:val="222222"/>
        </w:rPr>
        <w:t>This provides an illustrative clue that the Constitution aimed at eliminating all forms of discrimination that perpetuated structural impediments in the daily life of people and communities, and housing is very much a facet of the same.</w:t>
      </w:r>
    </w:p>
    <w:p w14:paraId="445C1898" w14:textId="77777777" w:rsidR="001A617F" w:rsidRDefault="001A617F" w:rsidP="00E627A4">
      <w:pPr>
        <w:shd w:val="clear" w:color="auto" w:fill="FFFFFF"/>
        <w:jc w:val="both"/>
        <w:rPr>
          <w:b/>
          <w:bCs/>
          <w:color w:val="222222"/>
        </w:rPr>
      </w:pPr>
    </w:p>
    <w:p w14:paraId="054EDAC5" w14:textId="1D71AC16" w:rsidR="001A617F" w:rsidRPr="00C64CAB" w:rsidRDefault="001A617F" w:rsidP="00E627A4">
      <w:pPr>
        <w:shd w:val="clear" w:color="auto" w:fill="FFFFFF"/>
        <w:jc w:val="both"/>
        <w:rPr>
          <w:color w:val="222222"/>
        </w:rPr>
      </w:pPr>
      <w:r w:rsidRPr="001A617F">
        <w:rPr>
          <w:color w:val="222222"/>
        </w:rPr>
        <w:t>T</w:t>
      </w:r>
      <w:r w:rsidR="00550E27" w:rsidRPr="00C64CAB">
        <w:rPr>
          <w:color w:val="222222"/>
        </w:rPr>
        <w:t xml:space="preserve">he judicial history of tenancy litigation suggests that Section 23 of the Indian Contract Act has not been invoked to challenge discriminatory or restrictive covenants. </w:t>
      </w:r>
      <w:r w:rsidRPr="00C64CAB">
        <w:rPr>
          <w:color w:val="222222"/>
        </w:rPr>
        <w:t>The lack of litigation is intrinsically connected to  the structural and cultural impediments faced by discriminated groups and communities, which lack the resources to access courts in order to pursue such litigation. The imbalance of power between the propertied class and those seeking rental accommodation is a large factor denying access to justice in such circumstances.</w:t>
      </w:r>
    </w:p>
    <w:p w14:paraId="46F57558" w14:textId="77777777" w:rsidR="001A617F" w:rsidRDefault="001A617F" w:rsidP="00E627A4">
      <w:pPr>
        <w:jc w:val="both"/>
        <w:rPr>
          <w:lang w:val="en-US"/>
        </w:rPr>
      </w:pPr>
    </w:p>
    <w:p w14:paraId="617C6D1B" w14:textId="547FD404" w:rsidR="001A617F" w:rsidRPr="001A617F" w:rsidRDefault="001A617F" w:rsidP="00E627A4">
      <w:pPr>
        <w:jc w:val="both"/>
        <w:rPr>
          <w:lang w:val="en-US"/>
        </w:rPr>
      </w:pPr>
      <w:r w:rsidRPr="001A617F">
        <w:t xml:space="preserve">The argument that the freedom of contract inhibits state interference in a facetious one. </w:t>
      </w:r>
      <w:r w:rsidRPr="001A617F">
        <w:rPr>
          <w:lang w:val="en-US"/>
        </w:rPr>
        <w:t>The State exercises complete control over the domain of housing or and allied activities that are carried out. The home builder cannot, for example, build the house to a specification that is not permitted by municipal laws even though that may be the contractual obligation. Further, municipal laws ban commercial activity in areas designated as residential areas, even though the home buyer and the builder may contractually agree to using the house for commercial purposes. Thus, private contracts remain subject to overarching State laws and public policy, so nothing prevents the State from enforcing a policy of non-discrimination and prohibiting restrictive covenants on membership or ownership.</w:t>
      </w:r>
    </w:p>
    <w:p w14:paraId="6662359F" w14:textId="1AC9F662" w:rsidR="00A17311" w:rsidRPr="00E627A4" w:rsidRDefault="00A17311" w:rsidP="00E627A4">
      <w:pPr>
        <w:shd w:val="clear" w:color="auto" w:fill="FFFFFF"/>
        <w:jc w:val="both"/>
        <w:rPr>
          <w:color w:val="222222"/>
        </w:rPr>
      </w:pPr>
    </w:p>
    <w:p w14:paraId="10DD145E" w14:textId="2958C1AB" w:rsidR="00A17311" w:rsidRPr="00E627A4" w:rsidRDefault="00E627A4" w:rsidP="00E627A4">
      <w:pPr>
        <w:jc w:val="both"/>
        <w:rPr>
          <w:b/>
          <w:bCs/>
          <w:u w:val="single"/>
          <w:lang w:val="en-US"/>
        </w:rPr>
      </w:pPr>
      <w:r w:rsidRPr="00E627A4">
        <w:rPr>
          <w:b/>
          <w:bCs/>
          <w:u w:val="single"/>
          <w:lang w:val="en-US"/>
        </w:rPr>
        <w:t>Weaponization of the law to entrench spatial segregation</w:t>
      </w:r>
    </w:p>
    <w:p w14:paraId="1035CCCA" w14:textId="77777777" w:rsidR="00E627A4" w:rsidRDefault="00E627A4" w:rsidP="00E627A4">
      <w:pPr>
        <w:jc w:val="both"/>
        <w:rPr>
          <w:lang w:val="en-US"/>
        </w:rPr>
      </w:pPr>
    </w:p>
    <w:p w14:paraId="4F1C1192" w14:textId="2C03AF72" w:rsidR="00A17311" w:rsidRPr="00C64CAB" w:rsidRDefault="00800AB5" w:rsidP="00E627A4">
      <w:pPr>
        <w:jc w:val="both"/>
        <w:rPr>
          <w:u w:val="single"/>
          <w:vertAlign w:val="subscript"/>
          <w:lang w:val="en-US"/>
        </w:rPr>
      </w:pPr>
      <w:r w:rsidRPr="00C64CAB">
        <w:rPr>
          <w:lang w:val="en-US"/>
        </w:rPr>
        <w:t xml:space="preserve">An illustration of barriers to equitable access to housing is the </w:t>
      </w:r>
      <w:r w:rsidR="008D1D86">
        <w:rPr>
          <w:lang w:val="en-US"/>
        </w:rPr>
        <w:t xml:space="preserve">instrumental use of </w:t>
      </w:r>
      <w:r w:rsidRPr="00C64CAB">
        <w:rPr>
          <w:lang w:val="en-US"/>
        </w:rPr>
        <w:t>law by the state</w:t>
      </w:r>
      <w:r w:rsidR="008D1D86">
        <w:rPr>
          <w:lang w:val="en-US"/>
        </w:rPr>
        <w:t xml:space="preserve"> to perpetuate segregation</w:t>
      </w:r>
      <w:r w:rsidRPr="00C64CAB">
        <w:rPr>
          <w:lang w:val="en-US"/>
        </w:rPr>
        <w:t xml:space="preserve">. </w:t>
      </w:r>
      <w:r w:rsidR="00A17311" w:rsidRPr="00C64CAB">
        <w:rPr>
          <w:lang w:val="en-US"/>
        </w:rPr>
        <w:t xml:space="preserve">The Gujarat Prohibition of Transfer of Immovable </w:t>
      </w:r>
      <w:r w:rsidR="00A17311" w:rsidRPr="00C64CAB">
        <w:rPr>
          <w:lang w:val="en-US"/>
        </w:rPr>
        <w:lastRenderedPageBreak/>
        <w:t xml:space="preserve">Property and Provision for Protection of Tenants from Eviction from Premises in Disturbed Areas Act, 1991—commonly known as the Disturbed Areas Act, was enacted on the lines of a 1986 Act to address mass inter-area migration of communities, and </w:t>
      </w:r>
      <w:r w:rsidR="00550E27" w:rsidRPr="00C64CAB">
        <w:rPr>
          <w:lang w:val="en-US"/>
        </w:rPr>
        <w:t>check distress</w:t>
      </w:r>
      <w:r w:rsidR="00A17311" w:rsidRPr="00C64CAB">
        <w:rPr>
          <w:lang w:val="en-US"/>
        </w:rPr>
        <w:t xml:space="preserve"> sale of properties in the aftermath of communal riots, particularly the 1985 Ahmedabad riots</w:t>
      </w:r>
      <w:r w:rsidRPr="00C64CAB">
        <w:rPr>
          <w:lang w:val="en-US"/>
        </w:rPr>
        <w:t xml:space="preserve"> of Gujarat</w:t>
      </w:r>
      <w:r w:rsidR="00A17311" w:rsidRPr="00C64CAB">
        <w:rPr>
          <w:lang w:val="en-US"/>
        </w:rPr>
        <w:t>. Property transactions in ‘disturbed areas</w:t>
      </w:r>
      <w:r w:rsidRPr="00C64CAB">
        <w:rPr>
          <w:lang w:val="en-US"/>
        </w:rPr>
        <w:t>’</w:t>
      </w:r>
      <w:r w:rsidR="00A17311" w:rsidRPr="00C64CAB">
        <w:rPr>
          <w:lang w:val="en-US"/>
        </w:rPr>
        <w:t xml:space="preserve"> require the prior consent of the collector. However, the </w:t>
      </w:r>
      <w:r w:rsidRPr="00C64CAB">
        <w:rPr>
          <w:lang w:val="en-US"/>
        </w:rPr>
        <w:t>A</w:t>
      </w:r>
      <w:r w:rsidR="00A17311" w:rsidRPr="00C64CAB">
        <w:rPr>
          <w:lang w:val="en-US"/>
        </w:rPr>
        <w:t xml:space="preserve">ct is now employed to </w:t>
      </w:r>
      <w:r w:rsidR="00550E27" w:rsidRPr="00C64CAB">
        <w:rPr>
          <w:lang w:val="en-US"/>
        </w:rPr>
        <w:t>disincentivize</w:t>
      </w:r>
      <w:r w:rsidR="00A17311" w:rsidRPr="00C64CAB">
        <w:rPr>
          <w:lang w:val="en-US"/>
        </w:rPr>
        <w:t xml:space="preserve"> property transactions between Hindus and Muslims, for which permissions are kept pending and </w:t>
      </w:r>
      <w:r w:rsidRPr="00C64CAB">
        <w:rPr>
          <w:lang w:val="en-US"/>
        </w:rPr>
        <w:t xml:space="preserve">finally </w:t>
      </w:r>
      <w:r w:rsidR="00A17311" w:rsidRPr="00C64CAB">
        <w:rPr>
          <w:lang w:val="en-US"/>
        </w:rPr>
        <w:t>denied. No large</w:t>
      </w:r>
      <w:r w:rsidRPr="00C64CAB">
        <w:rPr>
          <w:lang w:val="en-US"/>
        </w:rPr>
        <w:t>-</w:t>
      </w:r>
      <w:r w:rsidR="00A17311" w:rsidRPr="00C64CAB">
        <w:rPr>
          <w:lang w:val="en-US"/>
        </w:rPr>
        <w:t xml:space="preserve">scale communal riots have occurred in Gujarat since 2002, however in July 2018, the </w:t>
      </w:r>
      <w:r w:rsidRPr="00C64CAB">
        <w:rPr>
          <w:lang w:val="en-US"/>
        </w:rPr>
        <w:t xml:space="preserve">BJP led state </w:t>
      </w:r>
      <w:r w:rsidR="00A17311" w:rsidRPr="00C64CAB">
        <w:rPr>
          <w:lang w:val="en-US"/>
        </w:rPr>
        <w:t xml:space="preserve">government brought 74 new locations under the Act, increasing the number of </w:t>
      </w:r>
      <w:r w:rsidRPr="00C64CAB">
        <w:rPr>
          <w:lang w:val="en-US"/>
        </w:rPr>
        <w:t>‘</w:t>
      </w:r>
      <w:r w:rsidR="00A17311" w:rsidRPr="00C64CAB">
        <w:rPr>
          <w:lang w:val="en-US"/>
        </w:rPr>
        <w:t>disturbed areas</w:t>
      </w:r>
      <w:r w:rsidRPr="00C64CAB">
        <w:rPr>
          <w:lang w:val="en-US"/>
        </w:rPr>
        <w:t>’</w:t>
      </w:r>
      <w:r w:rsidR="00A17311" w:rsidRPr="00C64CAB">
        <w:rPr>
          <w:lang w:val="en-US"/>
        </w:rPr>
        <w:t xml:space="preserve"> to over 700. It has been argued that the Act is employed as a means to maintain demographic control over segregated constituencies. A 2020 Amendment, gives the State Government the power to declare  an area to be a disturbed area on the grounds of (</w:t>
      </w:r>
      <w:proofErr w:type="spellStart"/>
      <w:r w:rsidR="00A17311" w:rsidRPr="00C64CAB">
        <w:rPr>
          <w:lang w:val="en-US"/>
        </w:rPr>
        <w:t>i</w:t>
      </w:r>
      <w:proofErr w:type="spellEnd"/>
      <w:r w:rsidR="00A17311" w:rsidRPr="00C64CAB">
        <w:rPr>
          <w:lang w:val="en-US"/>
        </w:rPr>
        <w:t>) improper clustering of persons; (ii) polarization, and/or (iii) maintenance of demographic equilibrium; and even the mere likelihood of any of the same.</w:t>
      </w:r>
      <w:r w:rsidR="0028409F" w:rsidRPr="00C64CAB">
        <w:rPr>
          <w:rStyle w:val="FootnoteReference"/>
          <w:lang w:val="en-US"/>
        </w:rPr>
        <w:footnoteReference w:id="18"/>
      </w:r>
      <w:r w:rsidR="00A17311" w:rsidRPr="00C64CAB">
        <w:rPr>
          <w:lang w:val="en-US"/>
        </w:rPr>
        <w:t xml:space="preserve"> The clustering of persons with common identity alone is considered proper under S</w:t>
      </w:r>
      <w:r w:rsidRPr="00C64CAB">
        <w:rPr>
          <w:lang w:val="en-US"/>
        </w:rPr>
        <w:t>ec.</w:t>
      </w:r>
      <w:r w:rsidR="00A17311" w:rsidRPr="00C64CAB">
        <w:rPr>
          <w:lang w:val="en-US"/>
        </w:rPr>
        <w:t xml:space="preserve"> 2(d)</w:t>
      </w:r>
      <w:r w:rsidR="0028409F" w:rsidRPr="00C64CAB">
        <w:rPr>
          <w:rStyle w:val="FootnoteReference"/>
          <w:lang w:val="en-US"/>
        </w:rPr>
        <w:footnoteReference w:id="19"/>
      </w:r>
      <w:r w:rsidR="00A17311" w:rsidRPr="00C64CAB">
        <w:rPr>
          <w:lang w:val="en-US"/>
        </w:rPr>
        <w:t>, whereas the opposite</w:t>
      </w:r>
      <w:r w:rsidRPr="00C64CAB">
        <w:rPr>
          <w:lang w:val="en-US"/>
        </w:rPr>
        <w:t>, a mixed populace,</w:t>
      </w:r>
      <w:r w:rsidR="00A17311" w:rsidRPr="00C64CAB">
        <w:rPr>
          <w:lang w:val="en-US"/>
        </w:rPr>
        <w:t xml:space="preserve"> is considered improper. In effect, the </w:t>
      </w:r>
      <w:r w:rsidR="00A17311" w:rsidRPr="00C64CAB">
        <w:rPr>
          <w:lang w:val="en-US"/>
        </w:rPr>
        <w:lastRenderedPageBreak/>
        <w:t xml:space="preserve">Act effectively creates and effectuates enclaves or ghettos </w:t>
      </w:r>
      <w:r w:rsidRPr="00C64CAB">
        <w:rPr>
          <w:lang w:val="en-US"/>
        </w:rPr>
        <w:t xml:space="preserve">populated by a single religious </w:t>
      </w:r>
      <w:r w:rsidR="00550E27" w:rsidRPr="00C64CAB">
        <w:rPr>
          <w:lang w:val="en-US"/>
        </w:rPr>
        <w:t>community and</w:t>
      </w:r>
      <w:r w:rsidR="00A17311" w:rsidRPr="00C64CAB">
        <w:rPr>
          <w:lang w:val="en-US"/>
        </w:rPr>
        <w:t xml:space="preserve"> prohibits any transfer of property that would disturb the said segregation. </w:t>
      </w:r>
      <w:r w:rsidRPr="00C64CAB">
        <w:rPr>
          <w:lang w:val="en-US"/>
        </w:rPr>
        <w:t>Recently on</w:t>
      </w:r>
      <w:r w:rsidR="00550E27" w:rsidRPr="00C64CAB">
        <w:rPr>
          <w:lang w:val="en-US"/>
        </w:rPr>
        <w:t xml:space="preserve"> 20.01.2021, t</w:t>
      </w:r>
      <w:r w:rsidR="00A17311" w:rsidRPr="00C64CAB">
        <w:rPr>
          <w:lang w:val="en-US"/>
        </w:rPr>
        <w:t>he Gujarat H</w:t>
      </w:r>
      <w:r w:rsidRPr="00C64CAB">
        <w:rPr>
          <w:lang w:val="en-US"/>
        </w:rPr>
        <w:t xml:space="preserve">igh </w:t>
      </w:r>
      <w:r w:rsidR="00A17311" w:rsidRPr="00C64CAB">
        <w:rPr>
          <w:lang w:val="en-US"/>
        </w:rPr>
        <w:t>C</w:t>
      </w:r>
      <w:r w:rsidRPr="00C64CAB">
        <w:rPr>
          <w:lang w:val="en-US"/>
        </w:rPr>
        <w:t>ourt</w:t>
      </w:r>
      <w:r w:rsidR="00A17311" w:rsidRPr="00C64CAB">
        <w:rPr>
          <w:lang w:val="en-US"/>
        </w:rPr>
        <w:t xml:space="preserve"> </w:t>
      </w:r>
      <w:r w:rsidR="00550E27" w:rsidRPr="00C64CAB">
        <w:rPr>
          <w:lang w:val="en-US"/>
        </w:rPr>
        <w:t>restrained the State from issuing a notification under the amended provisions, staying the</w:t>
      </w:r>
      <w:r w:rsidR="00A17311" w:rsidRPr="00C64CAB">
        <w:rPr>
          <w:lang w:val="en-US"/>
        </w:rPr>
        <w:t xml:space="preserve"> operation of the Amendment on a P</w:t>
      </w:r>
      <w:r w:rsidR="00550E27" w:rsidRPr="00C64CAB">
        <w:rPr>
          <w:lang w:val="en-US"/>
        </w:rPr>
        <w:t>ublic Interest Litigation</w:t>
      </w:r>
      <w:r w:rsidR="00A17311" w:rsidRPr="00C64CAB">
        <w:rPr>
          <w:lang w:val="en-US"/>
        </w:rPr>
        <w:t xml:space="preserve"> challenging the constitutional vires of the Act</w:t>
      </w:r>
      <w:r w:rsidR="00A17311" w:rsidRPr="00C64CAB">
        <w:rPr>
          <w:vertAlign w:val="subscript"/>
          <w:lang w:val="en-US"/>
        </w:rPr>
        <w:t>.</w:t>
      </w:r>
    </w:p>
    <w:p w14:paraId="1E5C0E95" w14:textId="4CA83BA7" w:rsidR="00DD026A" w:rsidRDefault="00DD026A" w:rsidP="00DD026A">
      <w:pPr>
        <w:jc w:val="both"/>
        <w:rPr>
          <w:color w:val="000000"/>
        </w:rPr>
      </w:pPr>
    </w:p>
    <w:p w14:paraId="7DA018BA" w14:textId="77777777" w:rsidR="00DD026A" w:rsidRPr="00DD026A" w:rsidRDefault="00DD026A" w:rsidP="00DD026A">
      <w:pPr>
        <w:jc w:val="both"/>
        <w:rPr>
          <w:b/>
          <w:bCs/>
          <w:u w:val="single"/>
        </w:rPr>
      </w:pPr>
      <w:r w:rsidRPr="00DD026A">
        <w:rPr>
          <w:b/>
          <w:bCs/>
          <w:u w:val="single"/>
        </w:rPr>
        <w:t>Strengthening</w:t>
      </w:r>
      <w:r>
        <w:rPr>
          <w:b/>
          <w:bCs/>
          <w:u w:val="single"/>
        </w:rPr>
        <w:t xml:space="preserve"> the mandate of</w:t>
      </w:r>
      <w:r w:rsidRPr="00DD026A">
        <w:rPr>
          <w:b/>
          <w:bCs/>
          <w:u w:val="single"/>
        </w:rPr>
        <w:t xml:space="preserve"> National Human Rights Institutions</w:t>
      </w:r>
    </w:p>
    <w:p w14:paraId="6D05411E" w14:textId="79DB40DC" w:rsidR="00DD026A" w:rsidRDefault="00DD026A" w:rsidP="00DD026A">
      <w:pPr>
        <w:jc w:val="both"/>
        <w:rPr>
          <w:lang w:val="en-US"/>
        </w:rPr>
      </w:pPr>
      <w:r w:rsidRPr="00E627A4">
        <w:t>Due to non- compliance with the Paris principles, National Human Rights Institutions  (NHRI</w:t>
      </w:r>
      <w:r w:rsidR="008D1D86">
        <w:t>s</w:t>
      </w:r>
      <w:r w:rsidRPr="00E627A4">
        <w:t>) like</w:t>
      </w:r>
      <w:r w:rsidR="008D1D86">
        <w:t>,</w:t>
      </w:r>
      <w:r w:rsidRPr="00E627A4">
        <w:t xml:space="preserve"> The National Human Rights Commission (NHRC), The National Commission for Scheduled Castes and Scheduled Tribes, National Commission for Women and National Commission for Minorities, lack autonomy and teeth and have failed to provide effective forums to address and redress discrimination and exclusion in adequate housing. Further the powers of these NHRIs are only recommendatory, when approached by victims of discrimination and segregation, these recommendatory powers cannot provide effective remedy to victims. It is essential to strengthen these institutions which </w:t>
      </w:r>
      <w:r w:rsidRPr="00E627A4">
        <w:rPr>
          <w:lang w:val="en-US"/>
        </w:rPr>
        <w:t xml:space="preserve">should conduct audits </w:t>
      </w:r>
      <w:r w:rsidR="008D1D86">
        <w:rPr>
          <w:lang w:val="en-US"/>
        </w:rPr>
        <w:t>and</w:t>
      </w:r>
      <w:r w:rsidRPr="00E627A4">
        <w:rPr>
          <w:lang w:val="en-US"/>
        </w:rPr>
        <w:t xml:space="preserve"> inquire into specific complaints regarding housing discrimination. </w:t>
      </w:r>
    </w:p>
    <w:p w14:paraId="2F6E5E56" w14:textId="3825D512" w:rsidR="00DD026A" w:rsidRDefault="00DD026A" w:rsidP="00DD026A">
      <w:pPr>
        <w:jc w:val="both"/>
        <w:rPr>
          <w:lang w:val="en-US"/>
        </w:rPr>
      </w:pPr>
    </w:p>
    <w:p w14:paraId="2C75FFCF" w14:textId="77777777" w:rsidR="00DD026A" w:rsidRDefault="00DD026A" w:rsidP="00DD026A">
      <w:pPr>
        <w:jc w:val="both"/>
        <w:rPr>
          <w:b/>
          <w:bCs/>
          <w:u w:val="single"/>
          <w:lang w:val="en-US"/>
        </w:rPr>
      </w:pPr>
      <w:r w:rsidRPr="00DD026A">
        <w:rPr>
          <w:b/>
          <w:bCs/>
          <w:u w:val="single"/>
          <w:lang w:val="en-US"/>
        </w:rPr>
        <w:t>RERA: A Positive statutory development</w:t>
      </w:r>
    </w:p>
    <w:p w14:paraId="1E6BE67D" w14:textId="75C5BBF0" w:rsidR="00DD026A" w:rsidRPr="00DD026A" w:rsidRDefault="00DD026A" w:rsidP="00DD026A">
      <w:pPr>
        <w:jc w:val="both"/>
        <w:rPr>
          <w:color w:val="000000"/>
        </w:rPr>
      </w:pPr>
      <w:r w:rsidRPr="0016275B">
        <w:rPr>
          <w:color w:val="000000"/>
        </w:rPr>
        <w:t>RERA can be cited as a positive statutory development where through State intervention spatial segregation is prohibited. State amendments to the RERA Rules have incorporated a declaration in the Rules, that the promoter shall not discriminate on the basis of caste, religion, language, region, sex, marital status, at the time of allotment.</w:t>
      </w:r>
      <w:r w:rsidRPr="00C64CAB">
        <w:rPr>
          <w:rStyle w:val="FootnoteReference"/>
          <w:color w:val="000000"/>
        </w:rPr>
        <w:footnoteReference w:id="20"/>
      </w:r>
      <w:r w:rsidRPr="0016275B">
        <w:rPr>
          <w:color w:val="000000"/>
        </w:rPr>
        <w:t xml:space="preserve"> However, this only covers transactions between builders and home buyers, the obligation is not transferred upon the house owner both in term of rental and future sales. </w:t>
      </w:r>
    </w:p>
    <w:p w14:paraId="777ABD15" w14:textId="77777777" w:rsidR="00DD026A" w:rsidRPr="00E50752" w:rsidRDefault="00DD026A" w:rsidP="00DD026A">
      <w:pPr>
        <w:jc w:val="both"/>
        <w:rPr>
          <w:color w:val="000000"/>
        </w:rPr>
      </w:pPr>
    </w:p>
    <w:p w14:paraId="176D8FEF" w14:textId="39B0FF75" w:rsidR="00DF78AA" w:rsidRPr="00E627A4" w:rsidRDefault="0016275B" w:rsidP="00E627A4">
      <w:pPr>
        <w:jc w:val="both"/>
        <w:rPr>
          <w:b/>
          <w:bCs/>
          <w:u w:val="single"/>
          <w:lang w:val="en-US"/>
        </w:rPr>
      </w:pPr>
      <w:r w:rsidRPr="00E627A4">
        <w:rPr>
          <w:b/>
          <w:bCs/>
          <w:u w:val="single"/>
          <w:lang w:val="en-US"/>
        </w:rPr>
        <w:lastRenderedPageBreak/>
        <w:t xml:space="preserve">Recommendations- </w:t>
      </w:r>
      <w:r w:rsidR="00DF78AA" w:rsidRPr="00E627A4">
        <w:rPr>
          <w:b/>
          <w:bCs/>
          <w:u w:val="single"/>
          <w:lang w:val="en-US"/>
        </w:rPr>
        <w:t>policies and measures to strengthen access to justice and remedies for households and communities facing housing discrimination and spatial segregation</w:t>
      </w:r>
      <w:r w:rsidRPr="00E627A4">
        <w:rPr>
          <w:b/>
          <w:bCs/>
          <w:u w:val="single"/>
          <w:lang w:val="en-US"/>
        </w:rPr>
        <w:t>.</w:t>
      </w:r>
    </w:p>
    <w:p w14:paraId="7868098C" w14:textId="263C1296" w:rsidR="0016275B" w:rsidRDefault="0016275B" w:rsidP="00E627A4">
      <w:pPr>
        <w:jc w:val="both"/>
        <w:rPr>
          <w:b/>
          <w:bCs/>
          <w:lang w:val="en-US"/>
        </w:rPr>
      </w:pPr>
    </w:p>
    <w:p w14:paraId="0AB43F96" w14:textId="77777777" w:rsidR="008D1D86" w:rsidRPr="008D1D86" w:rsidRDefault="008D1D86" w:rsidP="008D1D86">
      <w:pPr>
        <w:pStyle w:val="ListParagraph"/>
        <w:numPr>
          <w:ilvl w:val="0"/>
          <w:numId w:val="9"/>
        </w:numPr>
        <w:jc w:val="both"/>
      </w:pPr>
      <w:r w:rsidRPr="008D1D86">
        <w:t xml:space="preserve">Ms. Leilani Farha, </w:t>
      </w:r>
      <w:r w:rsidR="0016275B" w:rsidRPr="008D1D86">
        <w:t xml:space="preserve">the </w:t>
      </w:r>
      <w:r w:rsidR="00BA027F" w:rsidRPr="008D1D86">
        <w:t xml:space="preserve">former </w:t>
      </w:r>
      <w:r w:rsidR="0016275B" w:rsidRPr="008D1D86">
        <w:t xml:space="preserve">Special Rapporteur on adequate housing, </w:t>
      </w:r>
      <w:r w:rsidRPr="008D1D86">
        <w:t>in her Report</w:t>
      </w:r>
      <w:r w:rsidR="0016275B" w:rsidRPr="008D1D86">
        <w:t xml:space="preserve"> to the Human Rights Council in 2017</w:t>
      </w:r>
      <w:r w:rsidRPr="008D1D86">
        <w:t>,</w:t>
      </w:r>
      <w:r w:rsidR="0016275B" w:rsidRPr="008D1D86">
        <w:t xml:space="preserve"> after her mission to India in April 2016</w:t>
      </w:r>
      <w:r w:rsidRPr="008D1D86">
        <w:t xml:space="preserve">, emphasized </w:t>
      </w:r>
      <w:r w:rsidR="0016275B" w:rsidRPr="008D1D86">
        <w:t xml:space="preserve">that </w:t>
      </w:r>
      <w:r w:rsidR="0016275B" w:rsidRPr="008D1D86">
        <w:rPr>
          <w:i/>
          <w:iCs/>
        </w:rPr>
        <w:t>“it is time for India to adopt national housing legislation based in both its national and international human rights commitments”</w:t>
      </w:r>
      <w:r w:rsidR="0016275B" w:rsidRPr="008D1D86">
        <w:t xml:space="preserve">, her report noted that </w:t>
      </w:r>
      <w:r w:rsidR="0016275B" w:rsidRPr="008D1D86">
        <w:rPr>
          <w:i/>
          <w:iCs/>
        </w:rPr>
        <w:t>“the existing schemes seem to emphasize and focus primarily on homeownership as the key housing model to respond to the current needs of India. However, even when well regulated, that model may be ill-suited to ensuring adequate housing for those most in need, including women, religious minorities, and scheduled castes and scheduled tribes</w:t>
      </w:r>
      <w:r w:rsidR="0016275B" w:rsidRPr="008D1D86">
        <w:t xml:space="preserve">”. </w:t>
      </w:r>
    </w:p>
    <w:p w14:paraId="4C34AA4E" w14:textId="27A5477D" w:rsidR="0016275B" w:rsidRPr="00E627A4" w:rsidRDefault="0016275B" w:rsidP="008D1D86">
      <w:pPr>
        <w:ind w:left="720"/>
        <w:jc w:val="both"/>
        <w:rPr>
          <w:lang w:val="en-US"/>
        </w:rPr>
      </w:pPr>
      <w:r w:rsidRPr="00E627A4">
        <w:rPr>
          <w:lang w:val="en-US"/>
        </w:rPr>
        <w:t>The report contained the following recommendations, “</w:t>
      </w:r>
      <w:r w:rsidRPr="00E627A4">
        <w:rPr>
          <w:i/>
          <w:iCs/>
          <w:lang w:val="en-US"/>
        </w:rPr>
        <w:t>Enact legislation to curb all forms and practices of de facto housing discrimination against any individuals or groups, in particular religious and ethnic minorities, women, scheduled castes and scheduled tribes, internal migrants and manual scavengers in relation to their right to housing. Enhance monitoring and protection against discrimination in relation to rental accommodation, access to credit, inheritance and ownership.”</w:t>
      </w:r>
      <w:r w:rsidRPr="00E627A4">
        <w:rPr>
          <w:rStyle w:val="FootnoteReference"/>
          <w:lang w:val="en-US"/>
        </w:rPr>
        <w:footnoteReference w:id="21"/>
      </w:r>
    </w:p>
    <w:p w14:paraId="6A0B4C9E" w14:textId="4E873572" w:rsidR="0016275B" w:rsidRPr="00E627A4" w:rsidRDefault="0016275B" w:rsidP="00E627A4">
      <w:pPr>
        <w:jc w:val="both"/>
        <w:rPr>
          <w:lang w:val="en-US"/>
        </w:rPr>
      </w:pPr>
    </w:p>
    <w:p w14:paraId="40260148" w14:textId="5C2BE10C" w:rsidR="00BA027F" w:rsidRPr="00C64CAB" w:rsidRDefault="008D1D86" w:rsidP="008D1D86">
      <w:pPr>
        <w:pStyle w:val="ListParagraph"/>
        <w:numPr>
          <w:ilvl w:val="0"/>
          <w:numId w:val="9"/>
        </w:numPr>
        <w:jc w:val="both"/>
      </w:pPr>
      <w:r w:rsidRPr="008D1D86">
        <w:rPr>
          <w:b/>
          <w:bCs/>
        </w:rPr>
        <w:t>Amend RERA</w:t>
      </w:r>
      <w:r>
        <w:t xml:space="preserve">: </w:t>
      </w:r>
      <w:r w:rsidR="0016275B" w:rsidRPr="008D1D86">
        <w:t xml:space="preserve">It is essential that the state amends existing legislation on housing to introduce anti-discriminatory provisions. </w:t>
      </w:r>
      <w:r w:rsidR="00BA027F" w:rsidRPr="00C64CAB">
        <w:t xml:space="preserve">The Real Estate (Regulation  and Development) Act, 2016, The Rent Control Act, 1948 </w:t>
      </w:r>
      <w:r w:rsidR="00BA027F">
        <w:t xml:space="preserve">must include provisions </w:t>
      </w:r>
      <w:r w:rsidR="00BA027F" w:rsidRPr="00C64CAB">
        <w:t xml:space="preserve">that </w:t>
      </w:r>
      <w:r w:rsidR="00BA027F" w:rsidRPr="00C64CAB">
        <w:lastRenderedPageBreak/>
        <w:t xml:space="preserve">would impose on landlords and private owners’ duties of non-discrimination towards home seekers, making it possible for individuals to access tribunals and courts on facing denial of housing. </w:t>
      </w:r>
    </w:p>
    <w:p w14:paraId="44E2EC21" w14:textId="77777777" w:rsidR="00DD026A" w:rsidRDefault="00DD026A" w:rsidP="00E627A4">
      <w:pPr>
        <w:jc w:val="both"/>
        <w:rPr>
          <w:color w:val="000000"/>
        </w:rPr>
      </w:pPr>
    </w:p>
    <w:p w14:paraId="69121E3F" w14:textId="0DF71D4E" w:rsidR="00E50752" w:rsidRPr="008D1D86" w:rsidRDefault="008D1D86" w:rsidP="008D1D86">
      <w:pPr>
        <w:pStyle w:val="ListParagraph"/>
        <w:numPr>
          <w:ilvl w:val="0"/>
          <w:numId w:val="9"/>
        </w:numPr>
        <w:jc w:val="both"/>
      </w:pPr>
      <w:r w:rsidRPr="008D1D86">
        <w:rPr>
          <w:b/>
          <w:bCs/>
        </w:rPr>
        <w:t>Enact Anti-Discrimination and Equality Law</w:t>
      </w:r>
      <w:r>
        <w:t xml:space="preserve">: </w:t>
      </w:r>
      <w:r w:rsidR="00E50752" w:rsidRPr="008D1D86">
        <w:t xml:space="preserve">In addition to strengthening existing legislation, </w:t>
      </w:r>
      <w:r w:rsidR="00E50752" w:rsidRPr="00E627A4">
        <w:t xml:space="preserve">it is crucial that India enacts a comprehensive law against private discrimination that tackles both direct and indirect discrimination in access to economic transactions and services of a public character, applicable to private individuals, housing societies and resident welfare associations. </w:t>
      </w:r>
      <w:r w:rsidR="00E50752" w:rsidRPr="008D1D86">
        <w:t>A private members bill, the</w:t>
      </w:r>
      <w:r w:rsidR="00E627A4" w:rsidRPr="008D1D86">
        <w:t xml:space="preserve"> </w:t>
      </w:r>
      <w:r w:rsidR="00E50752" w:rsidRPr="008D1D86">
        <w:t>Anti-Discrimination and Equality Bill was tabled in Parliament in 2016</w:t>
      </w:r>
      <w:r w:rsidR="00E50752" w:rsidRPr="00E627A4">
        <w:rPr>
          <w:rStyle w:val="FootnoteReference"/>
        </w:rPr>
        <w:footnoteReference w:id="22"/>
      </w:r>
      <w:r w:rsidR="00E50752" w:rsidRPr="008D1D86">
        <w:t xml:space="preserve"> by Shashi Tharoor and the Centre for law and Policy Research drafted The Equality Bill in 2021</w:t>
      </w:r>
      <w:r w:rsidR="00E50752" w:rsidRPr="00E627A4">
        <w:rPr>
          <w:rStyle w:val="FootnoteReference"/>
        </w:rPr>
        <w:footnoteReference w:id="23"/>
      </w:r>
      <w:r w:rsidR="00E50752" w:rsidRPr="008D1D86">
        <w:t xml:space="preserve">. These bills define ‘protected characteristics’, direct, indirect and intersectional discrimination. They also provide for the setting up of Equality Commissions to ensure diversification. </w:t>
      </w:r>
    </w:p>
    <w:p w14:paraId="39959B09" w14:textId="3B6980FC" w:rsidR="00DD026A" w:rsidRDefault="00DD026A" w:rsidP="00E627A4">
      <w:pPr>
        <w:jc w:val="both"/>
        <w:rPr>
          <w:lang w:val="en-US"/>
        </w:rPr>
      </w:pPr>
    </w:p>
    <w:p w14:paraId="097E2C80" w14:textId="487DF31B" w:rsidR="00DD026A" w:rsidRDefault="00DD026A" w:rsidP="008D1D86">
      <w:pPr>
        <w:ind w:left="720"/>
        <w:jc w:val="both"/>
        <w:rPr>
          <w:lang w:val="en-US"/>
        </w:rPr>
      </w:pPr>
      <w:r w:rsidRPr="00E627A4">
        <w:rPr>
          <w:lang w:val="en-US"/>
        </w:rPr>
        <w:t xml:space="preserve">Such a law must also bar the inclusion of restrictions on lifestyle, dietary habits in rent agreements, which are indirect forms of discrimination against women, religious and regional minorities and Scheduled Castes and Tribes. </w:t>
      </w:r>
    </w:p>
    <w:p w14:paraId="22E42D06" w14:textId="26A00D55" w:rsidR="00DD026A" w:rsidRDefault="00DD026A" w:rsidP="00DD026A">
      <w:pPr>
        <w:jc w:val="both"/>
        <w:rPr>
          <w:lang w:val="en-US"/>
        </w:rPr>
      </w:pPr>
    </w:p>
    <w:p w14:paraId="652C3AA9" w14:textId="01F9D1B0" w:rsidR="00DD026A" w:rsidRPr="008D1D86" w:rsidRDefault="00DD026A" w:rsidP="008D1D86">
      <w:pPr>
        <w:pStyle w:val="ListParagraph"/>
        <w:numPr>
          <w:ilvl w:val="0"/>
          <w:numId w:val="9"/>
        </w:numPr>
        <w:jc w:val="both"/>
        <w:rPr>
          <w:b/>
          <w:bCs/>
        </w:rPr>
      </w:pPr>
      <w:r w:rsidRPr="008D1D86">
        <w:rPr>
          <w:b/>
          <w:bCs/>
        </w:rPr>
        <w:t>Sachar Committee Report: Incentives for Mixed residence</w:t>
      </w:r>
    </w:p>
    <w:p w14:paraId="2EC9A8BF" w14:textId="18AFC199" w:rsidR="00DD026A" w:rsidRDefault="00DD026A" w:rsidP="008D1D86">
      <w:pPr>
        <w:ind w:left="720"/>
        <w:jc w:val="both"/>
      </w:pPr>
      <w:r w:rsidRPr="00E627A4">
        <w:t>A P</w:t>
      </w:r>
      <w:r w:rsidR="008D1D86">
        <w:t xml:space="preserve">rime </w:t>
      </w:r>
      <w:r w:rsidRPr="00E627A4">
        <w:t>M</w:t>
      </w:r>
      <w:r w:rsidR="008D1D86">
        <w:t>inster</w:t>
      </w:r>
      <w:r w:rsidRPr="00E627A4">
        <w:t xml:space="preserve"> High Level Committee- the </w:t>
      </w:r>
      <w:r w:rsidR="008D1D86">
        <w:t xml:space="preserve">Justice R. </w:t>
      </w:r>
      <w:r w:rsidRPr="00E627A4">
        <w:t xml:space="preserve">Sachar Committee in its 2006 report on the social and economic status of Muslims in India recommended </w:t>
      </w:r>
      <w:r w:rsidRPr="00E627A4">
        <w:lastRenderedPageBreak/>
        <w:t>linking incentives to diversity indicators, presented to builders for promoting diverse resident populations, composite living spaces.</w:t>
      </w:r>
      <w:r w:rsidRPr="00E627A4">
        <w:rPr>
          <w:rStyle w:val="FootnoteReference"/>
        </w:rPr>
        <w:footnoteReference w:id="24"/>
      </w:r>
      <w:r w:rsidRPr="00E627A4">
        <w:t>Additionally, State sponsored incentives for mixed residence in co-operative housing, renting should be considered.</w:t>
      </w:r>
    </w:p>
    <w:p w14:paraId="062546F5" w14:textId="5F1FEA29" w:rsidR="00DD026A" w:rsidRPr="008D1D86" w:rsidRDefault="00DD026A" w:rsidP="00DD026A">
      <w:pPr>
        <w:jc w:val="both"/>
      </w:pPr>
    </w:p>
    <w:p w14:paraId="666719D5" w14:textId="67BA4B63" w:rsidR="00DD026A" w:rsidRPr="008D1D86" w:rsidRDefault="00DD026A" w:rsidP="008D1D86">
      <w:pPr>
        <w:pStyle w:val="ListParagraph"/>
        <w:numPr>
          <w:ilvl w:val="0"/>
          <w:numId w:val="9"/>
        </w:numPr>
        <w:jc w:val="both"/>
      </w:pPr>
      <w:r w:rsidRPr="008D1D86">
        <w:rPr>
          <w:b/>
          <w:bCs/>
        </w:rPr>
        <w:t>Smart Cities Mission</w:t>
      </w:r>
      <w:r w:rsidR="008D1D86">
        <w:t xml:space="preserve">: </w:t>
      </w:r>
      <w:r w:rsidRPr="008D1D86">
        <w:t>state intervention to promote de-segregation</w:t>
      </w:r>
    </w:p>
    <w:p w14:paraId="702601C7" w14:textId="507276AD" w:rsidR="00DD026A" w:rsidRPr="00E627A4" w:rsidRDefault="00DD026A" w:rsidP="008D1D86">
      <w:pPr>
        <w:ind w:left="720"/>
        <w:jc w:val="both"/>
        <w:rPr>
          <w:color w:val="222222"/>
          <w:shd w:val="clear" w:color="auto" w:fill="FFFFFF"/>
        </w:rPr>
      </w:pPr>
      <w:r w:rsidRPr="00E627A4">
        <w:rPr>
          <w:lang w:val="en-US"/>
        </w:rPr>
        <w:t>State intervention to provide housing and rental accommodation must be</w:t>
      </w:r>
      <w:r>
        <w:rPr>
          <w:lang w:val="en-US"/>
        </w:rPr>
        <w:t xml:space="preserve"> considered </w:t>
      </w:r>
      <w:proofErr w:type="gramStart"/>
      <w:r>
        <w:rPr>
          <w:lang w:val="en-US"/>
        </w:rPr>
        <w:t xml:space="preserve">and </w:t>
      </w:r>
      <w:r w:rsidRPr="00E627A4">
        <w:rPr>
          <w:lang w:val="en-US"/>
        </w:rPr>
        <w:t xml:space="preserve"> </w:t>
      </w:r>
      <w:r>
        <w:rPr>
          <w:lang w:val="en-US"/>
        </w:rPr>
        <w:t>organized</w:t>
      </w:r>
      <w:proofErr w:type="gramEnd"/>
      <w:r w:rsidRPr="00E627A4">
        <w:rPr>
          <w:lang w:val="en-US"/>
        </w:rPr>
        <w:t xml:space="preserve"> in a manner that</w:t>
      </w:r>
      <w:r>
        <w:rPr>
          <w:lang w:val="en-US"/>
        </w:rPr>
        <w:t xml:space="preserve"> reduces spatial discrimination</w:t>
      </w:r>
      <w:r w:rsidRPr="00E627A4">
        <w:rPr>
          <w:lang w:val="en-US"/>
        </w:rPr>
        <w:t xml:space="preserve">. These interventions are essential when implementing </w:t>
      </w:r>
      <w:r>
        <w:rPr>
          <w:lang w:val="en-US"/>
        </w:rPr>
        <w:t xml:space="preserve">schemes </w:t>
      </w:r>
      <w:r w:rsidRPr="00E627A4">
        <w:rPr>
          <w:lang w:val="en-US"/>
        </w:rPr>
        <w:t xml:space="preserve">to allot land to Dalit families </w:t>
      </w:r>
      <w:r>
        <w:rPr>
          <w:lang w:val="en-US"/>
        </w:rPr>
        <w:t xml:space="preserve">to ensure </w:t>
      </w:r>
      <w:r w:rsidRPr="00E627A4">
        <w:rPr>
          <w:lang w:val="en-US"/>
        </w:rPr>
        <w:t xml:space="preserve">that such schemes do not create Dalit only localities. The </w:t>
      </w:r>
      <w:r w:rsidRPr="00E627A4">
        <w:t>Smart Cities Mission was launched by the GOI in 2015 to create 100 ‘smart cities’. A study of 60 smart city proposals by HLRN reveals that only Mangalore (Karnataka) proposed to specifically encourage housing communities for mixed socio-economic groups.</w:t>
      </w:r>
      <w:r w:rsidRPr="00E627A4">
        <w:rPr>
          <w:rStyle w:val="FootnoteReference"/>
        </w:rPr>
        <w:footnoteReference w:id="25"/>
      </w:r>
      <w:r w:rsidRPr="00E627A4">
        <w:t xml:space="preserve"> Divided cities cannot be smart cities. </w:t>
      </w:r>
      <w:r>
        <w:rPr>
          <w:color w:val="222222"/>
          <w:shd w:val="clear" w:color="auto" w:fill="FFFFFF"/>
        </w:rPr>
        <w:t>I</w:t>
      </w:r>
      <w:r w:rsidRPr="00E627A4">
        <w:rPr>
          <w:color w:val="222222"/>
          <w:shd w:val="clear" w:color="auto" w:fill="FFFFFF"/>
        </w:rPr>
        <w:t xml:space="preserve">t is </w:t>
      </w:r>
      <w:r w:rsidR="008D1D86">
        <w:rPr>
          <w:color w:val="222222"/>
          <w:shd w:val="clear" w:color="auto" w:fill="FFFFFF"/>
        </w:rPr>
        <w:t xml:space="preserve">imperative </w:t>
      </w:r>
      <w:r w:rsidRPr="00E627A4">
        <w:rPr>
          <w:color w:val="222222"/>
          <w:shd w:val="clear" w:color="auto" w:fill="FFFFFF"/>
        </w:rPr>
        <w:t>for national and state housing policies like the </w:t>
      </w:r>
      <w:r w:rsidRPr="00E627A4">
        <w:rPr>
          <w:color w:val="222222"/>
        </w:rPr>
        <w:t>Smart Cities Mission</w:t>
      </w:r>
      <w:r w:rsidR="008D1D86">
        <w:rPr>
          <w:color w:val="222222"/>
        </w:rPr>
        <w:t>,</w:t>
      </w:r>
      <w:r w:rsidRPr="00E627A4">
        <w:rPr>
          <w:color w:val="222222"/>
          <w:shd w:val="clear" w:color="auto" w:fill="FFFFFF"/>
        </w:rPr>
        <w:t> to promotes de-segregation and mixed housing.  </w:t>
      </w:r>
    </w:p>
    <w:p w14:paraId="3C58381D" w14:textId="45F06FEA" w:rsidR="00E50752" w:rsidRDefault="00E50752" w:rsidP="00E627A4">
      <w:pPr>
        <w:jc w:val="both"/>
      </w:pPr>
    </w:p>
    <w:p w14:paraId="2366F294" w14:textId="77777777" w:rsidR="00560484" w:rsidRPr="00C64CAB" w:rsidRDefault="00560484" w:rsidP="00E627A4">
      <w:pPr>
        <w:jc w:val="both"/>
        <w:rPr>
          <w:vertAlign w:val="subscript"/>
          <w:lang w:val="en-US"/>
        </w:rPr>
      </w:pPr>
    </w:p>
    <w:sectPr w:rsidR="00560484" w:rsidRPr="00C64CAB">
      <w:headerReference w:type="default" r:id="rId14"/>
      <w:footerReference w:type="even"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B7E20D" w14:textId="77777777" w:rsidR="00081726" w:rsidRDefault="00081726" w:rsidP="00560484">
      <w:r>
        <w:separator/>
      </w:r>
    </w:p>
  </w:endnote>
  <w:endnote w:type="continuationSeparator" w:id="0">
    <w:p w14:paraId="637DAE8D" w14:textId="77777777" w:rsidR="00081726" w:rsidRDefault="00081726" w:rsidP="00560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676694140"/>
      <w:docPartObj>
        <w:docPartGallery w:val="Page Numbers (Bottom of Page)"/>
        <w:docPartUnique/>
      </w:docPartObj>
    </w:sdtPr>
    <w:sdtEndPr>
      <w:rPr>
        <w:rStyle w:val="PageNumber"/>
      </w:rPr>
    </w:sdtEndPr>
    <w:sdtContent>
      <w:p w14:paraId="38519E32" w14:textId="4FEEB88C" w:rsidR="00A17311" w:rsidRDefault="00A17311" w:rsidP="0050092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932079" w14:textId="77777777" w:rsidR="00A17311" w:rsidRDefault="00A17311" w:rsidP="00A1731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360240455"/>
      <w:docPartObj>
        <w:docPartGallery w:val="Page Numbers (Bottom of Page)"/>
        <w:docPartUnique/>
      </w:docPartObj>
    </w:sdtPr>
    <w:sdtEndPr>
      <w:rPr>
        <w:rStyle w:val="PageNumber"/>
      </w:rPr>
    </w:sdtEndPr>
    <w:sdtContent>
      <w:p w14:paraId="1BAB86AF" w14:textId="675AC648" w:rsidR="00A17311" w:rsidRDefault="00A17311" w:rsidP="0050092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83D53">
          <w:rPr>
            <w:rStyle w:val="PageNumber"/>
            <w:noProof/>
          </w:rPr>
          <w:t>1</w:t>
        </w:r>
        <w:r>
          <w:rPr>
            <w:rStyle w:val="PageNumber"/>
          </w:rPr>
          <w:fldChar w:fldCharType="end"/>
        </w:r>
      </w:p>
    </w:sdtContent>
  </w:sdt>
  <w:p w14:paraId="5DF5041C" w14:textId="77777777" w:rsidR="00A17311" w:rsidRDefault="00A17311" w:rsidP="00A1731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AFA6B9" w14:textId="77777777" w:rsidR="00081726" w:rsidRDefault="00081726" w:rsidP="00560484">
      <w:r>
        <w:separator/>
      </w:r>
    </w:p>
  </w:footnote>
  <w:footnote w:type="continuationSeparator" w:id="0">
    <w:p w14:paraId="3F269A41" w14:textId="77777777" w:rsidR="00081726" w:rsidRDefault="00081726" w:rsidP="00560484">
      <w:r>
        <w:continuationSeparator/>
      </w:r>
    </w:p>
  </w:footnote>
  <w:footnote w:id="1">
    <w:p w14:paraId="134550FC" w14:textId="51FFC18A" w:rsidR="00A17311" w:rsidRPr="00C64CAB" w:rsidRDefault="00A17311" w:rsidP="00C64CAB">
      <w:pPr>
        <w:pStyle w:val="FootnoteText"/>
        <w:contextualSpacing/>
        <w:rPr>
          <w:lang w:val="en-US"/>
        </w:rPr>
      </w:pPr>
      <w:r w:rsidRPr="00C64CAB">
        <w:rPr>
          <w:rStyle w:val="FootnoteReference"/>
        </w:rPr>
        <w:footnoteRef/>
      </w:r>
      <w:r w:rsidRPr="00C64CAB">
        <w:t xml:space="preserve"> </w:t>
      </w:r>
      <w:r w:rsidR="00AA4E7B" w:rsidRPr="00C64CAB">
        <w:t xml:space="preserve">Ambedkar, B R (1948): </w:t>
      </w:r>
      <w:r w:rsidR="000A7A9F" w:rsidRPr="00C64CAB">
        <w:t>T</w:t>
      </w:r>
      <w:r w:rsidR="00AA4E7B" w:rsidRPr="00C64CAB">
        <w:t>he Untouchables:  Who Were They and Why They Became Untouchables?</w:t>
      </w:r>
    </w:p>
  </w:footnote>
  <w:footnote w:id="2">
    <w:p w14:paraId="22A476E8" w14:textId="1D379767" w:rsidR="000A7A9F" w:rsidRDefault="000A7A9F" w:rsidP="00C64CAB">
      <w:pPr>
        <w:pStyle w:val="FootnoteText"/>
        <w:contextualSpacing/>
      </w:pPr>
      <w:r w:rsidRPr="00C64CAB">
        <w:rPr>
          <w:rStyle w:val="FootnoteReference"/>
        </w:rPr>
        <w:footnoteRef/>
      </w:r>
      <w:r w:rsidRPr="00C64CAB">
        <w:t xml:space="preserve"> </w:t>
      </w:r>
      <w:proofErr w:type="spellStart"/>
      <w:r w:rsidR="0016275B">
        <w:t>Bharathi</w:t>
      </w:r>
      <w:proofErr w:type="spellEnd"/>
      <w:r w:rsidR="0016275B">
        <w:t xml:space="preserve">, Naveen, Deepak </w:t>
      </w:r>
      <w:proofErr w:type="spellStart"/>
      <w:r w:rsidR="0016275B">
        <w:t>Malghan</w:t>
      </w:r>
      <w:proofErr w:type="spellEnd"/>
      <w:r w:rsidR="0016275B">
        <w:t xml:space="preserve">, </w:t>
      </w:r>
      <w:proofErr w:type="spellStart"/>
      <w:r w:rsidR="0016275B">
        <w:t>Andaleeb</w:t>
      </w:r>
      <w:proofErr w:type="spellEnd"/>
      <w:r w:rsidR="0016275B">
        <w:t xml:space="preserve"> Rahman. “Neighbourhood-scale residential Segregation in Indian Metros.” </w:t>
      </w:r>
      <w:r w:rsidR="0016275B" w:rsidRPr="0016275B">
        <w:rPr>
          <w:i/>
          <w:iCs/>
        </w:rPr>
        <w:t>Economic and Political Weekly 54,</w:t>
      </w:r>
      <w:r w:rsidR="0016275B">
        <w:t xml:space="preserve"> no. 30 (2019)</w:t>
      </w:r>
    </w:p>
    <w:p w14:paraId="78B801DD" w14:textId="302BE2F5" w:rsidR="0016275B" w:rsidRPr="00C64CAB" w:rsidRDefault="0016275B" w:rsidP="00C64CAB">
      <w:pPr>
        <w:pStyle w:val="FootnoteText"/>
        <w:contextualSpacing/>
        <w:rPr>
          <w:lang w:val="en-US"/>
        </w:rPr>
      </w:pPr>
      <w:r w:rsidRPr="0016275B">
        <w:rPr>
          <w:lang w:val="en-US"/>
        </w:rPr>
        <w:t>https://www.epw.in/journal/2019/30/notes/neighbourhood-scale-residential-segregation-indian.html</w:t>
      </w:r>
    </w:p>
  </w:footnote>
  <w:footnote w:id="3">
    <w:p w14:paraId="0C8AF447" w14:textId="3A6CF242" w:rsidR="00916CFA" w:rsidRPr="00C64CAB" w:rsidRDefault="00916CFA" w:rsidP="00C64CAB">
      <w:pPr>
        <w:pStyle w:val="FootnoteText"/>
        <w:contextualSpacing/>
      </w:pPr>
      <w:r w:rsidRPr="00C64CAB">
        <w:rPr>
          <w:rStyle w:val="FootnoteReference"/>
        </w:rPr>
        <w:footnoteRef/>
      </w:r>
      <w:r w:rsidRPr="00C64CAB">
        <w:t xml:space="preserve"> </w:t>
      </w:r>
      <w:proofErr w:type="spellStart"/>
      <w:r w:rsidRPr="00C64CAB">
        <w:t>Falvia</w:t>
      </w:r>
      <w:proofErr w:type="spellEnd"/>
      <w:r w:rsidRPr="00C64CAB">
        <w:t xml:space="preserve"> Lopes. “A Year After Delhi Riots, Muslim Families Are Selling Homes and Moving Out.” </w:t>
      </w:r>
      <w:r w:rsidRPr="0016275B">
        <w:rPr>
          <w:i/>
          <w:iCs/>
        </w:rPr>
        <w:t>The Wire,</w:t>
      </w:r>
      <w:r w:rsidRPr="00C64CAB">
        <w:t xml:space="preserve"> April 7, 2021,</w:t>
      </w:r>
    </w:p>
    <w:p w14:paraId="1460F837" w14:textId="2CCEBE46" w:rsidR="00916CFA" w:rsidRPr="00C64CAB" w:rsidRDefault="00916CFA" w:rsidP="00C64CAB">
      <w:pPr>
        <w:pStyle w:val="FootnoteText"/>
        <w:contextualSpacing/>
        <w:rPr>
          <w:lang w:val="en-US"/>
        </w:rPr>
      </w:pPr>
      <w:r w:rsidRPr="00C64CAB">
        <w:rPr>
          <w:lang w:val="en-US"/>
        </w:rPr>
        <w:t>https://thewire.in/communalism/a-year-after-delhi-riots-muslim-families-are-selling-homes-and-moving-out</w:t>
      </w:r>
    </w:p>
  </w:footnote>
  <w:footnote w:id="4">
    <w:p w14:paraId="56C29A8C" w14:textId="4D5ACBB0" w:rsidR="00916CFA" w:rsidRDefault="00916CFA" w:rsidP="00C64CAB">
      <w:pPr>
        <w:contextualSpacing/>
        <w:rPr>
          <w:color w:val="222222"/>
          <w:sz w:val="20"/>
          <w:szCs w:val="20"/>
          <w:shd w:val="clear" w:color="auto" w:fill="FFFFFF"/>
        </w:rPr>
      </w:pPr>
      <w:r w:rsidRPr="00C64CAB">
        <w:rPr>
          <w:rStyle w:val="FootnoteReference"/>
          <w:sz w:val="20"/>
          <w:szCs w:val="20"/>
        </w:rPr>
        <w:footnoteRef/>
      </w:r>
      <w:r w:rsidRPr="00C64CAB">
        <w:rPr>
          <w:sz w:val="20"/>
          <w:szCs w:val="20"/>
        </w:rPr>
        <w:t xml:space="preserve"> </w:t>
      </w:r>
      <w:proofErr w:type="spellStart"/>
      <w:r w:rsidR="005309FB" w:rsidRPr="00C64CAB">
        <w:rPr>
          <w:color w:val="222222"/>
          <w:sz w:val="20"/>
          <w:szCs w:val="20"/>
          <w:shd w:val="clear" w:color="auto" w:fill="FFFFFF"/>
        </w:rPr>
        <w:t>Mander</w:t>
      </w:r>
      <w:proofErr w:type="spellEnd"/>
      <w:r w:rsidR="005309FB" w:rsidRPr="00C64CAB">
        <w:rPr>
          <w:color w:val="222222"/>
          <w:sz w:val="20"/>
          <w:szCs w:val="20"/>
          <w:shd w:val="clear" w:color="auto" w:fill="FFFFFF"/>
        </w:rPr>
        <w:t xml:space="preserve">, Harsh, </w:t>
      </w:r>
      <w:proofErr w:type="spellStart"/>
      <w:r w:rsidR="005309FB" w:rsidRPr="00C64CAB">
        <w:rPr>
          <w:color w:val="222222"/>
          <w:sz w:val="20"/>
          <w:szCs w:val="20"/>
          <w:shd w:val="clear" w:color="auto" w:fill="FFFFFF"/>
        </w:rPr>
        <w:t>Akram</w:t>
      </w:r>
      <w:proofErr w:type="spellEnd"/>
      <w:r w:rsidR="005309FB" w:rsidRPr="00C64CAB">
        <w:rPr>
          <w:color w:val="222222"/>
          <w:sz w:val="20"/>
          <w:szCs w:val="20"/>
          <w:shd w:val="clear" w:color="auto" w:fill="FFFFFF"/>
        </w:rPr>
        <w:t xml:space="preserve"> Akhtar Chaudhary, Zafar </w:t>
      </w:r>
      <w:proofErr w:type="spellStart"/>
      <w:r w:rsidR="005309FB" w:rsidRPr="00C64CAB">
        <w:rPr>
          <w:color w:val="222222"/>
          <w:sz w:val="20"/>
          <w:szCs w:val="20"/>
          <w:shd w:val="clear" w:color="auto" w:fill="FFFFFF"/>
        </w:rPr>
        <w:t>Eqbal</w:t>
      </w:r>
      <w:proofErr w:type="spellEnd"/>
      <w:r w:rsidR="005309FB" w:rsidRPr="00C64CAB">
        <w:rPr>
          <w:color w:val="222222"/>
          <w:sz w:val="20"/>
          <w:szCs w:val="20"/>
          <w:shd w:val="clear" w:color="auto" w:fill="FFFFFF"/>
        </w:rPr>
        <w:t xml:space="preserve">, and </w:t>
      </w:r>
      <w:proofErr w:type="spellStart"/>
      <w:r w:rsidR="005309FB" w:rsidRPr="00C64CAB">
        <w:rPr>
          <w:color w:val="222222"/>
          <w:sz w:val="20"/>
          <w:szCs w:val="20"/>
          <w:shd w:val="clear" w:color="auto" w:fill="FFFFFF"/>
        </w:rPr>
        <w:t>Rajanya</w:t>
      </w:r>
      <w:proofErr w:type="spellEnd"/>
      <w:r w:rsidR="005309FB" w:rsidRPr="00C64CAB">
        <w:rPr>
          <w:color w:val="222222"/>
          <w:sz w:val="20"/>
          <w:szCs w:val="20"/>
          <w:shd w:val="clear" w:color="auto" w:fill="FFFFFF"/>
        </w:rPr>
        <w:t xml:space="preserve"> Bose. "Wages of Communal Violence in </w:t>
      </w:r>
      <w:proofErr w:type="spellStart"/>
      <w:r w:rsidR="005309FB" w:rsidRPr="00C64CAB">
        <w:rPr>
          <w:color w:val="222222"/>
          <w:sz w:val="20"/>
          <w:szCs w:val="20"/>
          <w:shd w:val="clear" w:color="auto" w:fill="FFFFFF"/>
        </w:rPr>
        <w:t>Muzaffarnagar</w:t>
      </w:r>
      <w:proofErr w:type="spellEnd"/>
      <w:r w:rsidR="005309FB" w:rsidRPr="00C64CAB">
        <w:rPr>
          <w:color w:val="222222"/>
          <w:sz w:val="20"/>
          <w:szCs w:val="20"/>
          <w:shd w:val="clear" w:color="auto" w:fill="FFFFFF"/>
        </w:rPr>
        <w:t xml:space="preserve"> and </w:t>
      </w:r>
      <w:proofErr w:type="spellStart"/>
      <w:r w:rsidR="005309FB" w:rsidRPr="00C64CAB">
        <w:rPr>
          <w:color w:val="222222"/>
          <w:sz w:val="20"/>
          <w:szCs w:val="20"/>
          <w:shd w:val="clear" w:color="auto" w:fill="FFFFFF"/>
        </w:rPr>
        <w:t>Shamli</w:t>
      </w:r>
      <w:proofErr w:type="spellEnd"/>
      <w:r w:rsidR="005309FB" w:rsidRPr="00C64CAB">
        <w:rPr>
          <w:color w:val="222222"/>
          <w:sz w:val="20"/>
          <w:szCs w:val="20"/>
          <w:shd w:val="clear" w:color="auto" w:fill="FFFFFF"/>
        </w:rPr>
        <w:t>."</w:t>
      </w:r>
      <w:r w:rsidR="005309FB" w:rsidRPr="00C64CAB">
        <w:rPr>
          <w:rStyle w:val="apple-converted-space"/>
          <w:color w:val="222222"/>
          <w:sz w:val="20"/>
          <w:szCs w:val="20"/>
          <w:shd w:val="clear" w:color="auto" w:fill="FFFFFF"/>
        </w:rPr>
        <w:t> </w:t>
      </w:r>
      <w:r w:rsidR="005309FB" w:rsidRPr="00C64CAB">
        <w:rPr>
          <w:i/>
          <w:iCs/>
          <w:color w:val="222222"/>
          <w:sz w:val="20"/>
          <w:szCs w:val="20"/>
        </w:rPr>
        <w:t>Economic &amp; Political Weekly</w:t>
      </w:r>
      <w:r w:rsidR="005309FB" w:rsidRPr="00C64CAB">
        <w:rPr>
          <w:rStyle w:val="apple-converted-space"/>
          <w:color w:val="222222"/>
          <w:sz w:val="20"/>
          <w:szCs w:val="20"/>
          <w:shd w:val="clear" w:color="auto" w:fill="FFFFFF"/>
        </w:rPr>
        <w:t> </w:t>
      </w:r>
      <w:r w:rsidR="005309FB" w:rsidRPr="00C64CAB">
        <w:rPr>
          <w:color w:val="222222"/>
          <w:sz w:val="20"/>
          <w:szCs w:val="20"/>
          <w:shd w:val="clear" w:color="auto" w:fill="FFFFFF"/>
        </w:rPr>
        <w:t>51, no. 43 (2016): 39.</w:t>
      </w:r>
    </w:p>
    <w:p w14:paraId="2F44F99A" w14:textId="285143BA" w:rsidR="00DE54C2" w:rsidRPr="00C64CAB" w:rsidRDefault="00DE54C2" w:rsidP="00C64CAB">
      <w:pPr>
        <w:contextualSpacing/>
        <w:rPr>
          <w:sz w:val="20"/>
          <w:szCs w:val="20"/>
        </w:rPr>
      </w:pPr>
      <w:r w:rsidRPr="00DE54C2">
        <w:rPr>
          <w:sz w:val="20"/>
          <w:szCs w:val="20"/>
        </w:rPr>
        <w:t>https://www.epw.in/journal/2016/43/insight/wages-communal-violence-muzaffarnagar-and-shamli.html</w:t>
      </w:r>
    </w:p>
  </w:footnote>
  <w:footnote w:id="5">
    <w:p w14:paraId="65409110" w14:textId="5FC8F284" w:rsidR="00A17311" w:rsidRPr="00C64CAB" w:rsidRDefault="00A17311" w:rsidP="00C64CAB">
      <w:pPr>
        <w:contextualSpacing/>
        <w:rPr>
          <w:color w:val="222222"/>
          <w:sz w:val="20"/>
          <w:szCs w:val="20"/>
          <w:shd w:val="clear" w:color="auto" w:fill="FFFFFF"/>
        </w:rPr>
      </w:pPr>
      <w:r w:rsidRPr="00C64CAB">
        <w:rPr>
          <w:rStyle w:val="FootnoteReference"/>
          <w:sz w:val="20"/>
          <w:szCs w:val="20"/>
        </w:rPr>
        <w:footnoteRef/>
      </w:r>
      <w:r w:rsidRPr="00C64CAB">
        <w:rPr>
          <w:sz w:val="20"/>
          <w:szCs w:val="20"/>
        </w:rPr>
        <w:t xml:space="preserve"> </w:t>
      </w:r>
      <w:proofErr w:type="spellStart"/>
      <w:r w:rsidR="000A7A9F" w:rsidRPr="00C64CAB">
        <w:rPr>
          <w:color w:val="222222"/>
          <w:sz w:val="20"/>
          <w:szCs w:val="20"/>
          <w:shd w:val="clear" w:color="auto" w:fill="FFFFFF"/>
        </w:rPr>
        <w:t>Thorat</w:t>
      </w:r>
      <w:proofErr w:type="spellEnd"/>
      <w:r w:rsidR="000A7A9F" w:rsidRPr="00C64CAB">
        <w:rPr>
          <w:color w:val="222222"/>
          <w:sz w:val="20"/>
          <w:szCs w:val="20"/>
          <w:shd w:val="clear" w:color="auto" w:fill="FFFFFF"/>
        </w:rPr>
        <w:t xml:space="preserve">, </w:t>
      </w:r>
      <w:proofErr w:type="spellStart"/>
      <w:r w:rsidR="000A7A9F" w:rsidRPr="00C64CAB">
        <w:rPr>
          <w:color w:val="222222"/>
          <w:sz w:val="20"/>
          <w:szCs w:val="20"/>
          <w:shd w:val="clear" w:color="auto" w:fill="FFFFFF"/>
        </w:rPr>
        <w:t>Sukhadeo</w:t>
      </w:r>
      <w:proofErr w:type="spellEnd"/>
      <w:r w:rsidR="000A7A9F" w:rsidRPr="00C64CAB">
        <w:rPr>
          <w:color w:val="222222"/>
          <w:sz w:val="20"/>
          <w:szCs w:val="20"/>
          <w:shd w:val="clear" w:color="auto" w:fill="FFFFFF"/>
        </w:rPr>
        <w:t xml:space="preserve">, </w:t>
      </w:r>
      <w:proofErr w:type="spellStart"/>
      <w:r w:rsidR="000A7A9F" w:rsidRPr="00C64CAB">
        <w:rPr>
          <w:color w:val="222222"/>
          <w:sz w:val="20"/>
          <w:szCs w:val="20"/>
          <w:shd w:val="clear" w:color="auto" w:fill="FFFFFF"/>
        </w:rPr>
        <w:t>Anuradha</w:t>
      </w:r>
      <w:proofErr w:type="spellEnd"/>
      <w:r w:rsidR="000A7A9F" w:rsidRPr="00C64CAB">
        <w:rPr>
          <w:color w:val="222222"/>
          <w:sz w:val="20"/>
          <w:szCs w:val="20"/>
          <w:shd w:val="clear" w:color="auto" w:fill="FFFFFF"/>
        </w:rPr>
        <w:t xml:space="preserve"> Banerjee, Vinod K. Mishra, and Firdaus Rizvi. "Urban rental housing market: Caste and religion matters in access."</w:t>
      </w:r>
      <w:r w:rsidR="000A7A9F" w:rsidRPr="00C64CAB">
        <w:rPr>
          <w:rStyle w:val="apple-converted-space"/>
          <w:color w:val="222222"/>
          <w:sz w:val="20"/>
          <w:szCs w:val="20"/>
          <w:shd w:val="clear" w:color="auto" w:fill="FFFFFF"/>
        </w:rPr>
        <w:t> </w:t>
      </w:r>
      <w:r w:rsidR="000A7A9F" w:rsidRPr="00C64CAB">
        <w:rPr>
          <w:i/>
          <w:iCs/>
          <w:color w:val="222222"/>
          <w:sz w:val="20"/>
          <w:szCs w:val="20"/>
        </w:rPr>
        <w:t>Economic and Political Weekly</w:t>
      </w:r>
      <w:r w:rsidR="000A7A9F" w:rsidRPr="00C64CAB">
        <w:rPr>
          <w:color w:val="222222"/>
          <w:sz w:val="20"/>
          <w:szCs w:val="20"/>
          <w:shd w:val="clear" w:color="auto" w:fill="FFFFFF"/>
        </w:rPr>
        <w:t>(2015): 47-53</w:t>
      </w:r>
    </w:p>
    <w:p w14:paraId="3B0CA44B" w14:textId="50FA4E41" w:rsidR="00916CFA" w:rsidRPr="00C64CAB" w:rsidRDefault="00083D53" w:rsidP="00C64CAB">
      <w:pPr>
        <w:contextualSpacing/>
        <w:rPr>
          <w:sz w:val="20"/>
          <w:szCs w:val="20"/>
        </w:rPr>
      </w:pPr>
      <w:hyperlink r:id="rId1" w:history="1">
        <w:r w:rsidR="00916CFA" w:rsidRPr="00C64CAB">
          <w:rPr>
            <w:rStyle w:val="Hyperlink"/>
            <w:color w:val="1155CC"/>
            <w:sz w:val="20"/>
            <w:szCs w:val="20"/>
            <w:shd w:val="clear" w:color="auto" w:fill="FFFFFF"/>
          </w:rPr>
          <w:t>www.epw.in/journal/2015/26-27/housing-discrimination/urban-rental-housing-market.html</w:t>
        </w:r>
      </w:hyperlink>
    </w:p>
  </w:footnote>
  <w:footnote w:id="6">
    <w:p w14:paraId="7471EC9A" w14:textId="56768D60" w:rsidR="00800AB5" w:rsidRPr="00C64CAB" w:rsidRDefault="00800AB5" w:rsidP="00C64CAB">
      <w:pPr>
        <w:pStyle w:val="FootnoteText"/>
        <w:contextualSpacing/>
        <w:rPr>
          <w:highlight w:val="yellow"/>
        </w:rPr>
      </w:pPr>
      <w:r w:rsidRPr="0016275B">
        <w:rPr>
          <w:rStyle w:val="FootnoteReference"/>
        </w:rPr>
        <w:footnoteRef/>
      </w:r>
      <w:r w:rsidRPr="0016275B">
        <w:t xml:space="preserve"> </w:t>
      </w:r>
      <w:r w:rsidR="00916CFA" w:rsidRPr="0016275B">
        <w:t xml:space="preserve"> </w:t>
      </w:r>
      <w:proofErr w:type="spellStart"/>
      <w:r w:rsidR="00916CFA" w:rsidRPr="0016275B">
        <w:t>Ahan</w:t>
      </w:r>
      <w:proofErr w:type="spellEnd"/>
      <w:r w:rsidR="00916CFA" w:rsidRPr="0016275B">
        <w:t xml:space="preserve"> </w:t>
      </w:r>
      <w:proofErr w:type="spellStart"/>
      <w:r w:rsidR="00916CFA" w:rsidRPr="0016275B">
        <w:t>Penkar</w:t>
      </w:r>
      <w:proofErr w:type="spellEnd"/>
      <w:r w:rsidR="00916CFA" w:rsidRPr="0016275B">
        <w:t xml:space="preserve">. “No Kashmiris please: housing discrimination in Delhi’s Muslim majority areas.” </w:t>
      </w:r>
      <w:r w:rsidR="00916CFA" w:rsidRPr="0016275B">
        <w:rPr>
          <w:i/>
          <w:iCs/>
        </w:rPr>
        <w:t>The Caravan,</w:t>
      </w:r>
      <w:r w:rsidR="00916CFA" w:rsidRPr="0016275B">
        <w:t xml:space="preserve"> November, 20, 2019</w:t>
      </w:r>
    </w:p>
    <w:p w14:paraId="621BE74E" w14:textId="6607D6C9" w:rsidR="00916CFA" w:rsidRPr="00C64CAB" w:rsidRDefault="00083D53" w:rsidP="00C64CAB">
      <w:pPr>
        <w:contextualSpacing/>
        <w:rPr>
          <w:sz w:val="20"/>
          <w:szCs w:val="20"/>
        </w:rPr>
      </w:pPr>
      <w:hyperlink r:id="rId2" w:history="1">
        <w:r w:rsidR="00916CFA" w:rsidRPr="00C64CAB">
          <w:rPr>
            <w:rStyle w:val="Hyperlink"/>
            <w:color w:val="1155CC"/>
            <w:sz w:val="20"/>
            <w:szCs w:val="20"/>
            <w:shd w:val="clear" w:color="auto" w:fill="FFFFFF"/>
          </w:rPr>
          <w:t>https://caravanmagazine.in/communities/kashmiris-denied-housing-muslim-delhi</w:t>
        </w:r>
      </w:hyperlink>
    </w:p>
  </w:footnote>
  <w:footnote w:id="7">
    <w:p w14:paraId="1B8A08A8" w14:textId="77777777" w:rsidR="005309FB" w:rsidRPr="00C64CAB" w:rsidRDefault="005309FB" w:rsidP="00C64CAB">
      <w:pPr>
        <w:contextualSpacing/>
        <w:rPr>
          <w:sz w:val="20"/>
          <w:szCs w:val="20"/>
        </w:rPr>
      </w:pPr>
      <w:r w:rsidRPr="00C64CAB">
        <w:rPr>
          <w:rStyle w:val="FootnoteReference"/>
          <w:sz w:val="20"/>
          <w:szCs w:val="20"/>
        </w:rPr>
        <w:footnoteRef/>
      </w:r>
      <w:r w:rsidRPr="00C64CAB">
        <w:rPr>
          <w:sz w:val="20"/>
          <w:szCs w:val="20"/>
        </w:rPr>
        <w:t xml:space="preserve"> International Commission of Jurists, “Living with Dignity- Sexual Orientation and Gender Identity Based Human Rights Violations in Housing, Work, and Public spaces in India”. (2019)</w:t>
      </w:r>
    </w:p>
    <w:p w14:paraId="197ADA32" w14:textId="77777777" w:rsidR="005309FB" w:rsidRPr="00C64CAB" w:rsidRDefault="005309FB" w:rsidP="00C64CAB">
      <w:pPr>
        <w:contextualSpacing/>
        <w:rPr>
          <w:sz w:val="20"/>
          <w:szCs w:val="20"/>
        </w:rPr>
      </w:pPr>
      <w:r w:rsidRPr="00C64CAB">
        <w:rPr>
          <w:sz w:val="20"/>
          <w:szCs w:val="20"/>
        </w:rPr>
        <w:t>https://www.icj.org/wp-content/uploads/2019/06/India-Living-with-dignity-Publications-Reports-thematic-report-2019-ENG.pdf</w:t>
      </w:r>
    </w:p>
    <w:p w14:paraId="67019E62" w14:textId="191161E2" w:rsidR="005309FB" w:rsidRPr="00C64CAB" w:rsidRDefault="005309FB" w:rsidP="00C64CAB">
      <w:pPr>
        <w:pStyle w:val="FootnoteText"/>
        <w:contextualSpacing/>
        <w:rPr>
          <w:lang w:val="en-US"/>
        </w:rPr>
      </w:pPr>
    </w:p>
  </w:footnote>
  <w:footnote w:id="8">
    <w:p w14:paraId="54A76D5F" w14:textId="4B2E1CB2" w:rsidR="00800AB5" w:rsidRPr="00C64CAB" w:rsidRDefault="00800AB5" w:rsidP="00C64CAB">
      <w:pPr>
        <w:pStyle w:val="FootnoteText"/>
        <w:contextualSpacing/>
        <w:rPr>
          <w:lang w:val="en-US"/>
        </w:rPr>
      </w:pPr>
      <w:r w:rsidRPr="0016275B">
        <w:rPr>
          <w:rStyle w:val="FootnoteReference"/>
        </w:rPr>
        <w:footnoteRef/>
      </w:r>
      <w:r w:rsidRPr="0016275B">
        <w:t xml:space="preserve"> </w:t>
      </w:r>
      <w:r w:rsidR="00DF01AF" w:rsidRPr="0016275B">
        <w:rPr>
          <w:lang w:val="en-US"/>
        </w:rPr>
        <w:t>Article</w:t>
      </w:r>
      <w:r w:rsidR="00DF01AF" w:rsidRPr="00C64CAB">
        <w:rPr>
          <w:lang w:val="en-US"/>
        </w:rPr>
        <w:t xml:space="preserve"> 32, Article 226 of the Constitution of India, 1949.</w:t>
      </w:r>
    </w:p>
  </w:footnote>
  <w:footnote w:id="9">
    <w:p w14:paraId="15E6C76D" w14:textId="77777777" w:rsidR="00A17311" w:rsidRPr="00C64CAB" w:rsidRDefault="00A17311" w:rsidP="00C64CAB">
      <w:pPr>
        <w:pStyle w:val="FootnoteText"/>
        <w:contextualSpacing/>
        <w:rPr>
          <w:lang w:val="en-US"/>
        </w:rPr>
      </w:pPr>
      <w:r w:rsidRPr="00C64CAB">
        <w:rPr>
          <w:rStyle w:val="FootnoteReference"/>
        </w:rPr>
        <w:footnoteRef/>
      </w:r>
      <w:r w:rsidRPr="00C64CAB">
        <w:t xml:space="preserve"> Olga </w:t>
      </w:r>
      <w:proofErr w:type="spellStart"/>
      <w:r w:rsidRPr="00C64CAB">
        <w:t>Tellis</w:t>
      </w:r>
      <w:proofErr w:type="spellEnd"/>
      <w:r w:rsidRPr="00C64CAB">
        <w:t xml:space="preserve"> vs. Bombay Municipal Corporation (1985) 3 SCC 545- 5 Judge Bench</w:t>
      </w:r>
    </w:p>
  </w:footnote>
  <w:footnote w:id="10">
    <w:p w14:paraId="517D6648" w14:textId="77777777" w:rsidR="00A17311" w:rsidRPr="00C64CAB" w:rsidRDefault="00A17311" w:rsidP="00C64CAB">
      <w:pPr>
        <w:pStyle w:val="FootnoteText"/>
        <w:contextualSpacing/>
        <w:rPr>
          <w:lang w:val="en-US"/>
        </w:rPr>
      </w:pPr>
      <w:r w:rsidRPr="00C64CAB">
        <w:rPr>
          <w:rStyle w:val="FootnoteReference"/>
        </w:rPr>
        <w:footnoteRef/>
      </w:r>
      <w:r w:rsidRPr="00C64CAB">
        <w:t xml:space="preserve"> </w:t>
      </w:r>
      <w:proofErr w:type="spellStart"/>
      <w:r w:rsidRPr="00C64CAB">
        <w:t>Chameli</w:t>
      </w:r>
      <w:proofErr w:type="spellEnd"/>
      <w:r w:rsidRPr="00C64CAB">
        <w:t xml:space="preserve"> Singh vs. State of UP (1996) 2 SCC 549- 3 Judge Bench</w:t>
      </w:r>
    </w:p>
  </w:footnote>
  <w:footnote w:id="11">
    <w:p w14:paraId="52C9AF26" w14:textId="64668A67" w:rsidR="00A17311" w:rsidRPr="00C64CAB" w:rsidRDefault="00A17311" w:rsidP="00C64CAB">
      <w:pPr>
        <w:pStyle w:val="FootnoteText"/>
        <w:contextualSpacing/>
        <w:rPr>
          <w:lang w:val="en-US"/>
        </w:rPr>
      </w:pPr>
      <w:r w:rsidRPr="00C64CAB">
        <w:rPr>
          <w:rStyle w:val="FootnoteReference"/>
        </w:rPr>
        <w:footnoteRef/>
      </w:r>
      <w:r w:rsidRPr="00C64CAB">
        <w:t xml:space="preserve">  Ahmedabad Municipal Corporation vs. Nawab Gulab Khan (1997) 11 SCC 121- </w:t>
      </w:r>
      <w:r w:rsidR="00DF01AF" w:rsidRPr="00C64CAB">
        <w:t>Division Bench</w:t>
      </w:r>
    </w:p>
  </w:footnote>
  <w:footnote w:id="12">
    <w:p w14:paraId="407638DB" w14:textId="2E672E45" w:rsidR="00393C70" w:rsidRPr="00C64CAB" w:rsidRDefault="00393C70" w:rsidP="00C64CAB">
      <w:pPr>
        <w:pStyle w:val="FootnoteText"/>
        <w:contextualSpacing/>
        <w:rPr>
          <w:lang w:val="en-US"/>
        </w:rPr>
      </w:pPr>
      <w:r w:rsidRPr="00C64CAB">
        <w:rPr>
          <w:rStyle w:val="FootnoteReference"/>
        </w:rPr>
        <w:footnoteRef/>
      </w:r>
      <w:r w:rsidRPr="00C64CAB">
        <w:t xml:space="preserve"> </w:t>
      </w:r>
      <w:r w:rsidR="00DF01AF" w:rsidRPr="00C64CAB">
        <w:t>Ajay Maken vs. Union of India (2019) 260 DLT 581 (DB) – Division Bench</w:t>
      </w:r>
    </w:p>
  </w:footnote>
  <w:footnote w:id="13">
    <w:p w14:paraId="6F59AD9E" w14:textId="40956BBA" w:rsidR="00800AB5" w:rsidRPr="00C64CAB" w:rsidRDefault="00800AB5" w:rsidP="00C64CAB">
      <w:pPr>
        <w:pStyle w:val="FootnoteText"/>
        <w:contextualSpacing/>
        <w:rPr>
          <w:lang w:val="en-US"/>
        </w:rPr>
      </w:pPr>
      <w:r w:rsidRPr="00C64CAB">
        <w:rPr>
          <w:rStyle w:val="FootnoteReference"/>
        </w:rPr>
        <w:footnoteRef/>
      </w:r>
      <w:r w:rsidRPr="00C64CAB">
        <w:t xml:space="preserve"> </w:t>
      </w:r>
      <w:r w:rsidR="00805B6B" w:rsidRPr="00C64CAB">
        <w:t xml:space="preserve">St. Anthony’s Co-operative Society Ltd., Mumbai vs. Secretary (Co-operation &amp; Textile Department), Mumbai and others (2000) 4 </w:t>
      </w:r>
      <w:proofErr w:type="spellStart"/>
      <w:r w:rsidR="00805B6B" w:rsidRPr="00C64CAB">
        <w:t>Mah</w:t>
      </w:r>
      <w:proofErr w:type="spellEnd"/>
      <w:r w:rsidR="00805B6B" w:rsidRPr="00C64CAB">
        <w:t xml:space="preserve"> LJ 642 </w:t>
      </w:r>
    </w:p>
  </w:footnote>
  <w:footnote w:id="14">
    <w:p w14:paraId="5BFBE4DA" w14:textId="2510D07E" w:rsidR="00805B6B" w:rsidRPr="00C64CAB" w:rsidRDefault="00805B6B" w:rsidP="00C64CAB">
      <w:pPr>
        <w:pStyle w:val="FootnoteText"/>
        <w:contextualSpacing/>
        <w:rPr>
          <w:lang w:val="en-US"/>
        </w:rPr>
      </w:pPr>
      <w:r w:rsidRPr="00C64CAB">
        <w:rPr>
          <w:rStyle w:val="FootnoteReference"/>
        </w:rPr>
        <w:footnoteRef/>
      </w:r>
      <w:r w:rsidRPr="00C64CAB">
        <w:t xml:space="preserve"> </w:t>
      </w:r>
      <w:r w:rsidRPr="00C64CAB">
        <w:rPr>
          <w:lang w:val="en-US"/>
        </w:rPr>
        <w:t xml:space="preserve">Zoroastrian Cooperative Housing Society Ltd. And Another vs. District Registrar, </w:t>
      </w:r>
      <w:proofErr w:type="spellStart"/>
      <w:r w:rsidRPr="00C64CAB">
        <w:rPr>
          <w:lang w:val="en-US"/>
        </w:rPr>
        <w:t>Cooperatoive</w:t>
      </w:r>
      <w:proofErr w:type="spellEnd"/>
      <w:r w:rsidRPr="00C64CAB">
        <w:rPr>
          <w:lang w:val="en-US"/>
        </w:rPr>
        <w:t xml:space="preserve"> Societies (Urban) and Others (2005) 5 SCC 632</w:t>
      </w:r>
    </w:p>
  </w:footnote>
  <w:footnote w:id="15">
    <w:p w14:paraId="44674ADE" w14:textId="75445840" w:rsidR="00800AB5" w:rsidRPr="00C64CAB" w:rsidRDefault="00800AB5" w:rsidP="00C64CAB">
      <w:pPr>
        <w:shd w:val="clear" w:color="auto" w:fill="FFFFFF"/>
        <w:contextualSpacing/>
        <w:jc w:val="both"/>
        <w:rPr>
          <w:color w:val="222222"/>
          <w:sz w:val="20"/>
          <w:szCs w:val="20"/>
        </w:rPr>
      </w:pPr>
      <w:r w:rsidRPr="00C64CAB">
        <w:rPr>
          <w:rStyle w:val="FootnoteReference"/>
          <w:sz w:val="20"/>
          <w:szCs w:val="20"/>
        </w:rPr>
        <w:footnoteRef/>
      </w:r>
      <w:r w:rsidRPr="00C64CAB">
        <w:rPr>
          <w:sz w:val="20"/>
          <w:szCs w:val="20"/>
        </w:rPr>
        <w:t xml:space="preserve"> </w:t>
      </w:r>
      <w:r w:rsidRPr="00C64CAB">
        <w:rPr>
          <w:color w:val="222222"/>
          <w:sz w:val="20"/>
          <w:szCs w:val="20"/>
        </w:rPr>
        <w:t>Section 23 provides "The consideration or object of an agreement is lawful, unless—" it is forbidden by law;</w:t>
      </w:r>
      <w:r w:rsidRPr="00C64CAB">
        <w:rPr>
          <w:color w:val="222222"/>
          <w:sz w:val="20"/>
          <w:szCs w:val="20"/>
          <w:vertAlign w:val="superscript"/>
        </w:rPr>
        <w:t> </w:t>
      </w:r>
      <w:r w:rsidRPr="00C64CAB">
        <w:rPr>
          <w:color w:val="222222"/>
          <w:sz w:val="20"/>
          <w:szCs w:val="20"/>
        </w:rPr>
        <w:t>or is of such a nature that, if permitted, it would defeat the provisions of any law; or is fraudulent; or involves or implies, injury to the person or property of another; or the Court regards it as immoral, or opposed to public policy."</w:t>
      </w:r>
    </w:p>
  </w:footnote>
  <w:footnote w:id="16">
    <w:p w14:paraId="599ED7DA" w14:textId="6C9CB8E4" w:rsidR="00805B6B" w:rsidRPr="00C64CAB" w:rsidRDefault="00805B6B" w:rsidP="00C64CAB">
      <w:pPr>
        <w:pStyle w:val="FootnoteText"/>
        <w:contextualSpacing/>
        <w:rPr>
          <w:lang w:val="en-US"/>
        </w:rPr>
      </w:pPr>
      <w:r w:rsidRPr="00C64CAB">
        <w:rPr>
          <w:rStyle w:val="FootnoteReference"/>
        </w:rPr>
        <w:footnoteRef/>
      </w:r>
      <w:r w:rsidRPr="00C64CAB">
        <w:t xml:space="preserve"> </w:t>
      </w:r>
      <w:r w:rsidR="00550E27" w:rsidRPr="00C64CAB">
        <w:rPr>
          <w:color w:val="222222"/>
          <w:lang w:val="en-US"/>
        </w:rPr>
        <w:t xml:space="preserve">Delhi </w:t>
      </w:r>
      <w:proofErr w:type="spellStart"/>
      <w:r w:rsidR="00550E27" w:rsidRPr="00C64CAB">
        <w:rPr>
          <w:color w:val="222222"/>
          <w:lang w:val="en-US"/>
        </w:rPr>
        <w:t>Dayalbagh</w:t>
      </w:r>
      <w:proofErr w:type="spellEnd"/>
      <w:r w:rsidR="00550E27" w:rsidRPr="00C64CAB">
        <w:rPr>
          <w:color w:val="222222"/>
          <w:lang w:val="en-US"/>
        </w:rPr>
        <w:t xml:space="preserve"> Coop. House Building Society Ltd vs. Registrar Cooperative Societies &amp; </w:t>
      </w:r>
      <w:proofErr w:type="spellStart"/>
      <w:r w:rsidR="00550E27" w:rsidRPr="00C64CAB">
        <w:rPr>
          <w:color w:val="222222"/>
          <w:lang w:val="en-US"/>
        </w:rPr>
        <w:t>Ors</w:t>
      </w:r>
      <w:proofErr w:type="spellEnd"/>
      <w:r w:rsidR="00550E27" w:rsidRPr="00C64CAB">
        <w:rPr>
          <w:color w:val="222222"/>
          <w:lang w:val="en-US"/>
        </w:rPr>
        <w:t>. 2013 (133) DRJ 513 (DB) – Division Bench</w:t>
      </w:r>
    </w:p>
  </w:footnote>
  <w:footnote w:id="17">
    <w:p w14:paraId="646F09B1" w14:textId="38FBA79A" w:rsidR="00BA027F" w:rsidRPr="00BA027F" w:rsidRDefault="00BA027F">
      <w:pPr>
        <w:pStyle w:val="FootnoteText"/>
        <w:rPr>
          <w:lang w:val="en-US"/>
        </w:rPr>
      </w:pPr>
      <w:r>
        <w:rPr>
          <w:rStyle w:val="FootnoteReference"/>
        </w:rPr>
        <w:footnoteRef/>
      </w:r>
      <w:r>
        <w:t xml:space="preserve"> </w:t>
      </w:r>
      <w:r>
        <w:rPr>
          <w:lang w:val="en-US"/>
        </w:rPr>
        <w:t xml:space="preserve">Delhi </w:t>
      </w:r>
      <w:proofErr w:type="spellStart"/>
      <w:r>
        <w:rPr>
          <w:lang w:val="en-US"/>
        </w:rPr>
        <w:t>Dayalbagh</w:t>
      </w:r>
      <w:proofErr w:type="spellEnd"/>
      <w:r>
        <w:rPr>
          <w:lang w:val="en-US"/>
        </w:rPr>
        <w:t xml:space="preserve"> Cooperative House Building Society Limited vs. Registrar, Cooperative Societies and Others (2019) 3 SCC 745</w:t>
      </w:r>
    </w:p>
  </w:footnote>
  <w:footnote w:id="18">
    <w:p w14:paraId="09AE6160" w14:textId="26DC5B11" w:rsidR="0028409F" w:rsidRPr="00C64CAB" w:rsidRDefault="0028409F" w:rsidP="00C64CAB">
      <w:pPr>
        <w:contextualSpacing/>
        <w:rPr>
          <w:sz w:val="20"/>
          <w:szCs w:val="20"/>
        </w:rPr>
      </w:pPr>
      <w:r w:rsidRPr="00C64CAB">
        <w:rPr>
          <w:rStyle w:val="FootnoteReference"/>
          <w:sz w:val="20"/>
          <w:szCs w:val="20"/>
        </w:rPr>
        <w:footnoteRef/>
      </w:r>
      <w:r w:rsidRPr="00C64CAB">
        <w:rPr>
          <w:sz w:val="20"/>
          <w:szCs w:val="20"/>
        </w:rPr>
        <w:t xml:space="preserve"> </w:t>
      </w:r>
      <w:r w:rsidRPr="00C64CAB">
        <w:rPr>
          <w:sz w:val="20"/>
          <w:szCs w:val="20"/>
          <w:lang w:val="en-US"/>
        </w:rPr>
        <w:t>S. 3</w:t>
      </w:r>
      <w:r w:rsidR="00E627A4">
        <w:rPr>
          <w:sz w:val="20"/>
          <w:szCs w:val="20"/>
          <w:lang w:val="en-US"/>
        </w:rPr>
        <w:t xml:space="preserve"> Declaration of Disturbed area</w:t>
      </w:r>
      <w:r w:rsidRPr="00C64CAB">
        <w:rPr>
          <w:rStyle w:val="apple-converted-space"/>
          <w:sz w:val="20"/>
          <w:szCs w:val="20"/>
        </w:rPr>
        <w:t> </w:t>
      </w:r>
      <w:r w:rsidRPr="00C64CAB">
        <w:rPr>
          <w:sz w:val="20"/>
          <w:szCs w:val="20"/>
        </w:rPr>
        <w:t>- (1) Where the State Government is of the opinion that, -</w:t>
      </w:r>
    </w:p>
    <w:p w14:paraId="01DA6590" w14:textId="77777777" w:rsidR="0028409F" w:rsidRPr="00C64CAB" w:rsidRDefault="0028409F" w:rsidP="00C64CAB">
      <w:pPr>
        <w:pStyle w:val="subpara1"/>
        <w:spacing w:before="40" w:beforeAutospacing="0" w:afterAutospacing="0"/>
        <w:ind w:left="640" w:hanging="259"/>
        <w:contextualSpacing/>
        <w:jc w:val="both"/>
        <w:rPr>
          <w:color w:val="000000"/>
          <w:sz w:val="20"/>
          <w:szCs w:val="20"/>
        </w:rPr>
      </w:pPr>
      <w:r w:rsidRPr="00C64CAB">
        <w:rPr>
          <w:color w:val="000000"/>
          <w:sz w:val="20"/>
          <w:szCs w:val="20"/>
        </w:rPr>
        <w:t>(</w:t>
      </w:r>
      <w:proofErr w:type="spellStart"/>
      <w:r w:rsidRPr="00C64CAB">
        <w:rPr>
          <w:color w:val="000000"/>
          <w:sz w:val="20"/>
          <w:szCs w:val="20"/>
        </w:rPr>
        <w:t>i</w:t>
      </w:r>
      <w:proofErr w:type="spellEnd"/>
      <w:r w:rsidRPr="00C64CAB">
        <w:rPr>
          <w:color w:val="000000"/>
          <w:sz w:val="20"/>
          <w:szCs w:val="20"/>
        </w:rPr>
        <w:t>) having regard to the intensity and duration of riot or violence of mob and such other factors in any area of the State, the public order in that area was disturbed for a substantial period by reason of riot or violence of mob; or</w:t>
      </w:r>
    </w:p>
    <w:p w14:paraId="3276F5F1" w14:textId="77777777" w:rsidR="0028409F" w:rsidRPr="00C64CAB" w:rsidRDefault="0028409F" w:rsidP="00C64CAB">
      <w:pPr>
        <w:pStyle w:val="subpara1"/>
        <w:spacing w:before="40" w:beforeAutospacing="0" w:afterAutospacing="0"/>
        <w:ind w:left="640" w:hanging="259"/>
        <w:contextualSpacing/>
        <w:jc w:val="both"/>
        <w:rPr>
          <w:color w:val="000000"/>
          <w:sz w:val="20"/>
          <w:szCs w:val="20"/>
        </w:rPr>
      </w:pPr>
      <w:r w:rsidRPr="00C64CAB">
        <w:rPr>
          <w:color w:val="000000"/>
          <w:sz w:val="20"/>
          <w:szCs w:val="20"/>
        </w:rPr>
        <w:t>(ii) polarization of persons belonging to one community has taken place or is likely to take place disturbing the demographic equilibrium of the persons of different communities residing in that area or that improper clustering of persons of one community has taken place or is likely to take place where the mutual and peaceful coherence amongst different communities may go haywire in that area; or</w:t>
      </w:r>
    </w:p>
    <w:p w14:paraId="0D6E8A68" w14:textId="77777777" w:rsidR="00E627A4" w:rsidRDefault="0028409F" w:rsidP="00E627A4">
      <w:pPr>
        <w:pStyle w:val="subpara1"/>
        <w:spacing w:before="40" w:beforeAutospacing="0" w:afterAutospacing="0"/>
        <w:ind w:left="640" w:hanging="259"/>
        <w:contextualSpacing/>
        <w:jc w:val="both"/>
        <w:rPr>
          <w:color w:val="000000"/>
          <w:sz w:val="20"/>
          <w:szCs w:val="20"/>
        </w:rPr>
      </w:pPr>
      <w:r w:rsidRPr="00C64CAB">
        <w:rPr>
          <w:color w:val="000000"/>
          <w:sz w:val="20"/>
          <w:szCs w:val="20"/>
        </w:rPr>
        <w:t>(iii) for the reasons stated in this sub-section, that area of the State has become prone to disturbance of public order,</w:t>
      </w:r>
    </w:p>
    <w:p w14:paraId="7D2D64A1" w14:textId="0410A3F4" w:rsidR="0028409F" w:rsidRPr="00E627A4" w:rsidRDefault="0028409F" w:rsidP="00E627A4">
      <w:pPr>
        <w:pStyle w:val="subpara1"/>
        <w:spacing w:before="40" w:beforeAutospacing="0" w:afterAutospacing="0"/>
        <w:ind w:left="640" w:hanging="259"/>
        <w:contextualSpacing/>
        <w:jc w:val="both"/>
        <w:rPr>
          <w:color w:val="000000"/>
          <w:sz w:val="20"/>
          <w:szCs w:val="20"/>
        </w:rPr>
      </w:pPr>
      <w:r w:rsidRPr="00C64CAB">
        <w:rPr>
          <w:sz w:val="20"/>
          <w:szCs w:val="20"/>
        </w:rPr>
        <w:t>it may, by notification in the</w:t>
      </w:r>
      <w:r w:rsidRPr="00C64CAB">
        <w:rPr>
          <w:rStyle w:val="apple-converted-space"/>
          <w:sz w:val="20"/>
          <w:szCs w:val="20"/>
        </w:rPr>
        <w:t> </w:t>
      </w:r>
      <w:r w:rsidRPr="00C64CAB">
        <w:rPr>
          <w:i/>
          <w:iCs/>
          <w:sz w:val="20"/>
          <w:szCs w:val="20"/>
        </w:rPr>
        <w:t>Official Gazette</w:t>
      </w:r>
      <w:r w:rsidRPr="00C64CAB">
        <w:rPr>
          <w:sz w:val="20"/>
          <w:szCs w:val="20"/>
        </w:rPr>
        <w:t>,</w:t>
      </w:r>
    </w:p>
    <w:p w14:paraId="517A7823" w14:textId="77777777" w:rsidR="0028409F" w:rsidRPr="00C64CAB" w:rsidRDefault="0028409F" w:rsidP="00C64CAB">
      <w:pPr>
        <w:pStyle w:val="subpara1"/>
        <w:spacing w:before="40" w:beforeAutospacing="0" w:afterAutospacing="0"/>
        <w:ind w:left="640" w:hanging="259"/>
        <w:contextualSpacing/>
        <w:jc w:val="both"/>
        <w:rPr>
          <w:color w:val="000000"/>
          <w:sz w:val="20"/>
          <w:szCs w:val="20"/>
        </w:rPr>
      </w:pPr>
      <w:r w:rsidRPr="00C64CAB">
        <w:rPr>
          <w:color w:val="000000"/>
          <w:sz w:val="20"/>
          <w:szCs w:val="20"/>
        </w:rPr>
        <w:t>(a) declare such area to be a disturbed area;</w:t>
      </w:r>
    </w:p>
    <w:p w14:paraId="08084B2D" w14:textId="64C06530" w:rsidR="0028409F" w:rsidRPr="00E627A4" w:rsidRDefault="0028409F" w:rsidP="00E627A4">
      <w:pPr>
        <w:pStyle w:val="subpara1"/>
        <w:spacing w:before="40" w:beforeAutospacing="0" w:afterAutospacing="0"/>
        <w:ind w:left="640" w:hanging="259"/>
        <w:contextualSpacing/>
        <w:jc w:val="both"/>
        <w:rPr>
          <w:color w:val="000000"/>
          <w:sz w:val="20"/>
          <w:szCs w:val="20"/>
        </w:rPr>
      </w:pPr>
      <w:r w:rsidRPr="00C64CAB">
        <w:rPr>
          <w:color w:val="000000"/>
          <w:sz w:val="20"/>
          <w:szCs w:val="20"/>
        </w:rPr>
        <w:t>(b) specify the substantial period (hereinafter referred to as "the specified period").</w:t>
      </w:r>
    </w:p>
  </w:footnote>
  <w:footnote w:id="19">
    <w:p w14:paraId="63FAD60C" w14:textId="43F6BF20" w:rsidR="0028409F" w:rsidRPr="00E627A4" w:rsidRDefault="0028409F" w:rsidP="00E627A4">
      <w:pPr>
        <w:contextualSpacing/>
        <w:rPr>
          <w:sz w:val="20"/>
          <w:szCs w:val="20"/>
        </w:rPr>
      </w:pPr>
      <w:r w:rsidRPr="00C64CAB">
        <w:rPr>
          <w:rStyle w:val="FootnoteReference"/>
          <w:sz w:val="20"/>
          <w:szCs w:val="20"/>
        </w:rPr>
        <w:footnoteRef/>
      </w:r>
      <w:r w:rsidRPr="00C64CAB">
        <w:rPr>
          <w:sz w:val="20"/>
          <w:szCs w:val="20"/>
        </w:rPr>
        <w:t xml:space="preserve"> </w:t>
      </w:r>
      <w:r w:rsidRPr="00C64CAB">
        <w:rPr>
          <w:sz w:val="20"/>
          <w:szCs w:val="20"/>
          <w:lang w:val="en-US"/>
        </w:rPr>
        <w:t xml:space="preserve">S. 2(d) </w:t>
      </w:r>
      <w:r w:rsidRPr="00C64CAB">
        <w:rPr>
          <w:i/>
          <w:iCs/>
          <w:sz w:val="20"/>
          <w:szCs w:val="20"/>
        </w:rPr>
        <w:t>"proper clustering of persons of one community"</w:t>
      </w:r>
      <w:r w:rsidRPr="00C64CAB">
        <w:rPr>
          <w:rStyle w:val="apple-converted-space"/>
          <w:sz w:val="20"/>
          <w:szCs w:val="20"/>
        </w:rPr>
        <w:t> </w:t>
      </w:r>
      <w:r w:rsidRPr="00C64CAB">
        <w:rPr>
          <w:sz w:val="20"/>
          <w:szCs w:val="20"/>
        </w:rPr>
        <w:t>with all grammatical variations and cognate expressions shall mean, in relation to a geographical area, a small or large social unit or a group of living things who have something in common, such as norms, religion, values, or identity and often share a sense of place that is situated in a given geographical area</w:t>
      </w:r>
    </w:p>
  </w:footnote>
  <w:footnote w:id="20">
    <w:p w14:paraId="4342D3D7" w14:textId="77777777" w:rsidR="00DD026A" w:rsidRPr="00C64CAB" w:rsidRDefault="00DD026A" w:rsidP="00DD026A">
      <w:pPr>
        <w:pStyle w:val="FootnoteText"/>
        <w:contextualSpacing/>
        <w:rPr>
          <w:lang w:val="en-US"/>
        </w:rPr>
      </w:pPr>
      <w:r w:rsidRPr="00C64CAB">
        <w:rPr>
          <w:rStyle w:val="FootnoteReference"/>
        </w:rPr>
        <w:footnoteRef/>
      </w:r>
      <w:r w:rsidRPr="00C64CAB">
        <w:t xml:space="preserve"> Rajasthan Real Estate (Regulation and Development) Rules, 2017. Available at: </w:t>
      </w:r>
      <w:r w:rsidRPr="00C64CAB">
        <w:rPr>
          <w:color w:val="0000FF"/>
        </w:rPr>
        <w:t>http://rera.rajasthan.gov.in/Content/pdf/RERA_Rules_2017.pdf</w:t>
      </w:r>
    </w:p>
  </w:footnote>
  <w:footnote w:id="21">
    <w:p w14:paraId="25AB3CA2" w14:textId="77777777" w:rsidR="0016275B" w:rsidRPr="00C64CAB" w:rsidRDefault="0016275B" w:rsidP="00E627A4">
      <w:pPr>
        <w:pStyle w:val="NormalWeb"/>
        <w:contextualSpacing/>
        <w:rPr>
          <w:sz w:val="20"/>
          <w:szCs w:val="20"/>
        </w:rPr>
      </w:pPr>
      <w:r w:rsidRPr="00C64CAB">
        <w:rPr>
          <w:rStyle w:val="FootnoteReference"/>
          <w:sz w:val="20"/>
          <w:szCs w:val="20"/>
        </w:rPr>
        <w:footnoteRef/>
      </w:r>
      <w:r w:rsidRPr="00C64CAB">
        <w:rPr>
          <w:sz w:val="20"/>
          <w:szCs w:val="20"/>
        </w:rPr>
        <w:t xml:space="preserve"> UN, HRC, </w:t>
      </w:r>
      <w:r w:rsidRPr="00C64CAB">
        <w:rPr>
          <w:i/>
          <w:iCs/>
          <w:sz w:val="20"/>
          <w:szCs w:val="20"/>
        </w:rPr>
        <w:t>Report of the Special Rapporteur on adequate housing as a component of the right to an adequate standard of living, and on the right to non-discrimination in this context, on her mission to India, Leilani Farha, 10 January 2017, A/HRC/34/51/Add.1</w:t>
      </w:r>
    </w:p>
    <w:p w14:paraId="3541CE32" w14:textId="77777777" w:rsidR="0016275B" w:rsidRPr="00C64CAB" w:rsidRDefault="0016275B" w:rsidP="0016275B">
      <w:pPr>
        <w:pStyle w:val="FootnoteText"/>
        <w:contextualSpacing/>
        <w:rPr>
          <w:lang w:val="en-US"/>
        </w:rPr>
      </w:pPr>
    </w:p>
  </w:footnote>
  <w:footnote w:id="22">
    <w:p w14:paraId="275BE7E4" w14:textId="11332D7E" w:rsidR="00E50752" w:rsidRPr="00E627A4" w:rsidRDefault="00E50752" w:rsidP="00E627A4">
      <w:pPr>
        <w:contextualSpacing/>
        <w:rPr>
          <w:sz w:val="20"/>
          <w:szCs w:val="20"/>
        </w:rPr>
      </w:pPr>
      <w:r w:rsidRPr="00C64CAB">
        <w:rPr>
          <w:rStyle w:val="FootnoteReference"/>
          <w:sz w:val="20"/>
          <w:szCs w:val="20"/>
        </w:rPr>
        <w:footnoteRef/>
      </w:r>
      <w:r w:rsidRPr="00C64CAB">
        <w:rPr>
          <w:sz w:val="20"/>
          <w:szCs w:val="20"/>
        </w:rPr>
        <w:t xml:space="preserve"> </w:t>
      </w:r>
      <w:r w:rsidRPr="00C64CAB">
        <w:rPr>
          <w:sz w:val="20"/>
          <w:szCs w:val="20"/>
          <w:lang w:val="en-US"/>
        </w:rPr>
        <w:t xml:space="preserve">Anti-Discrimination and Equality Bill, 2016 available at </w:t>
      </w:r>
      <w:hyperlink r:id="rId3" w:history="1">
        <w:r w:rsidRPr="00C64CAB">
          <w:rPr>
            <w:rStyle w:val="Hyperlink"/>
            <w:b/>
            <w:bCs/>
            <w:color w:val="1155CC"/>
            <w:sz w:val="20"/>
            <w:szCs w:val="20"/>
            <w:shd w:val="clear" w:color="auto" w:fill="FFFFFF"/>
          </w:rPr>
          <w:t>http://164.100.47.4/billstexts/lsbilltexts/asintroduced/2991.pdf</w:t>
        </w:r>
      </w:hyperlink>
    </w:p>
  </w:footnote>
  <w:footnote w:id="23">
    <w:p w14:paraId="0F9A63E4" w14:textId="7364EED9" w:rsidR="00E50752" w:rsidRPr="00E627A4" w:rsidRDefault="00E50752" w:rsidP="00E627A4">
      <w:pPr>
        <w:contextualSpacing/>
        <w:rPr>
          <w:b/>
          <w:bCs/>
          <w:sz w:val="20"/>
          <w:szCs w:val="20"/>
        </w:rPr>
      </w:pPr>
      <w:r w:rsidRPr="00C64CAB">
        <w:rPr>
          <w:rStyle w:val="FootnoteReference"/>
          <w:sz w:val="20"/>
          <w:szCs w:val="20"/>
        </w:rPr>
        <w:footnoteRef/>
      </w:r>
      <w:r w:rsidRPr="00C64CAB">
        <w:rPr>
          <w:sz w:val="20"/>
          <w:szCs w:val="20"/>
        </w:rPr>
        <w:t xml:space="preserve"> </w:t>
      </w:r>
      <w:r w:rsidRPr="00C64CAB">
        <w:rPr>
          <w:sz w:val="20"/>
          <w:szCs w:val="20"/>
          <w:lang w:val="en-US"/>
        </w:rPr>
        <w:t xml:space="preserve">The Equality (Prohibition of Discrimination) Bill, 2021 available at </w:t>
      </w:r>
      <w:hyperlink r:id="rId4" w:history="1">
        <w:r w:rsidRPr="00C64CAB">
          <w:rPr>
            <w:rStyle w:val="Hyperlink"/>
            <w:b/>
            <w:bCs/>
            <w:color w:val="1155CC"/>
            <w:sz w:val="20"/>
            <w:szCs w:val="20"/>
            <w:shd w:val="clear" w:color="auto" w:fill="FFFFFF"/>
          </w:rPr>
          <w:t>https://clpr.org.in/wp-content/uploads/2020/01/Equality-Bill-2021-8th-January-2021.pdf</w:t>
        </w:r>
      </w:hyperlink>
    </w:p>
  </w:footnote>
  <w:footnote w:id="24">
    <w:p w14:paraId="095B747E" w14:textId="77777777" w:rsidR="00DD026A" w:rsidRPr="00E627A4" w:rsidRDefault="00DD026A" w:rsidP="00DD026A">
      <w:pPr>
        <w:contextualSpacing/>
        <w:rPr>
          <w:sz w:val="20"/>
          <w:szCs w:val="20"/>
        </w:rPr>
      </w:pPr>
      <w:r w:rsidRPr="00E627A4">
        <w:rPr>
          <w:rStyle w:val="FootnoteReference"/>
          <w:sz w:val="20"/>
          <w:szCs w:val="20"/>
        </w:rPr>
        <w:footnoteRef/>
      </w:r>
      <w:r w:rsidRPr="00E627A4">
        <w:rPr>
          <w:sz w:val="20"/>
          <w:szCs w:val="20"/>
        </w:rPr>
        <w:t xml:space="preserve"> </w:t>
      </w:r>
      <w:r w:rsidRPr="00E627A4">
        <w:rPr>
          <w:color w:val="282828"/>
          <w:sz w:val="20"/>
          <w:szCs w:val="20"/>
          <w:shd w:val="clear" w:color="auto" w:fill="FFFFFF"/>
        </w:rPr>
        <w:t xml:space="preserve">Sachar Committee report on Social, Economic and Educational Status of the Muslim Community of India , PM High Level Committee (2006) available at </w:t>
      </w:r>
      <w:hyperlink r:id="rId5" w:history="1">
        <w:r w:rsidRPr="00E627A4">
          <w:rPr>
            <w:rStyle w:val="Hyperlink"/>
            <w:color w:val="1155CC"/>
            <w:sz w:val="20"/>
            <w:szCs w:val="20"/>
            <w:shd w:val="clear" w:color="auto" w:fill="FFFFFF"/>
          </w:rPr>
          <w:t>http://www.minorityaffairs.gov.in/sites/default/files/sachar_comm.pdf</w:t>
        </w:r>
      </w:hyperlink>
    </w:p>
  </w:footnote>
  <w:footnote w:id="25">
    <w:p w14:paraId="7D1F1A83" w14:textId="77777777" w:rsidR="00DD026A" w:rsidRPr="00E50752" w:rsidRDefault="00DD026A" w:rsidP="00DD026A">
      <w:pPr>
        <w:pStyle w:val="FootnoteText"/>
        <w:rPr>
          <w:lang w:val="en-US"/>
        </w:rPr>
      </w:pPr>
      <w:r>
        <w:rPr>
          <w:rStyle w:val="FootnoteReference"/>
        </w:rPr>
        <w:footnoteRef/>
      </w:r>
      <w:r>
        <w:t xml:space="preserve"> </w:t>
      </w:r>
      <w:r w:rsidRPr="00C64CAB">
        <w:rPr>
          <w:lang w:val="en-US"/>
        </w:rPr>
        <w:t xml:space="preserve">Housing and Land Rights Network, “India’s Smart Cities Mission- Smart for Whom? Cities for Whom?”, </w:t>
      </w:r>
      <w:bookmarkStart w:id="0" w:name="_GoBack"/>
      <w:bookmarkEnd w:id="0"/>
      <w:r w:rsidRPr="00C64CAB">
        <w:rPr>
          <w:lang w:val="en-US"/>
        </w:rPr>
        <w:t>(2017) available at https://www.hlrn.org.in/documents/Smart_Cities_Report_2017.pdf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59232C" w14:textId="71ADDDBA" w:rsidR="008D1D86" w:rsidRDefault="008D1D86" w:rsidP="008D1D86">
    <w:pPr>
      <w:pStyle w:val="Header"/>
      <w:rPr>
        <w:lang w:val="en-US"/>
      </w:rPr>
    </w:pPr>
    <w:r>
      <w:rPr>
        <w:lang w:val="en-US"/>
      </w:rPr>
      <w:t>Vrinda Grover</w:t>
    </w:r>
  </w:p>
  <w:p w14:paraId="36202840" w14:textId="24073608" w:rsidR="008D1D86" w:rsidRDefault="008D1D86" w:rsidP="008D1D86">
    <w:pPr>
      <w:pStyle w:val="Header"/>
      <w:rPr>
        <w:lang w:val="en-US"/>
      </w:rPr>
    </w:pPr>
    <w:r>
      <w:rPr>
        <w:lang w:val="en-US"/>
      </w:rPr>
      <w:t>Advocate</w:t>
    </w:r>
  </w:p>
  <w:p w14:paraId="43B08701" w14:textId="6FE9B18E" w:rsidR="008D1D86" w:rsidRDefault="008D1D86" w:rsidP="008D1D86">
    <w:pPr>
      <w:pStyle w:val="Header"/>
      <w:rPr>
        <w:lang w:val="en-US"/>
      </w:rPr>
    </w:pPr>
    <w:r>
      <w:rPr>
        <w:lang w:val="en-US"/>
      </w:rPr>
      <w:t>Supreme Court of India</w:t>
    </w:r>
  </w:p>
  <w:p w14:paraId="15A71F3C" w14:textId="3E16C5C4" w:rsidR="008D1D86" w:rsidRDefault="008D1D86" w:rsidP="008D1D86">
    <w:pPr>
      <w:pStyle w:val="Header"/>
      <w:rPr>
        <w:lang w:val="en-US"/>
      </w:rPr>
    </w:pPr>
    <w:r>
      <w:rPr>
        <w:lang w:val="en-US"/>
      </w:rPr>
      <w:t>Submissions to UN SR on Adequate Housing</w:t>
    </w:r>
  </w:p>
  <w:p w14:paraId="0AADD8BB" w14:textId="2F9A1C90" w:rsidR="008D1D86" w:rsidRPr="008D1D86" w:rsidRDefault="008D1D86" w:rsidP="008D1D86">
    <w:pPr>
      <w:pStyle w:val="Header"/>
      <w:rPr>
        <w:lang w:val="en-US"/>
      </w:rPr>
    </w:pPr>
    <w:r>
      <w:rPr>
        <w:lang w:val="en-US"/>
      </w:rPr>
      <w:t>1</w:t>
    </w:r>
    <w:r w:rsidR="00402572">
      <w:rPr>
        <w:lang w:val="en-US"/>
      </w:rPr>
      <w:t>4</w:t>
    </w:r>
    <w:r w:rsidRPr="008D1D86">
      <w:rPr>
        <w:vertAlign w:val="superscript"/>
        <w:lang w:val="en-US"/>
      </w:rPr>
      <w:t>th</w:t>
    </w:r>
    <w:r>
      <w:rPr>
        <w:lang w:val="en-US"/>
      </w:rPr>
      <w:t xml:space="preserve"> May 2021</w:t>
    </w:r>
  </w:p>
  <w:p w14:paraId="6FD02ADD" w14:textId="77777777" w:rsidR="008D1D86" w:rsidRPr="008D1D86" w:rsidRDefault="008D1D86">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01E3C"/>
    <w:multiLevelType w:val="hybridMultilevel"/>
    <w:tmpl w:val="F8FA27C8"/>
    <w:lvl w:ilvl="0" w:tplc="E820A1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CC3B51"/>
    <w:multiLevelType w:val="hybridMultilevel"/>
    <w:tmpl w:val="12AE152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8B6381"/>
    <w:multiLevelType w:val="hybridMultilevel"/>
    <w:tmpl w:val="1C6A9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8B1192"/>
    <w:multiLevelType w:val="hybridMultilevel"/>
    <w:tmpl w:val="94DAD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251E27"/>
    <w:multiLevelType w:val="hybridMultilevel"/>
    <w:tmpl w:val="D6D2C8FE"/>
    <w:lvl w:ilvl="0" w:tplc="6F882BF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2315F6"/>
    <w:multiLevelType w:val="hybridMultilevel"/>
    <w:tmpl w:val="986CDEDC"/>
    <w:lvl w:ilvl="0" w:tplc="42B8186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6C5B4C"/>
    <w:multiLevelType w:val="multilevel"/>
    <w:tmpl w:val="8EF6E52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F755FB0"/>
    <w:multiLevelType w:val="hybridMultilevel"/>
    <w:tmpl w:val="10C22372"/>
    <w:lvl w:ilvl="0" w:tplc="08090001">
      <w:start w:val="1"/>
      <w:numFmt w:val="bullet"/>
      <w:lvlText w:val=""/>
      <w:lvlJc w:val="left"/>
      <w:pPr>
        <w:ind w:left="720" w:hanging="360"/>
      </w:pPr>
      <w:rPr>
        <w:rFonts w:ascii="Symbol" w:hAnsi="Symbol" w:hint="default"/>
      </w:rPr>
    </w:lvl>
    <w:lvl w:ilvl="1" w:tplc="0CC2AF04">
      <w:start w:val="1"/>
      <w:numFmt w:val="bullet"/>
      <w:lvlText w:val="·"/>
      <w:lvlJc w:val="left"/>
      <w:pPr>
        <w:ind w:left="1560" w:hanging="480"/>
      </w:pPr>
      <w:rPr>
        <w:rFonts w:ascii="Times New Roman" w:eastAsiaTheme="minorHAnsi" w:hAnsi="Times New Roman" w:cs="Times New Roman" w:hint="default"/>
        <w:b w:val="0"/>
        <w:u w:val="no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7868A8"/>
    <w:multiLevelType w:val="hybridMultilevel"/>
    <w:tmpl w:val="7F74ED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
  </w:num>
  <w:num w:numId="2">
    <w:abstractNumId w:val="5"/>
  </w:num>
  <w:num w:numId="3">
    <w:abstractNumId w:val="0"/>
  </w:num>
  <w:num w:numId="4">
    <w:abstractNumId w:val="7"/>
  </w:num>
  <w:num w:numId="5">
    <w:abstractNumId w:val="4"/>
  </w:num>
  <w:num w:numId="6">
    <w:abstractNumId w:val="8"/>
  </w:num>
  <w:num w:numId="7">
    <w:abstractNumId w:val="6"/>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484"/>
    <w:rsid w:val="00081726"/>
    <w:rsid w:val="00083D53"/>
    <w:rsid w:val="00091DF7"/>
    <w:rsid w:val="000A7A9F"/>
    <w:rsid w:val="0016275B"/>
    <w:rsid w:val="001A617F"/>
    <w:rsid w:val="0028409F"/>
    <w:rsid w:val="00343459"/>
    <w:rsid w:val="00393C70"/>
    <w:rsid w:val="00402572"/>
    <w:rsid w:val="0040552A"/>
    <w:rsid w:val="00500925"/>
    <w:rsid w:val="005309FB"/>
    <w:rsid w:val="00550E27"/>
    <w:rsid w:val="00560484"/>
    <w:rsid w:val="0068389A"/>
    <w:rsid w:val="00697FF5"/>
    <w:rsid w:val="006C2E4E"/>
    <w:rsid w:val="006E45AC"/>
    <w:rsid w:val="00800AB5"/>
    <w:rsid w:val="00805B6B"/>
    <w:rsid w:val="00811CE2"/>
    <w:rsid w:val="008D1D86"/>
    <w:rsid w:val="00916CFA"/>
    <w:rsid w:val="009A3444"/>
    <w:rsid w:val="00A17311"/>
    <w:rsid w:val="00A531F8"/>
    <w:rsid w:val="00AA4E7B"/>
    <w:rsid w:val="00AF01BF"/>
    <w:rsid w:val="00BA027F"/>
    <w:rsid w:val="00C64CAB"/>
    <w:rsid w:val="00DD026A"/>
    <w:rsid w:val="00DE54C2"/>
    <w:rsid w:val="00DF01AF"/>
    <w:rsid w:val="00DF78AA"/>
    <w:rsid w:val="00E50752"/>
    <w:rsid w:val="00E627A4"/>
    <w:rsid w:val="00E712C5"/>
    <w:rsid w:val="00EE7341"/>
    <w:rsid w:val="00F2022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60579"/>
  <w15:chartTrackingRefBased/>
  <w15:docId w15:val="{4755634D-1257-B146-8D65-66BFC816B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7A9F"/>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0484"/>
    <w:rPr>
      <w:color w:val="0000FF"/>
      <w:u w:val="single"/>
    </w:rPr>
  </w:style>
  <w:style w:type="paragraph" w:styleId="Header">
    <w:name w:val="header"/>
    <w:basedOn w:val="Normal"/>
    <w:link w:val="HeaderChar"/>
    <w:uiPriority w:val="99"/>
    <w:unhideWhenUsed/>
    <w:rsid w:val="00560484"/>
    <w:pPr>
      <w:tabs>
        <w:tab w:val="center" w:pos="4513"/>
        <w:tab w:val="right" w:pos="9026"/>
      </w:tabs>
    </w:pPr>
  </w:style>
  <w:style w:type="character" w:customStyle="1" w:styleId="HeaderChar">
    <w:name w:val="Header Char"/>
    <w:basedOn w:val="DefaultParagraphFont"/>
    <w:link w:val="Header"/>
    <w:uiPriority w:val="99"/>
    <w:rsid w:val="00560484"/>
  </w:style>
  <w:style w:type="paragraph" w:styleId="Footer">
    <w:name w:val="footer"/>
    <w:basedOn w:val="Normal"/>
    <w:link w:val="FooterChar"/>
    <w:uiPriority w:val="99"/>
    <w:unhideWhenUsed/>
    <w:rsid w:val="00560484"/>
    <w:pPr>
      <w:tabs>
        <w:tab w:val="center" w:pos="4513"/>
        <w:tab w:val="right" w:pos="9026"/>
      </w:tabs>
    </w:pPr>
  </w:style>
  <w:style w:type="character" w:customStyle="1" w:styleId="FooterChar">
    <w:name w:val="Footer Char"/>
    <w:basedOn w:val="DefaultParagraphFont"/>
    <w:link w:val="Footer"/>
    <w:uiPriority w:val="99"/>
    <w:rsid w:val="00560484"/>
  </w:style>
  <w:style w:type="character" w:styleId="PageNumber">
    <w:name w:val="page number"/>
    <w:basedOn w:val="DefaultParagraphFont"/>
    <w:uiPriority w:val="99"/>
    <w:semiHidden/>
    <w:unhideWhenUsed/>
    <w:rsid w:val="00A17311"/>
  </w:style>
  <w:style w:type="paragraph" w:styleId="BalloonText">
    <w:name w:val="Balloon Text"/>
    <w:basedOn w:val="Normal"/>
    <w:link w:val="BalloonTextChar"/>
    <w:uiPriority w:val="99"/>
    <w:semiHidden/>
    <w:unhideWhenUsed/>
    <w:rsid w:val="00A17311"/>
    <w:rPr>
      <w:sz w:val="18"/>
      <w:szCs w:val="18"/>
    </w:rPr>
  </w:style>
  <w:style w:type="character" w:customStyle="1" w:styleId="BalloonTextChar">
    <w:name w:val="Balloon Text Char"/>
    <w:basedOn w:val="DefaultParagraphFont"/>
    <w:link w:val="BalloonText"/>
    <w:uiPriority w:val="99"/>
    <w:semiHidden/>
    <w:rsid w:val="00A17311"/>
    <w:rPr>
      <w:rFonts w:ascii="Times New Roman" w:hAnsi="Times New Roman" w:cs="Times New Roman"/>
      <w:sz w:val="18"/>
      <w:szCs w:val="18"/>
    </w:rPr>
  </w:style>
  <w:style w:type="paragraph" w:styleId="NormalWeb">
    <w:name w:val="Normal (Web)"/>
    <w:basedOn w:val="Normal"/>
    <w:uiPriority w:val="99"/>
    <w:unhideWhenUsed/>
    <w:rsid w:val="00A17311"/>
    <w:pPr>
      <w:spacing w:before="100" w:beforeAutospacing="1" w:after="100" w:afterAutospacing="1"/>
    </w:pPr>
  </w:style>
  <w:style w:type="paragraph" w:styleId="FootnoteText">
    <w:name w:val="footnote text"/>
    <w:basedOn w:val="Normal"/>
    <w:link w:val="FootnoteTextChar"/>
    <w:uiPriority w:val="99"/>
    <w:semiHidden/>
    <w:unhideWhenUsed/>
    <w:rsid w:val="00A17311"/>
    <w:rPr>
      <w:sz w:val="20"/>
      <w:szCs w:val="20"/>
    </w:rPr>
  </w:style>
  <w:style w:type="character" w:customStyle="1" w:styleId="FootnoteTextChar">
    <w:name w:val="Footnote Text Char"/>
    <w:basedOn w:val="DefaultParagraphFont"/>
    <w:link w:val="FootnoteText"/>
    <w:uiPriority w:val="99"/>
    <w:semiHidden/>
    <w:rsid w:val="00A17311"/>
    <w:rPr>
      <w:sz w:val="20"/>
      <w:szCs w:val="20"/>
    </w:rPr>
  </w:style>
  <w:style w:type="character" w:styleId="FootnoteReference">
    <w:name w:val="footnote reference"/>
    <w:basedOn w:val="DefaultParagraphFont"/>
    <w:uiPriority w:val="99"/>
    <w:semiHidden/>
    <w:unhideWhenUsed/>
    <w:rsid w:val="00A17311"/>
    <w:rPr>
      <w:vertAlign w:val="superscript"/>
    </w:rPr>
  </w:style>
  <w:style w:type="paragraph" w:styleId="ListParagraph">
    <w:name w:val="List Paragraph"/>
    <w:basedOn w:val="Normal"/>
    <w:uiPriority w:val="34"/>
    <w:qFormat/>
    <w:rsid w:val="00A17311"/>
    <w:pPr>
      <w:ind w:left="720"/>
      <w:contextualSpacing/>
    </w:pPr>
    <w:rPr>
      <w:rFonts w:eastAsiaTheme="minorEastAsia"/>
      <w:lang w:val="en-US" w:eastAsia="zh-CN"/>
    </w:rPr>
  </w:style>
  <w:style w:type="character" w:customStyle="1" w:styleId="apple-converted-space">
    <w:name w:val="apple-converted-space"/>
    <w:basedOn w:val="DefaultParagraphFont"/>
    <w:rsid w:val="000A7A9F"/>
  </w:style>
  <w:style w:type="character" w:styleId="FollowedHyperlink">
    <w:name w:val="FollowedHyperlink"/>
    <w:basedOn w:val="DefaultParagraphFont"/>
    <w:uiPriority w:val="99"/>
    <w:semiHidden/>
    <w:unhideWhenUsed/>
    <w:rsid w:val="00916CFA"/>
    <w:rPr>
      <w:color w:val="954F72" w:themeColor="followedHyperlink"/>
      <w:u w:val="single"/>
    </w:rPr>
  </w:style>
  <w:style w:type="character" w:customStyle="1" w:styleId="amd2">
    <w:name w:val="amd2"/>
    <w:basedOn w:val="DefaultParagraphFont"/>
    <w:rsid w:val="0028409F"/>
  </w:style>
  <w:style w:type="paragraph" w:customStyle="1" w:styleId="subpara1">
    <w:name w:val="subpara1"/>
    <w:basedOn w:val="Normal"/>
    <w:rsid w:val="0028409F"/>
    <w:pPr>
      <w:spacing w:before="100" w:beforeAutospacing="1" w:after="100" w:afterAutospacing="1"/>
    </w:pPr>
  </w:style>
  <w:style w:type="character" w:customStyle="1" w:styleId="UnresolvedMention">
    <w:name w:val="Unresolved Mention"/>
    <w:basedOn w:val="DefaultParagraphFont"/>
    <w:uiPriority w:val="99"/>
    <w:semiHidden/>
    <w:unhideWhenUsed/>
    <w:rsid w:val="00E627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619570">
      <w:bodyDiv w:val="1"/>
      <w:marLeft w:val="0"/>
      <w:marRight w:val="0"/>
      <w:marTop w:val="0"/>
      <w:marBottom w:val="0"/>
      <w:divBdr>
        <w:top w:val="none" w:sz="0" w:space="0" w:color="auto"/>
        <w:left w:val="none" w:sz="0" w:space="0" w:color="auto"/>
        <w:bottom w:val="none" w:sz="0" w:space="0" w:color="auto"/>
        <w:right w:val="none" w:sz="0" w:space="0" w:color="auto"/>
      </w:divBdr>
    </w:div>
    <w:div w:id="170071263">
      <w:bodyDiv w:val="1"/>
      <w:marLeft w:val="0"/>
      <w:marRight w:val="0"/>
      <w:marTop w:val="0"/>
      <w:marBottom w:val="0"/>
      <w:divBdr>
        <w:top w:val="none" w:sz="0" w:space="0" w:color="auto"/>
        <w:left w:val="none" w:sz="0" w:space="0" w:color="auto"/>
        <w:bottom w:val="none" w:sz="0" w:space="0" w:color="auto"/>
        <w:right w:val="none" w:sz="0" w:space="0" w:color="auto"/>
      </w:divBdr>
    </w:div>
    <w:div w:id="192622966">
      <w:bodyDiv w:val="1"/>
      <w:marLeft w:val="0"/>
      <w:marRight w:val="0"/>
      <w:marTop w:val="0"/>
      <w:marBottom w:val="0"/>
      <w:divBdr>
        <w:top w:val="none" w:sz="0" w:space="0" w:color="auto"/>
        <w:left w:val="none" w:sz="0" w:space="0" w:color="auto"/>
        <w:bottom w:val="none" w:sz="0" w:space="0" w:color="auto"/>
        <w:right w:val="none" w:sz="0" w:space="0" w:color="auto"/>
      </w:divBdr>
    </w:div>
    <w:div w:id="210769284">
      <w:bodyDiv w:val="1"/>
      <w:marLeft w:val="0"/>
      <w:marRight w:val="0"/>
      <w:marTop w:val="0"/>
      <w:marBottom w:val="0"/>
      <w:divBdr>
        <w:top w:val="none" w:sz="0" w:space="0" w:color="auto"/>
        <w:left w:val="none" w:sz="0" w:space="0" w:color="auto"/>
        <w:bottom w:val="none" w:sz="0" w:space="0" w:color="auto"/>
        <w:right w:val="none" w:sz="0" w:space="0" w:color="auto"/>
      </w:divBdr>
      <w:divsChild>
        <w:div w:id="282007944">
          <w:marLeft w:val="0"/>
          <w:marRight w:val="0"/>
          <w:marTop w:val="0"/>
          <w:marBottom w:val="0"/>
          <w:divBdr>
            <w:top w:val="none" w:sz="0" w:space="0" w:color="auto"/>
            <w:left w:val="none" w:sz="0" w:space="0" w:color="auto"/>
            <w:bottom w:val="none" w:sz="0" w:space="0" w:color="auto"/>
            <w:right w:val="none" w:sz="0" w:space="0" w:color="auto"/>
          </w:divBdr>
          <w:divsChild>
            <w:div w:id="1038356812">
              <w:marLeft w:val="0"/>
              <w:marRight w:val="0"/>
              <w:marTop w:val="0"/>
              <w:marBottom w:val="0"/>
              <w:divBdr>
                <w:top w:val="none" w:sz="0" w:space="0" w:color="auto"/>
                <w:left w:val="none" w:sz="0" w:space="0" w:color="auto"/>
                <w:bottom w:val="none" w:sz="0" w:space="0" w:color="auto"/>
                <w:right w:val="none" w:sz="0" w:space="0" w:color="auto"/>
              </w:divBdr>
              <w:divsChild>
                <w:div w:id="78927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366258">
      <w:bodyDiv w:val="1"/>
      <w:marLeft w:val="0"/>
      <w:marRight w:val="0"/>
      <w:marTop w:val="0"/>
      <w:marBottom w:val="0"/>
      <w:divBdr>
        <w:top w:val="none" w:sz="0" w:space="0" w:color="auto"/>
        <w:left w:val="none" w:sz="0" w:space="0" w:color="auto"/>
        <w:bottom w:val="none" w:sz="0" w:space="0" w:color="auto"/>
        <w:right w:val="none" w:sz="0" w:space="0" w:color="auto"/>
      </w:divBdr>
      <w:divsChild>
        <w:div w:id="1183669905">
          <w:marLeft w:val="0"/>
          <w:marRight w:val="0"/>
          <w:marTop w:val="0"/>
          <w:marBottom w:val="0"/>
          <w:divBdr>
            <w:top w:val="none" w:sz="0" w:space="0" w:color="auto"/>
            <w:left w:val="none" w:sz="0" w:space="0" w:color="auto"/>
            <w:bottom w:val="none" w:sz="0" w:space="0" w:color="auto"/>
            <w:right w:val="none" w:sz="0" w:space="0" w:color="auto"/>
          </w:divBdr>
          <w:divsChild>
            <w:div w:id="1439713891">
              <w:marLeft w:val="0"/>
              <w:marRight w:val="0"/>
              <w:marTop w:val="0"/>
              <w:marBottom w:val="0"/>
              <w:divBdr>
                <w:top w:val="none" w:sz="0" w:space="0" w:color="auto"/>
                <w:left w:val="none" w:sz="0" w:space="0" w:color="auto"/>
                <w:bottom w:val="none" w:sz="0" w:space="0" w:color="auto"/>
                <w:right w:val="none" w:sz="0" w:space="0" w:color="auto"/>
              </w:divBdr>
              <w:divsChild>
                <w:div w:id="1240947577">
                  <w:marLeft w:val="0"/>
                  <w:marRight w:val="0"/>
                  <w:marTop w:val="0"/>
                  <w:marBottom w:val="0"/>
                  <w:divBdr>
                    <w:top w:val="none" w:sz="0" w:space="0" w:color="auto"/>
                    <w:left w:val="none" w:sz="0" w:space="0" w:color="auto"/>
                    <w:bottom w:val="none" w:sz="0" w:space="0" w:color="auto"/>
                    <w:right w:val="none" w:sz="0" w:space="0" w:color="auto"/>
                  </w:divBdr>
                  <w:divsChild>
                    <w:div w:id="56290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422905">
      <w:bodyDiv w:val="1"/>
      <w:marLeft w:val="0"/>
      <w:marRight w:val="0"/>
      <w:marTop w:val="0"/>
      <w:marBottom w:val="0"/>
      <w:divBdr>
        <w:top w:val="none" w:sz="0" w:space="0" w:color="auto"/>
        <w:left w:val="none" w:sz="0" w:space="0" w:color="auto"/>
        <w:bottom w:val="none" w:sz="0" w:space="0" w:color="auto"/>
        <w:right w:val="none" w:sz="0" w:space="0" w:color="auto"/>
      </w:divBdr>
    </w:div>
    <w:div w:id="523983766">
      <w:bodyDiv w:val="1"/>
      <w:marLeft w:val="0"/>
      <w:marRight w:val="0"/>
      <w:marTop w:val="0"/>
      <w:marBottom w:val="0"/>
      <w:divBdr>
        <w:top w:val="none" w:sz="0" w:space="0" w:color="auto"/>
        <w:left w:val="none" w:sz="0" w:space="0" w:color="auto"/>
        <w:bottom w:val="none" w:sz="0" w:space="0" w:color="auto"/>
        <w:right w:val="none" w:sz="0" w:space="0" w:color="auto"/>
      </w:divBdr>
    </w:div>
    <w:div w:id="567232337">
      <w:bodyDiv w:val="1"/>
      <w:marLeft w:val="0"/>
      <w:marRight w:val="0"/>
      <w:marTop w:val="0"/>
      <w:marBottom w:val="0"/>
      <w:divBdr>
        <w:top w:val="none" w:sz="0" w:space="0" w:color="auto"/>
        <w:left w:val="none" w:sz="0" w:space="0" w:color="auto"/>
        <w:bottom w:val="none" w:sz="0" w:space="0" w:color="auto"/>
        <w:right w:val="none" w:sz="0" w:space="0" w:color="auto"/>
      </w:divBdr>
    </w:div>
    <w:div w:id="577910728">
      <w:bodyDiv w:val="1"/>
      <w:marLeft w:val="0"/>
      <w:marRight w:val="0"/>
      <w:marTop w:val="0"/>
      <w:marBottom w:val="0"/>
      <w:divBdr>
        <w:top w:val="none" w:sz="0" w:space="0" w:color="auto"/>
        <w:left w:val="none" w:sz="0" w:space="0" w:color="auto"/>
        <w:bottom w:val="none" w:sz="0" w:space="0" w:color="auto"/>
        <w:right w:val="none" w:sz="0" w:space="0" w:color="auto"/>
      </w:divBdr>
      <w:divsChild>
        <w:div w:id="174807544">
          <w:marLeft w:val="0"/>
          <w:marRight w:val="0"/>
          <w:marTop w:val="0"/>
          <w:marBottom w:val="0"/>
          <w:divBdr>
            <w:top w:val="none" w:sz="0" w:space="0" w:color="auto"/>
            <w:left w:val="none" w:sz="0" w:space="0" w:color="auto"/>
            <w:bottom w:val="none" w:sz="0" w:space="0" w:color="auto"/>
            <w:right w:val="none" w:sz="0" w:space="0" w:color="auto"/>
          </w:divBdr>
          <w:divsChild>
            <w:div w:id="733311264">
              <w:marLeft w:val="0"/>
              <w:marRight w:val="0"/>
              <w:marTop w:val="0"/>
              <w:marBottom w:val="0"/>
              <w:divBdr>
                <w:top w:val="none" w:sz="0" w:space="0" w:color="auto"/>
                <w:left w:val="none" w:sz="0" w:space="0" w:color="auto"/>
                <w:bottom w:val="none" w:sz="0" w:space="0" w:color="auto"/>
                <w:right w:val="none" w:sz="0" w:space="0" w:color="auto"/>
              </w:divBdr>
              <w:divsChild>
                <w:div w:id="201059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800063">
      <w:bodyDiv w:val="1"/>
      <w:marLeft w:val="0"/>
      <w:marRight w:val="0"/>
      <w:marTop w:val="0"/>
      <w:marBottom w:val="0"/>
      <w:divBdr>
        <w:top w:val="none" w:sz="0" w:space="0" w:color="auto"/>
        <w:left w:val="none" w:sz="0" w:space="0" w:color="auto"/>
        <w:bottom w:val="none" w:sz="0" w:space="0" w:color="auto"/>
        <w:right w:val="none" w:sz="0" w:space="0" w:color="auto"/>
      </w:divBdr>
    </w:div>
    <w:div w:id="698894368">
      <w:bodyDiv w:val="1"/>
      <w:marLeft w:val="0"/>
      <w:marRight w:val="0"/>
      <w:marTop w:val="0"/>
      <w:marBottom w:val="0"/>
      <w:divBdr>
        <w:top w:val="none" w:sz="0" w:space="0" w:color="auto"/>
        <w:left w:val="none" w:sz="0" w:space="0" w:color="auto"/>
        <w:bottom w:val="none" w:sz="0" w:space="0" w:color="auto"/>
        <w:right w:val="none" w:sz="0" w:space="0" w:color="auto"/>
      </w:divBdr>
    </w:div>
    <w:div w:id="733815668">
      <w:bodyDiv w:val="1"/>
      <w:marLeft w:val="0"/>
      <w:marRight w:val="0"/>
      <w:marTop w:val="0"/>
      <w:marBottom w:val="0"/>
      <w:divBdr>
        <w:top w:val="none" w:sz="0" w:space="0" w:color="auto"/>
        <w:left w:val="none" w:sz="0" w:space="0" w:color="auto"/>
        <w:bottom w:val="none" w:sz="0" w:space="0" w:color="auto"/>
        <w:right w:val="none" w:sz="0" w:space="0" w:color="auto"/>
      </w:divBdr>
    </w:div>
    <w:div w:id="743800360">
      <w:bodyDiv w:val="1"/>
      <w:marLeft w:val="0"/>
      <w:marRight w:val="0"/>
      <w:marTop w:val="0"/>
      <w:marBottom w:val="0"/>
      <w:divBdr>
        <w:top w:val="none" w:sz="0" w:space="0" w:color="auto"/>
        <w:left w:val="none" w:sz="0" w:space="0" w:color="auto"/>
        <w:bottom w:val="none" w:sz="0" w:space="0" w:color="auto"/>
        <w:right w:val="none" w:sz="0" w:space="0" w:color="auto"/>
      </w:divBdr>
    </w:div>
    <w:div w:id="745225985">
      <w:bodyDiv w:val="1"/>
      <w:marLeft w:val="0"/>
      <w:marRight w:val="0"/>
      <w:marTop w:val="0"/>
      <w:marBottom w:val="0"/>
      <w:divBdr>
        <w:top w:val="none" w:sz="0" w:space="0" w:color="auto"/>
        <w:left w:val="none" w:sz="0" w:space="0" w:color="auto"/>
        <w:bottom w:val="none" w:sz="0" w:space="0" w:color="auto"/>
        <w:right w:val="none" w:sz="0" w:space="0" w:color="auto"/>
      </w:divBdr>
    </w:div>
    <w:div w:id="760762058">
      <w:bodyDiv w:val="1"/>
      <w:marLeft w:val="0"/>
      <w:marRight w:val="0"/>
      <w:marTop w:val="0"/>
      <w:marBottom w:val="0"/>
      <w:divBdr>
        <w:top w:val="none" w:sz="0" w:space="0" w:color="auto"/>
        <w:left w:val="none" w:sz="0" w:space="0" w:color="auto"/>
        <w:bottom w:val="none" w:sz="0" w:space="0" w:color="auto"/>
        <w:right w:val="none" w:sz="0" w:space="0" w:color="auto"/>
      </w:divBdr>
      <w:divsChild>
        <w:div w:id="1745298885">
          <w:marLeft w:val="0"/>
          <w:marRight w:val="0"/>
          <w:marTop w:val="0"/>
          <w:marBottom w:val="0"/>
          <w:divBdr>
            <w:top w:val="none" w:sz="0" w:space="0" w:color="auto"/>
            <w:left w:val="none" w:sz="0" w:space="0" w:color="auto"/>
            <w:bottom w:val="none" w:sz="0" w:space="0" w:color="auto"/>
            <w:right w:val="none" w:sz="0" w:space="0" w:color="auto"/>
          </w:divBdr>
          <w:divsChild>
            <w:div w:id="649554287">
              <w:marLeft w:val="0"/>
              <w:marRight w:val="0"/>
              <w:marTop w:val="0"/>
              <w:marBottom w:val="0"/>
              <w:divBdr>
                <w:top w:val="none" w:sz="0" w:space="0" w:color="auto"/>
                <w:left w:val="none" w:sz="0" w:space="0" w:color="auto"/>
                <w:bottom w:val="none" w:sz="0" w:space="0" w:color="auto"/>
                <w:right w:val="none" w:sz="0" w:space="0" w:color="auto"/>
              </w:divBdr>
              <w:divsChild>
                <w:div w:id="1622493600">
                  <w:marLeft w:val="0"/>
                  <w:marRight w:val="0"/>
                  <w:marTop w:val="0"/>
                  <w:marBottom w:val="0"/>
                  <w:divBdr>
                    <w:top w:val="none" w:sz="0" w:space="0" w:color="auto"/>
                    <w:left w:val="none" w:sz="0" w:space="0" w:color="auto"/>
                    <w:bottom w:val="none" w:sz="0" w:space="0" w:color="auto"/>
                    <w:right w:val="none" w:sz="0" w:space="0" w:color="auto"/>
                  </w:divBdr>
                  <w:divsChild>
                    <w:div w:id="1928227810">
                      <w:marLeft w:val="0"/>
                      <w:marRight w:val="0"/>
                      <w:marTop w:val="120"/>
                      <w:marBottom w:val="0"/>
                      <w:divBdr>
                        <w:top w:val="none" w:sz="0" w:space="0" w:color="auto"/>
                        <w:left w:val="none" w:sz="0" w:space="0" w:color="auto"/>
                        <w:bottom w:val="none" w:sz="0" w:space="0" w:color="auto"/>
                        <w:right w:val="none" w:sz="0" w:space="0" w:color="auto"/>
                      </w:divBdr>
                      <w:divsChild>
                        <w:div w:id="598946072">
                          <w:marLeft w:val="0"/>
                          <w:marRight w:val="0"/>
                          <w:marTop w:val="0"/>
                          <w:marBottom w:val="0"/>
                          <w:divBdr>
                            <w:top w:val="none" w:sz="0" w:space="0" w:color="auto"/>
                            <w:left w:val="none" w:sz="0" w:space="0" w:color="auto"/>
                            <w:bottom w:val="none" w:sz="0" w:space="0" w:color="auto"/>
                            <w:right w:val="none" w:sz="0" w:space="0" w:color="auto"/>
                          </w:divBdr>
                          <w:divsChild>
                            <w:div w:id="1746344469">
                              <w:marLeft w:val="0"/>
                              <w:marRight w:val="0"/>
                              <w:marTop w:val="0"/>
                              <w:marBottom w:val="0"/>
                              <w:divBdr>
                                <w:top w:val="none" w:sz="0" w:space="0" w:color="auto"/>
                                <w:left w:val="none" w:sz="0" w:space="0" w:color="auto"/>
                                <w:bottom w:val="none" w:sz="0" w:space="0" w:color="auto"/>
                                <w:right w:val="none" w:sz="0" w:space="0" w:color="auto"/>
                              </w:divBdr>
                              <w:divsChild>
                                <w:div w:id="76881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60103">
          <w:marLeft w:val="0"/>
          <w:marRight w:val="0"/>
          <w:marTop w:val="0"/>
          <w:marBottom w:val="0"/>
          <w:divBdr>
            <w:top w:val="none" w:sz="0" w:space="0" w:color="auto"/>
            <w:left w:val="none" w:sz="0" w:space="0" w:color="auto"/>
            <w:bottom w:val="none" w:sz="0" w:space="0" w:color="auto"/>
            <w:right w:val="none" w:sz="0" w:space="0" w:color="auto"/>
          </w:divBdr>
          <w:divsChild>
            <w:div w:id="264071372">
              <w:marLeft w:val="0"/>
              <w:marRight w:val="0"/>
              <w:marTop w:val="0"/>
              <w:marBottom w:val="0"/>
              <w:divBdr>
                <w:top w:val="none" w:sz="0" w:space="0" w:color="auto"/>
                <w:left w:val="none" w:sz="0" w:space="0" w:color="auto"/>
                <w:bottom w:val="none" w:sz="0" w:space="0" w:color="auto"/>
                <w:right w:val="none" w:sz="0" w:space="0" w:color="auto"/>
              </w:divBdr>
              <w:divsChild>
                <w:div w:id="47908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702386">
      <w:bodyDiv w:val="1"/>
      <w:marLeft w:val="0"/>
      <w:marRight w:val="0"/>
      <w:marTop w:val="0"/>
      <w:marBottom w:val="0"/>
      <w:divBdr>
        <w:top w:val="none" w:sz="0" w:space="0" w:color="auto"/>
        <w:left w:val="none" w:sz="0" w:space="0" w:color="auto"/>
        <w:bottom w:val="none" w:sz="0" w:space="0" w:color="auto"/>
        <w:right w:val="none" w:sz="0" w:space="0" w:color="auto"/>
      </w:divBdr>
    </w:div>
    <w:div w:id="977877294">
      <w:bodyDiv w:val="1"/>
      <w:marLeft w:val="0"/>
      <w:marRight w:val="0"/>
      <w:marTop w:val="0"/>
      <w:marBottom w:val="0"/>
      <w:divBdr>
        <w:top w:val="none" w:sz="0" w:space="0" w:color="auto"/>
        <w:left w:val="none" w:sz="0" w:space="0" w:color="auto"/>
        <w:bottom w:val="none" w:sz="0" w:space="0" w:color="auto"/>
        <w:right w:val="none" w:sz="0" w:space="0" w:color="auto"/>
      </w:divBdr>
    </w:div>
    <w:div w:id="1030570020">
      <w:bodyDiv w:val="1"/>
      <w:marLeft w:val="0"/>
      <w:marRight w:val="0"/>
      <w:marTop w:val="0"/>
      <w:marBottom w:val="0"/>
      <w:divBdr>
        <w:top w:val="none" w:sz="0" w:space="0" w:color="auto"/>
        <w:left w:val="none" w:sz="0" w:space="0" w:color="auto"/>
        <w:bottom w:val="none" w:sz="0" w:space="0" w:color="auto"/>
        <w:right w:val="none" w:sz="0" w:space="0" w:color="auto"/>
      </w:divBdr>
    </w:div>
    <w:div w:id="1033842072">
      <w:bodyDiv w:val="1"/>
      <w:marLeft w:val="0"/>
      <w:marRight w:val="0"/>
      <w:marTop w:val="0"/>
      <w:marBottom w:val="0"/>
      <w:divBdr>
        <w:top w:val="none" w:sz="0" w:space="0" w:color="auto"/>
        <w:left w:val="none" w:sz="0" w:space="0" w:color="auto"/>
        <w:bottom w:val="none" w:sz="0" w:space="0" w:color="auto"/>
        <w:right w:val="none" w:sz="0" w:space="0" w:color="auto"/>
      </w:divBdr>
    </w:div>
    <w:div w:id="1110127132">
      <w:bodyDiv w:val="1"/>
      <w:marLeft w:val="0"/>
      <w:marRight w:val="0"/>
      <w:marTop w:val="0"/>
      <w:marBottom w:val="0"/>
      <w:divBdr>
        <w:top w:val="none" w:sz="0" w:space="0" w:color="auto"/>
        <w:left w:val="none" w:sz="0" w:space="0" w:color="auto"/>
        <w:bottom w:val="none" w:sz="0" w:space="0" w:color="auto"/>
        <w:right w:val="none" w:sz="0" w:space="0" w:color="auto"/>
      </w:divBdr>
    </w:div>
    <w:div w:id="1218780727">
      <w:bodyDiv w:val="1"/>
      <w:marLeft w:val="0"/>
      <w:marRight w:val="0"/>
      <w:marTop w:val="0"/>
      <w:marBottom w:val="0"/>
      <w:divBdr>
        <w:top w:val="none" w:sz="0" w:space="0" w:color="auto"/>
        <w:left w:val="none" w:sz="0" w:space="0" w:color="auto"/>
        <w:bottom w:val="none" w:sz="0" w:space="0" w:color="auto"/>
        <w:right w:val="none" w:sz="0" w:space="0" w:color="auto"/>
      </w:divBdr>
    </w:div>
    <w:div w:id="1305965100">
      <w:bodyDiv w:val="1"/>
      <w:marLeft w:val="0"/>
      <w:marRight w:val="0"/>
      <w:marTop w:val="0"/>
      <w:marBottom w:val="0"/>
      <w:divBdr>
        <w:top w:val="none" w:sz="0" w:space="0" w:color="auto"/>
        <w:left w:val="none" w:sz="0" w:space="0" w:color="auto"/>
        <w:bottom w:val="none" w:sz="0" w:space="0" w:color="auto"/>
        <w:right w:val="none" w:sz="0" w:space="0" w:color="auto"/>
      </w:divBdr>
    </w:div>
    <w:div w:id="1323123605">
      <w:bodyDiv w:val="1"/>
      <w:marLeft w:val="0"/>
      <w:marRight w:val="0"/>
      <w:marTop w:val="0"/>
      <w:marBottom w:val="0"/>
      <w:divBdr>
        <w:top w:val="none" w:sz="0" w:space="0" w:color="auto"/>
        <w:left w:val="none" w:sz="0" w:space="0" w:color="auto"/>
        <w:bottom w:val="none" w:sz="0" w:space="0" w:color="auto"/>
        <w:right w:val="none" w:sz="0" w:space="0" w:color="auto"/>
      </w:divBdr>
      <w:divsChild>
        <w:div w:id="902252748">
          <w:marLeft w:val="0"/>
          <w:marRight w:val="0"/>
          <w:marTop w:val="0"/>
          <w:marBottom w:val="0"/>
          <w:divBdr>
            <w:top w:val="none" w:sz="0" w:space="0" w:color="auto"/>
            <w:left w:val="none" w:sz="0" w:space="0" w:color="auto"/>
            <w:bottom w:val="none" w:sz="0" w:space="0" w:color="auto"/>
            <w:right w:val="none" w:sz="0" w:space="0" w:color="auto"/>
          </w:divBdr>
        </w:div>
        <w:div w:id="373699846">
          <w:marLeft w:val="0"/>
          <w:marRight w:val="0"/>
          <w:marTop w:val="0"/>
          <w:marBottom w:val="0"/>
          <w:divBdr>
            <w:top w:val="none" w:sz="0" w:space="0" w:color="auto"/>
            <w:left w:val="none" w:sz="0" w:space="0" w:color="auto"/>
            <w:bottom w:val="none" w:sz="0" w:space="0" w:color="auto"/>
            <w:right w:val="none" w:sz="0" w:space="0" w:color="auto"/>
          </w:divBdr>
          <w:divsChild>
            <w:div w:id="62140870">
              <w:marLeft w:val="0"/>
              <w:marRight w:val="0"/>
              <w:marTop w:val="0"/>
              <w:marBottom w:val="0"/>
              <w:divBdr>
                <w:top w:val="none" w:sz="0" w:space="0" w:color="auto"/>
                <w:left w:val="none" w:sz="0" w:space="0" w:color="auto"/>
                <w:bottom w:val="none" w:sz="0" w:space="0" w:color="auto"/>
                <w:right w:val="none" w:sz="0" w:space="0" w:color="auto"/>
              </w:divBdr>
              <w:divsChild>
                <w:div w:id="2055233372">
                  <w:marLeft w:val="0"/>
                  <w:marRight w:val="0"/>
                  <w:marTop w:val="0"/>
                  <w:marBottom w:val="0"/>
                  <w:divBdr>
                    <w:top w:val="none" w:sz="0" w:space="0" w:color="auto"/>
                    <w:left w:val="none" w:sz="0" w:space="0" w:color="auto"/>
                    <w:bottom w:val="none" w:sz="0" w:space="0" w:color="auto"/>
                    <w:right w:val="none" w:sz="0" w:space="0" w:color="auto"/>
                  </w:divBdr>
                  <w:divsChild>
                    <w:div w:id="2098793179">
                      <w:marLeft w:val="0"/>
                      <w:marRight w:val="0"/>
                      <w:marTop w:val="0"/>
                      <w:marBottom w:val="0"/>
                      <w:divBdr>
                        <w:top w:val="none" w:sz="0" w:space="0" w:color="auto"/>
                        <w:left w:val="none" w:sz="0" w:space="0" w:color="auto"/>
                        <w:bottom w:val="none" w:sz="0" w:space="0" w:color="auto"/>
                        <w:right w:val="none" w:sz="0" w:space="0" w:color="auto"/>
                      </w:divBdr>
                      <w:divsChild>
                        <w:div w:id="11683845">
                          <w:marLeft w:val="0"/>
                          <w:marRight w:val="0"/>
                          <w:marTop w:val="0"/>
                          <w:marBottom w:val="0"/>
                          <w:divBdr>
                            <w:top w:val="none" w:sz="0" w:space="0" w:color="auto"/>
                            <w:left w:val="none" w:sz="0" w:space="0" w:color="auto"/>
                            <w:bottom w:val="none" w:sz="0" w:space="0" w:color="auto"/>
                            <w:right w:val="none" w:sz="0" w:space="0" w:color="auto"/>
                          </w:divBdr>
                          <w:divsChild>
                            <w:div w:id="1936982990">
                              <w:marLeft w:val="0"/>
                              <w:marRight w:val="0"/>
                              <w:marTop w:val="0"/>
                              <w:marBottom w:val="0"/>
                              <w:divBdr>
                                <w:top w:val="none" w:sz="0" w:space="0" w:color="auto"/>
                                <w:left w:val="none" w:sz="0" w:space="0" w:color="auto"/>
                                <w:bottom w:val="none" w:sz="0" w:space="0" w:color="auto"/>
                                <w:right w:val="none" w:sz="0" w:space="0" w:color="auto"/>
                              </w:divBdr>
                              <w:divsChild>
                                <w:div w:id="1402632484">
                                  <w:marLeft w:val="0"/>
                                  <w:marRight w:val="0"/>
                                  <w:marTop w:val="0"/>
                                  <w:marBottom w:val="0"/>
                                  <w:divBdr>
                                    <w:top w:val="none" w:sz="0" w:space="0" w:color="auto"/>
                                    <w:left w:val="none" w:sz="0" w:space="0" w:color="auto"/>
                                    <w:bottom w:val="none" w:sz="0" w:space="0" w:color="auto"/>
                                    <w:right w:val="none" w:sz="0" w:space="0" w:color="auto"/>
                                  </w:divBdr>
                                  <w:divsChild>
                                    <w:div w:id="1832482910">
                                      <w:marLeft w:val="0"/>
                                      <w:marRight w:val="0"/>
                                      <w:marTop w:val="0"/>
                                      <w:marBottom w:val="0"/>
                                      <w:divBdr>
                                        <w:top w:val="none" w:sz="0" w:space="0" w:color="auto"/>
                                        <w:left w:val="none" w:sz="0" w:space="0" w:color="auto"/>
                                        <w:bottom w:val="none" w:sz="0" w:space="0" w:color="auto"/>
                                        <w:right w:val="none" w:sz="0" w:space="0" w:color="auto"/>
                                      </w:divBdr>
                                      <w:divsChild>
                                        <w:div w:id="1641419056">
                                          <w:marLeft w:val="0"/>
                                          <w:marRight w:val="0"/>
                                          <w:marTop w:val="0"/>
                                          <w:marBottom w:val="0"/>
                                          <w:divBdr>
                                            <w:top w:val="none" w:sz="0" w:space="0" w:color="auto"/>
                                            <w:left w:val="none" w:sz="0" w:space="0" w:color="auto"/>
                                            <w:bottom w:val="none" w:sz="0" w:space="0" w:color="auto"/>
                                            <w:right w:val="none" w:sz="0" w:space="0" w:color="auto"/>
                                          </w:divBdr>
                                          <w:divsChild>
                                            <w:div w:id="1254897410">
                                              <w:marLeft w:val="0"/>
                                              <w:marRight w:val="0"/>
                                              <w:marTop w:val="0"/>
                                              <w:marBottom w:val="0"/>
                                              <w:divBdr>
                                                <w:top w:val="none" w:sz="0" w:space="0" w:color="auto"/>
                                                <w:left w:val="none" w:sz="0" w:space="0" w:color="auto"/>
                                                <w:bottom w:val="none" w:sz="0" w:space="0" w:color="auto"/>
                                                <w:right w:val="none" w:sz="0" w:space="0" w:color="auto"/>
                                              </w:divBdr>
                                              <w:divsChild>
                                                <w:div w:id="1362973363">
                                                  <w:marLeft w:val="0"/>
                                                  <w:marRight w:val="0"/>
                                                  <w:marTop w:val="0"/>
                                                  <w:marBottom w:val="0"/>
                                                  <w:divBdr>
                                                    <w:top w:val="none" w:sz="0" w:space="0" w:color="auto"/>
                                                    <w:left w:val="none" w:sz="0" w:space="0" w:color="auto"/>
                                                    <w:bottom w:val="none" w:sz="0" w:space="0" w:color="auto"/>
                                                    <w:right w:val="none" w:sz="0" w:space="0" w:color="auto"/>
                                                  </w:divBdr>
                                                  <w:divsChild>
                                                    <w:div w:id="594293125">
                                                      <w:marLeft w:val="0"/>
                                                      <w:marRight w:val="0"/>
                                                      <w:marTop w:val="0"/>
                                                      <w:marBottom w:val="0"/>
                                                      <w:divBdr>
                                                        <w:top w:val="none" w:sz="0" w:space="0" w:color="auto"/>
                                                        <w:left w:val="none" w:sz="0" w:space="0" w:color="auto"/>
                                                        <w:bottom w:val="none" w:sz="0" w:space="0" w:color="auto"/>
                                                        <w:right w:val="none" w:sz="0" w:space="0" w:color="auto"/>
                                                      </w:divBdr>
                                                      <w:divsChild>
                                                        <w:div w:id="775246621">
                                                          <w:marLeft w:val="0"/>
                                                          <w:marRight w:val="0"/>
                                                          <w:marTop w:val="0"/>
                                                          <w:marBottom w:val="0"/>
                                                          <w:divBdr>
                                                            <w:top w:val="none" w:sz="0" w:space="0" w:color="auto"/>
                                                            <w:left w:val="none" w:sz="0" w:space="0" w:color="auto"/>
                                                            <w:bottom w:val="none" w:sz="0" w:space="0" w:color="auto"/>
                                                            <w:right w:val="none" w:sz="0" w:space="0" w:color="auto"/>
                                                          </w:divBdr>
                                                          <w:divsChild>
                                                            <w:div w:id="134033212">
                                                              <w:marLeft w:val="0"/>
                                                              <w:marRight w:val="0"/>
                                                              <w:marTop w:val="0"/>
                                                              <w:marBottom w:val="0"/>
                                                              <w:divBdr>
                                                                <w:top w:val="none" w:sz="0" w:space="0" w:color="auto"/>
                                                                <w:left w:val="none" w:sz="0" w:space="0" w:color="auto"/>
                                                                <w:bottom w:val="none" w:sz="0" w:space="0" w:color="auto"/>
                                                                <w:right w:val="none" w:sz="0" w:space="0" w:color="auto"/>
                                                              </w:divBdr>
                                                              <w:divsChild>
                                                                <w:div w:id="312564559">
                                                                  <w:marLeft w:val="0"/>
                                                                  <w:marRight w:val="0"/>
                                                                  <w:marTop w:val="0"/>
                                                                  <w:marBottom w:val="0"/>
                                                                  <w:divBdr>
                                                                    <w:top w:val="none" w:sz="0" w:space="0" w:color="auto"/>
                                                                    <w:left w:val="none" w:sz="0" w:space="0" w:color="auto"/>
                                                                    <w:bottom w:val="none" w:sz="0" w:space="0" w:color="auto"/>
                                                                    <w:right w:val="none" w:sz="0" w:space="0" w:color="auto"/>
                                                                  </w:divBdr>
                                                                  <w:divsChild>
                                                                    <w:div w:id="1301955904">
                                                                      <w:marLeft w:val="0"/>
                                                                      <w:marRight w:val="0"/>
                                                                      <w:marTop w:val="0"/>
                                                                      <w:marBottom w:val="0"/>
                                                                      <w:divBdr>
                                                                        <w:top w:val="none" w:sz="0" w:space="0" w:color="auto"/>
                                                                        <w:left w:val="none" w:sz="0" w:space="0" w:color="auto"/>
                                                                        <w:bottom w:val="none" w:sz="0" w:space="0" w:color="auto"/>
                                                                        <w:right w:val="none" w:sz="0" w:space="0" w:color="auto"/>
                                                                      </w:divBdr>
                                                                    </w:div>
                                                                    <w:div w:id="111150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64428026">
      <w:bodyDiv w:val="1"/>
      <w:marLeft w:val="0"/>
      <w:marRight w:val="0"/>
      <w:marTop w:val="0"/>
      <w:marBottom w:val="0"/>
      <w:divBdr>
        <w:top w:val="none" w:sz="0" w:space="0" w:color="auto"/>
        <w:left w:val="none" w:sz="0" w:space="0" w:color="auto"/>
        <w:bottom w:val="none" w:sz="0" w:space="0" w:color="auto"/>
        <w:right w:val="none" w:sz="0" w:space="0" w:color="auto"/>
      </w:divBdr>
      <w:divsChild>
        <w:div w:id="713045728">
          <w:marLeft w:val="0"/>
          <w:marRight w:val="0"/>
          <w:marTop w:val="0"/>
          <w:marBottom w:val="0"/>
          <w:divBdr>
            <w:top w:val="none" w:sz="0" w:space="0" w:color="auto"/>
            <w:left w:val="none" w:sz="0" w:space="0" w:color="auto"/>
            <w:bottom w:val="none" w:sz="0" w:space="0" w:color="auto"/>
            <w:right w:val="none" w:sz="0" w:space="0" w:color="auto"/>
          </w:divBdr>
        </w:div>
        <w:div w:id="963460400">
          <w:marLeft w:val="0"/>
          <w:marRight w:val="0"/>
          <w:marTop w:val="0"/>
          <w:marBottom w:val="0"/>
          <w:divBdr>
            <w:top w:val="none" w:sz="0" w:space="0" w:color="auto"/>
            <w:left w:val="none" w:sz="0" w:space="0" w:color="auto"/>
            <w:bottom w:val="none" w:sz="0" w:space="0" w:color="auto"/>
            <w:right w:val="none" w:sz="0" w:space="0" w:color="auto"/>
          </w:divBdr>
        </w:div>
        <w:div w:id="1945578525">
          <w:marLeft w:val="0"/>
          <w:marRight w:val="0"/>
          <w:marTop w:val="0"/>
          <w:marBottom w:val="0"/>
          <w:divBdr>
            <w:top w:val="none" w:sz="0" w:space="0" w:color="auto"/>
            <w:left w:val="none" w:sz="0" w:space="0" w:color="auto"/>
            <w:bottom w:val="none" w:sz="0" w:space="0" w:color="auto"/>
            <w:right w:val="none" w:sz="0" w:space="0" w:color="auto"/>
          </w:divBdr>
        </w:div>
        <w:div w:id="2008287014">
          <w:marLeft w:val="600"/>
          <w:marRight w:val="0"/>
          <w:marTop w:val="0"/>
          <w:marBottom w:val="0"/>
          <w:divBdr>
            <w:top w:val="none" w:sz="0" w:space="0" w:color="auto"/>
            <w:left w:val="none" w:sz="0" w:space="0" w:color="auto"/>
            <w:bottom w:val="none" w:sz="0" w:space="0" w:color="auto"/>
            <w:right w:val="none" w:sz="0" w:space="0" w:color="auto"/>
          </w:divBdr>
        </w:div>
        <w:div w:id="1305508335">
          <w:marLeft w:val="0"/>
          <w:marRight w:val="0"/>
          <w:marTop w:val="0"/>
          <w:marBottom w:val="0"/>
          <w:divBdr>
            <w:top w:val="none" w:sz="0" w:space="0" w:color="auto"/>
            <w:left w:val="none" w:sz="0" w:space="0" w:color="auto"/>
            <w:bottom w:val="none" w:sz="0" w:space="0" w:color="auto"/>
            <w:right w:val="none" w:sz="0" w:space="0" w:color="auto"/>
          </w:divBdr>
        </w:div>
        <w:div w:id="1961760901">
          <w:marLeft w:val="600"/>
          <w:marRight w:val="0"/>
          <w:marTop w:val="0"/>
          <w:marBottom w:val="0"/>
          <w:divBdr>
            <w:top w:val="none" w:sz="0" w:space="0" w:color="auto"/>
            <w:left w:val="none" w:sz="0" w:space="0" w:color="auto"/>
            <w:bottom w:val="none" w:sz="0" w:space="0" w:color="auto"/>
            <w:right w:val="none" w:sz="0" w:space="0" w:color="auto"/>
          </w:divBdr>
        </w:div>
        <w:div w:id="1089084476">
          <w:marLeft w:val="0"/>
          <w:marRight w:val="0"/>
          <w:marTop w:val="0"/>
          <w:marBottom w:val="0"/>
          <w:divBdr>
            <w:top w:val="none" w:sz="0" w:space="0" w:color="auto"/>
            <w:left w:val="none" w:sz="0" w:space="0" w:color="auto"/>
            <w:bottom w:val="none" w:sz="0" w:space="0" w:color="auto"/>
            <w:right w:val="none" w:sz="0" w:space="0" w:color="auto"/>
          </w:divBdr>
        </w:div>
        <w:div w:id="775910393">
          <w:marLeft w:val="600"/>
          <w:marRight w:val="0"/>
          <w:marTop w:val="0"/>
          <w:marBottom w:val="0"/>
          <w:divBdr>
            <w:top w:val="none" w:sz="0" w:space="0" w:color="auto"/>
            <w:left w:val="none" w:sz="0" w:space="0" w:color="auto"/>
            <w:bottom w:val="none" w:sz="0" w:space="0" w:color="auto"/>
            <w:right w:val="none" w:sz="0" w:space="0" w:color="auto"/>
          </w:divBdr>
        </w:div>
        <w:div w:id="1150244352">
          <w:marLeft w:val="0"/>
          <w:marRight w:val="0"/>
          <w:marTop w:val="0"/>
          <w:marBottom w:val="0"/>
          <w:divBdr>
            <w:top w:val="none" w:sz="0" w:space="0" w:color="auto"/>
            <w:left w:val="none" w:sz="0" w:space="0" w:color="auto"/>
            <w:bottom w:val="none" w:sz="0" w:space="0" w:color="auto"/>
            <w:right w:val="none" w:sz="0" w:space="0" w:color="auto"/>
          </w:divBdr>
        </w:div>
        <w:div w:id="1438674324">
          <w:marLeft w:val="1200"/>
          <w:marRight w:val="0"/>
          <w:marTop w:val="0"/>
          <w:marBottom w:val="0"/>
          <w:divBdr>
            <w:top w:val="none" w:sz="0" w:space="0" w:color="auto"/>
            <w:left w:val="none" w:sz="0" w:space="0" w:color="auto"/>
            <w:bottom w:val="none" w:sz="0" w:space="0" w:color="auto"/>
            <w:right w:val="none" w:sz="0" w:space="0" w:color="auto"/>
          </w:divBdr>
        </w:div>
        <w:div w:id="1952736145">
          <w:marLeft w:val="0"/>
          <w:marRight w:val="0"/>
          <w:marTop w:val="0"/>
          <w:marBottom w:val="0"/>
          <w:divBdr>
            <w:top w:val="none" w:sz="0" w:space="0" w:color="auto"/>
            <w:left w:val="none" w:sz="0" w:space="0" w:color="auto"/>
            <w:bottom w:val="none" w:sz="0" w:space="0" w:color="auto"/>
            <w:right w:val="none" w:sz="0" w:space="0" w:color="auto"/>
          </w:divBdr>
        </w:div>
        <w:div w:id="1173105541">
          <w:marLeft w:val="0"/>
          <w:marRight w:val="0"/>
          <w:marTop w:val="0"/>
          <w:marBottom w:val="0"/>
          <w:divBdr>
            <w:top w:val="none" w:sz="0" w:space="0" w:color="auto"/>
            <w:left w:val="none" w:sz="0" w:space="0" w:color="auto"/>
            <w:bottom w:val="none" w:sz="0" w:space="0" w:color="auto"/>
            <w:right w:val="none" w:sz="0" w:space="0" w:color="auto"/>
          </w:divBdr>
        </w:div>
        <w:div w:id="856769470">
          <w:marLeft w:val="1200"/>
          <w:marRight w:val="0"/>
          <w:marTop w:val="0"/>
          <w:marBottom w:val="0"/>
          <w:divBdr>
            <w:top w:val="none" w:sz="0" w:space="0" w:color="auto"/>
            <w:left w:val="none" w:sz="0" w:space="0" w:color="auto"/>
            <w:bottom w:val="none" w:sz="0" w:space="0" w:color="auto"/>
            <w:right w:val="none" w:sz="0" w:space="0" w:color="auto"/>
          </w:divBdr>
        </w:div>
        <w:div w:id="2049715304">
          <w:marLeft w:val="0"/>
          <w:marRight w:val="0"/>
          <w:marTop w:val="0"/>
          <w:marBottom w:val="0"/>
          <w:divBdr>
            <w:top w:val="none" w:sz="0" w:space="0" w:color="auto"/>
            <w:left w:val="none" w:sz="0" w:space="0" w:color="auto"/>
            <w:bottom w:val="none" w:sz="0" w:space="0" w:color="auto"/>
            <w:right w:val="none" w:sz="0" w:space="0" w:color="auto"/>
          </w:divBdr>
        </w:div>
        <w:div w:id="668219248">
          <w:marLeft w:val="0"/>
          <w:marRight w:val="0"/>
          <w:marTop w:val="0"/>
          <w:marBottom w:val="0"/>
          <w:divBdr>
            <w:top w:val="none" w:sz="0" w:space="0" w:color="auto"/>
            <w:left w:val="none" w:sz="0" w:space="0" w:color="auto"/>
            <w:bottom w:val="none" w:sz="0" w:space="0" w:color="auto"/>
            <w:right w:val="none" w:sz="0" w:space="0" w:color="auto"/>
          </w:divBdr>
        </w:div>
      </w:divsChild>
    </w:div>
    <w:div w:id="2115665229">
      <w:bodyDiv w:val="1"/>
      <w:marLeft w:val="0"/>
      <w:marRight w:val="0"/>
      <w:marTop w:val="0"/>
      <w:marBottom w:val="0"/>
      <w:divBdr>
        <w:top w:val="none" w:sz="0" w:space="0" w:color="auto"/>
        <w:left w:val="none" w:sz="0" w:space="0" w:color="auto"/>
        <w:bottom w:val="none" w:sz="0" w:space="0" w:color="auto"/>
        <w:right w:val="none" w:sz="0" w:space="0" w:color="auto"/>
      </w:divBdr>
      <w:divsChild>
        <w:div w:id="1814565462">
          <w:marLeft w:val="0"/>
          <w:marRight w:val="0"/>
          <w:marTop w:val="0"/>
          <w:marBottom w:val="0"/>
          <w:divBdr>
            <w:top w:val="none" w:sz="0" w:space="0" w:color="auto"/>
            <w:left w:val="none" w:sz="0" w:space="0" w:color="auto"/>
            <w:bottom w:val="none" w:sz="0" w:space="0" w:color="auto"/>
            <w:right w:val="none" w:sz="0" w:space="0" w:color="auto"/>
          </w:divBdr>
        </w:div>
        <w:div w:id="1876428016">
          <w:marLeft w:val="0"/>
          <w:marRight w:val="0"/>
          <w:marTop w:val="0"/>
          <w:marBottom w:val="0"/>
          <w:divBdr>
            <w:top w:val="none" w:sz="0" w:space="0" w:color="auto"/>
            <w:left w:val="none" w:sz="0" w:space="0" w:color="auto"/>
            <w:bottom w:val="none" w:sz="0" w:space="0" w:color="auto"/>
            <w:right w:val="none" w:sz="0" w:space="0" w:color="auto"/>
          </w:divBdr>
          <w:divsChild>
            <w:div w:id="240262649">
              <w:marLeft w:val="0"/>
              <w:marRight w:val="0"/>
              <w:marTop w:val="0"/>
              <w:marBottom w:val="0"/>
              <w:divBdr>
                <w:top w:val="none" w:sz="0" w:space="0" w:color="auto"/>
                <w:left w:val="none" w:sz="0" w:space="0" w:color="auto"/>
                <w:bottom w:val="none" w:sz="0" w:space="0" w:color="auto"/>
                <w:right w:val="none" w:sz="0" w:space="0" w:color="auto"/>
              </w:divBdr>
              <w:divsChild>
                <w:div w:id="810561219">
                  <w:marLeft w:val="0"/>
                  <w:marRight w:val="0"/>
                  <w:marTop w:val="0"/>
                  <w:marBottom w:val="0"/>
                  <w:divBdr>
                    <w:top w:val="none" w:sz="0" w:space="0" w:color="auto"/>
                    <w:left w:val="none" w:sz="0" w:space="0" w:color="auto"/>
                    <w:bottom w:val="none" w:sz="0" w:space="0" w:color="auto"/>
                    <w:right w:val="none" w:sz="0" w:space="0" w:color="auto"/>
                  </w:divBdr>
                  <w:divsChild>
                    <w:div w:id="1998680016">
                      <w:marLeft w:val="0"/>
                      <w:marRight w:val="0"/>
                      <w:marTop w:val="0"/>
                      <w:marBottom w:val="0"/>
                      <w:divBdr>
                        <w:top w:val="none" w:sz="0" w:space="0" w:color="auto"/>
                        <w:left w:val="none" w:sz="0" w:space="0" w:color="auto"/>
                        <w:bottom w:val="none" w:sz="0" w:space="0" w:color="auto"/>
                        <w:right w:val="none" w:sz="0" w:space="0" w:color="auto"/>
                      </w:divBdr>
                      <w:divsChild>
                        <w:div w:id="1208492217">
                          <w:marLeft w:val="0"/>
                          <w:marRight w:val="0"/>
                          <w:marTop w:val="0"/>
                          <w:marBottom w:val="0"/>
                          <w:divBdr>
                            <w:top w:val="none" w:sz="0" w:space="0" w:color="auto"/>
                            <w:left w:val="none" w:sz="0" w:space="0" w:color="auto"/>
                            <w:bottom w:val="none" w:sz="0" w:space="0" w:color="auto"/>
                            <w:right w:val="none" w:sz="0" w:space="0" w:color="auto"/>
                          </w:divBdr>
                          <w:divsChild>
                            <w:div w:id="1668094566">
                              <w:marLeft w:val="0"/>
                              <w:marRight w:val="0"/>
                              <w:marTop w:val="0"/>
                              <w:marBottom w:val="0"/>
                              <w:divBdr>
                                <w:top w:val="none" w:sz="0" w:space="0" w:color="auto"/>
                                <w:left w:val="none" w:sz="0" w:space="0" w:color="auto"/>
                                <w:bottom w:val="none" w:sz="0" w:space="0" w:color="auto"/>
                                <w:right w:val="none" w:sz="0" w:space="0" w:color="auto"/>
                              </w:divBdr>
                              <w:divsChild>
                                <w:div w:id="2005695676">
                                  <w:marLeft w:val="0"/>
                                  <w:marRight w:val="0"/>
                                  <w:marTop w:val="0"/>
                                  <w:marBottom w:val="0"/>
                                  <w:divBdr>
                                    <w:top w:val="none" w:sz="0" w:space="0" w:color="auto"/>
                                    <w:left w:val="none" w:sz="0" w:space="0" w:color="auto"/>
                                    <w:bottom w:val="none" w:sz="0" w:space="0" w:color="auto"/>
                                    <w:right w:val="none" w:sz="0" w:space="0" w:color="auto"/>
                                  </w:divBdr>
                                  <w:divsChild>
                                    <w:div w:id="1947229654">
                                      <w:marLeft w:val="0"/>
                                      <w:marRight w:val="0"/>
                                      <w:marTop w:val="0"/>
                                      <w:marBottom w:val="0"/>
                                      <w:divBdr>
                                        <w:top w:val="none" w:sz="0" w:space="0" w:color="auto"/>
                                        <w:left w:val="none" w:sz="0" w:space="0" w:color="auto"/>
                                        <w:bottom w:val="none" w:sz="0" w:space="0" w:color="auto"/>
                                        <w:right w:val="none" w:sz="0" w:space="0" w:color="auto"/>
                                      </w:divBdr>
                                      <w:divsChild>
                                        <w:div w:id="233705072">
                                          <w:marLeft w:val="0"/>
                                          <w:marRight w:val="0"/>
                                          <w:marTop w:val="0"/>
                                          <w:marBottom w:val="0"/>
                                          <w:divBdr>
                                            <w:top w:val="none" w:sz="0" w:space="0" w:color="auto"/>
                                            <w:left w:val="none" w:sz="0" w:space="0" w:color="auto"/>
                                            <w:bottom w:val="none" w:sz="0" w:space="0" w:color="auto"/>
                                            <w:right w:val="none" w:sz="0" w:space="0" w:color="auto"/>
                                          </w:divBdr>
                                          <w:divsChild>
                                            <w:div w:id="1524200093">
                                              <w:marLeft w:val="0"/>
                                              <w:marRight w:val="0"/>
                                              <w:marTop w:val="0"/>
                                              <w:marBottom w:val="0"/>
                                              <w:divBdr>
                                                <w:top w:val="none" w:sz="0" w:space="0" w:color="auto"/>
                                                <w:left w:val="none" w:sz="0" w:space="0" w:color="auto"/>
                                                <w:bottom w:val="none" w:sz="0" w:space="0" w:color="auto"/>
                                                <w:right w:val="none" w:sz="0" w:space="0" w:color="auto"/>
                                              </w:divBdr>
                                              <w:divsChild>
                                                <w:div w:id="812677661">
                                                  <w:marLeft w:val="0"/>
                                                  <w:marRight w:val="0"/>
                                                  <w:marTop w:val="0"/>
                                                  <w:marBottom w:val="0"/>
                                                  <w:divBdr>
                                                    <w:top w:val="none" w:sz="0" w:space="0" w:color="auto"/>
                                                    <w:left w:val="none" w:sz="0" w:space="0" w:color="auto"/>
                                                    <w:bottom w:val="none" w:sz="0" w:space="0" w:color="auto"/>
                                                    <w:right w:val="none" w:sz="0" w:space="0" w:color="auto"/>
                                                  </w:divBdr>
                                                  <w:divsChild>
                                                    <w:div w:id="1410349992">
                                                      <w:marLeft w:val="0"/>
                                                      <w:marRight w:val="0"/>
                                                      <w:marTop w:val="0"/>
                                                      <w:marBottom w:val="0"/>
                                                      <w:divBdr>
                                                        <w:top w:val="none" w:sz="0" w:space="0" w:color="auto"/>
                                                        <w:left w:val="none" w:sz="0" w:space="0" w:color="auto"/>
                                                        <w:bottom w:val="none" w:sz="0" w:space="0" w:color="auto"/>
                                                        <w:right w:val="none" w:sz="0" w:space="0" w:color="auto"/>
                                                      </w:divBdr>
                                                      <w:divsChild>
                                                        <w:div w:id="1055088152">
                                                          <w:marLeft w:val="0"/>
                                                          <w:marRight w:val="0"/>
                                                          <w:marTop w:val="0"/>
                                                          <w:marBottom w:val="0"/>
                                                          <w:divBdr>
                                                            <w:top w:val="none" w:sz="0" w:space="0" w:color="auto"/>
                                                            <w:left w:val="none" w:sz="0" w:space="0" w:color="auto"/>
                                                            <w:bottom w:val="none" w:sz="0" w:space="0" w:color="auto"/>
                                                            <w:right w:val="none" w:sz="0" w:space="0" w:color="auto"/>
                                                          </w:divBdr>
                                                          <w:divsChild>
                                                            <w:div w:id="8115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diankanoon.org/doc/1942013/" TargetMode="External"/><Relationship Id="rId13" Type="http://schemas.openxmlformats.org/officeDocument/2006/relationships/hyperlink" Target="https://indiankanoon.org/doc/1732536/"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indiankanoon.org/doc/631708/"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diankanoon.org/doc/631708/"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ndiankanoon.org/doc/1813295/"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indiankanoon.org/doc/1199182/"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164.100.47.4/billstexts/lsbilltexts/asintroduced/2991.pdf" TargetMode="External"/><Relationship Id="rId2" Type="http://schemas.openxmlformats.org/officeDocument/2006/relationships/hyperlink" Target="https://caravanmagazine.in/communities/kashmiris-denied-housing-muslim-delhi" TargetMode="External"/><Relationship Id="rId1" Type="http://schemas.openxmlformats.org/officeDocument/2006/relationships/hyperlink" Target="https://www.epw.in/journal/2015/26-27/housing-discrimination/urban-rental-housing-market.html" TargetMode="External"/><Relationship Id="rId5" Type="http://schemas.openxmlformats.org/officeDocument/2006/relationships/hyperlink" Target="http://www.minorityaffairs.gov.in/sites/default/files/sachar_comm.pdf" TargetMode="External"/><Relationship Id="rId4" Type="http://schemas.openxmlformats.org/officeDocument/2006/relationships/hyperlink" Target="https://clpr.org.in/wp-content/uploads/2020/01/Equality-Bill-2021-8th-January-20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6B05DB3-158F-4165-9C20-AE05DA86037D}">
  <ds:schemaRefs>
    <ds:schemaRef ds:uri="http://schemas.openxmlformats.org/officeDocument/2006/bibliography"/>
  </ds:schemaRefs>
</ds:datastoreItem>
</file>

<file path=customXml/itemProps2.xml><?xml version="1.0" encoding="utf-8"?>
<ds:datastoreItem xmlns:ds="http://schemas.openxmlformats.org/officeDocument/2006/customXml" ds:itemID="{D7D43603-C916-4BFF-83F1-3D1CAD396439}"/>
</file>

<file path=customXml/itemProps3.xml><?xml version="1.0" encoding="utf-8"?>
<ds:datastoreItem xmlns:ds="http://schemas.openxmlformats.org/officeDocument/2006/customXml" ds:itemID="{CCA33720-FC42-45A8-B7A9-2CA3DAB76C15}"/>
</file>

<file path=customXml/itemProps4.xml><?xml version="1.0" encoding="utf-8"?>
<ds:datastoreItem xmlns:ds="http://schemas.openxmlformats.org/officeDocument/2006/customXml" ds:itemID="{7CBB5A3E-4270-413D-9F30-A05BCEB93EDC}"/>
</file>

<file path=docProps/app.xml><?xml version="1.0" encoding="utf-8"?>
<Properties xmlns="http://schemas.openxmlformats.org/officeDocument/2006/extended-properties" xmlns:vt="http://schemas.openxmlformats.org/officeDocument/2006/docPropsVTypes">
  <Template>Normal.dotm</Template>
  <TotalTime>1</TotalTime>
  <Pages>8</Pages>
  <Words>3250</Words>
  <Characters>18526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THEISSEN Gunnar</cp:lastModifiedBy>
  <cp:revision>3</cp:revision>
  <cp:lastPrinted>2021-05-07T11:46:00Z</cp:lastPrinted>
  <dcterms:created xsi:type="dcterms:W3CDTF">2021-05-14T11:08:00Z</dcterms:created>
  <dcterms:modified xsi:type="dcterms:W3CDTF">2021-05-14T11:09:00Z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