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0DDF0" w14:textId="77777777" w:rsidR="00226F79" w:rsidRPr="00727892" w:rsidRDefault="00226F79" w:rsidP="00727892">
      <w:pPr>
        <w:spacing w:line="276" w:lineRule="auto"/>
        <w:jc w:val="center"/>
        <w:rPr>
          <w:b/>
          <w:sz w:val="28"/>
          <w:szCs w:val="28"/>
        </w:rPr>
      </w:pPr>
      <w:r w:rsidRPr="00727892">
        <w:rPr>
          <w:b/>
          <w:sz w:val="28"/>
          <w:szCs w:val="28"/>
        </w:rPr>
        <w:t>REPORT</w:t>
      </w:r>
      <w:r w:rsidR="00A92868" w:rsidRPr="00727892">
        <w:rPr>
          <w:b/>
          <w:sz w:val="28"/>
          <w:szCs w:val="28"/>
        </w:rPr>
        <w:t>S</w:t>
      </w:r>
      <w:r w:rsidRPr="00727892">
        <w:rPr>
          <w:b/>
          <w:sz w:val="28"/>
          <w:szCs w:val="28"/>
        </w:rPr>
        <w:t xml:space="preserve"> ON DISCRIMINATION, SEGREGATION AND THE RIGHT TO ADEQUATE HOUSING</w:t>
      </w:r>
    </w:p>
    <w:p w14:paraId="086F462A" w14:textId="77777777" w:rsidR="00226F79" w:rsidRPr="00727892" w:rsidRDefault="00226F79" w:rsidP="00727892">
      <w:pPr>
        <w:spacing w:line="276" w:lineRule="auto"/>
        <w:jc w:val="center"/>
        <w:rPr>
          <w:b/>
          <w:bCs/>
          <w:sz w:val="28"/>
          <w:szCs w:val="28"/>
        </w:rPr>
      </w:pPr>
    </w:p>
    <w:p w14:paraId="2FE3640B" w14:textId="77777777" w:rsidR="00727892" w:rsidRPr="00727892" w:rsidRDefault="00727892" w:rsidP="00727892">
      <w:pPr>
        <w:spacing w:line="276" w:lineRule="auto"/>
        <w:jc w:val="center"/>
        <w:rPr>
          <w:b/>
          <w:bCs/>
          <w:sz w:val="28"/>
          <w:szCs w:val="28"/>
        </w:rPr>
      </w:pPr>
      <w:r w:rsidRPr="00727892">
        <w:rPr>
          <w:b/>
          <w:bCs/>
          <w:sz w:val="28"/>
          <w:szCs w:val="28"/>
        </w:rPr>
        <w:t>Special Rapporteur for adequate housing</w:t>
      </w:r>
    </w:p>
    <w:p w14:paraId="78CA1EDB" w14:textId="77777777" w:rsidR="00E13786" w:rsidRDefault="00E13786" w:rsidP="00727892">
      <w:pPr>
        <w:spacing w:line="276" w:lineRule="auto"/>
        <w:jc w:val="center"/>
        <w:rPr>
          <w:b/>
          <w:bCs/>
          <w:sz w:val="28"/>
          <w:szCs w:val="28"/>
        </w:rPr>
      </w:pPr>
    </w:p>
    <w:p w14:paraId="4181C8F9" w14:textId="7815D645" w:rsidR="00226F79" w:rsidRPr="00727892" w:rsidRDefault="00226F79" w:rsidP="00727892">
      <w:pPr>
        <w:spacing w:line="276" w:lineRule="auto"/>
        <w:jc w:val="center"/>
        <w:rPr>
          <w:b/>
          <w:bCs/>
          <w:sz w:val="28"/>
          <w:szCs w:val="28"/>
        </w:rPr>
      </w:pPr>
      <w:r w:rsidRPr="00727892">
        <w:rPr>
          <w:b/>
          <w:bCs/>
          <w:sz w:val="28"/>
          <w:szCs w:val="28"/>
        </w:rPr>
        <w:t>QUESTIONNAIRE</w:t>
      </w:r>
    </w:p>
    <w:p w14:paraId="30929569" w14:textId="77777777" w:rsidR="00E13786" w:rsidRDefault="00E13786" w:rsidP="00727892">
      <w:pPr>
        <w:spacing w:line="276" w:lineRule="auto"/>
        <w:jc w:val="center"/>
        <w:rPr>
          <w:b/>
          <w:bCs/>
          <w:sz w:val="28"/>
          <w:szCs w:val="28"/>
        </w:rPr>
      </w:pPr>
    </w:p>
    <w:p w14:paraId="2B07BD2B" w14:textId="07CF2387" w:rsidR="00727892" w:rsidRPr="00727892" w:rsidRDefault="00727892" w:rsidP="00727892">
      <w:pPr>
        <w:spacing w:line="276" w:lineRule="auto"/>
        <w:jc w:val="center"/>
        <w:rPr>
          <w:b/>
          <w:bCs/>
          <w:sz w:val="28"/>
          <w:szCs w:val="28"/>
        </w:rPr>
      </w:pPr>
      <w:r w:rsidRPr="00727892">
        <w:rPr>
          <w:b/>
          <w:bCs/>
          <w:sz w:val="28"/>
          <w:szCs w:val="28"/>
        </w:rPr>
        <w:t>Submission of Ireland</w:t>
      </w:r>
    </w:p>
    <w:p w14:paraId="62F0E3C0" w14:textId="77777777" w:rsidR="00727892" w:rsidRPr="00727892" w:rsidRDefault="00727892" w:rsidP="00727892">
      <w:pPr>
        <w:spacing w:line="276" w:lineRule="auto"/>
        <w:jc w:val="center"/>
        <w:rPr>
          <w:b/>
          <w:sz w:val="28"/>
          <w:szCs w:val="28"/>
        </w:rPr>
      </w:pPr>
      <w:r w:rsidRPr="00727892">
        <w:rPr>
          <w:b/>
          <w:bCs/>
          <w:sz w:val="28"/>
          <w:szCs w:val="28"/>
        </w:rPr>
        <w:t>May 2021</w:t>
      </w:r>
    </w:p>
    <w:p w14:paraId="4E5E2161" w14:textId="77777777" w:rsidR="00A92868" w:rsidRDefault="00A92868" w:rsidP="00727892">
      <w:pPr>
        <w:spacing w:line="276" w:lineRule="auto"/>
        <w:jc w:val="both"/>
        <w:rPr>
          <w:sz w:val="24"/>
          <w:szCs w:val="24"/>
        </w:rPr>
      </w:pPr>
    </w:p>
    <w:p w14:paraId="0C335DE8" w14:textId="77777777" w:rsidR="00226F79" w:rsidRPr="00226F79" w:rsidRDefault="00226F79" w:rsidP="00727892">
      <w:pPr>
        <w:spacing w:line="276" w:lineRule="auto"/>
        <w:jc w:val="both"/>
        <w:rPr>
          <w:b/>
          <w:sz w:val="24"/>
          <w:szCs w:val="24"/>
          <w:u w:val="single"/>
        </w:rPr>
      </w:pPr>
      <w:r w:rsidRPr="00226F79">
        <w:rPr>
          <w:b/>
          <w:sz w:val="24"/>
          <w:szCs w:val="24"/>
          <w:u w:val="single"/>
        </w:rPr>
        <w:t xml:space="preserve">BASIC INFORMATION </w:t>
      </w:r>
    </w:p>
    <w:p w14:paraId="29A654B1" w14:textId="77777777" w:rsidR="00226F79" w:rsidRPr="00226F79" w:rsidRDefault="00226F79" w:rsidP="00727892">
      <w:pPr>
        <w:spacing w:line="276" w:lineRule="auto"/>
        <w:jc w:val="both"/>
        <w:rPr>
          <w:sz w:val="24"/>
          <w:szCs w:val="24"/>
        </w:rPr>
      </w:pPr>
    </w:p>
    <w:p w14:paraId="6D0BC1BF" w14:textId="77777777" w:rsidR="00226F79" w:rsidRPr="00AC0479" w:rsidRDefault="00226F79" w:rsidP="00727892">
      <w:pPr>
        <w:spacing w:line="276" w:lineRule="auto"/>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AC0479">
            <w:rPr>
              <w:sz w:val="24"/>
              <w:szCs w:val="24"/>
            </w:rPr>
            <w:t xml:space="preserve">Ireland </w:t>
          </w:r>
        </w:sdtContent>
      </w:sdt>
    </w:p>
    <w:p w14:paraId="7714A61C" w14:textId="77777777" w:rsidR="00226F79" w:rsidRPr="00226F79" w:rsidRDefault="00226F79" w:rsidP="00727892">
      <w:pPr>
        <w:spacing w:line="276" w:lineRule="auto"/>
        <w:jc w:val="both"/>
        <w:rPr>
          <w:sz w:val="24"/>
          <w:szCs w:val="24"/>
        </w:rPr>
      </w:pPr>
    </w:p>
    <w:p w14:paraId="6E356566" w14:textId="77777777" w:rsidR="00226F79" w:rsidRPr="00226F79" w:rsidRDefault="00226F79" w:rsidP="00727892">
      <w:pPr>
        <w:spacing w:line="276" w:lineRule="auto"/>
        <w:jc w:val="both"/>
        <w:rPr>
          <w:sz w:val="24"/>
          <w:szCs w:val="24"/>
        </w:rPr>
      </w:pPr>
      <w:r w:rsidRPr="00226F79">
        <w:rPr>
          <w:sz w:val="24"/>
          <w:szCs w:val="24"/>
        </w:rPr>
        <w:t>Type of Entity*</w:t>
      </w:r>
    </w:p>
    <w:p w14:paraId="117FE32F" w14:textId="77777777" w:rsidR="00226F79" w:rsidRPr="00226F79" w:rsidRDefault="004A173F" w:rsidP="00727892">
      <w:pPr>
        <w:pStyle w:val="ListParagraph"/>
        <w:spacing w:line="276" w:lineRule="auto"/>
        <w:ind w:left="567"/>
        <w:jc w:val="both"/>
        <w:rPr>
          <w:rFonts w:eastAsia="MS Gothic" w:cstheme="minorHAnsi"/>
          <w:sz w:val="24"/>
          <w:szCs w:val="24"/>
        </w:rPr>
      </w:pPr>
      <w:sdt>
        <w:sdtPr>
          <w:rPr>
            <w:rFonts w:ascii="MS Gothic" w:eastAsia="MS Gothic" w:hAnsi="MS Gothic"/>
            <w:sz w:val="24"/>
            <w:szCs w:val="24"/>
          </w:rPr>
          <w:id w:val="676311690"/>
          <w14:checkbox>
            <w14:checked w14:val="1"/>
            <w14:checkedState w14:val="2612" w14:font="MS Gothic"/>
            <w14:uncheckedState w14:val="2610" w14:font="MS Gothic"/>
          </w14:checkbox>
        </w:sdtPr>
        <w:sdtEndPr/>
        <w:sdtContent>
          <w:r w:rsidR="00FF4D10">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14:paraId="723B2F8E" w14:textId="77777777" w:rsidR="00226F79" w:rsidRPr="00226F79" w:rsidRDefault="004A173F" w:rsidP="00727892">
      <w:pPr>
        <w:pStyle w:val="ListParagraph"/>
        <w:spacing w:line="276" w:lineRule="auto"/>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14:paraId="639C3E3D" w14:textId="77777777" w:rsidR="00226F79" w:rsidRPr="00226F79" w:rsidRDefault="004A173F" w:rsidP="00727892">
      <w:pPr>
        <w:pStyle w:val="ListParagraph"/>
        <w:spacing w:line="276" w:lineRule="auto"/>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14:paraId="7C0C9A79" w14:textId="77777777" w:rsidR="00226F79" w:rsidRPr="00226F79" w:rsidRDefault="004A173F" w:rsidP="00727892">
      <w:pPr>
        <w:pStyle w:val="ListParagraph"/>
        <w:spacing w:line="276" w:lineRule="auto"/>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14:paraId="0A8F1EE1" w14:textId="77777777" w:rsidR="00226F79" w:rsidRPr="00226F79" w:rsidRDefault="004A173F" w:rsidP="00727892">
      <w:pPr>
        <w:pStyle w:val="ListParagraph"/>
        <w:spacing w:line="276" w:lineRule="auto"/>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14:paraId="2FA04839" w14:textId="77777777" w:rsidR="00226F79" w:rsidRPr="00226F79" w:rsidRDefault="004A173F" w:rsidP="00727892">
      <w:pPr>
        <w:pStyle w:val="ListParagraph"/>
        <w:spacing w:line="276" w:lineRule="auto"/>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14:paraId="32FF8C2C" w14:textId="77777777" w:rsidR="00226F79" w:rsidRPr="00226F79" w:rsidRDefault="004A173F" w:rsidP="00727892">
      <w:pPr>
        <w:pStyle w:val="ListParagraph"/>
        <w:spacing w:line="276" w:lineRule="auto"/>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14:paraId="10B1492E" w14:textId="77777777" w:rsidR="00226F79" w:rsidRPr="00226F79" w:rsidRDefault="004A173F" w:rsidP="00727892">
      <w:pPr>
        <w:pStyle w:val="ListParagraph"/>
        <w:spacing w:line="276" w:lineRule="auto"/>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14:paraId="7C513157" w14:textId="77777777" w:rsidR="00226F79" w:rsidRPr="00226F79" w:rsidRDefault="004A173F" w:rsidP="00727892">
      <w:pPr>
        <w:pStyle w:val="ListParagraph"/>
        <w:spacing w:line="276" w:lineRule="auto"/>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14:paraId="51DEC952" w14:textId="77777777" w:rsidR="00226F79" w:rsidRPr="00226F79" w:rsidRDefault="004A173F" w:rsidP="00727892">
      <w:pPr>
        <w:pStyle w:val="ListParagraph"/>
        <w:spacing w:line="276" w:lineRule="auto"/>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14:paraId="6ADE2C39" w14:textId="77777777" w:rsidR="00226F79" w:rsidRPr="00226F79" w:rsidRDefault="004A173F" w:rsidP="00727892">
      <w:pPr>
        <w:pStyle w:val="ListParagraph"/>
        <w:spacing w:line="276" w:lineRule="auto"/>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14:paraId="685373F3" w14:textId="77777777" w:rsidR="00226F79" w:rsidRPr="00226F79" w:rsidRDefault="004A173F" w:rsidP="00727892">
      <w:pPr>
        <w:pStyle w:val="ListParagraph"/>
        <w:spacing w:line="276" w:lineRule="auto"/>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14:paraId="64942B2F" w14:textId="77777777" w:rsidR="00226F79" w:rsidRPr="00226F79" w:rsidRDefault="004A173F" w:rsidP="00727892">
      <w:pPr>
        <w:pStyle w:val="ListParagraph"/>
        <w:spacing w:line="276" w:lineRule="auto"/>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14:paraId="23499839" w14:textId="77777777" w:rsidR="00226F79" w:rsidRPr="00226F79" w:rsidRDefault="00226F79" w:rsidP="00727892">
      <w:pPr>
        <w:spacing w:line="276" w:lineRule="auto"/>
        <w:jc w:val="both"/>
        <w:rPr>
          <w:sz w:val="24"/>
          <w:szCs w:val="24"/>
        </w:rPr>
      </w:pPr>
    </w:p>
    <w:p w14:paraId="596176A2" w14:textId="77777777" w:rsidR="00226F79" w:rsidRPr="00226F79" w:rsidRDefault="00226F79" w:rsidP="00727892">
      <w:pPr>
        <w:spacing w:line="276" w:lineRule="auto"/>
        <w:jc w:val="both"/>
        <w:rPr>
          <w:sz w:val="24"/>
          <w:szCs w:val="24"/>
        </w:rPr>
      </w:pPr>
      <w:r w:rsidRPr="00226F79">
        <w:rPr>
          <w:sz w:val="24"/>
          <w:szCs w:val="24"/>
        </w:rPr>
        <w:t>2. Categorization of your Work</w:t>
      </w:r>
    </w:p>
    <w:p w14:paraId="0B10F9F9" w14:textId="77777777" w:rsidR="00226F79" w:rsidRPr="00226F79" w:rsidRDefault="00226F79" w:rsidP="00727892">
      <w:pPr>
        <w:spacing w:line="276" w:lineRule="auto"/>
        <w:jc w:val="both"/>
        <w:rPr>
          <w:sz w:val="24"/>
          <w:szCs w:val="24"/>
        </w:rPr>
      </w:pPr>
      <w:r w:rsidRPr="00226F79">
        <w:rPr>
          <w:sz w:val="24"/>
          <w:szCs w:val="24"/>
        </w:rPr>
        <w:t>Please select one or more responses, as appropriate.</w:t>
      </w:r>
    </w:p>
    <w:p w14:paraId="2552861F" w14:textId="77777777" w:rsidR="00226F79" w:rsidRPr="00226F79" w:rsidRDefault="004A173F" w:rsidP="00727892">
      <w:pPr>
        <w:spacing w:line="276" w:lineRule="auto"/>
        <w:ind w:left="567"/>
        <w:jc w:val="both"/>
        <w:rPr>
          <w:sz w:val="24"/>
          <w:szCs w:val="24"/>
        </w:rPr>
      </w:pPr>
      <w:sdt>
        <w:sdtPr>
          <w:rPr>
            <w:sz w:val="24"/>
            <w:szCs w:val="24"/>
          </w:rPr>
          <w:id w:val="-1836444919"/>
          <w14:checkbox>
            <w14:checked w14:val="1"/>
            <w14:checkedState w14:val="2612" w14:font="MS Gothic"/>
            <w14:uncheckedState w14:val="2610" w14:font="MS Gothic"/>
          </w14:checkbox>
        </w:sdtPr>
        <w:sdtEndPr/>
        <w:sdtContent>
          <w:r w:rsidR="008F7DD8">
            <w:rPr>
              <w:rFonts w:ascii="MS Gothic" w:eastAsia="MS Gothic" w:hAnsi="MS Gothic" w:hint="eastAsia"/>
              <w:sz w:val="24"/>
              <w:szCs w:val="24"/>
            </w:rPr>
            <w:t>☒</w:t>
          </w:r>
        </w:sdtContent>
      </w:sdt>
      <w:r w:rsidR="00226F79" w:rsidRPr="00226F79">
        <w:rPr>
          <w:sz w:val="24"/>
          <w:szCs w:val="24"/>
        </w:rPr>
        <w:t>Public administration</w:t>
      </w:r>
    </w:p>
    <w:p w14:paraId="69F023BC" w14:textId="77777777" w:rsidR="00226F79" w:rsidRPr="00226F79" w:rsidRDefault="004A173F" w:rsidP="00727892">
      <w:pPr>
        <w:spacing w:line="276" w:lineRule="auto"/>
        <w:ind w:left="567"/>
        <w:jc w:val="both"/>
        <w:rPr>
          <w:sz w:val="24"/>
          <w:szCs w:val="24"/>
        </w:rPr>
      </w:pPr>
      <w:sdt>
        <w:sdtPr>
          <w:rPr>
            <w:sz w:val="24"/>
            <w:szCs w:val="24"/>
          </w:rPr>
          <w:id w:val="818158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Advocacy</w:t>
      </w:r>
    </w:p>
    <w:p w14:paraId="3C97C049" w14:textId="77777777" w:rsidR="00226F79" w:rsidRPr="00226F79" w:rsidRDefault="004A173F" w:rsidP="00727892">
      <w:pPr>
        <w:spacing w:line="276" w:lineRule="auto"/>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14:paraId="24B873F5" w14:textId="77777777" w:rsidR="00226F79" w:rsidRPr="00226F79" w:rsidRDefault="004A173F" w:rsidP="00727892">
      <w:pPr>
        <w:spacing w:line="276" w:lineRule="auto"/>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14:paraId="534543C3" w14:textId="77777777" w:rsidR="00226F79" w:rsidRPr="00226F79" w:rsidRDefault="004A173F" w:rsidP="00727892">
      <w:pPr>
        <w:spacing w:line="276" w:lineRule="auto"/>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14:paraId="23456DCD" w14:textId="77777777" w:rsidR="00226F79" w:rsidRPr="00226F79" w:rsidRDefault="004A173F" w:rsidP="00727892">
      <w:pPr>
        <w:spacing w:line="276" w:lineRule="auto"/>
        <w:ind w:left="567"/>
        <w:jc w:val="both"/>
        <w:rPr>
          <w:sz w:val="24"/>
          <w:szCs w:val="24"/>
        </w:rPr>
      </w:pPr>
      <w:sdt>
        <w:sdtPr>
          <w:rPr>
            <w:sz w:val="24"/>
            <w:szCs w:val="24"/>
          </w:rPr>
          <w:id w:val="-1895807093"/>
          <w14:checkbox>
            <w14:checked w14:val="1"/>
            <w14:checkedState w14:val="2612" w14:font="MS Gothic"/>
            <w14:uncheckedState w14:val="2610" w14:font="MS Gothic"/>
          </w14:checkbox>
        </w:sdtPr>
        <w:sdtEndPr/>
        <w:sdtContent>
          <w:r w:rsidR="00FF4D10">
            <w:rPr>
              <w:rFonts w:ascii="MS Gothic" w:eastAsia="MS Gothic" w:hAnsi="MS Gothic" w:hint="eastAsia"/>
              <w:sz w:val="24"/>
              <w:szCs w:val="24"/>
            </w:rPr>
            <w:t>☒</w:t>
          </w:r>
        </w:sdtContent>
      </w:sdt>
      <w:r w:rsidR="00226F79" w:rsidRPr="00226F79">
        <w:rPr>
          <w:sz w:val="24"/>
          <w:szCs w:val="24"/>
        </w:rPr>
        <w:t>Policy</w:t>
      </w:r>
    </w:p>
    <w:p w14:paraId="399222C5" w14:textId="77777777" w:rsidR="00226F79" w:rsidRPr="00226F79" w:rsidRDefault="004A173F" w:rsidP="00727892">
      <w:pPr>
        <w:spacing w:line="276" w:lineRule="auto"/>
        <w:ind w:left="567"/>
        <w:jc w:val="both"/>
        <w:rPr>
          <w:sz w:val="24"/>
          <w:szCs w:val="24"/>
        </w:rPr>
      </w:pPr>
      <w:sdt>
        <w:sdtPr>
          <w:rPr>
            <w:sz w:val="24"/>
            <w:szCs w:val="24"/>
          </w:rPr>
          <w:id w:val="-143166057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Research</w:t>
      </w:r>
    </w:p>
    <w:p w14:paraId="364CBC7A" w14:textId="77777777" w:rsidR="00226F79" w:rsidRPr="00226F79" w:rsidRDefault="004A173F" w:rsidP="00727892">
      <w:pPr>
        <w:spacing w:line="276" w:lineRule="auto"/>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14:paraId="38E77727" w14:textId="77777777" w:rsidR="00226F79" w:rsidRPr="00226F79" w:rsidRDefault="004A173F" w:rsidP="00727892">
      <w:pPr>
        <w:spacing w:line="276" w:lineRule="auto"/>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14:paraId="22D2DD0D" w14:textId="77777777" w:rsidR="00226F79" w:rsidRPr="00226F79" w:rsidRDefault="004A173F" w:rsidP="00727892">
      <w:pPr>
        <w:spacing w:line="276" w:lineRule="auto"/>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14:paraId="0E76F2F3" w14:textId="77777777" w:rsidR="00226F79" w:rsidRPr="00226F79" w:rsidRDefault="004A173F" w:rsidP="00727892">
      <w:pPr>
        <w:spacing w:line="276" w:lineRule="auto"/>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14:paraId="045302BD" w14:textId="77777777" w:rsidR="00226F79" w:rsidRPr="00226F79" w:rsidRDefault="00226F79" w:rsidP="00727892">
      <w:pPr>
        <w:spacing w:line="276" w:lineRule="auto"/>
        <w:jc w:val="both"/>
        <w:rPr>
          <w:sz w:val="24"/>
          <w:szCs w:val="24"/>
        </w:rPr>
      </w:pPr>
    </w:p>
    <w:p w14:paraId="7F9CB172" w14:textId="77777777" w:rsidR="00226F79" w:rsidRPr="00226F79" w:rsidRDefault="00226F79" w:rsidP="00727892">
      <w:pPr>
        <w:spacing w:line="276" w:lineRule="auto"/>
        <w:jc w:val="both"/>
        <w:rPr>
          <w:sz w:val="24"/>
          <w:szCs w:val="24"/>
        </w:rPr>
      </w:pPr>
      <w:r w:rsidRPr="00226F79">
        <w:rPr>
          <w:sz w:val="24"/>
          <w:szCs w:val="24"/>
        </w:rPr>
        <w:t>3. City/</w:t>
      </w:r>
      <w:r w:rsidRPr="00727892">
        <w:rPr>
          <w:sz w:val="24"/>
          <w:szCs w:val="24"/>
        </w:rPr>
        <w:t xml:space="preserve">Town: </w:t>
      </w:r>
      <w:sdt>
        <w:sdtPr>
          <w:rPr>
            <w:sz w:val="24"/>
            <w:szCs w:val="24"/>
          </w:rPr>
          <w:id w:val="-2124614724"/>
          <w:placeholder>
            <w:docPart w:val="8C51350C3C2E40C7B851479DE8F27FC8"/>
          </w:placeholder>
        </w:sdtPr>
        <w:sdtEndPr/>
        <w:sdtContent>
          <w:r w:rsidR="00FF4D10" w:rsidRPr="00727892">
            <w:rPr>
              <w:sz w:val="24"/>
              <w:szCs w:val="24"/>
            </w:rPr>
            <w:t>Dublin</w:t>
          </w:r>
        </w:sdtContent>
      </w:sdt>
      <w:r w:rsidRPr="00727892">
        <w:rPr>
          <w:sz w:val="24"/>
          <w:szCs w:val="24"/>
        </w:rPr>
        <w:t xml:space="preserve"> </w:t>
      </w:r>
    </w:p>
    <w:p w14:paraId="395069BC" w14:textId="77777777" w:rsidR="00226F79" w:rsidRPr="00727892" w:rsidRDefault="00226F79" w:rsidP="00727892">
      <w:pPr>
        <w:spacing w:line="276" w:lineRule="auto"/>
        <w:jc w:val="both"/>
        <w:rPr>
          <w:sz w:val="24"/>
          <w:szCs w:val="24"/>
        </w:rPr>
      </w:pPr>
    </w:p>
    <w:p w14:paraId="5CF52CEF" w14:textId="77777777" w:rsidR="00226F79" w:rsidRPr="00727892" w:rsidRDefault="00226F79" w:rsidP="00727892">
      <w:pPr>
        <w:spacing w:line="276" w:lineRule="auto"/>
        <w:jc w:val="both"/>
        <w:rPr>
          <w:sz w:val="24"/>
          <w:szCs w:val="24"/>
        </w:rPr>
      </w:pPr>
      <w:r w:rsidRPr="00727892">
        <w:rPr>
          <w:sz w:val="24"/>
          <w:szCs w:val="24"/>
        </w:rPr>
        <w:t xml:space="preserve">4. State/Province: </w:t>
      </w:r>
      <w:sdt>
        <w:sdtPr>
          <w:rPr>
            <w:sz w:val="24"/>
            <w:szCs w:val="24"/>
          </w:rPr>
          <w:id w:val="1607307630"/>
          <w:placeholder>
            <w:docPart w:val="8C51350C3C2E40C7B851479DE8F27FC8"/>
          </w:placeholder>
        </w:sdtPr>
        <w:sdtEndPr/>
        <w:sdtContent>
          <w:r w:rsidR="00FF4D10" w:rsidRPr="00727892">
            <w:rPr>
              <w:sz w:val="24"/>
              <w:szCs w:val="24"/>
            </w:rPr>
            <w:t>Ireland</w:t>
          </w:r>
        </w:sdtContent>
      </w:sdt>
    </w:p>
    <w:p w14:paraId="44C9AC48" w14:textId="77777777" w:rsidR="00226F79" w:rsidRPr="00226F79" w:rsidRDefault="00226F79" w:rsidP="00727892">
      <w:pPr>
        <w:spacing w:line="276" w:lineRule="auto"/>
        <w:jc w:val="both"/>
        <w:rPr>
          <w:sz w:val="24"/>
          <w:szCs w:val="24"/>
        </w:rPr>
      </w:pPr>
    </w:p>
    <w:p w14:paraId="07E32FBC" w14:textId="77777777" w:rsidR="00226F79" w:rsidRPr="00226F79" w:rsidRDefault="00226F79" w:rsidP="00727892">
      <w:pPr>
        <w:spacing w:line="276" w:lineRule="auto"/>
        <w:jc w:val="both"/>
        <w:rPr>
          <w:sz w:val="24"/>
          <w:szCs w:val="24"/>
        </w:rPr>
      </w:pPr>
      <w:r w:rsidRPr="00226F79">
        <w:rPr>
          <w:sz w:val="24"/>
          <w:szCs w:val="24"/>
        </w:rPr>
        <w:t xml:space="preserve">5. Country (please indicate your region or “international” if focus the work of your organization covers </w:t>
      </w:r>
      <w:r w:rsidRPr="00727892">
        <w:rPr>
          <w:sz w:val="24"/>
          <w:szCs w:val="24"/>
        </w:rPr>
        <w:t xml:space="preserve">multiple countries); </w:t>
      </w:r>
      <w:sdt>
        <w:sdtPr>
          <w:rPr>
            <w:sz w:val="24"/>
            <w:szCs w:val="24"/>
          </w:rPr>
          <w:id w:val="97685920"/>
          <w:placeholder>
            <w:docPart w:val="8C51350C3C2E40C7B851479DE8F27FC8"/>
          </w:placeholder>
        </w:sdtPr>
        <w:sdtEndPr/>
        <w:sdtContent>
          <w:r w:rsidR="00FF4D10" w:rsidRPr="00727892">
            <w:rPr>
              <w:sz w:val="24"/>
              <w:szCs w:val="24"/>
            </w:rPr>
            <w:t>Ireland</w:t>
          </w:r>
        </w:sdtContent>
      </w:sdt>
    </w:p>
    <w:p w14:paraId="31AAF027" w14:textId="77777777" w:rsidR="00226F79" w:rsidRPr="00226F79" w:rsidRDefault="00226F79" w:rsidP="00727892">
      <w:pPr>
        <w:spacing w:line="276" w:lineRule="auto"/>
        <w:jc w:val="both"/>
        <w:rPr>
          <w:sz w:val="24"/>
          <w:szCs w:val="24"/>
        </w:rPr>
      </w:pPr>
    </w:p>
    <w:p w14:paraId="05CBCC22" w14:textId="09C174E1" w:rsidR="00226F79" w:rsidRPr="00226F79" w:rsidRDefault="00226F79" w:rsidP="00727892">
      <w:pPr>
        <w:spacing w:line="276" w:lineRule="auto"/>
        <w:jc w:val="both"/>
        <w:rPr>
          <w:sz w:val="24"/>
          <w:szCs w:val="24"/>
        </w:rPr>
      </w:pPr>
      <w:r w:rsidRPr="00226F79">
        <w:rPr>
          <w:sz w:val="24"/>
          <w:szCs w:val="24"/>
        </w:rPr>
        <w:lastRenderedPageBreak/>
        <w:t xml:space="preserve">6. Contact e-mail (will remain confidential) in case we have questions:  </w:t>
      </w:r>
      <w:sdt>
        <w:sdtPr>
          <w:rPr>
            <w:sz w:val="24"/>
            <w:szCs w:val="24"/>
          </w:rPr>
          <w:id w:val="736523558"/>
          <w:placeholder>
            <w:docPart w:val="8C51350C3C2E40C7B851479DE8F27FC8"/>
          </w:placeholder>
        </w:sdtPr>
        <w:sdtEndPr/>
        <w:sdtContent>
          <w:r w:rsidR="00AC0479">
            <w:rPr>
              <w:sz w:val="24"/>
              <w:szCs w:val="24"/>
            </w:rPr>
            <w:t xml:space="preserve"> </w:t>
          </w:r>
          <w:bookmarkStart w:id="0" w:name="_GoBack"/>
          <w:bookmarkEnd w:id="0"/>
        </w:sdtContent>
      </w:sdt>
    </w:p>
    <w:p w14:paraId="7662DE29" w14:textId="77777777" w:rsidR="00226F79" w:rsidRDefault="00226F79" w:rsidP="00727892">
      <w:pPr>
        <w:spacing w:line="276" w:lineRule="auto"/>
        <w:rPr>
          <w:sz w:val="24"/>
          <w:szCs w:val="24"/>
        </w:rPr>
      </w:pPr>
      <w:r>
        <w:rPr>
          <w:sz w:val="24"/>
          <w:szCs w:val="24"/>
        </w:rPr>
        <w:br w:type="page"/>
      </w:r>
    </w:p>
    <w:p w14:paraId="4583D874" w14:textId="4C19E9AD" w:rsidR="00226F79" w:rsidRPr="00E13786" w:rsidRDefault="00226F79" w:rsidP="00727892">
      <w:pPr>
        <w:spacing w:line="276" w:lineRule="auto"/>
        <w:jc w:val="both"/>
        <w:rPr>
          <w:b/>
          <w:sz w:val="24"/>
          <w:szCs w:val="24"/>
          <w:u w:val="single"/>
        </w:rPr>
      </w:pPr>
      <w:r w:rsidRPr="00226F79">
        <w:rPr>
          <w:b/>
          <w:sz w:val="24"/>
          <w:szCs w:val="24"/>
          <w:u w:val="single"/>
        </w:rPr>
        <w:lastRenderedPageBreak/>
        <w:t>HOUSING DISCRIMINATION</w:t>
      </w:r>
    </w:p>
    <w:sdt>
      <w:sdtPr>
        <w:rPr>
          <w:rFonts w:ascii="Times New Roman" w:eastAsia="Times New Roman" w:hAnsi="Times New Roman"/>
          <w:sz w:val="24"/>
          <w:szCs w:val="20"/>
          <w:lang w:val="en-GB"/>
        </w:rPr>
        <w:id w:val="726886835"/>
        <w:placeholder>
          <w:docPart w:val="8C51350C3C2E40C7B851479DE8F27FC8"/>
        </w:placeholder>
      </w:sdtPr>
      <w:sdtEndPr>
        <w:rPr>
          <w:rFonts w:ascii="Verdana" w:eastAsia="Helvetica Neue" w:hAnsi="Verdana"/>
          <w:szCs w:val="24"/>
          <w:lang w:val="en"/>
        </w:rPr>
      </w:sdtEndPr>
      <w:sdtContent>
        <w:p w14:paraId="14B95F80" w14:textId="77777777" w:rsidR="002B0EDC" w:rsidRDefault="00B84701" w:rsidP="00727892">
          <w:pPr>
            <w:pStyle w:val="NormalWeb"/>
            <w:spacing w:after="150" w:line="276" w:lineRule="auto"/>
            <w:jc w:val="both"/>
            <w:rPr>
              <w:rFonts w:ascii="Times New Roman" w:hAnsi="Times New Roman"/>
              <w:iCs/>
              <w:sz w:val="24"/>
            </w:rPr>
          </w:pPr>
          <w:r>
            <w:rPr>
              <w:rFonts w:ascii="Times New Roman" w:hAnsi="Times New Roman"/>
              <w:iCs/>
              <w:sz w:val="24"/>
            </w:rPr>
            <w:t>Accommodation in Ireland</w:t>
          </w:r>
          <w:r w:rsidRPr="00DE7273">
            <w:rPr>
              <w:rFonts w:ascii="Times New Roman" w:hAnsi="Times New Roman"/>
              <w:iCs/>
              <w:sz w:val="24"/>
            </w:rPr>
            <w:t xml:space="preserve"> is provided irrespective of ethnicity, race, age, gender, sexual orientation, disability, family status, civil status, race, religio</w:t>
          </w:r>
          <w:r w:rsidR="00E13786">
            <w:rPr>
              <w:rFonts w:ascii="Times New Roman" w:hAnsi="Times New Roman"/>
              <w:iCs/>
              <w:sz w:val="24"/>
            </w:rPr>
            <w:t>n or</w:t>
          </w:r>
          <w:r w:rsidRPr="00DE7273">
            <w:rPr>
              <w:rFonts w:ascii="Times New Roman" w:hAnsi="Times New Roman"/>
              <w:iCs/>
              <w:sz w:val="24"/>
            </w:rPr>
            <w:t xml:space="preserve"> belief</w:t>
          </w:r>
          <w:r w:rsidR="002B0EDC">
            <w:rPr>
              <w:rFonts w:ascii="Times New Roman" w:hAnsi="Times New Roman"/>
              <w:iCs/>
              <w:sz w:val="24"/>
            </w:rPr>
            <w:t>,</w:t>
          </w:r>
          <w:r w:rsidRPr="00DE7273">
            <w:rPr>
              <w:rFonts w:ascii="Times New Roman" w:hAnsi="Times New Roman"/>
              <w:iCs/>
              <w:sz w:val="24"/>
            </w:rPr>
            <w:t xml:space="preserve"> or member</w:t>
          </w:r>
          <w:r w:rsidR="003611A0">
            <w:rPr>
              <w:rFonts w:ascii="Times New Roman" w:hAnsi="Times New Roman"/>
              <w:iCs/>
              <w:sz w:val="24"/>
            </w:rPr>
            <w:t>ship</w:t>
          </w:r>
          <w:r w:rsidRPr="00DE7273">
            <w:rPr>
              <w:rFonts w:ascii="Times New Roman" w:hAnsi="Times New Roman"/>
              <w:iCs/>
              <w:sz w:val="24"/>
            </w:rPr>
            <w:t xml:space="preserve"> of the Travelling Community. </w:t>
          </w:r>
        </w:p>
        <w:p w14:paraId="7A27EF8A" w14:textId="47A2888F" w:rsidR="00B84701" w:rsidRDefault="00F050EA" w:rsidP="00727892">
          <w:pPr>
            <w:pStyle w:val="NormalWeb"/>
            <w:spacing w:after="150" w:line="276" w:lineRule="auto"/>
            <w:jc w:val="both"/>
            <w:rPr>
              <w:rFonts w:ascii="Times New Roman" w:hAnsi="Times New Roman"/>
              <w:iCs/>
              <w:sz w:val="24"/>
            </w:rPr>
          </w:pPr>
          <w:r>
            <w:rPr>
              <w:rFonts w:ascii="Times New Roman" w:hAnsi="Times New Roman"/>
              <w:iCs/>
              <w:sz w:val="24"/>
            </w:rPr>
            <w:t>There are a number of pieces of</w:t>
          </w:r>
          <w:r w:rsidRPr="00F050EA">
            <w:rPr>
              <w:rFonts w:ascii="Times New Roman" w:hAnsi="Times New Roman"/>
              <w:iCs/>
              <w:sz w:val="24"/>
            </w:rPr>
            <w:t xml:space="preserve"> legislation and policies in</w:t>
          </w:r>
          <w:r>
            <w:rPr>
              <w:rFonts w:ascii="Times New Roman" w:hAnsi="Times New Roman"/>
              <w:iCs/>
              <w:sz w:val="24"/>
            </w:rPr>
            <w:t xml:space="preserve"> place in</w:t>
          </w:r>
          <w:r w:rsidRPr="00F050EA">
            <w:rPr>
              <w:rFonts w:ascii="Times New Roman" w:hAnsi="Times New Roman"/>
              <w:iCs/>
              <w:sz w:val="24"/>
            </w:rPr>
            <w:t xml:space="preserve"> Ireland to prevent discrimination in relation t</w:t>
          </w:r>
          <w:r w:rsidR="002B0EDC">
            <w:rPr>
              <w:rFonts w:ascii="Times New Roman" w:hAnsi="Times New Roman"/>
              <w:iCs/>
              <w:sz w:val="24"/>
            </w:rPr>
            <w:t>o the right to adequate housing:</w:t>
          </w:r>
          <w:r w:rsidRPr="00F050EA">
            <w:rPr>
              <w:rFonts w:ascii="Times New Roman" w:hAnsi="Times New Roman"/>
              <w:iCs/>
              <w:sz w:val="24"/>
            </w:rPr>
            <w:t xml:space="preserve">  </w:t>
          </w:r>
        </w:p>
        <w:p w14:paraId="691D7D5D" w14:textId="77777777" w:rsidR="00773DD4" w:rsidRPr="00DE7273" w:rsidRDefault="00773DD4" w:rsidP="00727892">
          <w:pPr>
            <w:pStyle w:val="NormalWeb"/>
            <w:spacing w:after="150" w:line="276" w:lineRule="auto"/>
            <w:jc w:val="both"/>
            <w:rPr>
              <w:rFonts w:ascii="Times New Roman" w:hAnsi="Times New Roman"/>
              <w:iCs/>
              <w:sz w:val="24"/>
            </w:rPr>
          </w:pPr>
          <w:r w:rsidRPr="00DE7273">
            <w:rPr>
              <w:rFonts w:ascii="Times New Roman" w:hAnsi="Times New Roman"/>
              <w:iCs/>
              <w:sz w:val="24"/>
            </w:rPr>
            <w:t>The legislative basis for the provision of homeless accommodation in Ireland is the Housing Act 1988</w:t>
          </w:r>
          <w:r w:rsidR="00DE7273">
            <w:rPr>
              <w:rStyle w:val="FootnoteReference"/>
              <w:rFonts w:ascii="Times New Roman" w:hAnsi="Times New Roman"/>
              <w:iCs/>
              <w:sz w:val="24"/>
            </w:rPr>
            <w:footnoteReference w:id="1"/>
          </w:r>
          <w:r w:rsidRPr="00DE7273">
            <w:rPr>
              <w:rFonts w:ascii="Times New Roman" w:hAnsi="Times New Roman"/>
              <w:iCs/>
              <w:sz w:val="24"/>
            </w:rPr>
            <w:t xml:space="preserve">.  Under the Act of 1988, it is a matter for each local authority to determine whether a person is regarded as homeless and </w:t>
          </w:r>
          <w:r w:rsidR="00DE7273">
            <w:rPr>
              <w:rFonts w:ascii="Times New Roman" w:hAnsi="Times New Roman"/>
              <w:iCs/>
              <w:sz w:val="24"/>
            </w:rPr>
            <w:t>S</w:t>
          </w:r>
          <w:r w:rsidRPr="00DE7273">
            <w:rPr>
              <w:rFonts w:ascii="Times New Roman" w:hAnsi="Times New Roman"/>
              <w:iCs/>
              <w:sz w:val="24"/>
            </w:rPr>
            <w:t>ection 2 of the Act</w:t>
          </w:r>
          <w:r w:rsidR="00DE7273">
            <w:rPr>
              <w:rStyle w:val="FootnoteReference"/>
              <w:rFonts w:ascii="Times New Roman" w:hAnsi="Times New Roman"/>
              <w:iCs/>
              <w:sz w:val="24"/>
            </w:rPr>
            <w:footnoteReference w:id="2"/>
          </w:r>
          <w:r w:rsidRPr="00DE7273">
            <w:rPr>
              <w:rFonts w:ascii="Times New Roman" w:hAnsi="Times New Roman"/>
              <w:iCs/>
              <w:sz w:val="24"/>
            </w:rPr>
            <w:t xml:space="preserve"> sets out the requirements in this regard.  When a household has been assessed as homeless, </w:t>
          </w:r>
          <w:r w:rsidR="00DE7273">
            <w:rPr>
              <w:rFonts w:ascii="Times New Roman" w:hAnsi="Times New Roman"/>
              <w:iCs/>
              <w:sz w:val="24"/>
            </w:rPr>
            <w:t>S</w:t>
          </w:r>
          <w:r w:rsidRPr="00DE7273">
            <w:rPr>
              <w:rFonts w:ascii="Times New Roman" w:hAnsi="Times New Roman"/>
              <w:iCs/>
              <w:sz w:val="24"/>
            </w:rPr>
            <w:t>ection 10 of the Housing Act 1988</w:t>
          </w:r>
          <w:r w:rsidR="00DE7273">
            <w:rPr>
              <w:rStyle w:val="FootnoteReference"/>
              <w:rFonts w:ascii="Times New Roman" w:hAnsi="Times New Roman"/>
              <w:iCs/>
              <w:sz w:val="24"/>
            </w:rPr>
            <w:footnoteReference w:id="3"/>
          </w:r>
          <w:r w:rsidRPr="00DE7273">
            <w:rPr>
              <w:rFonts w:ascii="Times New Roman" w:hAnsi="Times New Roman"/>
              <w:iCs/>
              <w:sz w:val="24"/>
            </w:rPr>
            <w:t xml:space="preserve">, </w:t>
          </w:r>
          <w:r w:rsidR="003611A0">
            <w:rPr>
              <w:rFonts w:ascii="Times New Roman" w:hAnsi="Times New Roman"/>
              <w:iCs/>
              <w:sz w:val="24"/>
            </w:rPr>
            <w:t>states</w:t>
          </w:r>
          <w:r w:rsidR="003611A0" w:rsidRPr="00DE7273">
            <w:rPr>
              <w:rFonts w:ascii="Times New Roman" w:hAnsi="Times New Roman"/>
              <w:iCs/>
              <w:sz w:val="24"/>
            </w:rPr>
            <w:t xml:space="preserve"> </w:t>
          </w:r>
          <w:r w:rsidRPr="00DE7273">
            <w:rPr>
              <w:rFonts w:ascii="Times New Roman" w:hAnsi="Times New Roman"/>
              <w:iCs/>
              <w:sz w:val="24"/>
            </w:rPr>
            <w:t>that a local authority may provide accommodation and related services to that household. </w:t>
          </w:r>
        </w:p>
        <w:p w14:paraId="2B5F38EB" w14:textId="77777777" w:rsidR="00773DD4" w:rsidRPr="00DE7273" w:rsidRDefault="00773DD4" w:rsidP="00727892">
          <w:pPr>
            <w:pStyle w:val="NormalWeb"/>
            <w:spacing w:after="150" w:line="276" w:lineRule="auto"/>
            <w:jc w:val="both"/>
            <w:rPr>
              <w:rFonts w:ascii="Times New Roman" w:hAnsi="Times New Roman"/>
              <w:iCs/>
              <w:sz w:val="24"/>
            </w:rPr>
          </w:pPr>
          <w:r w:rsidRPr="00DE7273">
            <w:rPr>
              <w:rFonts w:ascii="Times New Roman" w:hAnsi="Times New Roman"/>
              <w:iCs/>
              <w:sz w:val="24"/>
            </w:rPr>
            <w:t xml:space="preserve">Any household assessed as homeless may be placed into temporary emergency accommodation and all local authorities have responsibility to provide emergency accommodation for individuals and households </w:t>
          </w:r>
          <w:r w:rsidR="003611A0">
            <w:rPr>
              <w:rFonts w:ascii="Times New Roman" w:hAnsi="Times New Roman"/>
              <w:iCs/>
              <w:sz w:val="24"/>
            </w:rPr>
            <w:t xml:space="preserve">who </w:t>
          </w:r>
          <w:r w:rsidRPr="00DE7273">
            <w:rPr>
              <w:rFonts w:ascii="Times New Roman" w:hAnsi="Times New Roman"/>
              <w:iCs/>
              <w:sz w:val="24"/>
            </w:rPr>
            <w:t>becom</w:t>
          </w:r>
          <w:r w:rsidR="003611A0">
            <w:rPr>
              <w:rFonts w:ascii="Times New Roman" w:hAnsi="Times New Roman"/>
              <w:iCs/>
              <w:sz w:val="24"/>
            </w:rPr>
            <w:t>e</w:t>
          </w:r>
          <w:r w:rsidRPr="00DE7273">
            <w:rPr>
              <w:rFonts w:ascii="Times New Roman" w:hAnsi="Times New Roman"/>
              <w:iCs/>
              <w:sz w:val="24"/>
            </w:rPr>
            <w:t xml:space="preserve"> homeless </w:t>
          </w:r>
          <w:r w:rsidR="003611A0">
            <w:rPr>
              <w:rFonts w:ascii="Times New Roman" w:hAnsi="Times New Roman"/>
              <w:iCs/>
              <w:sz w:val="24"/>
            </w:rPr>
            <w:t>in</w:t>
          </w:r>
          <w:r w:rsidRPr="00DE7273">
            <w:rPr>
              <w:rFonts w:ascii="Times New Roman" w:hAnsi="Times New Roman"/>
              <w:iCs/>
              <w:sz w:val="24"/>
            </w:rPr>
            <w:t xml:space="preserve"> their functional area.</w:t>
          </w:r>
        </w:p>
        <w:p w14:paraId="7F176AEE" w14:textId="3CB278ED" w:rsidR="00773DD4" w:rsidRDefault="003611A0">
          <w:pPr>
            <w:pStyle w:val="NormalWeb"/>
            <w:spacing w:after="150" w:line="276" w:lineRule="auto"/>
            <w:jc w:val="both"/>
            <w:rPr>
              <w:rFonts w:ascii="Times New Roman" w:hAnsi="Times New Roman"/>
              <w:iCs/>
              <w:sz w:val="24"/>
            </w:rPr>
          </w:pPr>
          <w:r>
            <w:rPr>
              <w:rFonts w:ascii="Times New Roman" w:hAnsi="Times New Roman"/>
              <w:iCs/>
              <w:sz w:val="24"/>
            </w:rPr>
            <w:t>E</w:t>
          </w:r>
          <w:r w:rsidR="00773DD4" w:rsidRPr="00DE7273">
            <w:rPr>
              <w:rFonts w:ascii="Times New Roman" w:hAnsi="Times New Roman"/>
              <w:iCs/>
              <w:sz w:val="24"/>
            </w:rPr>
            <w:t>mergency accommodation is provided to ensure that the needs of those who find themselves in a situation of homelessness can be responded to in as comprehensive a manner as possible. </w:t>
          </w:r>
          <w:r>
            <w:rPr>
              <w:rFonts w:ascii="Times New Roman" w:hAnsi="Times New Roman"/>
              <w:iCs/>
              <w:sz w:val="24"/>
            </w:rPr>
            <w:t>T</w:t>
          </w:r>
          <w:r w:rsidR="00773DD4" w:rsidRPr="00DE7273">
            <w:rPr>
              <w:rFonts w:ascii="Times New Roman" w:hAnsi="Times New Roman"/>
              <w:iCs/>
              <w:sz w:val="24"/>
            </w:rPr>
            <w:t>he ultimate aim is to ensure that individuals and families are supported to identify pathways out of homelessness as quickly as possible.</w:t>
          </w:r>
        </w:p>
        <w:p w14:paraId="258A421A" w14:textId="77777777" w:rsidR="00E13786" w:rsidRPr="00DE7273" w:rsidRDefault="00E13786" w:rsidP="00E13786">
          <w:pPr>
            <w:pStyle w:val="NormalWeb"/>
            <w:spacing w:after="150" w:line="276" w:lineRule="auto"/>
            <w:jc w:val="both"/>
            <w:rPr>
              <w:rFonts w:ascii="Times New Roman" w:hAnsi="Times New Roman"/>
              <w:iCs/>
              <w:sz w:val="24"/>
            </w:rPr>
          </w:pPr>
          <w:r w:rsidRPr="00DE7273">
            <w:rPr>
              <w:rFonts w:ascii="Times New Roman" w:hAnsi="Times New Roman"/>
              <w:iCs/>
              <w:sz w:val="24"/>
            </w:rPr>
            <w:lastRenderedPageBreak/>
            <w:t>In respect of standards of the emergency accommodation provided, there is a National Quality Standards Framework (NQSF)</w:t>
          </w:r>
          <w:r>
            <w:rPr>
              <w:rStyle w:val="FootnoteReference"/>
              <w:rFonts w:ascii="Times New Roman" w:hAnsi="Times New Roman"/>
              <w:iCs/>
              <w:sz w:val="24"/>
            </w:rPr>
            <w:footnoteReference w:id="4"/>
          </w:r>
          <w:r w:rsidRPr="00DE7273">
            <w:rPr>
              <w:rFonts w:ascii="Times New Roman" w:hAnsi="Times New Roman"/>
              <w:iCs/>
              <w:sz w:val="24"/>
            </w:rPr>
            <w:t xml:space="preserve"> for homeless services.  This framework is in place nationally for local authority and Non-Governmental </w:t>
          </w:r>
          <w:proofErr w:type="spellStart"/>
          <w:r w:rsidRPr="00DE7273">
            <w:rPr>
              <w:rFonts w:ascii="Times New Roman" w:hAnsi="Times New Roman"/>
              <w:iCs/>
              <w:sz w:val="24"/>
            </w:rPr>
            <w:t>Organisations</w:t>
          </w:r>
          <w:proofErr w:type="spellEnd"/>
          <w:r w:rsidRPr="00DE7273">
            <w:rPr>
              <w:rFonts w:ascii="Times New Roman" w:hAnsi="Times New Roman"/>
              <w:iCs/>
              <w:sz w:val="24"/>
            </w:rPr>
            <w:t xml:space="preserve"> (NGO) delivered services.  The Framework has been developed to ensure a consistent approach in how local authorities and service providers respond to the needs of those experiencing homelessness and to improve the quality of services provided. </w:t>
          </w:r>
        </w:p>
        <w:p w14:paraId="2185DA73" w14:textId="42D2AC4A" w:rsidR="00E13786" w:rsidRDefault="00E13786">
          <w:pPr>
            <w:pStyle w:val="NormalWeb"/>
            <w:spacing w:after="150" w:line="276" w:lineRule="auto"/>
            <w:jc w:val="both"/>
            <w:rPr>
              <w:rFonts w:ascii="Times New Roman" w:hAnsi="Times New Roman"/>
              <w:iCs/>
              <w:sz w:val="24"/>
            </w:rPr>
          </w:pPr>
          <w:r w:rsidRPr="00DE7273">
            <w:rPr>
              <w:rFonts w:ascii="Times New Roman" w:hAnsi="Times New Roman"/>
              <w:iCs/>
              <w:sz w:val="24"/>
            </w:rPr>
            <w:t>The Framework aims to ensure that the rights and diversity of each service user are respected and promoted. A key feature of this includes ensuring that service users are treated with dignity and respect, their equality is promoted and the service respects their age, gender, sexual orientation, disability, family status, civil status, race, r</w:t>
          </w:r>
          <w:r>
            <w:rPr>
              <w:rFonts w:ascii="Times New Roman" w:hAnsi="Times New Roman"/>
              <w:iCs/>
              <w:sz w:val="24"/>
            </w:rPr>
            <w:t>eligion or belief,</w:t>
          </w:r>
          <w:r w:rsidRPr="00DE7273">
            <w:rPr>
              <w:rFonts w:ascii="Times New Roman" w:hAnsi="Times New Roman"/>
              <w:iCs/>
              <w:sz w:val="24"/>
            </w:rPr>
            <w:t xml:space="preserve"> or as a member of the Travelling Community</w:t>
          </w:r>
        </w:p>
        <w:p w14:paraId="406E2B51" w14:textId="7F9D12C9" w:rsidR="00581C73" w:rsidRPr="00AF26BD" w:rsidRDefault="00581C73" w:rsidP="00581C73">
          <w:pPr>
            <w:pStyle w:val="NormalWeb"/>
            <w:spacing w:after="150" w:line="276" w:lineRule="auto"/>
            <w:jc w:val="both"/>
            <w:rPr>
              <w:rFonts w:ascii="Times New Roman" w:hAnsi="Times New Roman"/>
              <w:sz w:val="24"/>
            </w:rPr>
          </w:pPr>
          <w:r w:rsidRPr="00AF26BD">
            <w:rPr>
              <w:rFonts w:ascii="Times New Roman" w:hAnsi="Times New Roman"/>
              <w:sz w:val="24"/>
            </w:rPr>
            <w:t xml:space="preserve">Housing Assistance Payment (HAP) is a form of social housing support </w:t>
          </w:r>
          <w:r w:rsidR="003611A0" w:rsidRPr="00AF26BD">
            <w:rPr>
              <w:rFonts w:ascii="Times New Roman" w:hAnsi="Times New Roman"/>
              <w:sz w:val="24"/>
            </w:rPr>
            <w:t>under the Housing (Miscellaneous Provisions) Act 2014</w:t>
          </w:r>
          <w:r w:rsidR="003611A0">
            <w:rPr>
              <w:rStyle w:val="FootnoteReference"/>
              <w:rFonts w:ascii="Times New Roman" w:hAnsi="Times New Roman"/>
              <w:sz w:val="24"/>
            </w:rPr>
            <w:footnoteReference w:id="5"/>
          </w:r>
          <w:r w:rsidR="003611A0" w:rsidRPr="00AF26BD">
            <w:rPr>
              <w:rFonts w:ascii="Times New Roman" w:hAnsi="Times New Roman"/>
              <w:sz w:val="24"/>
            </w:rPr>
            <w:t xml:space="preserve"> </w:t>
          </w:r>
          <w:r w:rsidRPr="00AF26BD">
            <w:rPr>
              <w:rFonts w:ascii="Times New Roman" w:hAnsi="Times New Roman"/>
              <w:sz w:val="24"/>
            </w:rPr>
            <w:t xml:space="preserve">and the scheme is operated by local authorities. Monthly payments are made directly to landlords on behalf of HAP recipients in respect of rent, subject to the conditions of the scheme. At </w:t>
          </w:r>
          <w:r w:rsidR="003611A0">
            <w:rPr>
              <w:rFonts w:ascii="Times New Roman" w:hAnsi="Times New Roman"/>
              <w:sz w:val="24"/>
            </w:rPr>
            <w:t xml:space="preserve">the </w:t>
          </w:r>
          <w:r w:rsidRPr="00AF26BD">
            <w:rPr>
              <w:rFonts w:ascii="Times New Roman" w:hAnsi="Times New Roman"/>
              <w:sz w:val="24"/>
            </w:rPr>
            <w:t>end of 2020</w:t>
          </w:r>
          <w:r w:rsidR="002B0EDC">
            <w:rPr>
              <w:rFonts w:ascii="Times New Roman" w:hAnsi="Times New Roman"/>
              <w:sz w:val="24"/>
            </w:rPr>
            <w:t>,</w:t>
          </w:r>
          <w:r w:rsidRPr="00AF26BD">
            <w:rPr>
              <w:rFonts w:ascii="Times New Roman" w:hAnsi="Times New Roman"/>
              <w:sz w:val="24"/>
            </w:rPr>
            <w:t xml:space="preserve"> there </w:t>
          </w:r>
          <w:r w:rsidR="003611A0">
            <w:rPr>
              <w:rFonts w:ascii="Times New Roman" w:hAnsi="Times New Roman"/>
              <w:sz w:val="24"/>
            </w:rPr>
            <w:t xml:space="preserve">were </w:t>
          </w:r>
          <w:r w:rsidRPr="00AF26BD">
            <w:rPr>
              <w:rFonts w:ascii="Times New Roman" w:hAnsi="Times New Roman"/>
              <w:sz w:val="24"/>
            </w:rPr>
            <w:t>over 59,800 households in receipt of HAP with over 87,000 HAP tenancies having been set-up since the scheme commence</w:t>
          </w:r>
          <w:r w:rsidR="003611A0">
            <w:rPr>
              <w:rFonts w:ascii="Times New Roman" w:hAnsi="Times New Roman"/>
              <w:sz w:val="24"/>
            </w:rPr>
            <w:t>d</w:t>
          </w:r>
          <w:r w:rsidRPr="00AF26BD">
            <w:rPr>
              <w:rFonts w:ascii="Times New Roman" w:hAnsi="Times New Roman"/>
              <w:sz w:val="24"/>
            </w:rPr>
            <w:t xml:space="preserve"> in 2014.  </w:t>
          </w:r>
        </w:p>
        <w:p w14:paraId="5D8089D5" w14:textId="77777777" w:rsidR="00581C73" w:rsidRPr="00AF26BD" w:rsidRDefault="00581C73" w:rsidP="00581C73">
          <w:pPr>
            <w:pStyle w:val="NormalWeb"/>
            <w:spacing w:after="150" w:line="276" w:lineRule="auto"/>
            <w:jc w:val="both"/>
            <w:rPr>
              <w:rFonts w:ascii="Times New Roman" w:hAnsi="Times New Roman"/>
              <w:sz w:val="24"/>
            </w:rPr>
          </w:pPr>
          <w:r w:rsidRPr="00AF26BD">
            <w:rPr>
              <w:rFonts w:ascii="Times New Roman" w:hAnsi="Times New Roman"/>
              <w:sz w:val="24"/>
            </w:rPr>
            <w:t>HAP provides fast, flexible housing support to all eligible households in the area of their choice. Individuals, who in the past were reluctant to avail of full time work as they would lose their Rent Supplement support, can now move to HAP and avail of full-time employment and retain their housing support, with an adjustment i</w:t>
          </w:r>
          <w:r w:rsidR="0015019C">
            <w:rPr>
              <w:rFonts w:ascii="Times New Roman" w:hAnsi="Times New Roman"/>
              <w:sz w:val="24"/>
            </w:rPr>
            <w:t>n their differential rent.</w:t>
          </w:r>
        </w:p>
        <w:p w14:paraId="594A3C17" w14:textId="0F81D0EA" w:rsidR="00226F79" w:rsidRPr="00E13786" w:rsidRDefault="00581C73" w:rsidP="00E13786">
          <w:pPr>
            <w:pStyle w:val="NormalWeb"/>
            <w:spacing w:after="150" w:line="276" w:lineRule="auto"/>
            <w:jc w:val="both"/>
            <w:rPr>
              <w:rFonts w:ascii="Times New Roman" w:hAnsi="Times New Roman"/>
              <w:sz w:val="24"/>
            </w:rPr>
          </w:pPr>
          <w:r w:rsidRPr="00AF26BD">
            <w:rPr>
              <w:rFonts w:ascii="Times New Roman" w:hAnsi="Times New Roman"/>
              <w:sz w:val="24"/>
            </w:rPr>
            <w:t xml:space="preserve">A landlord or an agent acting on behalf of a landlord is not legally obliged to enter into a tenancy agreement specifically with a Housing Assistance Payment (HAP) recipient. </w:t>
          </w:r>
          <w:r w:rsidRPr="00AF26BD">
            <w:rPr>
              <w:rFonts w:ascii="Times New Roman" w:hAnsi="Times New Roman"/>
              <w:sz w:val="24"/>
            </w:rPr>
            <w:lastRenderedPageBreak/>
            <w:t>However, on 1 January 2016, the Equality (Miscellaneous Provisions) Act 2015</w:t>
          </w:r>
          <w:r>
            <w:rPr>
              <w:rStyle w:val="FootnoteReference"/>
              <w:rFonts w:ascii="Times New Roman" w:hAnsi="Times New Roman"/>
              <w:sz w:val="24"/>
            </w:rPr>
            <w:footnoteReference w:id="6"/>
          </w:r>
          <w:r w:rsidRPr="00AF26BD">
            <w:rPr>
              <w:rFonts w:ascii="Times New Roman" w:hAnsi="Times New Roman"/>
              <w:sz w:val="24"/>
            </w:rPr>
            <w:t xml:space="preserve"> introduced “housing assistance” as a new discriminatory ground. This means that discrimination in the provision of accommodation or related service and amenities against people in receipt of rent supplement, HAP or other social welfare payments is prohibited. </w:t>
          </w:r>
        </w:p>
      </w:sdtContent>
    </w:sdt>
    <w:sdt>
      <w:sdtPr>
        <w:rPr>
          <w:rFonts w:ascii="Verdana" w:eastAsia="Helvetica Neue" w:hAnsi="Verdana"/>
          <w:sz w:val="24"/>
          <w:szCs w:val="24"/>
          <w:lang w:val="en"/>
        </w:rPr>
        <w:id w:val="727583382"/>
      </w:sdtPr>
      <w:sdtEndPr>
        <w:rPr>
          <w:sz w:val="20"/>
        </w:rPr>
      </w:sdtEndPr>
      <w:sdtContent>
        <w:p w14:paraId="0FF0333F" w14:textId="77777777" w:rsidR="00192C83" w:rsidRPr="00205CD7" w:rsidRDefault="00192C83" w:rsidP="00E13786">
          <w:pPr>
            <w:spacing w:line="276" w:lineRule="auto"/>
            <w:jc w:val="both"/>
          </w:pPr>
          <w:r w:rsidRPr="00192C83">
            <w:rPr>
              <w:sz w:val="24"/>
              <w:szCs w:val="24"/>
            </w:rPr>
            <w:t>The Housing (Traveller Accommodation) Act 1998</w:t>
          </w:r>
          <w:r>
            <w:rPr>
              <w:rStyle w:val="FootnoteReference"/>
              <w:sz w:val="24"/>
              <w:szCs w:val="24"/>
            </w:rPr>
            <w:footnoteReference w:id="7"/>
          </w:r>
          <w:r w:rsidRPr="00192C83">
            <w:rPr>
              <w:sz w:val="24"/>
              <w:szCs w:val="24"/>
            </w:rPr>
            <w:t xml:space="preserve"> provides the legislative framework within which housing authorities meet the accommodation needs of Travellers.  The Act represents a planned, integrated and comprehensive response to Traveller families in need of accommodation.  The provisions of the Act provide for public input and consultation at all stages of the preparation and implementation of Traveller Accommodation Programmes</w:t>
          </w:r>
          <w:r w:rsidRPr="00205CD7">
            <w:t xml:space="preserve">.  </w:t>
          </w:r>
        </w:p>
        <w:p w14:paraId="6523E1B9" w14:textId="15E8D80E" w:rsidR="00226F79" w:rsidRPr="00E13786" w:rsidRDefault="00192C83" w:rsidP="00E13786">
          <w:pPr>
            <w:pStyle w:val="NormalWeb"/>
            <w:spacing w:after="150" w:line="276" w:lineRule="auto"/>
            <w:jc w:val="both"/>
            <w:rPr>
              <w:rFonts w:ascii="Times New Roman" w:hAnsi="Times New Roman"/>
              <w:sz w:val="24"/>
            </w:rPr>
          </w:pPr>
          <w:r w:rsidRPr="00192C83">
            <w:rPr>
              <w:rFonts w:ascii="Times New Roman" w:hAnsi="Times New Roman"/>
              <w:sz w:val="24"/>
            </w:rPr>
            <w:t xml:space="preserve">The National </w:t>
          </w:r>
          <w:proofErr w:type="spellStart"/>
          <w:r w:rsidRPr="00192C83">
            <w:rPr>
              <w:rFonts w:ascii="Times New Roman" w:hAnsi="Times New Roman"/>
              <w:sz w:val="24"/>
            </w:rPr>
            <w:t>Traveller</w:t>
          </w:r>
          <w:proofErr w:type="spellEnd"/>
          <w:r w:rsidRPr="00192C83">
            <w:rPr>
              <w:rFonts w:ascii="Times New Roman" w:hAnsi="Times New Roman"/>
              <w:sz w:val="24"/>
            </w:rPr>
            <w:t xml:space="preserve"> Accommodation Consultative Committee (NTACC</w:t>
          </w:r>
          <w:r w:rsidR="00912D01">
            <w:rPr>
              <w:rFonts w:ascii="Times New Roman" w:hAnsi="Times New Roman"/>
              <w:sz w:val="24"/>
            </w:rPr>
            <w:t>)</w:t>
          </w:r>
          <w:r w:rsidRPr="00192C83">
            <w:rPr>
              <w:rFonts w:ascii="Times New Roman" w:hAnsi="Times New Roman"/>
              <w:sz w:val="24"/>
            </w:rPr>
            <w:t xml:space="preserve"> was set up under the Housing (</w:t>
          </w:r>
          <w:proofErr w:type="spellStart"/>
          <w:r w:rsidRPr="00192C83">
            <w:rPr>
              <w:rFonts w:ascii="Times New Roman" w:hAnsi="Times New Roman"/>
              <w:sz w:val="24"/>
            </w:rPr>
            <w:t>Traveller</w:t>
          </w:r>
          <w:proofErr w:type="spellEnd"/>
          <w:r w:rsidRPr="00192C83">
            <w:rPr>
              <w:rFonts w:ascii="Times New Roman" w:hAnsi="Times New Roman"/>
              <w:sz w:val="24"/>
            </w:rPr>
            <w:t xml:space="preserve"> Accommodation) Act 1998</w:t>
          </w:r>
          <w:r>
            <w:rPr>
              <w:rFonts w:ascii="Times New Roman" w:hAnsi="Times New Roman"/>
              <w:sz w:val="24"/>
            </w:rPr>
            <w:t>. It was created</w:t>
          </w:r>
          <w:r w:rsidRPr="00192C83">
            <w:rPr>
              <w:rFonts w:ascii="Times New Roman" w:hAnsi="Times New Roman"/>
              <w:sz w:val="24"/>
            </w:rPr>
            <w:t xml:space="preserve"> to advise the </w:t>
          </w:r>
          <w:r w:rsidR="00F050EA">
            <w:rPr>
              <w:rFonts w:ascii="Times New Roman" w:hAnsi="Times New Roman"/>
              <w:sz w:val="24"/>
            </w:rPr>
            <w:t>G</w:t>
          </w:r>
          <w:r>
            <w:rPr>
              <w:rFonts w:ascii="Times New Roman" w:hAnsi="Times New Roman"/>
              <w:sz w:val="24"/>
            </w:rPr>
            <w:t xml:space="preserve">overnment </w:t>
          </w:r>
          <w:r w:rsidRPr="00192C83">
            <w:rPr>
              <w:rFonts w:ascii="Times New Roman" w:hAnsi="Times New Roman"/>
              <w:sz w:val="24"/>
            </w:rPr>
            <w:t xml:space="preserve">in relation to, inter alia, the most appropriate measures for </w:t>
          </w:r>
          <w:r w:rsidR="00B84701">
            <w:rPr>
              <w:rFonts w:ascii="Times New Roman" w:hAnsi="Times New Roman"/>
              <w:sz w:val="24"/>
            </w:rPr>
            <w:t xml:space="preserve">making improvements at a local level, </w:t>
          </w:r>
          <w:r w:rsidR="0015019C">
            <w:rPr>
              <w:rFonts w:ascii="Times New Roman" w:hAnsi="Times New Roman"/>
              <w:sz w:val="24"/>
            </w:rPr>
            <w:t>through</w:t>
          </w:r>
          <w:r w:rsidR="0015019C" w:rsidRPr="00192C83">
            <w:rPr>
              <w:rFonts w:ascii="Times New Roman" w:hAnsi="Times New Roman"/>
              <w:sz w:val="24"/>
            </w:rPr>
            <w:t xml:space="preserve"> consultation</w:t>
          </w:r>
          <w:r w:rsidRPr="00192C83">
            <w:rPr>
              <w:rFonts w:ascii="Times New Roman" w:hAnsi="Times New Roman"/>
              <w:sz w:val="24"/>
            </w:rPr>
            <w:t xml:space="preserve"> with and </w:t>
          </w:r>
          <w:r w:rsidR="00075DFA">
            <w:rPr>
              <w:rFonts w:ascii="Times New Roman" w:hAnsi="Times New Roman"/>
              <w:sz w:val="24"/>
            </w:rPr>
            <w:t xml:space="preserve">the </w:t>
          </w:r>
          <w:r w:rsidRPr="00192C83">
            <w:rPr>
              <w:rFonts w:ascii="Times New Roman" w:hAnsi="Times New Roman"/>
              <w:sz w:val="24"/>
            </w:rPr>
            <w:t xml:space="preserve">participation of </w:t>
          </w:r>
          <w:proofErr w:type="spellStart"/>
          <w:r w:rsidRPr="00192C83">
            <w:rPr>
              <w:rFonts w:ascii="Times New Roman" w:hAnsi="Times New Roman"/>
              <w:sz w:val="24"/>
            </w:rPr>
            <w:t>Travellers</w:t>
          </w:r>
          <w:proofErr w:type="spellEnd"/>
          <w:r w:rsidRPr="00192C83">
            <w:rPr>
              <w:rFonts w:ascii="Times New Roman" w:hAnsi="Times New Roman"/>
              <w:sz w:val="24"/>
            </w:rPr>
            <w:t xml:space="preserve"> in the provision and management of accommodation and general matters concerning the preparation, adequacy, implementation and co-operation of </w:t>
          </w:r>
          <w:proofErr w:type="spellStart"/>
          <w:r w:rsidRPr="00192C83">
            <w:rPr>
              <w:rFonts w:ascii="Times New Roman" w:hAnsi="Times New Roman"/>
              <w:sz w:val="24"/>
            </w:rPr>
            <w:t>Traveller</w:t>
          </w:r>
          <w:proofErr w:type="spellEnd"/>
          <w:r w:rsidRPr="00192C83">
            <w:rPr>
              <w:rFonts w:ascii="Times New Roman" w:hAnsi="Times New Roman"/>
              <w:sz w:val="24"/>
            </w:rPr>
            <w:t xml:space="preserve"> </w:t>
          </w:r>
          <w:r w:rsidR="00075DFA">
            <w:rPr>
              <w:rFonts w:ascii="Times New Roman" w:hAnsi="Times New Roman"/>
              <w:sz w:val="24"/>
            </w:rPr>
            <w:t>A</w:t>
          </w:r>
          <w:r w:rsidRPr="00192C83">
            <w:rPr>
              <w:rFonts w:ascii="Times New Roman" w:hAnsi="Times New Roman"/>
              <w:sz w:val="24"/>
            </w:rPr>
            <w:t xml:space="preserve">ccommodation </w:t>
          </w:r>
          <w:proofErr w:type="spellStart"/>
          <w:r w:rsidR="00075DFA">
            <w:rPr>
              <w:rFonts w:ascii="Times New Roman" w:hAnsi="Times New Roman"/>
              <w:sz w:val="24"/>
            </w:rPr>
            <w:t>P</w:t>
          </w:r>
          <w:r w:rsidRPr="00192C83">
            <w:rPr>
              <w:rFonts w:ascii="Times New Roman" w:hAnsi="Times New Roman"/>
              <w:sz w:val="24"/>
            </w:rPr>
            <w:t>rogrammes</w:t>
          </w:r>
          <w:proofErr w:type="spellEnd"/>
          <w:r w:rsidRPr="00192C83">
            <w:rPr>
              <w:rFonts w:ascii="Times New Roman" w:hAnsi="Times New Roman"/>
              <w:sz w:val="24"/>
            </w:rPr>
            <w:t>.</w:t>
          </w:r>
        </w:p>
      </w:sdtContent>
    </w:sdt>
    <w:p w14:paraId="2C976C85" w14:textId="77777777" w:rsidR="00226F79" w:rsidRPr="00226F79" w:rsidRDefault="00226F79" w:rsidP="00727892">
      <w:pPr>
        <w:spacing w:line="276" w:lineRule="auto"/>
        <w:jc w:val="both"/>
        <w:rPr>
          <w:sz w:val="24"/>
          <w:szCs w:val="24"/>
        </w:rPr>
      </w:pPr>
    </w:p>
    <w:p w14:paraId="129AD55C" w14:textId="77777777" w:rsidR="00226F79" w:rsidRPr="00226F79" w:rsidRDefault="00226F79" w:rsidP="00727892">
      <w:pPr>
        <w:spacing w:line="276" w:lineRule="auto"/>
        <w:jc w:val="both"/>
        <w:rPr>
          <w:b/>
          <w:sz w:val="24"/>
          <w:szCs w:val="24"/>
          <w:u w:val="single"/>
        </w:rPr>
      </w:pPr>
      <w:r w:rsidRPr="00226F79">
        <w:rPr>
          <w:b/>
          <w:sz w:val="24"/>
          <w:szCs w:val="24"/>
          <w:u w:val="single"/>
        </w:rPr>
        <w:t xml:space="preserve">SPATIAL AND RESIDENTIAL SEGREGATION </w:t>
      </w:r>
    </w:p>
    <w:p w14:paraId="3A22258B" w14:textId="539C9212" w:rsidR="00B84701" w:rsidRPr="00226F79" w:rsidRDefault="00B84701" w:rsidP="00727892">
      <w:pPr>
        <w:spacing w:line="276" w:lineRule="auto"/>
        <w:jc w:val="both"/>
        <w:rPr>
          <w:sz w:val="24"/>
          <w:szCs w:val="24"/>
        </w:rPr>
      </w:pPr>
    </w:p>
    <w:p w14:paraId="2B23A73A" w14:textId="06822243" w:rsidR="00E13786" w:rsidRDefault="004A173F" w:rsidP="00727892">
      <w:pPr>
        <w:spacing w:line="276" w:lineRule="auto"/>
        <w:jc w:val="both"/>
        <w:rPr>
          <w:strike/>
          <w:sz w:val="24"/>
          <w:szCs w:val="24"/>
        </w:rPr>
      </w:pPr>
      <w:sdt>
        <w:sdtPr>
          <w:rPr>
            <w:sz w:val="24"/>
            <w:szCs w:val="24"/>
          </w:rPr>
          <w:id w:val="671691551"/>
        </w:sdtPr>
        <w:sdtEndPr/>
        <w:sdtContent>
          <w:sdt>
            <w:sdtPr>
              <w:rPr>
                <w:sz w:val="24"/>
                <w:szCs w:val="24"/>
              </w:rPr>
              <w:id w:val="1816518302"/>
            </w:sdtPr>
            <w:sdtEndPr/>
            <w:sdtContent>
              <w:r w:rsidR="00CF7C1C">
                <w:rPr>
                  <w:sz w:val="24"/>
                  <w:szCs w:val="24"/>
                </w:rPr>
                <w:t>Housing s</w:t>
              </w:r>
              <w:r w:rsidR="00B84701">
                <w:rPr>
                  <w:sz w:val="24"/>
                  <w:szCs w:val="24"/>
                </w:rPr>
                <w:t xml:space="preserve">ervices that are provided by the State are not spatially segregated on the grounds of </w:t>
              </w:r>
              <w:r w:rsidR="00B84701" w:rsidRPr="00DE7273">
                <w:rPr>
                  <w:iCs/>
                  <w:sz w:val="24"/>
                </w:rPr>
                <w:t>ethnicity, race, age, gender, sexual orientation, disability, family status, civil</w:t>
              </w:r>
              <w:r w:rsidR="00912D01">
                <w:rPr>
                  <w:iCs/>
                  <w:sz w:val="24"/>
                </w:rPr>
                <w:t xml:space="preserve"> status, race, </w:t>
              </w:r>
              <w:r w:rsidR="00912D01">
                <w:rPr>
                  <w:iCs/>
                  <w:sz w:val="24"/>
                </w:rPr>
                <w:lastRenderedPageBreak/>
                <w:t>religion or belief,</w:t>
              </w:r>
              <w:r w:rsidR="00B84701" w:rsidRPr="00DE7273">
                <w:rPr>
                  <w:iCs/>
                  <w:sz w:val="24"/>
                </w:rPr>
                <w:t xml:space="preserve"> or as a mem</w:t>
              </w:r>
              <w:r w:rsidR="00B84701">
                <w:rPr>
                  <w:iCs/>
                  <w:sz w:val="24"/>
                </w:rPr>
                <w:t>ber of the T</w:t>
              </w:r>
              <w:r w:rsidR="00912D01">
                <w:rPr>
                  <w:iCs/>
                  <w:sz w:val="24"/>
                </w:rPr>
                <w:t>r</w:t>
              </w:r>
              <w:r w:rsidR="00B84701">
                <w:rPr>
                  <w:iCs/>
                  <w:sz w:val="24"/>
                </w:rPr>
                <w:t>avelling Community</w:t>
              </w:r>
              <w:r w:rsidR="00015B28">
                <w:rPr>
                  <w:iCs/>
                  <w:sz w:val="24"/>
                </w:rPr>
                <w:t xml:space="preserve"> under the Housing Act, 1988</w:t>
              </w:r>
              <w:r w:rsidR="00B84701" w:rsidRPr="00DE7273">
                <w:rPr>
                  <w:iCs/>
                  <w:sz w:val="24"/>
                </w:rPr>
                <w:t>.</w:t>
              </w:r>
              <w:r w:rsidR="00B84701">
                <w:rPr>
                  <w:iCs/>
                  <w:sz w:val="24"/>
                </w:rPr>
                <w:t xml:space="preserve"> </w:t>
              </w:r>
            </w:sdtContent>
          </w:sdt>
          <w:r w:rsidR="00226F79" w:rsidRPr="00226F79" w:rsidDel="004541C6">
            <w:rPr>
              <w:sz w:val="24"/>
              <w:szCs w:val="24"/>
            </w:rPr>
            <w:t xml:space="preserve"> </w:t>
          </w:r>
        </w:sdtContent>
      </w:sdt>
    </w:p>
    <w:p w14:paraId="01A81B5B" w14:textId="77777777" w:rsidR="00C54B18" w:rsidRPr="00E13786" w:rsidRDefault="00C54B18" w:rsidP="00727892">
      <w:pPr>
        <w:spacing w:line="276" w:lineRule="auto"/>
        <w:jc w:val="both"/>
        <w:rPr>
          <w:strike/>
          <w:sz w:val="24"/>
          <w:szCs w:val="24"/>
        </w:rPr>
      </w:pPr>
    </w:p>
    <w:sdt>
      <w:sdtPr>
        <w:rPr>
          <w:sz w:val="24"/>
          <w:szCs w:val="24"/>
        </w:rPr>
        <w:id w:val="-1398123362"/>
      </w:sdtPr>
      <w:sdtEndPr/>
      <w:sdtContent>
        <w:p w14:paraId="17E775D5" w14:textId="77777777" w:rsidR="007C6319" w:rsidRDefault="007C6319" w:rsidP="00727892">
          <w:pPr>
            <w:spacing w:line="276" w:lineRule="auto"/>
            <w:jc w:val="both"/>
            <w:rPr>
              <w:sz w:val="24"/>
              <w:szCs w:val="24"/>
            </w:rPr>
          </w:pPr>
          <w:r w:rsidRPr="00C46E40">
            <w:rPr>
              <w:sz w:val="24"/>
              <w:szCs w:val="24"/>
            </w:rPr>
            <w:t>Any person that arrives at the frontiers of the state that indicates that they are seeking International Protection or appears to be in need of protection is allowed enter the state to make a claim for protection</w:t>
          </w:r>
          <w:r>
            <w:rPr>
              <w:sz w:val="24"/>
              <w:szCs w:val="24"/>
            </w:rPr>
            <w:t xml:space="preserve"> under</w:t>
          </w:r>
          <w:r w:rsidRPr="00C46E40">
            <w:rPr>
              <w:sz w:val="24"/>
              <w:szCs w:val="24"/>
            </w:rPr>
            <w:t xml:space="preserve"> Section 13 of the International Protection Act</w:t>
          </w:r>
          <w:r>
            <w:rPr>
              <w:sz w:val="24"/>
              <w:szCs w:val="24"/>
            </w:rPr>
            <w:t>.</w:t>
          </w:r>
          <w:r>
            <w:rPr>
              <w:rStyle w:val="FootnoteReference"/>
              <w:sz w:val="24"/>
              <w:szCs w:val="24"/>
            </w:rPr>
            <w:footnoteReference w:id="8"/>
          </w:r>
        </w:p>
        <w:p w14:paraId="25A03A28" w14:textId="77777777" w:rsidR="007C6319" w:rsidRDefault="007C6319" w:rsidP="00727892">
          <w:pPr>
            <w:spacing w:line="276" w:lineRule="auto"/>
            <w:jc w:val="both"/>
            <w:rPr>
              <w:sz w:val="24"/>
              <w:szCs w:val="24"/>
            </w:rPr>
          </w:pPr>
        </w:p>
        <w:p w14:paraId="0EE3D8D7" w14:textId="77777777" w:rsidR="007C6319" w:rsidRDefault="007C6319" w:rsidP="00727892">
          <w:pPr>
            <w:spacing w:line="276" w:lineRule="auto"/>
            <w:jc w:val="both"/>
            <w:rPr>
              <w:sz w:val="24"/>
              <w:szCs w:val="24"/>
            </w:rPr>
          </w:pPr>
          <w:r>
            <w:rPr>
              <w:sz w:val="24"/>
              <w:szCs w:val="24"/>
            </w:rPr>
            <w:t>As applications are being processed, asylum seekers are entitled to direct provision, which includes:</w:t>
          </w:r>
        </w:p>
        <w:p w14:paraId="56026E72" w14:textId="77777777" w:rsidR="007C6319" w:rsidRDefault="007C6319" w:rsidP="00C75339">
          <w:pPr>
            <w:pStyle w:val="ListParagraph"/>
            <w:numPr>
              <w:ilvl w:val="0"/>
              <w:numId w:val="3"/>
            </w:numPr>
            <w:spacing w:line="276" w:lineRule="auto"/>
            <w:jc w:val="both"/>
            <w:rPr>
              <w:sz w:val="24"/>
              <w:szCs w:val="24"/>
            </w:rPr>
          </w:pPr>
          <w:r>
            <w:rPr>
              <w:sz w:val="24"/>
              <w:szCs w:val="24"/>
            </w:rPr>
            <w:t xml:space="preserve">Somewhere to live. </w:t>
          </w:r>
        </w:p>
        <w:p w14:paraId="3653EA0D" w14:textId="77777777" w:rsidR="007C6319" w:rsidRDefault="007C6319" w:rsidP="00C75339">
          <w:pPr>
            <w:pStyle w:val="ListParagraph"/>
            <w:numPr>
              <w:ilvl w:val="0"/>
              <w:numId w:val="3"/>
            </w:numPr>
            <w:spacing w:line="276" w:lineRule="auto"/>
            <w:jc w:val="both"/>
            <w:rPr>
              <w:sz w:val="24"/>
              <w:szCs w:val="24"/>
            </w:rPr>
          </w:pPr>
          <w:r>
            <w:rPr>
              <w:sz w:val="24"/>
              <w:szCs w:val="24"/>
            </w:rPr>
            <w:t xml:space="preserve">Meals. </w:t>
          </w:r>
        </w:p>
        <w:p w14:paraId="4C46B802" w14:textId="77777777" w:rsidR="007C6319" w:rsidRDefault="007C6319" w:rsidP="00C75339">
          <w:pPr>
            <w:pStyle w:val="ListParagraph"/>
            <w:numPr>
              <w:ilvl w:val="0"/>
              <w:numId w:val="3"/>
            </w:numPr>
            <w:spacing w:line="276" w:lineRule="auto"/>
            <w:jc w:val="both"/>
            <w:rPr>
              <w:sz w:val="24"/>
              <w:szCs w:val="24"/>
            </w:rPr>
          </w:pPr>
          <w:r>
            <w:rPr>
              <w:sz w:val="24"/>
              <w:szCs w:val="24"/>
            </w:rPr>
            <w:t xml:space="preserve">A weekly payment of </w:t>
          </w:r>
          <w:r w:rsidRPr="007C6319">
            <w:rPr>
              <w:sz w:val="24"/>
              <w:szCs w:val="24"/>
            </w:rPr>
            <w:t>€38.80 per adult and €29.80 per child</w:t>
          </w:r>
          <w:r>
            <w:rPr>
              <w:sz w:val="24"/>
              <w:szCs w:val="24"/>
            </w:rPr>
            <w:t>.</w:t>
          </w:r>
        </w:p>
        <w:p w14:paraId="500E02E9" w14:textId="77777777" w:rsidR="007C6319" w:rsidRDefault="007C6319" w:rsidP="00C75339">
          <w:pPr>
            <w:pStyle w:val="ListParagraph"/>
            <w:numPr>
              <w:ilvl w:val="0"/>
              <w:numId w:val="3"/>
            </w:numPr>
            <w:spacing w:line="276" w:lineRule="auto"/>
            <w:jc w:val="both"/>
            <w:rPr>
              <w:sz w:val="24"/>
              <w:szCs w:val="24"/>
            </w:rPr>
          </w:pPr>
          <w:r>
            <w:rPr>
              <w:sz w:val="24"/>
              <w:szCs w:val="24"/>
            </w:rPr>
            <w:t>A medical card.</w:t>
          </w:r>
        </w:p>
        <w:p w14:paraId="44928AD9" w14:textId="77777777" w:rsidR="007C6319" w:rsidRPr="007C6319" w:rsidRDefault="007C6319" w:rsidP="007C6319">
          <w:pPr>
            <w:pStyle w:val="ListParagraph"/>
            <w:spacing w:line="276" w:lineRule="auto"/>
            <w:ind w:left="780"/>
            <w:jc w:val="both"/>
            <w:rPr>
              <w:sz w:val="24"/>
              <w:szCs w:val="24"/>
            </w:rPr>
          </w:pPr>
        </w:p>
        <w:p w14:paraId="44E57761" w14:textId="26E314DF" w:rsidR="007C6319" w:rsidRPr="00226F79" w:rsidRDefault="00F050EA" w:rsidP="00727892">
          <w:pPr>
            <w:spacing w:line="276" w:lineRule="auto"/>
            <w:jc w:val="both"/>
            <w:rPr>
              <w:sz w:val="24"/>
              <w:szCs w:val="24"/>
            </w:rPr>
          </w:pPr>
          <w:r>
            <w:rPr>
              <w:sz w:val="24"/>
              <w:szCs w:val="24"/>
            </w:rPr>
            <w:t>A</w:t>
          </w:r>
          <w:r w:rsidR="00B84701">
            <w:rPr>
              <w:sz w:val="24"/>
              <w:szCs w:val="24"/>
            </w:rPr>
            <w:t xml:space="preserve">ccommodation </w:t>
          </w:r>
          <w:r>
            <w:rPr>
              <w:sz w:val="24"/>
              <w:szCs w:val="24"/>
            </w:rPr>
            <w:t>is</w:t>
          </w:r>
          <w:r w:rsidR="00C75339">
            <w:rPr>
              <w:sz w:val="24"/>
              <w:szCs w:val="24"/>
            </w:rPr>
            <w:t xml:space="preserve"> provided to asylum seekers as part of direct provision</w:t>
          </w:r>
          <w:r w:rsidR="002276E8">
            <w:rPr>
              <w:sz w:val="24"/>
              <w:szCs w:val="24"/>
            </w:rPr>
            <w:t xml:space="preserve"> around the country</w:t>
          </w:r>
          <w:r w:rsidR="00C75339">
            <w:rPr>
              <w:sz w:val="24"/>
              <w:szCs w:val="24"/>
            </w:rPr>
            <w:t>. However, a</w:t>
          </w:r>
          <w:r w:rsidR="007C6319" w:rsidRPr="00EA254F">
            <w:rPr>
              <w:sz w:val="24"/>
              <w:szCs w:val="24"/>
            </w:rPr>
            <w:t>s stated in the Programme for Government</w:t>
          </w:r>
          <w:r w:rsidR="007C6319">
            <w:rPr>
              <w:rStyle w:val="FootnoteReference"/>
              <w:sz w:val="24"/>
              <w:szCs w:val="24"/>
            </w:rPr>
            <w:footnoteReference w:id="9"/>
          </w:r>
          <w:r w:rsidR="007C6319" w:rsidRPr="00EA254F">
            <w:rPr>
              <w:sz w:val="24"/>
              <w:szCs w:val="24"/>
            </w:rPr>
            <w:t xml:space="preserve">, the </w:t>
          </w:r>
          <w:r w:rsidR="007C6319">
            <w:rPr>
              <w:sz w:val="24"/>
              <w:szCs w:val="24"/>
            </w:rPr>
            <w:t>g</w:t>
          </w:r>
          <w:r w:rsidR="007C6319" w:rsidRPr="00EA254F">
            <w:rPr>
              <w:sz w:val="24"/>
              <w:szCs w:val="24"/>
            </w:rPr>
            <w:t>overnment is committed to ending the system of Direct Provision</w:t>
          </w:r>
          <w:r w:rsidR="007C6319">
            <w:rPr>
              <w:sz w:val="24"/>
              <w:szCs w:val="24"/>
            </w:rPr>
            <w:t>.</w:t>
          </w:r>
          <w:r w:rsidR="007C6319" w:rsidRPr="00EA254F">
            <w:rPr>
              <w:sz w:val="24"/>
              <w:szCs w:val="24"/>
            </w:rPr>
            <w:t xml:space="preserve">  </w:t>
          </w:r>
          <w:r w:rsidR="007C6319">
            <w:rPr>
              <w:sz w:val="24"/>
              <w:szCs w:val="24"/>
            </w:rPr>
            <w:t xml:space="preserve">It </w:t>
          </w:r>
          <w:r w:rsidR="007C6319" w:rsidRPr="00EA254F">
            <w:rPr>
              <w:sz w:val="24"/>
              <w:szCs w:val="24"/>
            </w:rPr>
            <w:t xml:space="preserve">has pledged to replace it with a new International Protection Accommodation system, which will be centred on a not-for profit approach. As part of this process, </w:t>
          </w:r>
          <w:r w:rsidR="007C6319">
            <w:rPr>
              <w:sz w:val="24"/>
              <w:szCs w:val="24"/>
            </w:rPr>
            <w:t xml:space="preserve">the government </w:t>
          </w:r>
          <w:r w:rsidR="007C6319" w:rsidRPr="00EA254F">
            <w:rPr>
              <w:sz w:val="24"/>
              <w:szCs w:val="24"/>
            </w:rPr>
            <w:t>published A White Paper</w:t>
          </w:r>
          <w:r>
            <w:rPr>
              <w:rStyle w:val="FootnoteReference"/>
              <w:sz w:val="24"/>
              <w:szCs w:val="24"/>
            </w:rPr>
            <w:footnoteReference w:id="10"/>
          </w:r>
          <w:r w:rsidR="007C6319" w:rsidRPr="00EA254F">
            <w:rPr>
              <w:sz w:val="24"/>
              <w:szCs w:val="24"/>
            </w:rPr>
            <w:t xml:space="preserve"> to end Direct Provision and to establish a new International Protection Support Service on 26 February 2021. This White Paper outlines the proposed system of accommodation and supports that will be offered to applicants for International Protection (also known as asylum-seekers) </w:t>
          </w:r>
          <w:r w:rsidR="007C6319" w:rsidRPr="00EA254F">
            <w:rPr>
              <w:sz w:val="24"/>
              <w:szCs w:val="24"/>
            </w:rPr>
            <w:lastRenderedPageBreak/>
            <w:t xml:space="preserve">and is the result of an extensive consultation process with </w:t>
          </w:r>
          <w:r w:rsidR="007C6319">
            <w:rPr>
              <w:sz w:val="24"/>
              <w:szCs w:val="24"/>
            </w:rPr>
            <w:t>c</w:t>
          </w:r>
          <w:r w:rsidR="007C6319" w:rsidRPr="00EA254F">
            <w:rPr>
              <w:sz w:val="24"/>
              <w:szCs w:val="24"/>
            </w:rPr>
            <w:t xml:space="preserve">ivil </w:t>
          </w:r>
          <w:r w:rsidR="007C6319">
            <w:rPr>
              <w:sz w:val="24"/>
              <w:szCs w:val="24"/>
            </w:rPr>
            <w:t>s</w:t>
          </w:r>
          <w:r w:rsidR="007C6319" w:rsidRPr="00EA254F">
            <w:rPr>
              <w:sz w:val="24"/>
              <w:szCs w:val="24"/>
            </w:rPr>
            <w:t xml:space="preserve">ociety </w:t>
          </w:r>
          <w:r w:rsidR="007C6319">
            <w:rPr>
              <w:sz w:val="24"/>
              <w:szCs w:val="24"/>
            </w:rPr>
            <w:t>o</w:t>
          </w:r>
          <w:r w:rsidR="007C6319" w:rsidRPr="00EA254F">
            <w:rPr>
              <w:sz w:val="24"/>
              <w:szCs w:val="24"/>
            </w:rPr>
            <w:t xml:space="preserve">rganisations, residents of Direct Provision centres, and other </w:t>
          </w:r>
          <w:r w:rsidR="007C6319">
            <w:rPr>
              <w:sz w:val="24"/>
              <w:szCs w:val="24"/>
            </w:rPr>
            <w:t>g</w:t>
          </w:r>
          <w:r w:rsidR="007C6319" w:rsidRPr="00EA254F">
            <w:rPr>
              <w:sz w:val="24"/>
              <w:szCs w:val="24"/>
            </w:rPr>
            <w:t>over</w:t>
          </w:r>
          <w:r w:rsidR="007C6319">
            <w:rPr>
              <w:sz w:val="24"/>
              <w:szCs w:val="24"/>
            </w:rPr>
            <w:t xml:space="preserve">nment departments and bodies.   </w:t>
          </w:r>
        </w:p>
      </w:sdtContent>
    </w:sdt>
    <w:p w14:paraId="3FB1FBEA" w14:textId="70BB8E0B" w:rsidR="00226F79" w:rsidRPr="00226F79" w:rsidRDefault="004A173F" w:rsidP="00727892">
      <w:pPr>
        <w:spacing w:line="276" w:lineRule="auto"/>
        <w:jc w:val="both"/>
        <w:rPr>
          <w:sz w:val="24"/>
          <w:szCs w:val="24"/>
        </w:rPr>
      </w:pPr>
      <w:sdt>
        <w:sdtPr>
          <w:rPr>
            <w:sz w:val="24"/>
            <w:szCs w:val="24"/>
          </w:rPr>
          <w:id w:val="-1059548944"/>
          <w:showingPlcHdr/>
        </w:sdtPr>
        <w:sdtEndPr/>
        <w:sdtContent>
          <w:r w:rsidR="007C6319">
            <w:rPr>
              <w:sz w:val="24"/>
              <w:szCs w:val="24"/>
            </w:rPr>
            <w:t xml:space="preserve">     </w:t>
          </w:r>
        </w:sdtContent>
      </w:sdt>
    </w:p>
    <w:p w14:paraId="2A1A25C3" w14:textId="77777777" w:rsidR="00226F79" w:rsidRPr="00226F79" w:rsidRDefault="00226F79" w:rsidP="00727892">
      <w:pPr>
        <w:spacing w:line="276" w:lineRule="auto"/>
        <w:jc w:val="both"/>
        <w:rPr>
          <w:b/>
          <w:sz w:val="24"/>
          <w:szCs w:val="24"/>
          <w:u w:val="single"/>
        </w:rPr>
      </w:pPr>
      <w:r w:rsidRPr="00226F79">
        <w:rPr>
          <w:b/>
          <w:sz w:val="24"/>
          <w:szCs w:val="24"/>
          <w:u w:val="single"/>
        </w:rPr>
        <w:t>MEASURES AND GOOD PRACTICES TO CURB DISCRIMINATION AND REDUCE SEGREGATION</w:t>
      </w:r>
    </w:p>
    <w:p w14:paraId="2D0AD1DF" w14:textId="5BA2A516" w:rsidR="000B3211" w:rsidRDefault="000B3211" w:rsidP="00727892">
      <w:pPr>
        <w:spacing w:line="276" w:lineRule="auto"/>
        <w:jc w:val="both"/>
        <w:rPr>
          <w:sz w:val="24"/>
          <w:szCs w:val="24"/>
        </w:rPr>
      </w:pPr>
    </w:p>
    <w:sdt>
      <w:sdtPr>
        <w:rPr>
          <w:sz w:val="24"/>
          <w:szCs w:val="24"/>
        </w:rPr>
        <w:id w:val="1273279467"/>
      </w:sdtPr>
      <w:sdtEndPr/>
      <w:sdtContent>
        <w:p w14:paraId="13221515" w14:textId="77777777" w:rsidR="0086355E" w:rsidRPr="00DE7273" w:rsidRDefault="0086355E" w:rsidP="00727892">
          <w:pPr>
            <w:spacing w:line="276" w:lineRule="auto"/>
            <w:jc w:val="both"/>
            <w:rPr>
              <w:rFonts w:eastAsia="Helvetica Neue"/>
              <w:iCs/>
              <w:sz w:val="24"/>
              <w:szCs w:val="24"/>
              <w:lang w:val="en"/>
            </w:rPr>
          </w:pPr>
          <w:r w:rsidRPr="00DE7273">
            <w:rPr>
              <w:rFonts w:eastAsia="Helvetica Neue"/>
              <w:iCs/>
              <w:sz w:val="24"/>
              <w:szCs w:val="24"/>
              <w:lang w:val="en"/>
            </w:rPr>
            <w:t xml:space="preserve">Eligibility for social housing support is determined on the basis of an assessment in accordance with </w:t>
          </w:r>
          <w:r w:rsidR="00DE7273">
            <w:rPr>
              <w:rFonts w:eastAsia="Helvetica Neue"/>
              <w:iCs/>
              <w:sz w:val="24"/>
              <w:szCs w:val="24"/>
              <w:lang w:val="en"/>
            </w:rPr>
            <w:t>S</w:t>
          </w:r>
          <w:r w:rsidRPr="00DE7273">
            <w:rPr>
              <w:rFonts w:eastAsia="Helvetica Neue"/>
              <w:iCs/>
              <w:sz w:val="24"/>
              <w:szCs w:val="24"/>
              <w:lang w:val="en"/>
            </w:rPr>
            <w:t>ection 20 of the Housing (Miscellaneous Provisions) Act 2009</w:t>
          </w:r>
          <w:r w:rsidR="00DE7273">
            <w:rPr>
              <w:rStyle w:val="FootnoteReference"/>
              <w:rFonts w:eastAsia="Helvetica Neue"/>
              <w:iCs/>
              <w:sz w:val="24"/>
              <w:szCs w:val="24"/>
              <w:lang w:val="en"/>
            </w:rPr>
            <w:footnoteReference w:id="11"/>
          </w:r>
          <w:r w:rsidRPr="00DE7273">
            <w:rPr>
              <w:rFonts w:eastAsia="Helvetica Neue"/>
              <w:iCs/>
              <w:sz w:val="24"/>
              <w:szCs w:val="24"/>
              <w:lang w:val="en"/>
            </w:rPr>
            <w:t xml:space="preserve"> and the Social Housing Assessment Regulations 2011 (as amended)</w:t>
          </w:r>
          <w:r w:rsidR="00DE7273">
            <w:rPr>
              <w:rStyle w:val="FootnoteReference"/>
              <w:rFonts w:eastAsia="Helvetica Neue"/>
              <w:iCs/>
              <w:sz w:val="24"/>
              <w:szCs w:val="24"/>
              <w:lang w:val="en"/>
            </w:rPr>
            <w:footnoteReference w:id="12"/>
          </w:r>
          <w:r w:rsidRPr="00DE7273">
            <w:rPr>
              <w:rFonts w:eastAsia="Helvetica Neue"/>
              <w:iCs/>
              <w:sz w:val="24"/>
              <w:szCs w:val="24"/>
              <w:lang w:val="en"/>
            </w:rPr>
            <w:t xml:space="preserve"> made under that section.  Qualified households must have an income that falls within the income band applicable to their local authority of application.  The allocation of local authority dwellings to qualified households is in accordance with the local authority’s Scheme of Letting Priorities made in accordance with </w:t>
          </w:r>
          <w:r w:rsidR="00DE7273">
            <w:rPr>
              <w:rFonts w:eastAsia="Helvetica Neue"/>
              <w:iCs/>
              <w:sz w:val="24"/>
              <w:szCs w:val="24"/>
              <w:lang w:val="en"/>
            </w:rPr>
            <w:t>S</w:t>
          </w:r>
          <w:r w:rsidRPr="00DE7273">
            <w:rPr>
              <w:rFonts w:eastAsia="Helvetica Neue"/>
              <w:iCs/>
              <w:sz w:val="24"/>
              <w:szCs w:val="24"/>
              <w:lang w:val="en"/>
            </w:rPr>
            <w:t xml:space="preserve">ection 22 of the </w:t>
          </w:r>
          <w:r w:rsidR="00DE7273" w:rsidRPr="00DE7273">
            <w:rPr>
              <w:rFonts w:eastAsia="Helvetica Neue"/>
              <w:iCs/>
              <w:sz w:val="24"/>
              <w:szCs w:val="24"/>
              <w:lang w:val="en"/>
            </w:rPr>
            <w:t>Housing (Miscellaneous Provisions) Act 2009</w:t>
          </w:r>
          <w:r w:rsidR="00DE7273">
            <w:rPr>
              <w:rStyle w:val="FootnoteReference"/>
              <w:rFonts w:eastAsia="Helvetica Neue"/>
              <w:iCs/>
              <w:sz w:val="24"/>
              <w:szCs w:val="24"/>
              <w:lang w:val="en"/>
            </w:rPr>
            <w:footnoteReference w:id="13"/>
          </w:r>
          <w:r w:rsidRPr="00DE7273">
            <w:rPr>
              <w:rFonts w:eastAsia="Helvetica Neue"/>
              <w:iCs/>
              <w:sz w:val="24"/>
              <w:szCs w:val="24"/>
              <w:lang w:val="en"/>
            </w:rPr>
            <w:t xml:space="preserve"> and the Social Housing Allocation Regulations 2011 made under that section.  Each local authority sets out in its allocation scheme the manner in which it determines the order of priority for the allocation of dwellings and how it allocates the dwellings.  Matters such as homelessness and the health status of members of the household can impact the order of priority. </w:t>
          </w:r>
        </w:p>
        <w:p w14:paraId="1D8F7B88" w14:textId="77777777" w:rsidR="00226F79" w:rsidRDefault="004A173F" w:rsidP="00727892">
          <w:pPr>
            <w:spacing w:line="276" w:lineRule="auto"/>
            <w:jc w:val="both"/>
            <w:rPr>
              <w:sz w:val="24"/>
              <w:szCs w:val="24"/>
            </w:rPr>
          </w:pPr>
        </w:p>
      </w:sdtContent>
    </w:sdt>
    <w:sdt>
      <w:sdtPr>
        <w:rPr>
          <w:sz w:val="24"/>
          <w:szCs w:val="24"/>
        </w:rPr>
        <w:id w:val="1503775671"/>
      </w:sdtPr>
      <w:sdtEndPr>
        <w:rPr>
          <w:rFonts w:eastAsia="Helvetica Neue"/>
          <w:iCs/>
          <w:lang w:val="en"/>
        </w:rPr>
      </w:sdtEndPr>
      <w:sdtContent>
        <w:p w14:paraId="490036FF" w14:textId="011D2D54" w:rsidR="0015019C" w:rsidRDefault="0086355E" w:rsidP="00727892">
          <w:pPr>
            <w:spacing w:line="276" w:lineRule="auto"/>
            <w:jc w:val="both"/>
            <w:rPr>
              <w:rFonts w:eastAsia="Helvetica Neue"/>
              <w:iCs/>
              <w:sz w:val="24"/>
              <w:szCs w:val="24"/>
              <w:lang w:val="en"/>
            </w:rPr>
          </w:pPr>
          <w:r w:rsidRPr="0034086E">
            <w:rPr>
              <w:rFonts w:eastAsia="Helvetica Neue"/>
              <w:iCs/>
              <w:sz w:val="24"/>
              <w:szCs w:val="24"/>
              <w:lang w:val="en"/>
            </w:rPr>
            <w:t>Part V of the Planning and Development Act 2000</w:t>
          </w:r>
          <w:r w:rsidR="0034086E">
            <w:rPr>
              <w:rStyle w:val="FootnoteReference"/>
              <w:rFonts w:eastAsia="Helvetica Neue"/>
              <w:iCs/>
              <w:sz w:val="24"/>
              <w:szCs w:val="24"/>
              <w:lang w:val="en"/>
            </w:rPr>
            <w:footnoteReference w:id="14"/>
          </w:r>
          <w:r w:rsidRPr="0034086E">
            <w:rPr>
              <w:rFonts w:eastAsia="Helvetica Neue"/>
              <w:iCs/>
              <w:sz w:val="24"/>
              <w:szCs w:val="24"/>
              <w:lang w:val="en"/>
            </w:rPr>
            <w:t xml:space="preserve"> requires local authorities to prepare a Housing Strategy</w:t>
          </w:r>
          <w:r w:rsidR="0055345F">
            <w:rPr>
              <w:rStyle w:val="FootnoteReference"/>
              <w:rFonts w:eastAsia="Helvetica Neue"/>
              <w:iCs/>
              <w:sz w:val="24"/>
              <w:szCs w:val="24"/>
              <w:lang w:val="en"/>
            </w:rPr>
            <w:footnoteReference w:id="15"/>
          </w:r>
          <w:r w:rsidRPr="0034086E">
            <w:rPr>
              <w:rFonts w:eastAsia="Helvetica Neue"/>
              <w:iCs/>
              <w:sz w:val="24"/>
              <w:szCs w:val="24"/>
              <w:lang w:val="en"/>
            </w:rPr>
            <w:t xml:space="preserve"> for inclusion in their 6 yearly Development Plans.  A Housing Strategy has to take into account, inter alia, the need to ensure that housing is available for </w:t>
          </w:r>
          <w:r w:rsidRPr="0034086E">
            <w:rPr>
              <w:rFonts w:eastAsia="Helvetica Neue"/>
              <w:iCs/>
              <w:sz w:val="24"/>
              <w:szCs w:val="24"/>
              <w:lang w:val="en"/>
            </w:rPr>
            <w:lastRenderedPageBreak/>
            <w:t>persons who have different levels of income, the need to counteract undue segregation in housing between persons of different social backgrounds and the need to ensure that a mixture of house types and sizes is developed to match the requirements of different categories of household, including the special requirements of elderly persons and those with disabilities.</w:t>
          </w:r>
        </w:p>
        <w:p w14:paraId="5760920E" w14:textId="77777777" w:rsidR="00E13786" w:rsidRDefault="00E13786" w:rsidP="00727892">
          <w:pPr>
            <w:spacing w:line="276" w:lineRule="auto"/>
            <w:jc w:val="both"/>
            <w:rPr>
              <w:rFonts w:eastAsia="Helvetica Neue"/>
              <w:iCs/>
              <w:sz w:val="24"/>
              <w:szCs w:val="24"/>
              <w:lang w:val="en"/>
            </w:rPr>
          </w:pPr>
        </w:p>
        <w:p w14:paraId="284AA9FB" w14:textId="744A1605" w:rsidR="00226F79" w:rsidRPr="0034086E" w:rsidRDefault="0086355E" w:rsidP="00727892">
          <w:pPr>
            <w:spacing w:line="276" w:lineRule="auto"/>
            <w:jc w:val="both"/>
            <w:rPr>
              <w:rFonts w:eastAsia="Helvetica Neue"/>
              <w:iCs/>
              <w:sz w:val="24"/>
              <w:szCs w:val="24"/>
              <w:lang w:val="en"/>
            </w:rPr>
          </w:pPr>
          <w:r w:rsidRPr="0034086E">
            <w:rPr>
              <w:rFonts w:eastAsia="Helvetica Neue"/>
              <w:iCs/>
              <w:sz w:val="24"/>
              <w:szCs w:val="24"/>
              <w:lang w:val="en"/>
            </w:rPr>
            <w:t>At present Part V</w:t>
          </w:r>
          <w:r w:rsidR="0015019C">
            <w:rPr>
              <w:rStyle w:val="FootnoteReference"/>
              <w:rFonts w:eastAsia="Helvetica Neue"/>
              <w:iCs/>
              <w:sz w:val="24"/>
              <w:szCs w:val="24"/>
              <w:lang w:val="en"/>
            </w:rPr>
            <w:footnoteReference w:id="16"/>
          </w:r>
          <w:r w:rsidRPr="0034086E">
            <w:rPr>
              <w:rFonts w:eastAsia="Helvetica Neue"/>
              <w:iCs/>
              <w:sz w:val="24"/>
              <w:szCs w:val="24"/>
              <w:lang w:val="en"/>
            </w:rPr>
            <w:t xml:space="preserve"> requires that 10% of land zoned for residential use is reserved for social housing and local authorities are required when considering whether to enter an agreement to purchase units in a development under Part V to consider the need to counteract undue segregation in housing between persons of different social backgrounds in the area of the authority.  The original Guidelines issued to local authorities in relation to Part V advised that the number and location of these houses s</w:t>
          </w:r>
          <w:r w:rsidR="002B0EDC">
            <w:rPr>
              <w:rFonts w:eastAsia="Helvetica Neue"/>
              <w:iCs/>
              <w:sz w:val="24"/>
              <w:szCs w:val="24"/>
              <w:lang w:val="en"/>
            </w:rPr>
            <w:t xml:space="preserve">hould be such as to avoid undue </w:t>
          </w:r>
          <w:r w:rsidRPr="0034086E">
            <w:rPr>
              <w:rFonts w:eastAsia="Helvetica Neue"/>
              <w:iCs/>
              <w:sz w:val="24"/>
              <w:szCs w:val="24"/>
              <w:lang w:val="en"/>
            </w:rPr>
            <w:t>social segregation and foster the development of integrated communities.  Currently, the Part V requirement applies to developments consisting of 10 or more units and ensures that private housing developments built since the legislation came into effect are mixed tenure communities.</w:t>
          </w:r>
        </w:p>
      </w:sdtContent>
    </w:sdt>
    <w:p w14:paraId="51CCCB39" w14:textId="098C11A4" w:rsidR="000B3211" w:rsidRPr="00226F79" w:rsidRDefault="000B3211" w:rsidP="00727892">
      <w:pPr>
        <w:spacing w:line="276" w:lineRule="auto"/>
        <w:jc w:val="both"/>
        <w:rPr>
          <w:sz w:val="24"/>
          <w:szCs w:val="24"/>
        </w:rPr>
      </w:pPr>
    </w:p>
    <w:p w14:paraId="02E8BBBF" w14:textId="708E2FBA" w:rsidR="00AF26BD" w:rsidRDefault="004A173F" w:rsidP="00727892">
      <w:pPr>
        <w:spacing w:line="276" w:lineRule="auto"/>
        <w:jc w:val="both"/>
        <w:rPr>
          <w:sz w:val="24"/>
          <w:szCs w:val="24"/>
        </w:rPr>
      </w:pPr>
      <w:sdt>
        <w:sdtPr>
          <w:rPr>
            <w:sz w:val="24"/>
            <w:szCs w:val="24"/>
          </w:rPr>
          <w:id w:val="-1718507619"/>
        </w:sdtPr>
        <w:sdtEndPr/>
        <w:sdtContent>
          <w:sdt>
            <w:sdtPr>
              <w:rPr>
                <w:sz w:val="24"/>
                <w:szCs w:val="24"/>
              </w:rPr>
              <w:id w:val="-2110036250"/>
            </w:sdtPr>
            <w:sdtEndPr/>
            <w:sdtContent>
              <w:r w:rsidR="00D64012" w:rsidRPr="0055345F">
                <w:rPr>
                  <w:rFonts w:eastAsia="Helvetica Neue"/>
                  <w:iCs/>
                  <w:sz w:val="24"/>
                  <w:szCs w:val="24"/>
                  <w:lang w:val="en"/>
                </w:rPr>
                <w:t>Planning Regulations (Part V) seeks to deliver 10% social and 10% affordable (for persons of reduced means) in all private housing developments of more than 9 dwellings to reduce residential segregation of persons from different socio-economic backgrounds. There is a policy of Sustainable Communities</w:t>
              </w:r>
              <w:r w:rsidR="0015019C">
                <w:rPr>
                  <w:rStyle w:val="FootnoteReference"/>
                  <w:rFonts w:eastAsia="Helvetica Neue"/>
                  <w:iCs/>
                  <w:sz w:val="24"/>
                  <w:szCs w:val="24"/>
                  <w:lang w:val="en"/>
                </w:rPr>
                <w:footnoteReference w:id="17"/>
              </w:r>
              <w:r w:rsidR="00D64012" w:rsidRPr="0055345F">
                <w:rPr>
                  <w:rFonts w:eastAsia="Helvetica Neue"/>
                  <w:iCs/>
                  <w:sz w:val="24"/>
                  <w:szCs w:val="24"/>
                  <w:lang w:val="en"/>
                </w:rPr>
                <w:t xml:space="preserve"> in respect of the Central Government funding of Social Housing provision by Local Authorities (for persons of reduced means), where an over </w:t>
              </w:r>
              <w:r w:rsidR="00D64012" w:rsidRPr="0055345F">
                <w:rPr>
                  <w:rFonts w:eastAsia="Helvetica Neue"/>
                  <w:iCs/>
                  <w:sz w:val="24"/>
                  <w:szCs w:val="24"/>
                  <w:lang w:val="en"/>
                </w:rPr>
                <w:lastRenderedPageBreak/>
                <w:t>concentration of Social Housing is discouraged and tenure diversity encouraged, to reduce residential segregation.</w:t>
              </w:r>
              <w:r w:rsidR="00D64012" w:rsidRPr="0055345F">
                <w:rPr>
                  <w:sz w:val="24"/>
                  <w:szCs w:val="24"/>
                </w:rPr>
                <w:t xml:space="preserve"> </w:t>
              </w:r>
            </w:sdtContent>
          </w:sdt>
        </w:sdtContent>
      </w:sdt>
    </w:p>
    <w:p w14:paraId="19C9E43D" w14:textId="77777777" w:rsidR="00E13786" w:rsidRPr="00226F79" w:rsidRDefault="00E13786" w:rsidP="00727892">
      <w:pPr>
        <w:spacing w:line="276" w:lineRule="auto"/>
        <w:jc w:val="both"/>
        <w:rPr>
          <w:sz w:val="24"/>
          <w:szCs w:val="24"/>
        </w:rPr>
      </w:pPr>
    </w:p>
    <w:p w14:paraId="3D8AD16A" w14:textId="04D896E6" w:rsidR="00763445" w:rsidRDefault="004A173F" w:rsidP="00E13786">
      <w:pPr>
        <w:spacing w:line="276" w:lineRule="auto"/>
        <w:jc w:val="both"/>
        <w:rPr>
          <w:sz w:val="24"/>
          <w:szCs w:val="24"/>
        </w:rPr>
      </w:pPr>
      <w:sdt>
        <w:sdtPr>
          <w:rPr>
            <w:sz w:val="24"/>
            <w:szCs w:val="24"/>
          </w:rPr>
          <w:id w:val="-1715032840"/>
        </w:sdtPr>
        <w:sdtEndPr/>
        <w:sdtContent>
          <w:sdt>
            <w:sdtPr>
              <w:rPr>
                <w:sz w:val="24"/>
                <w:szCs w:val="24"/>
              </w:rPr>
              <w:id w:val="185565434"/>
            </w:sdtPr>
            <w:sdtEndPr/>
            <w:sdtContent>
              <w:sdt>
                <w:sdtPr>
                  <w:rPr>
                    <w:sz w:val="24"/>
                    <w:szCs w:val="24"/>
                  </w:rPr>
                  <w:id w:val="346531629"/>
                </w:sdtPr>
                <w:sdtEndPr/>
                <w:sdtContent>
                  <w:sdt>
                    <w:sdtPr>
                      <w:rPr>
                        <w:sz w:val="24"/>
                        <w:szCs w:val="24"/>
                      </w:rPr>
                      <w:id w:val="1068845229"/>
                    </w:sdtPr>
                    <w:sdtEndPr/>
                    <w:sdtContent>
                      <w:r w:rsidR="00763445">
                        <w:rPr>
                          <w:sz w:val="24"/>
                          <w:szCs w:val="24"/>
                        </w:rPr>
                        <w:t>In cases of complaints regarding discrimination, c</w:t>
                      </w:r>
                      <w:r w:rsidR="007302FA">
                        <w:rPr>
                          <w:sz w:val="24"/>
                          <w:szCs w:val="24"/>
                        </w:rPr>
                        <w:t xml:space="preserve">omplaints can be brought to the Office of the Ombudsman for an independent investigation </w:t>
                      </w:r>
                      <w:r w:rsidR="00763445">
                        <w:rPr>
                          <w:sz w:val="24"/>
                          <w:szCs w:val="24"/>
                        </w:rPr>
                        <w:t>into</w:t>
                      </w:r>
                      <w:r w:rsidR="007302FA">
                        <w:rPr>
                          <w:sz w:val="24"/>
                          <w:szCs w:val="24"/>
                        </w:rPr>
                        <w:t xml:space="preserve"> a range of public bodies, including local authorities. These local authorities include county councils and city councils. The Ombudsman can examine complaints on how local authorities carry out their everyday executive and administrative activities, including complaints about delays or failing to take action. Although attempts to resolve the issue through internal complaint procedures must be demonstrated to have taken place, in failing this, the Ombudsman can address issues in the allocation, sales, rents</w:t>
                      </w:r>
                      <w:r w:rsidR="00763445">
                        <w:rPr>
                          <w:sz w:val="24"/>
                          <w:szCs w:val="24"/>
                        </w:rPr>
                        <w:t xml:space="preserve"> of properties</w:t>
                      </w:r>
                      <w:r w:rsidR="007302FA">
                        <w:rPr>
                          <w:sz w:val="24"/>
                          <w:szCs w:val="24"/>
                        </w:rPr>
                        <w:t xml:space="preserve">, failure to provide Traveller accommodation and homelessness. </w:t>
                      </w:r>
                    </w:sdtContent>
                  </w:sdt>
                </w:sdtContent>
              </w:sdt>
              <w:r w:rsidR="007302FA">
                <w:rPr>
                  <w:sz w:val="24"/>
                  <w:szCs w:val="24"/>
                </w:rPr>
                <w:t xml:space="preserve"> </w:t>
              </w:r>
            </w:sdtContent>
          </w:sdt>
        </w:sdtContent>
      </w:sdt>
    </w:p>
    <w:p w14:paraId="04219DB8" w14:textId="77777777" w:rsidR="00E13786" w:rsidRPr="00E13786" w:rsidRDefault="00E13786" w:rsidP="00E13786">
      <w:pPr>
        <w:spacing w:line="276" w:lineRule="auto"/>
        <w:jc w:val="both"/>
        <w:rPr>
          <w:sz w:val="24"/>
          <w:szCs w:val="24"/>
        </w:rPr>
      </w:pPr>
    </w:p>
    <w:p w14:paraId="79CE1CFF" w14:textId="1F96106A" w:rsidR="00E13786" w:rsidRDefault="00763445" w:rsidP="00E13786">
      <w:pPr>
        <w:spacing w:line="276" w:lineRule="auto"/>
        <w:rPr>
          <w:b/>
          <w:sz w:val="24"/>
          <w:szCs w:val="24"/>
          <w:u w:val="single"/>
        </w:rPr>
      </w:pPr>
      <w:r w:rsidRPr="00E13786">
        <w:rPr>
          <w:sz w:val="24"/>
          <w:szCs w:val="24"/>
        </w:rPr>
        <w:t>Furthermore,</w:t>
      </w:r>
      <w:r w:rsidR="001A24BE">
        <w:rPr>
          <w:sz w:val="24"/>
          <w:szCs w:val="24"/>
        </w:rPr>
        <w:t xml:space="preserve"> </w:t>
      </w:r>
      <w:r w:rsidRPr="00763445">
        <w:rPr>
          <w:sz w:val="24"/>
          <w:szCs w:val="24"/>
        </w:rPr>
        <w:t>if a</w:t>
      </w:r>
      <w:r w:rsidRPr="00AF26BD">
        <w:rPr>
          <w:sz w:val="24"/>
          <w:szCs w:val="24"/>
        </w:rPr>
        <w:t xml:space="preserve"> person feels that they have been discriminated against by a landlord or their agent, they can make a complaint under the Equal Status Acts to the Workplace Relations Commission</w:t>
      </w:r>
      <w:r>
        <w:rPr>
          <w:sz w:val="24"/>
          <w:szCs w:val="24"/>
        </w:rPr>
        <w:t>.</w:t>
      </w:r>
      <w:r>
        <w:rPr>
          <w:rStyle w:val="FootnoteReference"/>
          <w:sz w:val="24"/>
          <w:szCs w:val="24"/>
        </w:rPr>
        <w:footnoteReference w:id="18"/>
      </w:r>
      <w:r w:rsidRPr="00AF26BD">
        <w:rPr>
          <w:sz w:val="24"/>
          <w:szCs w:val="24"/>
        </w:rPr>
        <w:t xml:space="preserve"> </w:t>
      </w:r>
    </w:p>
    <w:p w14:paraId="4A7DBCD5" w14:textId="77777777" w:rsidR="00E13786" w:rsidRDefault="00E13786" w:rsidP="00E13786">
      <w:pPr>
        <w:spacing w:line="276" w:lineRule="auto"/>
        <w:rPr>
          <w:b/>
          <w:sz w:val="24"/>
          <w:szCs w:val="24"/>
          <w:u w:val="single"/>
        </w:rPr>
      </w:pPr>
    </w:p>
    <w:p w14:paraId="740E6066" w14:textId="282264B2" w:rsidR="00226F79" w:rsidRPr="00226F79" w:rsidRDefault="00226F79" w:rsidP="00E13786">
      <w:pPr>
        <w:spacing w:line="276" w:lineRule="auto"/>
        <w:rPr>
          <w:b/>
          <w:sz w:val="24"/>
          <w:szCs w:val="24"/>
          <w:u w:val="single"/>
        </w:rPr>
      </w:pPr>
      <w:r w:rsidRPr="00226F79">
        <w:rPr>
          <w:b/>
          <w:sz w:val="24"/>
          <w:szCs w:val="24"/>
          <w:u w:val="single"/>
        </w:rPr>
        <w:t xml:space="preserve">DATA ON DISCRIMINATION IN HOUSING AND SPATIAL/RESIDENTIAL SEGREGATION </w:t>
      </w:r>
    </w:p>
    <w:p w14:paraId="66952D27" w14:textId="77777777" w:rsidR="00226F79" w:rsidRPr="00226F79" w:rsidRDefault="00226F79" w:rsidP="00727892">
      <w:pPr>
        <w:spacing w:line="276" w:lineRule="auto"/>
        <w:jc w:val="both"/>
        <w:rPr>
          <w:sz w:val="24"/>
          <w:szCs w:val="24"/>
        </w:rPr>
      </w:pPr>
    </w:p>
    <w:p w14:paraId="48897DDB" w14:textId="76275E87" w:rsidR="003A314E" w:rsidRPr="003A314E" w:rsidRDefault="004A173F" w:rsidP="00727892">
      <w:pPr>
        <w:spacing w:line="276" w:lineRule="auto"/>
        <w:jc w:val="both"/>
        <w:rPr>
          <w:sz w:val="24"/>
          <w:szCs w:val="24"/>
        </w:rPr>
      </w:pPr>
      <w:sdt>
        <w:sdtPr>
          <w:rPr>
            <w:sz w:val="24"/>
            <w:szCs w:val="24"/>
          </w:rPr>
          <w:id w:val="1312760308"/>
        </w:sdtPr>
        <w:sdtEndPr/>
        <w:sdtContent>
          <w:sdt>
            <w:sdtPr>
              <w:rPr>
                <w:sz w:val="24"/>
                <w:szCs w:val="24"/>
              </w:rPr>
              <w:id w:val="-177115800"/>
            </w:sdtPr>
            <w:sdtEndPr/>
            <w:sdtContent>
              <w:r w:rsidR="00075DC5">
                <w:rPr>
                  <w:sz w:val="24"/>
                  <w:szCs w:val="24"/>
                </w:rPr>
                <w:t>Details on complaints made to the Workplace Relations Committee (WRC)</w:t>
              </w:r>
              <w:r w:rsidR="00075DC5">
                <w:rPr>
                  <w:rStyle w:val="FootnoteReference"/>
                  <w:sz w:val="24"/>
                  <w:szCs w:val="24"/>
                </w:rPr>
                <w:footnoteReference w:id="19"/>
              </w:r>
              <w:r w:rsidR="00075DC5">
                <w:rPr>
                  <w:sz w:val="24"/>
                  <w:szCs w:val="24"/>
                </w:rPr>
                <w:t xml:space="preserve"> in relation to housing discrimination can be found online, along with information as to how these complaints are investigated and settled. </w:t>
              </w:r>
            </w:sdtContent>
          </w:sdt>
        </w:sdtContent>
      </w:sdt>
    </w:p>
    <w:sectPr w:rsidR="003A314E" w:rsidRPr="003A314E" w:rsidSect="00895233">
      <w:footerReference w:type="default" r:id="rId13"/>
      <w:footerReference w:type="first" r:id="rId1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26CF4" w14:textId="77777777" w:rsidR="00157203" w:rsidRDefault="00157203">
      <w:r>
        <w:separator/>
      </w:r>
    </w:p>
  </w:endnote>
  <w:endnote w:type="continuationSeparator" w:id="0">
    <w:p w14:paraId="5A063EA2" w14:textId="77777777" w:rsidR="00157203" w:rsidRDefault="0015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32ED4" w14:textId="0D76D0BA" w:rsidR="0055345F" w:rsidRDefault="0055345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A173F">
      <w:rPr>
        <w:caps/>
        <w:noProof/>
        <w:color w:val="4F81BD" w:themeColor="accent1"/>
      </w:rPr>
      <w:t>6</w:t>
    </w:r>
    <w:r>
      <w:rPr>
        <w:caps/>
        <w:noProof/>
        <w:color w:val="4F81BD" w:themeColor="accent1"/>
      </w:rPr>
      <w:fldChar w:fldCharType="end"/>
    </w:r>
  </w:p>
  <w:p w14:paraId="3FF82547" w14:textId="77777777" w:rsidR="0055345F" w:rsidRDefault="005534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13340" w14:textId="77777777" w:rsidR="00226F79" w:rsidRDefault="00226F7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1F24A" w14:textId="77777777" w:rsidR="00157203" w:rsidRDefault="00157203">
      <w:r>
        <w:separator/>
      </w:r>
    </w:p>
  </w:footnote>
  <w:footnote w:type="continuationSeparator" w:id="0">
    <w:p w14:paraId="5D7EE777" w14:textId="77777777" w:rsidR="00157203" w:rsidRDefault="00157203">
      <w:r>
        <w:continuationSeparator/>
      </w:r>
    </w:p>
  </w:footnote>
  <w:footnote w:id="1">
    <w:p w14:paraId="26C84209" w14:textId="77777777" w:rsidR="00DE7273" w:rsidRPr="002B0EDC" w:rsidRDefault="00DE7273">
      <w:pPr>
        <w:pStyle w:val="FootnoteText"/>
        <w:rPr>
          <w:sz w:val="20"/>
          <w:szCs w:val="20"/>
          <w:lang w:val="en-IE"/>
        </w:rPr>
      </w:pPr>
      <w:r>
        <w:rPr>
          <w:rStyle w:val="FootnoteReference"/>
        </w:rPr>
        <w:footnoteRef/>
      </w:r>
      <w:r>
        <w:t xml:space="preserve"> </w:t>
      </w:r>
      <w:hyperlink r:id="rId1" w:history="1">
        <w:r w:rsidRPr="002B0EDC">
          <w:rPr>
            <w:rStyle w:val="Hyperlink"/>
            <w:sz w:val="20"/>
            <w:szCs w:val="20"/>
          </w:rPr>
          <w:t>Housing Act, 1988 (irishstatutebook.ie)</w:t>
        </w:r>
      </w:hyperlink>
    </w:p>
  </w:footnote>
  <w:footnote w:id="2">
    <w:p w14:paraId="6B9A0971" w14:textId="77777777" w:rsidR="00DE7273" w:rsidRPr="002B0EDC" w:rsidRDefault="00DE7273">
      <w:pPr>
        <w:pStyle w:val="FootnoteText"/>
        <w:rPr>
          <w:sz w:val="20"/>
          <w:szCs w:val="20"/>
          <w:lang w:val="en-IE"/>
        </w:rPr>
      </w:pPr>
      <w:r w:rsidRPr="002B0EDC">
        <w:rPr>
          <w:rStyle w:val="FootnoteReference"/>
          <w:sz w:val="20"/>
          <w:szCs w:val="20"/>
        </w:rPr>
        <w:footnoteRef/>
      </w:r>
      <w:r w:rsidRPr="002B0EDC">
        <w:rPr>
          <w:sz w:val="20"/>
          <w:szCs w:val="20"/>
        </w:rPr>
        <w:t xml:space="preserve"> </w:t>
      </w:r>
      <w:hyperlink r:id="rId2" w:anchor="sec2" w:history="1">
        <w:r w:rsidRPr="002B0EDC">
          <w:rPr>
            <w:rStyle w:val="Hyperlink"/>
            <w:sz w:val="20"/>
            <w:szCs w:val="20"/>
          </w:rPr>
          <w:t>Housing Act, 1988, Section 2 (irishstatutebook.ie)</w:t>
        </w:r>
      </w:hyperlink>
    </w:p>
  </w:footnote>
  <w:footnote w:id="3">
    <w:p w14:paraId="0F691A68" w14:textId="77777777" w:rsidR="00DE7273" w:rsidRPr="002B0EDC" w:rsidRDefault="00DE7273">
      <w:pPr>
        <w:pStyle w:val="FootnoteText"/>
        <w:rPr>
          <w:sz w:val="20"/>
          <w:szCs w:val="20"/>
          <w:lang w:val="en-IE"/>
        </w:rPr>
      </w:pPr>
      <w:r w:rsidRPr="002B0EDC">
        <w:rPr>
          <w:rStyle w:val="FootnoteReference"/>
          <w:sz w:val="20"/>
          <w:szCs w:val="20"/>
        </w:rPr>
        <w:footnoteRef/>
      </w:r>
      <w:r w:rsidRPr="002B0EDC">
        <w:rPr>
          <w:sz w:val="20"/>
          <w:szCs w:val="20"/>
        </w:rPr>
        <w:t xml:space="preserve"> </w:t>
      </w:r>
      <w:hyperlink r:id="rId3" w:anchor="sec10" w:history="1">
        <w:r w:rsidRPr="002B0EDC">
          <w:rPr>
            <w:rStyle w:val="Hyperlink"/>
            <w:sz w:val="20"/>
            <w:szCs w:val="20"/>
          </w:rPr>
          <w:t>Housing Act, 1988, Section 10 (irishstatutebook.ie)</w:t>
        </w:r>
      </w:hyperlink>
    </w:p>
  </w:footnote>
  <w:footnote w:id="4">
    <w:p w14:paraId="3BC1B6C5" w14:textId="77777777" w:rsidR="00E13786" w:rsidRPr="002B0EDC" w:rsidRDefault="00E13786" w:rsidP="00E13786">
      <w:pPr>
        <w:pStyle w:val="FootnoteText"/>
        <w:rPr>
          <w:sz w:val="20"/>
          <w:szCs w:val="20"/>
          <w:lang w:val="en-IE"/>
        </w:rPr>
      </w:pPr>
      <w:r w:rsidRPr="002B0EDC">
        <w:rPr>
          <w:rStyle w:val="FootnoteReference"/>
          <w:sz w:val="20"/>
          <w:szCs w:val="20"/>
        </w:rPr>
        <w:footnoteRef/>
      </w:r>
      <w:r w:rsidRPr="002B0EDC">
        <w:rPr>
          <w:sz w:val="20"/>
          <w:szCs w:val="20"/>
        </w:rPr>
        <w:t xml:space="preserve"> </w:t>
      </w:r>
      <w:hyperlink r:id="rId4" w:anchor=":~:text=The%20National%20Quality%20Standards%20Framework,language%20within%20a%20structured%20framework.&amp;text=Published%20in%20July%202010." w:history="1">
        <w:r w:rsidRPr="002B0EDC">
          <w:rPr>
            <w:rStyle w:val="Hyperlink"/>
            <w:sz w:val="20"/>
            <w:szCs w:val="20"/>
          </w:rPr>
          <w:t>gov.ie - National Quality Standards Framework (NQSF) for Youth Work (www.gov.ie)</w:t>
        </w:r>
      </w:hyperlink>
    </w:p>
  </w:footnote>
  <w:footnote w:id="5">
    <w:p w14:paraId="4E26C00D" w14:textId="77777777" w:rsidR="003611A0" w:rsidRPr="00460735" w:rsidRDefault="003611A0" w:rsidP="003611A0">
      <w:pPr>
        <w:pStyle w:val="FootnoteText"/>
        <w:rPr>
          <w:lang w:val="en-IE"/>
        </w:rPr>
      </w:pPr>
      <w:r w:rsidRPr="002B0EDC">
        <w:rPr>
          <w:rStyle w:val="FootnoteReference"/>
          <w:sz w:val="20"/>
          <w:szCs w:val="20"/>
        </w:rPr>
        <w:footnoteRef/>
      </w:r>
      <w:r w:rsidRPr="002B0EDC">
        <w:rPr>
          <w:sz w:val="20"/>
          <w:szCs w:val="20"/>
        </w:rPr>
        <w:t xml:space="preserve"> </w:t>
      </w:r>
      <w:hyperlink r:id="rId5" w:history="1">
        <w:r w:rsidRPr="002B0EDC">
          <w:rPr>
            <w:rStyle w:val="Hyperlink"/>
            <w:sz w:val="20"/>
            <w:szCs w:val="20"/>
          </w:rPr>
          <w:t>Housing (Miscellaneous Provisions) Act 2014 (irishstatutebook.ie)</w:t>
        </w:r>
      </w:hyperlink>
    </w:p>
  </w:footnote>
  <w:footnote w:id="6">
    <w:p w14:paraId="3FA29C5F" w14:textId="77777777" w:rsidR="00581C73" w:rsidRPr="002B0EDC" w:rsidRDefault="00581C73" w:rsidP="00581C73">
      <w:pPr>
        <w:pStyle w:val="FootnoteText"/>
        <w:rPr>
          <w:sz w:val="20"/>
          <w:lang w:val="en-IE"/>
        </w:rPr>
      </w:pPr>
      <w:r>
        <w:rPr>
          <w:rStyle w:val="FootnoteReference"/>
        </w:rPr>
        <w:footnoteRef/>
      </w:r>
      <w:r>
        <w:t xml:space="preserve"> </w:t>
      </w:r>
      <w:hyperlink r:id="rId6" w:history="1">
        <w:r w:rsidRPr="002B0EDC">
          <w:rPr>
            <w:rStyle w:val="Hyperlink"/>
            <w:sz w:val="20"/>
          </w:rPr>
          <w:t>Equality (Miscellaneous Provisions) Act 2015 (irishstatutebook.ie)</w:t>
        </w:r>
      </w:hyperlink>
    </w:p>
  </w:footnote>
  <w:footnote w:id="7">
    <w:p w14:paraId="5C55C6B2" w14:textId="77777777" w:rsidR="00192C83" w:rsidRPr="002B0EDC" w:rsidRDefault="00192C83">
      <w:pPr>
        <w:pStyle w:val="FootnoteText"/>
        <w:rPr>
          <w:sz w:val="20"/>
          <w:lang w:val="en-IE"/>
        </w:rPr>
      </w:pPr>
      <w:r w:rsidRPr="002B0EDC">
        <w:rPr>
          <w:rStyle w:val="FootnoteReference"/>
          <w:sz w:val="20"/>
        </w:rPr>
        <w:footnoteRef/>
      </w:r>
      <w:r w:rsidRPr="002B0EDC">
        <w:rPr>
          <w:sz w:val="20"/>
        </w:rPr>
        <w:t xml:space="preserve"> </w:t>
      </w:r>
      <w:hyperlink r:id="rId7" w:history="1">
        <w:r w:rsidRPr="002B0EDC">
          <w:rPr>
            <w:rStyle w:val="Hyperlink"/>
            <w:sz w:val="20"/>
          </w:rPr>
          <w:t>Housing (</w:t>
        </w:r>
        <w:proofErr w:type="spellStart"/>
        <w:r w:rsidRPr="002B0EDC">
          <w:rPr>
            <w:rStyle w:val="Hyperlink"/>
            <w:sz w:val="20"/>
          </w:rPr>
          <w:t>Traveller</w:t>
        </w:r>
        <w:proofErr w:type="spellEnd"/>
        <w:r w:rsidRPr="002B0EDC">
          <w:rPr>
            <w:rStyle w:val="Hyperlink"/>
            <w:sz w:val="20"/>
          </w:rPr>
          <w:t xml:space="preserve"> Accommodation) Act, 1998 (irishstatutebook.ie)</w:t>
        </w:r>
      </w:hyperlink>
    </w:p>
  </w:footnote>
  <w:footnote w:id="8">
    <w:p w14:paraId="64C09532" w14:textId="77777777" w:rsidR="007C6319" w:rsidRDefault="007C6319" w:rsidP="007C6319">
      <w:pPr>
        <w:pStyle w:val="FootnoteText"/>
      </w:pPr>
      <w:r w:rsidRPr="002B0EDC">
        <w:rPr>
          <w:rStyle w:val="FootnoteReference"/>
          <w:sz w:val="20"/>
        </w:rPr>
        <w:footnoteRef/>
      </w:r>
      <w:r w:rsidRPr="002B0EDC">
        <w:rPr>
          <w:sz w:val="20"/>
        </w:rPr>
        <w:t xml:space="preserve"> </w:t>
      </w:r>
      <w:hyperlink r:id="rId8" w:anchor="sec13" w:history="1">
        <w:r w:rsidRPr="002B0EDC">
          <w:rPr>
            <w:rStyle w:val="Hyperlink"/>
            <w:sz w:val="20"/>
          </w:rPr>
          <w:t>http://www.irishstatutebook.ie/eli/2015/act/66/section/13/enacted/en/html#sec13</w:t>
        </w:r>
      </w:hyperlink>
    </w:p>
  </w:footnote>
  <w:footnote w:id="9">
    <w:p w14:paraId="4B28831E" w14:textId="77777777" w:rsidR="007C6319" w:rsidRPr="002B0EDC" w:rsidRDefault="007C6319" w:rsidP="007C6319">
      <w:pPr>
        <w:pStyle w:val="FootnoteText"/>
        <w:rPr>
          <w:sz w:val="20"/>
          <w:lang w:val="en-IE"/>
        </w:rPr>
      </w:pPr>
      <w:r>
        <w:rPr>
          <w:rStyle w:val="FootnoteReference"/>
        </w:rPr>
        <w:footnoteRef/>
      </w:r>
      <w:r>
        <w:t xml:space="preserve"> </w:t>
      </w:r>
      <w:hyperlink r:id="rId9" w:history="1">
        <w:r w:rsidRPr="002B0EDC">
          <w:rPr>
            <w:rStyle w:val="Hyperlink"/>
            <w:sz w:val="20"/>
          </w:rPr>
          <w:t>gov.ie - Programme for Government: Our Shared Future (www.gov.ie)</w:t>
        </w:r>
      </w:hyperlink>
    </w:p>
  </w:footnote>
  <w:footnote w:id="10">
    <w:p w14:paraId="6C3AFB93" w14:textId="77777777" w:rsidR="00F050EA" w:rsidRPr="002B0EDC" w:rsidRDefault="00F050EA" w:rsidP="00F050EA">
      <w:pPr>
        <w:pStyle w:val="FootnoteText"/>
        <w:rPr>
          <w:sz w:val="20"/>
        </w:rPr>
      </w:pPr>
      <w:r w:rsidRPr="002B0EDC">
        <w:rPr>
          <w:rStyle w:val="FootnoteReference"/>
          <w:sz w:val="20"/>
        </w:rPr>
        <w:footnoteRef/>
      </w:r>
      <w:r w:rsidRPr="002B0EDC">
        <w:rPr>
          <w:sz w:val="20"/>
        </w:rPr>
        <w:t xml:space="preserve"> </w:t>
      </w:r>
      <w:hyperlink r:id="rId10" w:history="1">
        <w:r w:rsidRPr="002B0EDC">
          <w:rPr>
            <w:rStyle w:val="Hyperlink"/>
            <w:sz w:val="20"/>
          </w:rPr>
          <w:t>gov.ie - White Paper on Ending Direct Provision | Executive Summary in various languages (www.gov.ie)</w:t>
        </w:r>
      </w:hyperlink>
    </w:p>
  </w:footnote>
  <w:footnote w:id="11">
    <w:p w14:paraId="2DD222E6" w14:textId="77777777" w:rsidR="00DE7273" w:rsidRPr="002B0EDC" w:rsidRDefault="00DE7273">
      <w:pPr>
        <w:pStyle w:val="FootnoteText"/>
        <w:rPr>
          <w:sz w:val="20"/>
          <w:lang w:val="en-IE"/>
        </w:rPr>
      </w:pPr>
      <w:r w:rsidRPr="002B0EDC">
        <w:rPr>
          <w:rStyle w:val="FootnoteReference"/>
          <w:sz w:val="20"/>
        </w:rPr>
        <w:footnoteRef/>
      </w:r>
      <w:r w:rsidRPr="002B0EDC">
        <w:rPr>
          <w:sz w:val="20"/>
        </w:rPr>
        <w:t xml:space="preserve"> </w:t>
      </w:r>
      <w:hyperlink r:id="rId11" w:history="1">
        <w:r w:rsidRPr="002B0EDC">
          <w:rPr>
            <w:rStyle w:val="Hyperlink"/>
            <w:sz w:val="20"/>
          </w:rPr>
          <w:t>Housing (Miscellaneous Provisions) Act 2009, Section 20 (irishstatutebook.ie)</w:t>
        </w:r>
      </w:hyperlink>
    </w:p>
  </w:footnote>
  <w:footnote w:id="12">
    <w:p w14:paraId="7191ABFE" w14:textId="77777777" w:rsidR="00DE7273" w:rsidRPr="002B0EDC" w:rsidRDefault="00DE7273">
      <w:pPr>
        <w:pStyle w:val="FootnoteText"/>
        <w:rPr>
          <w:sz w:val="20"/>
          <w:lang w:val="en-IE"/>
        </w:rPr>
      </w:pPr>
      <w:r w:rsidRPr="002B0EDC">
        <w:rPr>
          <w:rStyle w:val="FootnoteReference"/>
          <w:sz w:val="20"/>
        </w:rPr>
        <w:footnoteRef/>
      </w:r>
      <w:r w:rsidRPr="002B0EDC">
        <w:rPr>
          <w:sz w:val="20"/>
        </w:rPr>
        <w:t xml:space="preserve"> </w:t>
      </w:r>
      <w:hyperlink r:id="rId12" w:history="1">
        <w:r w:rsidRPr="002B0EDC">
          <w:rPr>
            <w:rStyle w:val="Hyperlink"/>
            <w:sz w:val="20"/>
          </w:rPr>
          <w:t>S.I. No. 321/2011 - Social Housing Assessment (Amendment) (No. 2) Regulations 2011. (irishstatutebook.ie)</w:t>
        </w:r>
      </w:hyperlink>
    </w:p>
  </w:footnote>
  <w:footnote w:id="13">
    <w:p w14:paraId="7C801253" w14:textId="77777777" w:rsidR="00DE7273" w:rsidRPr="002B0EDC" w:rsidRDefault="00DE7273">
      <w:pPr>
        <w:pStyle w:val="FootnoteText"/>
        <w:rPr>
          <w:sz w:val="20"/>
          <w:lang w:val="en-IE"/>
        </w:rPr>
      </w:pPr>
      <w:r w:rsidRPr="002B0EDC">
        <w:rPr>
          <w:rStyle w:val="FootnoteReference"/>
          <w:sz w:val="20"/>
        </w:rPr>
        <w:footnoteRef/>
      </w:r>
      <w:r w:rsidRPr="002B0EDC">
        <w:rPr>
          <w:sz w:val="20"/>
        </w:rPr>
        <w:t xml:space="preserve"> </w:t>
      </w:r>
      <w:hyperlink r:id="rId13" w:history="1">
        <w:r w:rsidR="0034086E" w:rsidRPr="002B0EDC">
          <w:rPr>
            <w:rStyle w:val="Hyperlink"/>
            <w:sz w:val="20"/>
          </w:rPr>
          <w:t>Housing (Miscellaneous Provisions) Act 2009, Section 22 (irishstatutebook.ie)</w:t>
        </w:r>
      </w:hyperlink>
    </w:p>
  </w:footnote>
  <w:footnote w:id="14">
    <w:p w14:paraId="584BFF73" w14:textId="77777777" w:rsidR="0034086E" w:rsidRPr="002B0EDC" w:rsidRDefault="0034086E">
      <w:pPr>
        <w:pStyle w:val="FootnoteText"/>
        <w:rPr>
          <w:sz w:val="20"/>
          <w:lang w:val="en-IE"/>
        </w:rPr>
      </w:pPr>
      <w:r w:rsidRPr="002B0EDC">
        <w:rPr>
          <w:rStyle w:val="FootnoteReference"/>
          <w:sz w:val="20"/>
        </w:rPr>
        <w:footnoteRef/>
      </w:r>
      <w:r w:rsidRPr="002B0EDC">
        <w:rPr>
          <w:sz w:val="20"/>
        </w:rPr>
        <w:t xml:space="preserve"> </w:t>
      </w:r>
      <w:hyperlink r:id="rId14" w:anchor="partv" w:history="1">
        <w:r w:rsidRPr="002B0EDC">
          <w:rPr>
            <w:rStyle w:val="Hyperlink"/>
            <w:sz w:val="20"/>
          </w:rPr>
          <w:t>Planning and Development Act, 2000, Section 93 (irishstatutebook.ie)</w:t>
        </w:r>
      </w:hyperlink>
    </w:p>
  </w:footnote>
  <w:footnote w:id="15">
    <w:p w14:paraId="7693BE02" w14:textId="77777777" w:rsidR="0055345F" w:rsidRPr="0055345F" w:rsidRDefault="0055345F">
      <w:pPr>
        <w:pStyle w:val="FootnoteText"/>
        <w:rPr>
          <w:lang w:val="en-IE"/>
        </w:rPr>
      </w:pPr>
      <w:r w:rsidRPr="002B0EDC">
        <w:rPr>
          <w:rStyle w:val="FootnoteReference"/>
          <w:sz w:val="20"/>
        </w:rPr>
        <w:footnoteRef/>
      </w:r>
      <w:r w:rsidRPr="002B0EDC">
        <w:rPr>
          <w:sz w:val="20"/>
        </w:rPr>
        <w:t xml:space="preserve"> </w:t>
      </w:r>
      <w:hyperlink r:id="rId15" w:history="1">
        <w:r w:rsidRPr="002B0EDC">
          <w:rPr>
            <w:rStyle w:val="Hyperlink"/>
            <w:sz w:val="20"/>
          </w:rPr>
          <w:t>gov.ie - Social Housing Strategy 2020 (www.gov.ie)</w:t>
        </w:r>
      </w:hyperlink>
    </w:p>
  </w:footnote>
  <w:footnote w:id="16">
    <w:p w14:paraId="1CED4DC3" w14:textId="77777777" w:rsidR="0015019C" w:rsidRPr="002B0EDC" w:rsidRDefault="0015019C">
      <w:pPr>
        <w:pStyle w:val="FootnoteText"/>
        <w:rPr>
          <w:sz w:val="20"/>
          <w:lang w:val="en-IE"/>
        </w:rPr>
      </w:pPr>
      <w:r w:rsidRPr="002B0EDC">
        <w:rPr>
          <w:rStyle w:val="FootnoteReference"/>
          <w:sz w:val="20"/>
        </w:rPr>
        <w:footnoteRef/>
      </w:r>
      <w:r w:rsidRPr="002B0EDC">
        <w:rPr>
          <w:sz w:val="20"/>
        </w:rPr>
        <w:t xml:space="preserve"> </w:t>
      </w:r>
      <w:hyperlink r:id="rId16" w:history="1">
        <w:r w:rsidRPr="002B0EDC">
          <w:rPr>
            <w:rStyle w:val="Hyperlink"/>
            <w:sz w:val="20"/>
          </w:rPr>
          <w:t>gov.ie - Part V of the Planning and Development Act 2000 - Guidelines issued by the Minister for Housing, Planning, Community and Local Government under section 28 of the Planning and Development Act 2000 (www.gov.ie)</w:t>
        </w:r>
      </w:hyperlink>
    </w:p>
  </w:footnote>
  <w:footnote w:id="17">
    <w:p w14:paraId="56CCEF34" w14:textId="1FA09697" w:rsidR="0015019C" w:rsidRPr="002B0EDC" w:rsidRDefault="0015019C">
      <w:pPr>
        <w:pStyle w:val="FootnoteText"/>
        <w:rPr>
          <w:sz w:val="20"/>
          <w:lang w:val="en-IE"/>
        </w:rPr>
      </w:pPr>
      <w:r w:rsidRPr="002B0EDC">
        <w:rPr>
          <w:rStyle w:val="FootnoteReference"/>
          <w:sz w:val="20"/>
        </w:rPr>
        <w:footnoteRef/>
      </w:r>
      <w:r w:rsidRPr="002B0EDC">
        <w:rPr>
          <w:sz w:val="20"/>
        </w:rPr>
        <w:t xml:space="preserve"> </w:t>
      </w:r>
      <w:hyperlink r:id="rId17" w:history="1">
        <w:r w:rsidRPr="002B0EDC">
          <w:rPr>
            <w:rStyle w:val="Hyperlink"/>
            <w:sz w:val="20"/>
          </w:rPr>
          <w:t>https://assets.gov.ie/26890/ff380490589a4f9ab9cd9bb3f53b5493.pdf</w:t>
        </w:r>
      </w:hyperlink>
    </w:p>
  </w:footnote>
  <w:footnote w:id="18">
    <w:p w14:paraId="0F019508" w14:textId="77777777" w:rsidR="00763445" w:rsidRPr="008F7DD8" w:rsidRDefault="00763445" w:rsidP="00763445">
      <w:pPr>
        <w:pStyle w:val="FootnoteText"/>
        <w:rPr>
          <w:lang w:val="en-IE"/>
        </w:rPr>
      </w:pPr>
      <w:r w:rsidRPr="002B0EDC">
        <w:rPr>
          <w:rStyle w:val="FootnoteReference"/>
          <w:sz w:val="20"/>
        </w:rPr>
        <w:footnoteRef/>
      </w:r>
      <w:r w:rsidRPr="002B0EDC">
        <w:rPr>
          <w:sz w:val="20"/>
        </w:rPr>
        <w:t xml:space="preserve"> </w:t>
      </w:r>
      <w:hyperlink r:id="rId18" w:history="1">
        <w:r w:rsidRPr="002B0EDC">
          <w:rPr>
            <w:rStyle w:val="Hyperlink"/>
            <w:sz w:val="20"/>
          </w:rPr>
          <w:t>Home - Workplace Relations Commission</w:t>
        </w:r>
      </w:hyperlink>
    </w:p>
  </w:footnote>
  <w:footnote w:id="19">
    <w:p w14:paraId="4ABF000A" w14:textId="77777777" w:rsidR="00075DC5" w:rsidRPr="008F7DD8" w:rsidRDefault="00075DC5">
      <w:pPr>
        <w:pStyle w:val="FootnoteText"/>
        <w:rPr>
          <w:lang w:val="en-IE"/>
        </w:rPr>
      </w:pPr>
      <w:r w:rsidRPr="002B0EDC">
        <w:rPr>
          <w:rStyle w:val="FootnoteReference"/>
          <w:sz w:val="20"/>
        </w:rPr>
        <w:footnoteRef/>
      </w:r>
      <w:r w:rsidRPr="002B0EDC">
        <w:rPr>
          <w:sz w:val="20"/>
        </w:rPr>
        <w:t xml:space="preserve"> </w:t>
      </w:r>
      <w:hyperlink r:id="rId19" w:history="1">
        <w:r w:rsidRPr="002B0EDC">
          <w:rPr>
            <w:rStyle w:val="Hyperlink"/>
            <w:sz w:val="20"/>
          </w:rPr>
          <w:t>Home - Workplace Relations Commission</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15555CA"/>
    <w:multiLevelType w:val="hybridMultilevel"/>
    <w:tmpl w:val="D572F5B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15B28"/>
    <w:rsid w:val="00026D1F"/>
    <w:rsid w:val="00026D52"/>
    <w:rsid w:val="00031377"/>
    <w:rsid w:val="00032D0E"/>
    <w:rsid w:val="0003674D"/>
    <w:rsid w:val="000410AB"/>
    <w:rsid w:val="0005390B"/>
    <w:rsid w:val="00063BFD"/>
    <w:rsid w:val="00072E19"/>
    <w:rsid w:val="00075DC5"/>
    <w:rsid w:val="00075DFA"/>
    <w:rsid w:val="00077294"/>
    <w:rsid w:val="00077AE5"/>
    <w:rsid w:val="000875C6"/>
    <w:rsid w:val="00091BF0"/>
    <w:rsid w:val="00092109"/>
    <w:rsid w:val="00097430"/>
    <w:rsid w:val="000A2B89"/>
    <w:rsid w:val="000A6F03"/>
    <w:rsid w:val="000B3211"/>
    <w:rsid w:val="000B38AF"/>
    <w:rsid w:val="000C0492"/>
    <w:rsid w:val="000D210E"/>
    <w:rsid w:val="000D2183"/>
    <w:rsid w:val="000D34F2"/>
    <w:rsid w:val="000D634A"/>
    <w:rsid w:val="000E1E28"/>
    <w:rsid w:val="000E42EE"/>
    <w:rsid w:val="000F0425"/>
    <w:rsid w:val="000F183C"/>
    <w:rsid w:val="00100FCF"/>
    <w:rsid w:val="00106F64"/>
    <w:rsid w:val="001146DA"/>
    <w:rsid w:val="0011540B"/>
    <w:rsid w:val="00115798"/>
    <w:rsid w:val="001205D6"/>
    <w:rsid w:val="00124668"/>
    <w:rsid w:val="00131DFA"/>
    <w:rsid w:val="001456CB"/>
    <w:rsid w:val="00145CB3"/>
    <w:rsid w:val="0015019C"/>
    <w:rsid w:val="001537CC"/>
    <w:rsid w:val="0015615C"/>
    <w:rsid w:val="00157203"/>
    <w:rsid w:val="00166A78"/>
    <w:rsid w:val="001676BA"/>
    <w:rsid w:val="00171DC8"/>
    <w:rsid w:val="00192C83"/>
    <w:rsid w:val="00194332"/>
    <w:rsid w:val="00197CE5"/>
    <w:rsid w:val="001A24BE"/>
    <w:rsid w:val="001B0DD5"/>
    <w:rsid w:val="001B7B09"/>
    <w:rsid w:val="001C4360"/>
    <w:rsid w:val="001D08C8"/>
    <w:rsid w:val="001D3313"/>
    <w:rsid w:val="001E3384"/>
    <w:rsid w:val="001E5478"/>
    <w:rsid w:val="001E7515"/>
    <w:rsid w:val="001F00CA"/>
    <w:rsid w:val="002028A9"/>
    <w:rsid w:val="00204C31"/>
    <w:rsid w:val="00210ED3"/>
    <w:rsid w:val="0021296A"/>
    <w:rsid w:val="002129D5"/>
    <w:rsid w:val="00212C3A"/>
    <w:rsid w:val="00212DC2"/>
    <w:rsid w:val="00221893"/>
    <w:rsid w:val="00224386"/>
    <w:rsid w:val="00226F79"/>
    <w:rsid w:val="002276E8"/>
    <w:rsid w:val="00227E2F"/>
    <w:rsid w:val="00230775"/>
    <w:rsid w:val="00235A1A"/>
    <w:rsid w:val="002431DB"/>
    <w:rsid w:val="00244860"/>
    <w:rsid w:val="0024583B"/>
    <w:rsid w:val="0025174E"/>
    <w:rsid w:val="002571C7"/>
    <w:rsid w:val="002659B2"/>
    <w:rsid w:val="00266249"/>
    <w:rsid w:val="00266D70"/>
    <w:rsid w:val="002675EB"/>
    <w:rsid w:val="00273554"/>
    <w:rsid w:val="00282E14"/>
    <w:rsid w:val="0028624E"/>
    <w:rsid w:val="002863A2"/>
    <w:rsid w:val="00287C0E"/>
    <w:rsid w:val="002906B5"/>
    <w:rsid w:val="00293243"/>
    <w:rsid w:val="002966DB"/>
    <w:rsid w:val="002969BF"/>
    <w:rsid w:val="002B0EDC"/>
    <w:rsid w:val="002B2448"/>
    <w:rsid w:val="002C2C0E"/>
    <w:rsid w:val="002D4E0C"/>
    <w:rsid w:val="002D7106"/>
    <w:rsid w:val="002E0EEC"/>
    <w:rsid w:val="002E456F"/>
    <w:rsid w:val="002E65F4"/>
    <w:rsid w:val="00305B08"/>
    <w:rsid w:val="003148C5"/>
    <w:rsid w:val="003207A5"/>
    <w:rsid w:val="00323DEC"/>
    <w:rsid w:val="0033375D"/>
    <w:rsid w:val="00335FB9"/>
    <w:rsid w:val="00336C3F"/>
    <w:rsid w:val="0034086E"/>
    <w:rsid w:val="00350908"/>
    <w:rsid w:val="00353D51"/>
    <w:rsid w:val="00356299"/>
    <w:rsid w:val="003577DB"/>
    <w:rsid w:val="003611A0"/>
    <w:rsid w:val="003658E5"/>
    <w:rsid w:val="00380489"/>
    <w:rsid w:val="00382BF5"/>
    <w:rsid w:val="00396E4C"/>
    <w:rsid w:val="003A314E"/>
    <w:rsid w:val="003A3957"/>
    <w:rsid w:val="003B0526"/>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CEF"/>
    <w:rsid w:val="00433548"/>
    <w:rsid w:val="00440385"/>
    <w:rsid w:val="00440E30"/>
    <w:rsid w:val="00440ED0"/>
    <w:rsid w:val="00442C20"/>
    <w:rsid w:val="0044398E"/>
    <w:rsid w:val="00443DF5"/>
    <w:rsid w:val="00447412"/>
    <w:rsid w:val="00451444"/>
    <w:rsid w:val="004556DC"/>
    <w:rsid w:val="00455C6D"/>
    <w:rsid w:val="00456419"/>
    <w:rsid w:val="00460258"/>
    <w:rsid w:val="004715DD"/>
    <w:rsid w:val="00471E39"/>
    <w:rsid w:val="0047346F"/>
    <w:rsid w:val="00473543"/>
    <w:rsid w:val="004837A9"/>
    <w:rsid w:val="00486222"/>
    <w:rsid w:val="00487B1A"/>
    <w:rsid w:val="00491BE6"/>
    <w:rsid w:val="004948BD"/>
    <w:rsid w:val="004A173F"/>
    <w:rsid w:val="004B4CAC"/>
    <w:rsid w:val="004C044F"/>
    <w:rsid w:val="004D21C9"/>
    <w:rsid w:val="004D48CA"/>
    <w:rsid w:val="004D5D19"/>
    <w:rsid w:val="004E0AB6"/>
    <w:rsid w:val="004E109C"/>
    <w:rsid w:val="004E49EC"/>
    <w:rsid w:val="004E4D86"/>
    <w:rsid w:val="004E5319"/>
    <w:rsid w:val="004F4DB0"/>
    <w:rsid w:val="004F54F5"/>
    <w:rsid w:val="0051047D"/>
    <w:rsid w:val="00513F83"/>
    <w:rsid w:val="00520DCB"/>
    <w:rsid w:val="00530EF5"/>
    <w:rsid w:val="005417E4"/>
    <w:rsid w:val="005455F8"/>
    <w:rsid w:val="005528A3"/>
    <w:rsid w:val="0055345F"/>
    <w:rsid w:val="0055573E"/>
    <w:rsid w:val="00556721"/>
    <w:rsid w:val="00562D63"/>
    <w:rsid w:val="00570A1B"/>
    <w:rsid w:val="00570E41"/>
    <w:rsid w:val="005720FF"/>
    <w:rsid w:val="00576638"/>
    <w:rsid w:val="00581C73"/>
    <w:rsid w:val="005849E6"/>
    <w:rsid w:val="00585F8E"/>
    <w:rsid w:val="005871D9"/>
    <w:rsid w:val="00591F62"/>
    <w:rsid w:val="005957ED"/>
    <w:rsid w:val="005A0F25"/>
    <w:rsid w:val="005C17A6"/>
    <w:rsid w:val="005C233E"/>
    <w:rsid w:val="005D4F9E"/>
    <w:rsid w:val="005E2983"/>
    <w:rsid w:val="005E59C1"/>
    <w:rsid w:val="005E7C37"/>
    <w:rsid w:val="005F0A9F"/>
    <w:rsid w:val="005F283E"/>
    <w:rsid w:val="0060068B"/>
    <w:rsid w:val="00602AE3"/>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096A"/>
    <w:rsid w:val="00671485"/>
    <w:rsid w:val="006749F6"/>
    <w:rsid w:val="00675B46"/>
    <w:rsid w:val="00675E6A"/>
    <w:rsid w:val="00682D26"/>
    <w:rsid w:val="00682DDB"/>
    <w:rsid w:val="006834E4"/>
    <w:rsid w:val="00687E4F"/>
    <w:rsid w:val="00695D3E"/>
    <w:rsid w:val="006A7352"/>
    <w:rsid w:val="006B5A71"/>
    <w:rsid w:val="006C6DAC"/>
    <w:rsid w:val="006C7917"/>
    <w:rsid w:val="006D0C62"/>
    <w:rsid w:val="006E6CC3"/>
    <w:rsid w:val="006F0D4E"/>
    <w:rsid w:val="006F790C"/>
    <w:rsid w:val="00710A78"/>
    <w:rsid w:val="00712363"/>
    <w:rsid w:val="00712EFD"/>
    <w:rsid w:val="00716D30"/>
    <w:rsid w:val="007210F6"/>
    <w:rsid w:val="00723438"/>
    <w:rsid w:val="00726ED1"/>
    <w:rsid w:val="007274F1"/>
    <w:rsid w:val="00727892"/>
    <w:rsid w:val="007302FA"/>
    <w:rsid w:val="00733660"/>
    <w:rsid w:val="00736AB0"/>
    <w:rsid w:val="00740B2E"/>
    <w:rsid w:val="00741EBC"/>
    <w:rsid w:val="007432E5"/>
    <w:rsid w:val="007450E8"/>
    <w:rsid w:val="00754462"/>
    <w:rsid w:val="00755F62"/>
    <w:rsid w:val="007560FD"/>
    <w:rsid w:val="007610CD"/>
    <w:rsid w:val="007625BA"/>
    <w:rsid w:val="00763445"/>
    <w:rsid w:val="00773DD4"/>
    <w:rsid w:val="00776BDB"/>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C6319"/>
    <w:rsid w:val="007D1657"/>
    <w:rsid w:val="007D47FE"/>
    <w:rsid w:val="007E1460"/>
    <w:rsid w:val="007E39E1"/>
    <w:rsid w:val="007F4648"/>
    <w:rsid w:val="007F7DA3"/>
    <w:rsid w:val="00815930"/>
    <w:rsid w:val="0081788D"/>
    <w:rsid w:val="008226B4"/>
    <w:rsid w:val="00827A9A"/>
    <w:rsid w:val="00831789"/>
    <w:rsid w:val="00832165"/>
    <w:rsid w:val="00833FF3"/>
    <w:rsid w:val="00842120"/>
    <w:rsid w:val="00842220"/>
    <w:rsid w:val="008427AA"/>
    <w:rsid w:val="00846B4A"/>
    <w:rsid w:val="008500E4"/>
    <w:rsid w:val="00850B3F"/>
    <w:rsid w:val="00851702"/>
    <w:rsid w:val="008543FC"/>
    <w:rsid w:val="00854A55"/>
    <w:rsid w:val="008553DE"/>
    <w:rsid w:val="008568EA"/>
    <w:rsid w:val="0086355E"/>
    <w:rsid w:val="008656FA"/>
    <w:rsid w:val="00870DD3"/>
    <w:rsid w:val="00874280"/>
    <w:rsid w:val="008774E3"/>
    <w:rsid w:val="008858C5"/>
    <w:rsid w:val="00893220"/>
    <w:rsid w:val="00894E27"/>
    <w:rsid w:val="00895233"/>
    <w:rsid w:val="008A2957"/>
    <w:rsid w:val="008A3B7D"/>
    <w:rsid w:val="008A5301"/>
    <w:rsid w:val="008A5BC1"/>
    <w:rsid w:val="008B12FD"/>
    <w:rsid w:val="008B33E8"/>
    <w:rsid w:val="008B4DD7"/>
    <w:rsid w:val="008B4F3E"/>
    <w:rsid w:val="008C2924"/>
    <w:rsid w:val="008C60C0"/>
    <w:rsid w:val="008D1A3C"/>
    <w:rsid w:val="008D3B8A"/>
    <w:rsid w:val="008E161D"/>
    <w:rsid w:val="008E21A2"/>
    <w:rsid w:val="008E4052"/>
    <w:rsid w:val="008E46C1"/>
    <w:rsid w:val="008F7DD8"/>
    <w:rsid w:val="00912D01"/>
    <w:rsid w:val="009240B2"/>
    <w:rsid w:val="009242AE"/>
    <w:rsid w:val="00925A9D"/>
    <w:rsid w:val="009337F5"/>
    <w:rsid w:val="009358CD"/>
    <w:rsid w:val="00935A07"/>
    <w:rsid w:val="009361E6"/>
    <w:rsid w:val="00944000"/>
    <w:rsid w:val="00944040"/>
    <w:rsid w:val="00944E25"/>
    <w:rsid w:val="00945265"/>
    <w:rsid w:val="0094635D"/>
    <w:rsid w:val="009469B5"/>
    <w:rsid w:val="00951601"/>
    <w:rsid w:val="00951990"/>
    <w:rsid w:val="00964D74"/>
    <w:rsid w:val="00977C96"/>
    <w:rsid w:val="009818C9"/>
    <w:rsid w:val="00982FCF"/>
    <w:rsid w:val="0098565E"/>
    <w:rsid w:val="00986237"/>
    <w:rsid w:val="00993C39"/>
    <w:rsid w:val="00997618"/>
    <w:rsid w:val="009A2849"/>
    <w:rsid w:val="009A2BBD"/>
    <w:rsid w:val="009A4B5F"/>
    <w:rsid w:val="009B459A"/>
    <w:rsid w:val="009D0DFD"/>
    <w:rsid w:val="009D4AAC"/>
    <w:rsid w:val="009D76A9"/>
    <w:rsid w:val="009E0073"/>
    <w:rsid w:val="009E2351"/>
    <w:rsid w:val="009E5C87"/>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0479"/>
    <w:rsid w:val="00AC4BC6"/>
    <w:rsid w:val="00AC50E4"/>
    <w:rsid w:val="00AD1796"/>
    <w:rsid w:val="00AD4CA9"/>
    <w:rsid w:val="00AD7262"/>
    <w:rsid w:val="00AE206A"/>
    <w:rsid w:val="00AE2231"/>
    <w:rsid w:val="00AE569D"/>
    <w:rsid w:val="00AE69A2"/>
    <w:rsid w:val="00AE796C"/>
    <w:rsid w:val="00AF26BD"/>
    <w:rsid w:val="00AF291B"/>
    <w:rsid w:val="00B01550"/>
    <w:rsid w:val="00B04529"/>
    <w:rsid w:val="00B13589"/>
    <w:rsid w:val="00B14752"/>
    <w:rsid w:val="00B161BA"/>
    <w:rsid w:val="00B23887"/>
    <w:rsid w:val="00B246B4"/>
    <w:rsid w:val="00B259BD"/>
    <w:rsid w:val="00B30F74"/>
    <w:rsid w:val="00B31236"/>
    <w:rsid w:val="00B313AC"/>
    <w:rsid w:val="00B42B30"/>
    <w:rsid w:val="00B43D96"/>
    <w:rsid w:val="00B4462A"/>
    <w:rsid w:val="00B458F6"/>
    <w:rsid w:val="00B54DD5"/>
    <w:rsid w:val="00B61545"/>
    <w:rsid w:val="00B7425B"/>
    <w:rsid w:val="00B808BD"/>
    <w:rsid w:val="00B84701"/>
    <w:rsid w:val="00B84F46"/>
    <w:rsid w:val="00BC486C"/>
    <w:rsid w:val="00BD2C78"/>
    <w:rsid w:val="00BD6119"/>
    <w:rsid w:val="00BD6AAC"/>
    <w:rsid w:val="00BE21B8"/>
    <w:rsid w:val="00BE7A33"/>
    <w:rsid w:val="00BF69D2"/>
    <w:rsid w:val="00C0101A"/>
    <w:rsid w:val="00C07B5F"/>
    <w:rsid w:val="00C12BED"/>
    <w:rsid w:val="00C1564B"/>
    <w:rsid w:val="00C234D8"/>
    <w:rsid w:val="00C23DDD"/>
    <w:rsid w:val="00C35851"/>
    <w:rsid w:val="00C46E49"/>
    <w:rsid w:val="00C50A62"/>
    <w:rsid w:val="00C54B18"/>
    <w:rsid w:val="00C54F1C"/>
    <w:rsid w:val="00C559A6"/>
    <w:rsid w:val="00C5603A"/>
    <w:rsid w:val="00C6141D"/>
    <w:rsid w:val="00C63A46"/>
    <w:rsid w:val="00C64254"/>
    <w:rsid w:val="00C7031A"/>
    <w:rsid w:val="00C73CD7"/>
    <w:rsid w:val="00C74811"/>
    <w:rsid w:val="00C75339"/>
    <w:rsid w:val="00C754C3"/>
    <w:rsid w:val="00C76256"/>
    <w:rsid w:val="00C772EF"/>
    <w:rsid w:val="00C8060B"/>
    <w:rsid w:val="00C82039"/>
    <w:rsid w:val="00C82CCE"/>
    <w:rsid w:val="00C840A9"/>
    <w:rsid w:val="00C92D16"/>
    <w:rsid w:val="00C968E1"/>
    <w:rsid w:val="00CA65D2"/>
    <w:rsid w:val="00CB0B76"/>
    <w:rsid w:val="00CB1C6E"/>
    <w:rsid w:val="00CB32C4"/>
    <w:rsid w:val="00CC5BEF"/>
    <w:rsid w:val="00CC779C"/>
    <w:rsid w:val="00CD4806"/>
    <w:rsid w:val="00CE6A0E"/>
    <w:rsid w:val="00CF7C1C"/>
    <w:rsid w:val="00D00DDC"/>
    <w:rsid w:val="00D02F61"/>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48D5"/>
    <w:rsid w:val="00D64012"/>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273"/>
    <w:rsid w:val="00DE7E3D"/>
    <w:rsid w:val="00DF0FB6"/>
    <w:rsid w:val="00DF1809"/>
    <w:rsid w:val="00DF208E"/>
    <w:rsid w:val="00DF558E"/>
    <w:rsid w:val="00DF6C40"/>
    <w:rsid w:val="00E13786"/>
    <w:rsid w:val="00E15347"/>
    <w:rsid w:val="00E22392"/>
    <w:rsid w:val="00E262FF"/>
    <w:rsid w:val="00E30296"/>
    <w:rsid w:val="00E31842"/>
    <w:rsid w:val="00E4367D"/>
    <w:rsid w:val="00E56BA2"/>
    <w:rsid w:val="00E60057"/>
    <w:rsid w:val="00E65B25"/>
    <w:rsid w:val="00E679E8"/>
    <w:rsid w:val="00E80226"/>
    <w:rsid w:val="00E84288"/>
    <w:rsid w:val="00E84769"/>
    <w:rsid w:val="00EA6B3E"/>
    <w:rsid w:val="00EA7F03"/>
    <w:rsid w:val="00EC123F"/>
    <w:rsid w:val="00EC3079"/>
    <w:rsid w:val="00EC3E83"/>
    <w:rsid w:val="00EE0A7C"/>
    <w:rsid w:val="00EE156C"/>
    <w:rsid w:val="00EE5BA8"/>
    <w:rsid w:val="00EE5FB1"/>
    <w:rsid w:val="00EE6765"/>
    <w:rsid w:val="00EF0B0D"/>
    <w:rsid w:val="00F006B5"/>
    <w:rsid w:val="00F044A9"/>
    <w:rsid w:val="00F046B0"/>
    <w:rsid w:val="00F050EA"/>
    <w:rsid w:val="00F268C0"/>
    <w:rsid w:val="00F47087"/>
    <w:rsid w:val="00F47B64"/>
    <w:rsid w:val="00F51A0D"/>
    <w:rsid w:val="00F611C6"/>
    <w:rsid w:val="00F62027"/>
    <w:rsid w:val="00F655AE"/>
    <w:rsid w:val="00F7101E"/>
    <w:rsid w:val="00F71CFE"/>
    <w:rsid w:val="00F80A14"/>
    <w:rsid w:val="00F80D28"/>
    <w:rsid w:val="00F8284A"/>
    <w:rsid w:val="00F85DCD"/>
    <w:rsid w:val="00F97221"/>
    <w:rsid w:val="00FA3EB0"/>
    <w:rsid w:val="00FA61F7"/>
    <w:rsid w:val="00FB1650"/>
    <w:rsid w:val="00FB365F"/>
    <w:rsid w:val="00FB410E"/>
    <w:rsid w:val="00FB41B6"/>
    <w:rsid w:val="00FB60F8"/>
    <w:rsid w:val="00FC0B84"/>
    <w:rsid w:val="00FC1DDB"/>
    <w:rsid w:val="00FD41D3"/>
    <w:rsid w:val="00FD659F"/>
    <w:rsid w:val="00FE6E4C"/>
    <w:rsid w:val="00FF3CEE"/>
    <w:rsid w:val="00FF4D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800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2.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irishstatutebook.ie/eli/2015/act/66/section/13/enacted/en/html" TargetMode="External"/><Relationship Id="rId13" Type="http://schemas.openxmlformats.org/officeDocument/2006/relationships/hyperlink" Target="http://www.irishstatutebook.ie/eli/2009/act/22/section/22/enacted/en/html" TargetMode="External"/><Relationship Id="rId18" Type="http://schemas.openxmlformats.org/officeDocument/2006/relationships/hyperlink" Target="https://www.workplacerelations.ie/en/" TargetMode="External"/><Relationship Id="rId3" Type="http://schemas.openxmlformats.org/officeDocument/2006/relationships/hyperlink" Target="http://www.irishstatutebook.ie/eli/1988/act/28/section/10/enacted/en/html" TargetMode="External"/><Relationship Id="rId7" Type="http://schemas.openxmlformats.org/officeDocument/2006/relationships/hyperlink" Target="http://www.irishstatutebook.ie/eli/1998/act/33/enacted/en/html" TargetMode="External"/><Relationship Id="rId12" Type="http://schemas.openxmlformats.org/officeDocument/2006/relationships/hyperlink" Target="http://www.irishstatutebook.ie/eli/2011/si/321/made/en/print" TargetMode="External"/><Relationship Id="rId17" Type="http://schemas.openxmlformats.org/officeDocument/2006/relationships/hyperlink" Target="https://assets.gov.ie/26890/ff380490589a4f9ab9cd9bb3f53b5493.pdf" TargetMode="External"/><Relationship Id="rId2" Type="http://schemas.openxmlformats.org/officeDocument/2006/relationships/hyperlink" Target="http://www.irishstatutebook.ie/eli/1988/act/28/section/2/enacted/en/html" TargetMode="External"/><Relationship Id="rId16" Type="http://schemas.openxmlformats.org/officeDocument/2006/relationships/hyperlink" Target="https://www.gov.ie/en/publication/19046-part-v-of-the-planning-and-development-act-2000-guidelines-issued-by-the-minister-for-housing-planning-community-and-local-government-under-section-28-of-the-planning-and-development-act-2000/" TargetMode="External"/><Relationship Id="rId1" Type="http://schemas.openxmlformats.org/officeDocument/2006/relationships/hyperlink" Target="http://www.irishstatutebook.ie/eli/1988/act/28/enacted/en/html" TargetMode="External"/><Relationship Id="rId6" Type="http://schemas.openxmlformats.org/officeDocument/2006/relationships/hyperlink" Target="http://www.irishstatutebook.ie/eli/2015/act/43/enacted/en/html" TargetMode="External"/><Relationship Id="rId11" Type="http://schemas.openxmlformats.org/officeDocument/2006/relationships/hyperlink" Target="http://www.irishstatutebook.ie/eli/2009/act/22/section/20/enacted/en/html" TargetMode="External"/><Relationship Id="rId5" Type="http://schemas.openxmlformats.org/officeDocument/2006/relationships/hyperlink" Target="http://www.irishstatutebook.ie/eli/2014/act/21/enacted/en/html" TargetMode="External"/><Relationship Id="rId15" Type="http://schemas.openxmlformats.org/officeDocument/2006/relationships/hyperlink" Target="https://www.gov.ie/en/publication/3279c-social-housing-strategy-2020/" TargetMode="External"/><Relationship Id="rId10" Type="http://schemas.openxmlformats.org/officeDocument/2006/relationships/hyperlink" Target="https://www.gov.ie/en/publication/7aad0-minister-ogorman-publishes-the-white-paper-on-ending-direct-provision/" TargetMode="External"/><Relationship Id="rId19" Type="http://schemas.openxmlformats.org/officeDocument/2006/relationships/hyperlink" Target="https://www.workplacerelations.ie/en/" TargetMode="External"/><Relationship Id="rId4" Type="http://schemas.openxmlformats.org/officeDocument/2006/relationships/hyperlink" Target="https://www.gov.ie/en/publication/b10560-national-quality-standards-framework-nqsf/" TargetMode="External"/><Relationship Id="rId9" Type="http://schemas.openxmlformats.org/officeDocument/2006/relationships/hyperlink" Target="https://www.gov.ie/en/publication/7e05d-programme-for-government-our-shared-future/" TargetMode="External"/><Relationship Id="rId14" Type="http://schemas.openxmlformats.org/officeDocument/2006/relationships/hyperlink" Target="http://www.irishstatutebook.ie/eli/2000/act/30/section/93/enacted/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34578A"/>
    <w:rsid w:val="00690D74"/>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1d83349f-efc9-4cdb-bafa-963641bce56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ABE0-9DE4-4618-B11D-1B1DB83DD616}"/>
</file>

<file path=customXml/itemProps2.xml><?xml version="1.0" encoding="utf-8"?>
<ds:datastoreItem xmlns:ds="http://schemas.openxmlformats.org/officeDocument/2006/customXml" ds:itemID="{94E14274-DBAF-4E06-AA78-EE1FC78961D2}">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sharepoint/v3"/>
    <ds:schemaRef ds:uri="5b206ac7-7582-40f3-a714-bdcd68235697"/>
    <ds:schemaRef ds:uri="http://purl.org/dc/terms/"/>
    <ds:schemaRef ds:uri="http://schemas.microsoft.com/office/infopath/2007/PartnerControls"/>
    <ds:schemaRef ds:uri="d09cb41a-471b-4c12-a834-d16c600b0cde"/>
    <ds:schemaRef ds:uri="http://www.w3.org/XML/1998/namespace"/>
  </ds:schemaRefs>
</ds:datastoreItem>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EEC80291-EE93-45A0-B6A8-484FC2E3142F}">
  <ds:schemaRefs>
    <ds:schemaRef ds:uri="office.server.policy"/>
  </ds:schemaRefs>
</ds:datastoreItem>
</file>

<file path=customXml/itemProps5.xml><?xml version="1.0" encoding="utf-8"?>
<ds:datastoreItem xmlns:ds="http://schemas.openxmlformats.org/officeDocument/2006/customXml" ds:itemID="{41298AA6-8D46-4A4D-95B5-E89C9AF21DB6}">
  <ds:schemaRefs>
    <ds:schemaRef ds:uri="http://schemas.microsoft.com/sharepoint/events"/>
  </ds:schemaRefs>
</ds:datastoreItem>
</file>

<file path=customXml/itemProps6.xml><?xml version="1.0" encoding="utf-8"?>
<ds:datastoreItem xmlns:ds="http://schemas.openxmlformats.org/officeDocument/2006/customXml" ds:itemID="{E4AC253E-AF86-4D1E-B9D6-42B395E3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1771</Words>
  <Characters>10138</Characters>
  <Application>Microsoft Office Word</Application>
  <DocSecurity>0</DocSecurity>
  <Lines>84</Lines>
  <Paragraphs>23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2021-05-14T09:52:00Z</dcterms:created>
  <dcterms:modified xsi:type="dcterms:W3CDTF">2021-05-14T09:52:00Z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eDocs_SecurityClassification">
    <vt:lpwstr>8;#Unclassified|38981149-6ab4-492e-b035-5180b1eb9314</vt:lpwstr>
  </property>
  <property fmtid="{D5CDD505-2E9C-101B-9397-08002B2CF9AE}" pid="4" name="eDocs_Year">
    <vt:lpwstr>30;#2020|2956df6f-614f-4357-a8f5-b167a2c64320</vt:lpwstr>
  </property>
  <property fmtid="{D5CDD505-2E9C-101B-9397-08002B2CF9AE}" pid="5" name="eDocs_SeriesSubSeries">
    <vt:lpwstr>6;#010|a5ddc4cd-61f6-4631-a954-17051a20f015</vt:lpwstr>
  </property>
  <property fmtid="{D5CDD505-2E9C-101B-9397-08002B2CF9AE}" pid="6" name="eDocs_FileTopics">
    <vt:lpwstr>44;#International|e9c23197-5b7e-47d7-b9e1-c14e13ddda35</vt:lpwstr>
  </property>
  <property fmtid="{D5CDD505-2E9C-101B-9397-08002B2CF9AE}" pid="7" name="eDocs_DocumentTopics">
    <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ies>
</file>