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C7" w:rsidRDefault="008222AC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2475075</wp:posOffset>
            </wp:positionH>
            <wp:positionV relativeFrom="paragraph">
              <wp:posOffset>276225</wp:posOffset>
            </wp:positionV>
            <wp:extent cx="781050" cy="69596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6CC7" w:rsidRDefault="00596CC7">
      <w:pPr>
        <w:pBdr>
          <w:bottom w:val="single" w:sz="18" w:space="1" w:color="BFBFBF"/>
        </w:pBdr>
        <w:spacing w:before="400" w:after="200" w:line="252" w:lineRule="auto"/>
        <w:jc w:val="center"/>
        <w:rPr>
          <w:rFonts w:ascii="Roboto" w:eastAsia="Roboto" w:hAnsi="Roboto" w:cs="Roboto"/>
          <w:b/>
          <w:smallCaps/>
          <w:color w:val="366091"/>
          <w:sz w:val="48"/>
          <w:szCs w:val="48"/>
        </w:rPr>
      </w:pPr>
    </w:p>
    <w:p w:rsidR="00596CC7" w:rsidRDefault="008222AC">
      <w:pPr>
        <w:pBdr>
          <w:bottom w:val="single" w:sz="18" w:space="1" w:color="BFBFBF"/>
        </w:pBdr>
        <w:spacing w:before="400" w:after="200" w:line="252" w:lineRule="auto"/>
        <w:jc w:val="center"/>
        <w:rPr>
          <w:rFonts w:ascii="Roboto" w:eastAsia="Roboto" w:hAnsi="Roboto" w:cs="Roboto"/>
          <w:b/>
          <w:smallCaps/>
          <w:color w:val="366091"/>
          <w:sz w:val="48"/>
          <w:szCs w:val="48"/>
        </w:rPr>
      </w:pPr>
      <w:r>
        <w:rPr>
          <w:rFonts w:ascii="Roboto" w:eastAsia="Roboto" w:hAnsi="Roboto" w:cs="Roboto"/>
          <w:b/>
          <w:smallCaps/>
          <w:color w:val="366091"/>
          <w:sz w:val="48"/>
          <w:szCs w:val="48"/>
        </w:rPr>
        <w:t>Aportación informe anual</w:t>
      </w:r>
    </w:p>
    <w:p w:rsidR="00596CC7" w:rsidRDefault="008222AC">
      <w:pPr>
        <w:pBdr>
          <w:bottom w:val="single" w:sz="18" w:space="1" w:color="BFBFBF"/>
        </w:pBdr>
        <w:spacing w:before="400" w:after="200" w:line="252" w:lineRule="auto"/>
        <w:jc w:val="center"/>
        <w:rPr>
          <w:rFonts w:ascii="Roboto" w:eastAsia="Roboto" w:hAnsi="Roboto" w:cs="Roboto"/>
          <w:smallCaps/>
          <w:color w:val="366091"/>
          <w:sz w:val="48"/>
          <w:szCs w:val="48"/>
        </w:rPr>
      </w:pPr>
      <w:r>
        <w:rPr>
          <w:rFonts w:ascii="Roboto" w:eastAsia="Roboto" w:hAnsi="Roboto" w:cs="Roboto"/>
          <w:smallCaps/>
          <w:color w:val="366091"/>
          <w:sz w:val="48"/>
          <w:szCs w:val="48"/>
        </w:rPr>
        <w:t>Relator Especial de las Naciones Unidas sobre derecho a la vivienda</w:t>
      </w:r>
    </w:p>
    <w:p w:rsidR="00596CC7" w:rsidRDefault="00596CC7">
      <w:pPr>
        <w:spacing w:after="120" w:line="240" w:lineRule="auto"/>
        <w:rPr>
          <w:rFonts w:ascii="Roboto" w:eastAsia="Roboto" w:hAnsi="Roboto" w:cs="Roboto"/>
          <w:b/>
          <w:i/>
          <w:sz w:val="28"/>
          <w:szCs w:val="28"/>
        </w:rPr>
      </w:pP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b/>
          <w:i/>
          <w:sz w:val="28"/>
          <w:szCs w:val="28"/>
        </w:rPr>
        <w:t>Contenido</w:t>
      </w:r>
      <w:r>
        <w:rPr>
          <w:rFonts w:ascii="Roboto" w:eastAsia="Roboto" w:hAnsi="Roboto" w:cs="Roboto"/>
          <w:i/>
          <w:sz w:val="28"/>
          <w:szCs w:val="28"/>
        </w:rPr>
        <w:t xml:space="preserve">: Resumen del estado de la cuestión sobre “vivienda y discriminación en España” y de la documentación remitida. </w:t>
      </w: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b/>
          <w:i/>
          <w:sz w:val="28"/>
          <w:szCs w:val="28"/>
        </w:rPr>
        <w:t>Autoría:</w:t>
      </w:r>
      <w:r>
        <w:rPr>
          <w:rFonts w:ascii="Roboto" w:eastAsia="Roboto" w:hAnsi="Roboto" w:cs="Roboto"/>
          <w:i/>
          <w:sz w:val="28"/>
          <w:szCs w:val="28"/>
        </w:rPr>
        <w:t xml:space="preserve"> Provivienda</w:t>
      </w: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b/>
          <w:i/>
          <w:sz w:val="28"/>
          <w:szCs w:val="28"/>
        </w:rPr>
        <w:t>Persona de contacto:</w:t>
      </w:r>
      <w:r>
        <w:rPr>
          <w:rFonts w:ascii="Roboto" w:eastAsia="Roboto" w:hAnsi="Roboto" w:cs="Roboto"/>
          <w:i/>
          <w:sz w:val="28"/>
          <w:szCs w:val="28"/>
        </w:rPr>
        <w:t xml:space="preserve"> Andrea Jarabo Torrijos </w:t>
      </w: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b/>
          <w:i/>
          <w:sz w:val="28"/>
          <w:szCs w:val="28"/>
        </w:rPr>
        <w:t>Mail de contacto:</w:t>
      </w:r>
      <w:r>
        <w:rPr>
          <w:rFonts w:ascii="Roboto" w:eastAsia="Roboto" w:hAnsi="Roboto" w:cs="Roboto"/>
          <w:i/>
          <w:sz w:val="28"/>
          <w:szCs w:val="28"/>
        </w:rPr>
        <w:t xml:space="preserve"> </w:t>
      </w:r>
      <w:hyperlink r:id="rId8">
        <w:r>
          <w:rPr>
            <w:rFonts w:ascii="Roboto" w:eastAsia="Roboto" w:hAnsi="Roboto" w:cs="Roboto"/>
            <w:i/>
            <w:color w:val="0000FF"/>
            <w:sz w:val="28"/>
            <w:szCs w:val="28"/>
            <w:u w:val="single"/>
          </w:rPr>
          <w:t>comunicacion@provivienda.org</w:t>
        </w:r>
      </w:hyperlink>
      <w:r>
        <w:rPr>
          <w:rFonts w:ascii="Roboto" w:eastAsia="Roboto" w:hAnsi="Roboto" w:cs="Roboto"/>
          <w:i/>
          <w:sz w:val="28"/>
          <w:szCs w:val="28"/>
        </w:rPr>
        <w:t xml:space="preserve"> </w:t>
      </w: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b/>
          <w:i/>
          <w:sz w:val="28"/>
          <w:szCs w:val="28"/>
        </w:rPr>
        <w:t>Teléfono de contacto:</w:t>
      </w:r>
      <w:r>
        <w:rPr>
          <w:rFonts w:ascii="Roboto" w:eastAsia="Roboto" w:hAnsi="Roboto" w:cs="Roboto"/>
          <w:i/>
          <w:sz w:val="28"/>
          <w:szCs w:val="28"/>
        </w:rPr>
        <w:t xml:space="preserve"> 670261455</w:t>
      </w:r>
    </w:p>
    <w:p w:rsidR="00596CC7" w:rsidRDefault="008222AC">
      <w:pPr>
        <w:spacing w:after="120" w:line="240" w:lineRule="auto"/>
        <w:rPr>
          <w:rFonts w:ascii="Roboto" w:eastAsia="Roboto" w:hAnsi="Roboto" w:cs="Roboto"/>
          <w:i/>
          <w:sz w:val="28"/>
          <w:szCs w:val="28"/>
        </w:rPr>
      </w:pPr>
      <w:bookmarkStart w:id="1" w:name="_3znysh7" w:colFirst="0" w:colLast="0"/>
      <w:bookmarkEnd w:id="1"/>
      <w:r>
        <w:rPr>
          <w:rFonts w:ascii="Roboto" w:eastAsia="Roboto" w:hAnsi="Roboto" w:cs="Roboto"/>
          <w:b/>
          <w:i/>
          <w:sz w:val="28"/>
          <w:szCs w:val="28"/>
        </w:rPr>
        <w:t>Fecha:</w:t>
      </w:r>
      <w:r>
        <w:rPr>
          <w:rFonts w:ascii="Roboto" w:eastAsia="Roboto" w:hAnsi="Roboto" w:cs="Roboto"/>
          <w:i/>
          <w:sz w:val="28"/>
          <w:szCs w:val="28"/>
        </w:rPr>
        <w:t xml:space="preserve"> 27/04/2021</w:t>
      </w:r>
    </w:p>
    <w:p w:rsidR="00596CC7" w:rsidRDefault="00596CC7">
      <w:pPr>
        <w:spacing w:after="200" w:line="252" w:lineRule="auto"/>
        <w:rPr>
          <w:rFonts w:ascii="Roboto" w:eastAsia="Roboto" w:hAnsi="Roboto" w:cs="Roboto"/>
          <w:sz w:val="28"/>
          <w:szCs w:val="28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596CC7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</w:p>
    <w:p w:rsidR="00596CC7" w:rsidRDefault="008222AC">
      <w:pPr>
        <w:shd w:val="clear" w:color="auto" w:fill="FFFFFF"/>
        <w:spacing w:before="200" w:after="20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</w:rPr>
        <w:t xml:space="preserve">En España hemos sufrido tres grandes crisis de vivienda en los últimos veinte años, cuyos efectos se han profundizado en las personas más vulnerables, también las migrantes: </w:t>
      </w:r>
      <w:r>
        <w:rPr>
          <w:rFonts w:ascii="Roboto" w:eastAsia="Roboto" w:hAnsi="Roboto" w:cs="Roboto"/>
          <w:b/>
        </w:rPr>
        <w:t>la crisis hipotecaria de 2008-2012, con un impacto enorme en las personas migrante</w:t>
      </w:r>
      <w:r>
        <w:rPr>
          <w:rFonts w:ascii="Roboto" w:eastAsia="Roboto" w:hAnsi="Roboto" w:cs="Roboto"/>
          <w:b/>
        </w:rPr>
        <w:t>s, fue el germen de la crisis de vivienda asequible que estamos viviendo en la actualidad</w:t>
      </w:r>
      <w:r>
        <w:rPr>
          <w:rFonts w:ascii="Roboto" w:eastAsia="Roboto" w:hAnsi="Roboto" w:cs="Roboto"/>
        </w:rPr>
        <w:t xml:space="preserve">. Actualmente los precios de la </w:t>
      </w:r>
      <w:r>
        <w:rPr>
          <w:rFonts w:ascii="Roboto" w:eastAsia="Roboto" w:hAnsi="Roboto" w:cs="Roboto"/>
          <w:b/>
        </w:rPr>
        <w:t>vivienda son inasumibles para una parte importante de la población:</w:t>
      </w:r>
      <w:r>
        <w:rPr>
          <w:rFonts w:ascii="Roboto" w:eastAsia="Roboto" w:hAnsi="Roboto" w:cs="Roboto"/>
        </w:rPr>
        <w:t xml:space="preserve"> los datos de alquiler, que es el régimen de tenencia que concentra </w:t>
      </w:r>
      <w:r>
        <w:rPr>
          <w:rFonts w:ascii="Roboto" w:eastAsia="Roboto" w:hAnsi="Roboto" w:cs="Roboto"/>
        </w:rPr>
        <w:t xml:space="preserve">en España a las personas en situación de mayor vulnerabilidad, están por encima de los del </w:t>
      </w:r>
      <w:r>
        <w:rPr>
          <w:rFonts w:ascii="Roboto" w:eastAsia="Roboto" w:hAnsi="Roboto" w:cs="Roboto"/>
          <w:b/>
        </w:rPr>
        <w:t>2007, habiendo aumentado entre 2015 y 2020 un 54,6% según el portal inmobiliario Fotocasa</w:t>
      </w:r>
      <w:r>
        <w:rPr>
          <w:rFonts w:ascii="Roboto" w:eastAsia="Roboto" w:hAnsi="Roboto" w:cs="Roboto"/>
          <w:vertAlign w:val="superscript"/>
        </w:rPr>
        <w:footnoteReference w:id="1"/>
      </w:r>
      <w:r>
        <w:rPr>
          <w:rFonts w:ascii="Roboto" w:eastAsia="Roboto" w:hAnsi="Roboto" w:cs="Roboto"/>
        </w:rPr>
        <w:t xml:space="preserve">. Además, el trabajo se ha precarizado profundamente </w:t>
      </w:r>
      <w:r>
        <w:rPr>
          <w:rFonts w:ascii="Roboto" w:eastAsia="Roboto" w:hAnsi="Roboto" w:cs="Roboto"/>
        </w:rPr>
        <w:lastRenderedPageBreak/>
        <w:t>tras la crisis de 2008</w:t>
      </w:r>
      <w:r>
        <w:rPr>
          <w:rFonts w:ascii="Roboto" w:eastAsia="Roboto" w:hAnsi="Roboto" w:cs="Roboto"/>
        </w:rPr>
        <w:t>, aumentando el salario medio en este intervalo de tiempo únicamente un 5,4%</w:t>
      </w:r>
      <w:r>
        <w:rPr>
          <w:rFonts w:ascii="Roboto" w:eastAsia="Roboto" w:hAnsi="Roboto" w:cs="Roboto"/>
          <w:vertAlign w:val="superscript"/>
        </w:rPr>
        <w:footnoteReference w:id="2"/>
      </w:r>
      <w:r>
        <w:rPr>
          <w:rFonts w:ascii="Roboto" w:eastAsia="Roboto" w:hAnsi="Roboto" w:cs="Roboto"/>
        </w:rPr>
        <w:t>.</w:t>
      </w:r>
    </w:p>
    <w:p w:rsidR="00596CC7" w:rsidRDefault="008222AC">
      <w:pPr>
        <w:shd w:val="clear" w:color="auto" w:fill="FFFFFF"/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 esta situación, ya complicada de partida, </w:t>
      </w:r>
      <w:r>
        <w:rPr>
          <w:rFonts w:ascii="Roboto" w:eastAsia="Roboto" w:hAnsi="Roboto" w:cs="Roboto"/>
          <w:b/>
        </w:rPr>
        <w:t>se le suma la crisis de la COVID-19 que ha derivado en una crisis económica y social de la que aún desconocemos sus consecuencias</w:t>
      </w:r>
      <w:r>
        <w:rPr>
          <w:rFonts w:ascii="Roboto" w:eastAsia="Roboto" w:hAnsi="Roboto" w:cs="Roboto"/>
        </w:rPr>
        <w:t>. Si</w:t>
      </w:r>
      <w:r>
        <w:rPr>
          <w:rFonts w:ascii="Roboto" w:eastAsia="Roboto" w:hAnsi="Roboto" w:cs="Roboto"/>
        </w:rPr>
        <w:t xml:space="preserve"> bien estas dificultades afectan a toda la población, no podemos negar que se concentran en las personas en situación de mayor vulnerabilidad, como es el caso de las personas migrantes. 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Los problemas de vivienda asequible vinculados al alquiler, tales com</w:t>
      </w:r>
      <w:r>
        <w:rPr>
          <w:rFonts w:ascii="Roboto" w:eastAsia="Roboto" w:hAnsi="Roboto" w:cs="Roboto"/>
        </w:rPr>
        <w:t xml:space="preserve">o el precio de vivienda, está más presente porcentualmente en el caso de las personas migrantes: </w:t>
      </w:r>
      <w:r>
        <w:rPr>
          <w:rFonts w:ascii="Roboto" w:eastAsia="Roboto" w:hAnsi="Roboto" w:cs="Roboto"/>
          <w:b/>
        </w:rPr>
        <w:t>el 75% de las personas extranjeras extracomunitarias viven en este régimen de tenencia, mientras que sólo un 10% de la población española habita en este régime</w:t>
      </w:r>
      <w:r>
        <w:rPr>
          <w:rFonts w:ascii="Roboto" w:eastAsia="Roboto" w:hAnsi="Roboto" w:cs="Roboto"/>
          <w:b/>
        </w:rPr>
        <w:t>n de tenencia</w:t>
      </w:r>
      <w:r>
        <w:rPr>
          <w:rFonts w:ascii="Roboto" w:eastAsia="Roboto" w:hAnsi="Roboto" w:cs="Roboto"/>
          <w:vertAlign w:val="superscript"/>
        </w:rPr>
        <w:footnoteReference w:id="3"/>
      </w:r>
      <w:r>
        <w:rPr>
          <w:rFonts w:ascii="Roboto" w:eastAsia="Roboto" w:hAnsi="Roboto" w:cs="Roboto"/>
        </w:rPr>
        <w:t xml:space="preserve">. </w:t>
      </w:r>
    </w:p>
    <w:p w:rsidR="00596CC7" w:rsidRDefault="008222AC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  <w:lang w:val="en-GB"/>
        </w:rPr>
        <w:lastRenderedPageBreak/>
        <w:drawing>
          <wp:inline distT="114300" distB="114300" distL="114300" distR="114300">
            <wp:extent cx="3856200" cy="2383045"/>
            <wp:effectExtent l="0" t="0" r="0" b="0"/>
            <wp:docPr id="5" name="image4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áfic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200" cy="238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6CC7" w:rsidRDefault="008222AC">
      <w:pPr>
        <w:jc w:val="center"/>
        <w:rPr>
          <w:rFonts w:ascii="Roboto" w:eastAsia="Roboto" w:hAnsi="Roboto" w:cs="Roboto"/>
          <w:i/>
          <w:color w:val="FF0000"/>
          <w:sz w:val="16"/>
          <w:szCs w:val="16"/>
        </w:rPr>
      </w:pPr>
      <w:r>
        <w:rPr>
          <w:rFonts w:ascii="Roboto" w:eastAsia="Roboto" w:hAnsi="Roboto" w:cs="Roboto"/>
          <w:b/>
          <w:i/>
          <w:sz w:val="16"/>
          <w:szCs w:val="16"/>
        </w:rPr>
        <w:t xml:space="preserve"> Encuesta nacional de condiciones de vida del Instituto Nacional de Estadística, 2019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  <w:color w:val="FF0000"/>
        </w:rPr>
      </w:pPr>
      <w:r>
        <w:rPr>
          <w:rFonts w:ascii="Roboto" w:eastAsia="Roboto" w:hAnsi="Roboto" w:cs="Roboto"/>
        </w:rPr>
        <w:t>Además, según la Encuesta de Condiciones de Vida</w:t>
      </w:r>
      <w:r>
        <w:rPr>
          <w:rFonts w:ascii="Roboto" w:eastAsia="Roboto" w:hAnsi="Roboto" w:cs="Roboto"/>
          <w:vertAlign w:val="superscript"/>
        </w:rPr>
        <w:footnoteReference w:id="4"/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1 de cada 3 personas no comunitarias dedican más de un 40% de sus ingresos al pago del alojamiento, frente al 6% de la población española</w:t>
      </w:r>
      <w:r>
        <w:rPr>
          <w:rFonts w:ascii="Roboto" w:eastAsia="Roboto" w:hAnsi="Roboto" w:cs="Roboto"/>
        </w:rPr>
        <w:t xml:space="preserve">. La pobreza energética también afecta en mayor medida a las personas extranjeras: </w:t>
      </w:r>
      <w:r>
        <w:rPr>
          <w:rFonts w:ascii="Roboto" w:eastAsia="Roboto" w:hAnsi="Roboto" w:cs="Roboto"/>
          <w:b/>
        </w:rPr>
        <w:t>1 de cada 5 no puede mantener su viv</w:t>
      </w:r>
      <w:r>
        <w:rPr>
          <w:rFonts w:ascii="Roboto" w:eastAsia="Roboto" w:hAnsi="Roboto" w:cs="Roboto"/>
          <w:b/>
        </w:rPr>
        <w:t xml:space="preserve">ienda a una temperatura adecuada. </w:t>
      </w:r>
      <w:r>
        <w:rPr>
          <w:rFonts w:ascii="Roboto" w:eastAsia="Roboto" w:hAnsi="Roboto" w:cs="Roboto"/>
        </w:rPr>
        <w:t>Igualmente, según el indicador AROPE, la población extranjera  extracomunitaria se enfrenta dos veces más a situaciones de riesgo de pobreza o de exclusión social.</w:t>
      </w:r>
      <w:r>
        <w:rPr>
          <w:noProof/>
          <w:lang w:val="en-GB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-142874</wp:posOffset>
            </wp:positionH>
            <wp:positionV relativeFrom="paragraph">
              <wp:posOffset>1657350</wp:posOffset>
            </wp:positionV>
            <wp:extent cx="3048000" cy="1865065"/>
            <wp:effectExtent l="0" t="0" r="0" b="0"/>
            <wp:wrapSquare wrapText="bothSides" distT="114300" distB="114300" distL="114300" distR="114300"/>
            <wp:docPr id="3" name="image2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áfic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6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2971800</wp:posOffset>
            </wp:positionH>
            <wp:positionV relativeFrom="paragraph">
              <wp:posOffset>1657350</wp:posOffset>
            </wp:positionV>
            <wp:extent cx="3043238" cy="1870772"/>
            <wp:effectExtent l="0" t="0" r="0" b="0"/>
            <wp:wrapSquare wrapText="bothSides" distT="114300" distB="114300" distL="114300" distR="114300"/>
            <wp:docPr id="2" name="image1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áfic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1870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El origen de las personas sin hogar también ilustra una </w:t>
      </w:r>
      <w:r>
        <w:rPr>
          <w:rFonts w:ascii="Roboto" w:eastAsia="Roboto" w:hAnsi="Roboto" w:cs="Roboto"/>
        </w:rPr>
        <w:t xml:space="preserve">desigualdad estructural frente a las personas migrantes: </w:t>
      </w:r>
      <w:r>
        <w:rPr>
          <w:rFonts w:ascii="Roboto" w:eastAsia="Roboto" w:hAnsi="Roboto" w:cs="Roboto"/>
          <w:b/>
        </w:rPr>
        <w:t xml:space="preserve">mientras que hay un 11% de personas extranjeras en la población total de España, se encuentra que un 46% del total de personas sin hogar (tipologías ETHOS 1 y 2) son personas de origen extranjero, o </w:t>
      </w:r>
      <w:r>
        <w:rPr>
          <w:rFonts w:ascii="Roboto" w:eastAsia="Roboto" w:hAnsi="Roboto" w:cs="Roboto"/>
          <w:b/>
        </w:rPr>
        <w:t xml:space="preserve">sea casi la mitad. </w:t>
      </w:r>
      <w:r>
        <w:rPr>
          <w:rFonts w:ascii="Roboto" w:eastAsia="Roboto" w:hAnsi="Roboto" w:cs="Roboto"/>
        </w:rPr>
        <w:t>Así, las personas extranjeras están sobrerrepresentadas en las personas sin hogar, es decir que tienen más riesgos de enfrentarse a situaciones de sinhogarismo que la población española.</w:t>
      </w:r>
    </w:p>
    <w:tbl>
      <w:tblPr>
        <w:tblStyle w:val="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285"/>
      </w:tblGrid>
      <w:tr w:rsidR="00596CC7">
        <w:trPr>
          <w:trHeight w:val="525"/>
        </w:trPr>
        <w:tc>
          <w:tcPr>
            <w:tcW w:w="8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% de personas sin hogar por nacionalidad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Española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54,20%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Extranjera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45,80%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Unión europea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10,20%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Resto de Europa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1,10%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África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25,90%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América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Asia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1,60%</w:t>
            </w:r>
          </w:p>
        </w:tc>
      </w:tr>
      <w:tr w:rsidR="00596CC7">
        <w:trPr>
          <w:trHeight w:val="315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ind w:left="425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- Oceanía</w:t>
            </w:r>
          </w:p>
        </w:tc>
        <w:tc>
          <w:tcPr>
            <w:tcW w:w="6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..</w:t>
            </w:r>
          </w:p>
        </w:tc>
      </w:tr>
      <w:tr w:rsidR="00596CC7">
        <w:trPr>
          <w:trHeight w:val="441"/>
        </w:trPr>
        <w:tc>
          <w:tcPr>
            <w:tcW w:w="89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i/>
                <w:sz w:val="18"/>
                <w:szCs w:val="18"/>
              </w:rPr>
              <w:t>Fuente: Encuesta INE, 2012</w:t>
            </w:r>
          </w:p>
        </w:tc>
      </w:tr>
    </w:tbl>
    <w:p w:rsidR="00596CC7" w:rsidRDefault="008222AC">
      <w:pPr>
        <w:spacing w:before="200" w:after="20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Estas situaciones de desigualdad estructural son consecuencia, en parte, por las barreras de acceso que sufren las personas migrantes en el acceso a una vivienda en alquiler. En el recientemente publicado informe </w:t>
      </w:r>
      <w:r>
        <w:rPr>
          <w:rFonts w:ascii="Roboto" w:eastAsia="Roboto" w:hAnsi="Roboto" w:cs="Roboto"/>
          <w:b/>
        </w:rPr>
        <w:t xml:space="preserve">“¿Se Alquila? Racismo y xenofobia en </w:t>
      </w:r>
      <w:r>
        <w:rPr>
          <w:rFonts w:ascii="Roboto" w:eastAsia="Roboto" w:hAnsi="Roboto" w:cs="Roboto"/>
          <w:b/>
        </w:rPr>
        <w:lastRenderedPageBreak/>
        <w:t>el mer</w:t>
      </w:r>
      <w:r>
        <w:rPr>
          <w:rFonts w:ascii="Roboto" w:eastAsia="Roboto" w:hAnsi="Roboto" w:cs="Roboto"/>
          <w:b/>
        </w:rPr>
        <w:t>cado del alquiler”</w:t>
      </w:r>
      <w:r>
        <w:rPr>
          <w:rFonts w:ascii="Roboto" w:eastAsia="Roboto" w:hAnsi="Roboto" w:cs="Roboto"/>
          <w:b/>
          <w:vertAlign w:val="superscript"/>
        </w:rPr>
        <w:footnoteReference w:id="5"/>
      </w:r>
      <w:r>
        <w:rPr>
          <w:rFonts w:ascii="Roboto" w:eastAsia="Roboto" w:hAnsi="Roboto" w:cs="Roboto"/>
          <w:b/>
        </w:rPr>
        <w:t xml:space="preserve"> la organización Provivienda constataba que la discriminación en el acceso a la vivienda de las personas migradas es un fenómeno normalizado. 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Este estudio analizaba la práctica discriminatoria de las agencias inmobiliarias que median en</w:t>
      </w:r>
      <w:r>
        <w:rPr>
          <w:rFonts w:ascii="Roboto" w:eastAsia="Roboto" w:hAnsi="Roboto" w:cs="Roboto"/>
        </w:rPr>
        <w:t xml:space="preserve"> gran parte del mercado de alquiler el acceso a la vivienda. Este estudio, publicado en octubre de 2020, que ahonda en la metodología de “testing inmobiliario”, se realizó en </w:t>
      </w:r>
      <w:r>
        <w:rPr>
          <w:rFonts w:ascii="Roboto" w:eastAsia="Roboto" w:hAnsi="Roboto" w:cs="Roboto"/>
          <w:b/>
        </w:rPr>
        <w:t>Madrid, Alicante, Barcelona y Granada</w:t>
      </w:r>
      <w:r>
        <w:rPr>
          <w:rFonts w:ascii="Roboto" w:eastAsia="Roboto" w:hAnsi="Roboto" w:cs="Roboto"/>
        </w:rPr>
        <w:t>, territorios donde hay presencia de poblaci</w:t>
      </w:r>
      <w:r>
        <w:rPr>
          <w:rFonts w:ascii="Roboto" w:eastAsia="Roboto" w:hAnsi="Roboto" w:cs="Roboto"/>
        </w:rPr>
        <w:t xml:space="preserve">ón migrante y en los que el mercado inmobiliario se caracteriza por su gran heterogeneidad. En el estudio se ha empleado la metodología del </w:t>
      </w:r>
      <w:r>
        <w:rPr>
          <w:rFonts w:ascii="Roboto" w:eastAsia="Roboto" w:hAnsi="Roboto" w:cs="Roboto"/>
          <w:b/>
          <w:i/>
        </w:rPr>
        <w:t>testing</w:t>
      </w:r>
      <w:r>
        <w:rPr>
          <w:rFonts w:ascii="Roboto" w:eastAsia="Roboto" w:hAnsi="Roboto" w:cs="Roboto"/>
        </w:rPr>
        <w:t>, por tratarse de una herramienta innovadora que arroja resultados efectivos por su posibilidad de “ocultamie</w:t>
      </w:r>
      <w:r>
        <w:rPr>
          <w:rFonts w:ascii="Roboto" w:eastAsia="Roboto" w:hAnsi="Roboto" w:cs="Roboto"/>
        </w:rPr>
        <w:t xml:space="preserve">nto de la realidad” para detectar situaciones de discriminación a través de </w:t>
      </w:r>
      <w:r>
        <w:rPr>
          <w:rFonts w:ascii="Roboto" w:eastAsia="Roboto" w:hAnsi="Roboto" w:cs="Roboto"/>
          <w:b/>
        </w:rPr>
        <w:t>1836 llamadas a 1000 contactos</w:t>
      </w:r>
      <w:r>
        <w:rPr>
          <w:rFonts w:ascii="Roboto" w:eastAsia="Roboto" w:hAnsi="Roboto" w:cs="Roboto"/>
        </w:rPr>
        <w:t>.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El principal resultado de este informe es que el </w:t>
      </w:r>
      <w:r>
        <w:rPr>
          <w:rFonts w:ascii="Roboto" w:eastAsia="Roboto" w:hAnsi="Roboto" w:cs="Roboto"/>
          <w:b/>
        </w:rPr>
        <w:t>72.5% de las inmobiliarias contactadas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acepta formas explícitas de discriminación directa. Del 27.5</w:t>
      </w:r>
      <w:r>
        <w:rPr>
          <w:rFonts w:ascii="Roboto" w:eastAsia="Roboto" w:hAnsi="Roboto" w:cs="Roboto"/>
          <w:b/>
        </w:rPr>
        <w:t>% restante que no la acepta de forma explícita, el 81.8% acepta otras formas indirectas y ocultas.</w:t>
      </w:r>
      <w:r>
        <w:rPr>
          <w:rFonts w:ascii="Roboto" w:eastAsia="Roboto" w:hAnsi="Roboto" w:cs="Roboto"/>
        </w:rPr>
        <w:t xml:space="preserve"> Es decir, </w:t>
      </w:r>
      <w:r>
        <w:rPr>
          <w:rFonts w:ascii="Roboto" w:eastAsia="Roboto" w:hAnsi="Roboto" w:cs="Roboto"/>
          <w:b/>
        </w:rPr>
        <w:t xml:space="preserve">apenas se encontraron inmobiliarias que rechazaran cualquier tipo de discriminación por motivo de origen. </w:t>
      </w:r>
    </w:p>
    <w:p w:rsidR="00596CC7" w:rsidRDefault="008222AC">
      <w:pPr>
        <w:tabs>
          <w:tab w:val="left" w:pos="834"/>
        </w:tabs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Hay varios factores o causas que explica</w:t>
      </w:r>
      <w:r>
        <w:rPr>
          <w:rFonts w:ascii="Roboto" w:eastAsia="Roboto" w:hAnsi="Roboto" w:cs="Roboto"/>
        </w:rPr>
        <w:t xml:space="preserve">n la discriminación por origen. Lo primero que identificamos es la </w:t>
      </w:r>
      <w:r>
        <w:rPr>
          <w:rFonts w:ascii="Roboto" w:eastAsia="Roboto" w:hAnsi="Roboto" w:cs="Roboto"/>
          <w:b/>
        </w:rPr>
        <w:t>estigmatización racial y cultural</w:t>
      </w:r>
      <w:r>
        <w:rPr>
          <w:rFonts w:ascii="Roboto" w:eastAsia="Roboto" w:hAnsi="Roboto" w:cs="Roboto"/>
        </w:rPr>
        <w:t xml:space="preserve"> que se activa a través de diferentes mecanismos como el idioma/acento o la indumentaria y rasgos raciales. Pero queremos señalar la importancia, asimismo, </w:t>
      </w:r>
      <w:r>
        <w:rPr>
          <w:rFonts w:ascii="Roboto" w:eastAsia="Roboto" w:hAnsi="Roboto" w:cs="Roboto"/>
        </w:rPr>
        <w:t xml:space="preserve">de factores relacionados con la </w:t>
      </w:r>
      <w:r>
        <w:rPr>
          <w:rFonts w:ascii="Roboto" w:eastAsia="Roboto" w:hAnsi="Roboto" w:cs="Roboto"/>
          <w:b/>
        </w:rPr>
        <w:t>aporofobia o estigmatización de la pobreza.</w:t>
      </w:r>
      <w:r>
        <w:rPr>
          <w:rFonts w:ascii="Roboto" w:eastAsia="Roboto" w:hAnsi="Roboto" w:cs="Roboto"/>
        </w:rPr>
        <w:t xml:space="preserve"> La presunción de un bajo nivel socioeconómico de las personas extranjeras condiciona también el trato que se recibe. </w:t>
      </w:r>
    </w:p>
    <w:p w:rsidR="00596CC7" w:rsidRDefault="008222AC">
      <w:pPr>
        <w:spacing w:before="200" w:after="200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  <w:color w:val="FF0000"/>
          <w:lang w:val="en-GB"/>
        </w:rPr>
        <w:lastRenderedPageBreak/>
        <w:drawing>
          <wp:inline distT="114300" distB="114300" distL="114300" distR="114300">
            <wp:extent cx="4422938" cy="2716947"/>
            <wp:effectExtent l="0" t="0" r="0" b="0"/>
            <wp:docPr id="4" name="image5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Gráfico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2938" cy="2716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6CC7" w:rsidRDefault="008222AC">
      <w:pPr>
        <w:tabs>
          <w:tab w:val="left" w:pos="834"/>
        </w:tabs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 igualdad de condiciones entre perfiles, tomando como unidad de convivencia la formada por dos personas adultas y dos menores dependientes, </w:t>
      </w:r>
      <w:r>
        <w:rPr>
          <w:rFonts w:ascii="Roboto" w:eastAsia="Roboto" w:hAnsi="Roboto" w:cs="Roboto"/>
          <w:b/>
        </w:rPr>
        <w:t>a la población migrante extracomunitaria se le niega en mayor medida la disponibilidad de pisos en el primer contac</w:t>
      </w:r>
      <w:r>
        <w:rPr>
          <w:rFonts w:ascii="Roboto" w:eastAsia="Roboto" w:hAnsi="Roboto" w:cs="Roboto"/>
          <w:b/>
        </w:rPr>
        <w:t>to</w:t>
      </w:r>
      <w:r>
        <w:rPr>
          <w:rFonts w:ascii="Roboto" w:eastAsia="Roboto" w:hAnsi="Roboto" w:cs="Roboto"/>
        </w:rPr>
        <w:t xml:space="preserve"> (36% frente al 29.2% en el caso de nacionales). </w:t>
      </w:r>
    </w:p>
    <w:p w:rsidR="00596CC7" w:rsidRDefault="008222AC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discriminación se materializan en un </w:t>
      </w:r>
      <w:r>
        <w:rPr>
          <w:rFonts w:ascii="Roboto" w:eastAsia="Roboto" w:hAnsi="Roboto" w:cs="Roboto"/>
          <w:b/>
        </w:rPr>
        <w:t>exceso de documentación requerida</w:t>
      </w:r>
      <w:r>
        <w:rPr>
          <w:rFonts w:ascii="Roboto" w:eastAsia="Roboto" w:hAnsi="Roboto" w:cs="Roboto"/>
        </w:rPr>
        <w:t xml:space="preserve">, un </w:t>
      </w:r>
      <w:r>
        <w:rPr>
          <w:rFonts w:ascii="Roboto" w:eastAsia="Roboto" w:hAnsi="Roboto" w:cs="Roboto"/>
          <w:b/>
        </w:rPr>
        <w:t>incremento de las garantías adicionales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engaños sobre las disponibilidad de viviendas</w:t>
      </w:r>
      <w:r>
        <w:rPr>
          <w:rFonts w:ascii="Roboto" w:eastAsia="Roboto" w:hAnsi="Roboto" w:cs="Roboto"/>
        </w:rPr>
        <w:t xml:space="preserve">, unido al uso de </w:t>
      </w:r>
      <w:r>
        <w:rPr>
          <w:rFonts w:ascii="Roboto" w:eastAsia="Roboto" w:hAnsi="Roboto" w:cs="Roboto"/>
          <w:b/>
        </w:rPr>
        <w:t>excusas</w:t>
      </w:r>
      <w:r>
        <w:rPr>
          <w:rFonts w:ascii="Roboto" w:eastAsia="Roboto" w:hAnsi="Roboto" w:cs="Roboto"/>
        </w:rPr>
        <w:t>, y la presenta</w:t>
      </w:r>
      <w:r>
        <w:rPr>
          <w:rFonts w:ascii="Roboto" w:eastAsia="Roboto" w:hAnsi="Roboto" w:cs="Roboto"/>
        </w:rPr>
        <w:t xml:space="preserve">ción de </w:t>
      </w:r>
      <w:r>
        <w:rPr>
          <w:rFonts w:ascii="Roboto" w:eastAsia="Roboto" w:hAnsi="Roboto" w:cs="Roboto"/>
          <w:b/>
        </w:rPr>
        <w:t>cláusulas abusivas</w:t>
      </w:r>
      <w:r>
        <w:rPr>
          <w:rFonts w:ascii="Roboto" w:eastAsia="Roboto" w:hAnsi="Roboto" w:cs="Roboto"/>
        </w:rPr>
        <w:t xml:space="preserve"> en la formalización de contratos de alquiler. De manera complementaria, cuando se trata de la sostenibilidad de un alquiler residencial y del mantenimiento de la vivienda, la discriminación se presenta en forma de </w:t>
      </w:r>
      <w:r>
        <w:rPr>
          <w:rFonts w:ascii="Roboto" w:eastAsia="Roboto" w:hAnsi="Roboto" w:cs="Roboto"/>
          <w:b/>
        </w:rPr>
        <w:t>conflictos veci</w:t>
      </w:r>
      <w:r>
        <w:rPr>
          <w:rFonts w:ascii="Roboto" w:eastAsia="Roboto" w:hAnsi="Roboto" w:cs="Roboto"/>
          <w:b/>
        </w:rPr>
        <w:t>nales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hostilidad en las relaciones con los propietarios</w:t>
      </w:r>
      <w:r>
        <w:rPr>
          <w:rFonts w:ascii="Roboto" w:eastAsia="Roboto" w:hAnsi="Roboto" w:cs="Roboto"/>
        </w:rPr>
        <w:t xml:space="preserve"> y en un</w:t>
      </w:r>
      <w:r>
        <w:rPr>
          <w:rFonts w:ascii="Roboto" w:eastAsia="Roboto" w:hAnsi="Roboto" w:cs="Roboto"/>
          <w:b/>
        </w:rPr>
        <w:t xml:space="preserve"> déficit </w:t>
      </w:r>
      <w:r>
        <w:rPr>
          <w:rFonts w:ascii="Roboto" w:eastAsia="Roboto" w:hAnsi="Roboto" w:cs="Roboto"/>
        </w:rPr>
        <w:t xml:space="preserve">en las características de </w:t>
      </w:r>
      <w:r>
        <w:rPr>
          <w:rFonts w:ascii="Roboto" w:eastAsia="Roboto" w:hAnsi="Roboto" w:cs="Roboto"/>
          <w:b/>
        </w:rPr>
        <w:t>habitabilidad</w:t>
      </w:r>
      <w:r>
        <w:rPr>
          <w:rFonts w:ascii="Roboto" w:eastAsia="Roboto" w:hAnsi="Roboto" w:cs="Roboto"/>
        </w:rPr>
        <w:t xml:space="preserve"> de las viviendas. </w:t>
      </w: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8222AC">
      <w:pPr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</w:rPr>
        <w:lastRenderedPageBreak/>
        <w:t>Este informe arroja luz sobre los procesos que pueden estar detrás de las percepciones de la discriminación por orígen raci</w:t>
      </w:r>
      <w:r>
        <w:rPr>
          <w:rFonts w:ascii="Roboto" w:eastAsia="Roboto" w:hAnsi="Roboto" w:cs="Roboto"/>
        </w:rPr>
        <w:t>al o étnico en el ámbito de la vivienda. Según el Estudio sobre la percepción de la discriminación por origen racial o étnico por parte de sus potenciales víctimas en 2020</w:t>
      </w:r>
      <w:r>
        <w:rPr>
          <w:rFonts w:ascii="Roboto" w:eastAsia="Roboto" w:hAnsi="Roboto" w:cs="Roboto"/>
          <w:vertAlign w:val="superscript"/>
        </w:rPr>
        <w:footnoteReference w:id="6"/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highlight w:val="white"/>
        </w:rPr>
        <w:t>la discriminación en la vivienda se ha duplicado desde 2013 a 2020.</w:t>
      </w:r>
    </w:p>
    <w:p w:rsidR="00596CC7" w:rsidRDefault="00596CC7">
      <w:pPr>
        <w:jc w:val="both"/>
        <w:rPr>
          <w:rFonts w:ascii="Roboto" w:eastAsia="Roboto" w:hAnsi="Roboto" w:cs="Roboto"/>
          <w:highlight w:val="white"/>
        </w:rPr>
      </w:pP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395"/>
      </w:tblGrid>
      <w:tr w:rsidR="00596CC7">
        <w:trPr>
          <w:trHeight w:val="825"/>
        </w:trPr>
        <w:tc>
          <w:tcPr>
            <w:tcW w:w="889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Tasa de discr</w:t>
            </w:r>
            <w:r>
              <w:rPr>
                <w:rFonts w:ascii="Roboto" w:eastAsia="Roboto" w:hAnsi="Roboto" w:cs="Roboto"/>
                <w:b/>
              </w:rPr>
              <w:t>iminación percibida por origen racial o étnico en el ámbito de la vivienda, 2013-2020</w:t>
            </w:r>
          </w:p>
        </w:tc>
      </w:tr>
      <w:tr w:rsidR="00596CC7">
        <w:trPr>
          <w:trHeight w:val="704"/>
        </w:trPr>
        <w:tc>
          <w:tcPr>
            <w:tcW w:w="8895" w:type="dxa"/>
            <w:gridSpan w:val="2"/>
            <w:vMerge/>
            <w:tcBorders>
              <w:bottom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CC7" w:rsidRDefault="00596CC7">
            <w:pPr>
              <w:widowControl w:val="0"/>
              <w:spacing w:before="200" w:after="200"/>
              <w:rPr>
                <w:rFonts w:ascii="Roboto" w:eastAsia="Roboto" w:hAnsi="Roboto" w:cs="Roboto"/>
              </w:rPr>
            </w:pPr>
          </w:p>
        </w:tc>
      </w:tr>
      <w:tr w:rsidR="00596CC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2013</w:t>
            </w:r>
          </w:p>
        </w:tc>
        <w:tc>
          <w:tcPr>
            <w:tcW w:w="7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15,90%</w:t>
            </w:r>
          </w:p>
        </w:tc>
      </w:tr>
      <w:tr w:rsidR="00596CC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2020</w:t>
            </w:r>
          </w:p>
        </w:tc>
        <w:tc>
          <w:tcPr>
            <w:tcW w:w="7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30,90%</w:t>
            </w:r>
          </w:p>
        </w:tc>
      </w:tr>
      <w:tr w:rsidR="00596CC7">
        <w:trPr>
          <w:trHeight w:val="615"/>
        </w:trPr>
        <w:tc>
          <w:tcPr>
            <w:tcW w:w="889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6CC7" w:rsidRDefault="008222AC">
            <w:pPr>
              <w:widowControl w:val="0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Fuente: Consejo para la Eliminación de la Discriminación Racial o Étnica, 2020</w:t>
            </w:r>
          </w:p>
        </w:tc>
      </w:tr>
      <w:tr w:rsidR="00596CC7">
        <w:trPr>
          <w:trHeight w:val="704"/>
        </w:trPr>
        <w:tc>
          <w:tcPr>
            <w:tcW w:w="8895" w:type="dxa"/>
            <w:gridSpan w:val="2"/>
            <w:vMerge/>
            <w:tcBorders>
              <w:bottom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CC7" w:rsidRDefault="00596CC7">
            <w:pPr>
              <w:widowControl w:val="0"/>
              <w:spacing w:before="200" w:after="200"/>
              <w:rPr>
                <w:rFonts w:ascii="Roboto" w:eastAsia="Roboto" w:hAnsi="Roboto" w:cs="Roboto"/>
              </w:rPr>
            </w:pPr>
          </w:p>
        </w:tc>
      </w:tr>
    </w:tbl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Y si lo vemos por origen de la población extranjera, </w:t>
      </w:r>
      <w:r>
        <w:rPr>
          <w:rFonts w:ascii="Roboto" w:eastAsia="Roboto" w:hAnsi="Roboto" w:cs="Roboto"/>
          <w:b/>
        </w:rPr>
        <w:t>48%</w:t>
      </w:r>
      <w:r>
        <w:rPr>
          <w:rFonts w:ascii="Roboto" w:eastAsia="Roboto" w:hAnsi="Roboto" w:cs="Roboto"/>
        </w:rPr>
        <w:t xml:space="preserve"> de la población de África mediterránea, </w:t>
      </w:r>
      <w:r>
        <w:rPr>
          <w:rFonts w:ascii="Roboto" w:eastAsia="Roboto" w:hAnsi="Roboto" w:cs="Roboto"/>
          <w:b/>
        </w:rPr>
        <w:t>46%</w:t>
      </w:r>
      <w:r>
        <w:rPr>
          <w:rFonts w:ascii="Roboto" w:eastAsia="Roboto" w:hAnsi="Roboto" w:cs="Roboto"/>
        </w:rPr>
        <w:t xml:space="preserve"> de la población magrebí y </w:t>
      </w:r>
      <w:r>
        <w:rPr>
          <w:rFonts w:ascii="Roboto" w:eastAsia="Roboto" w:hAnsi="Roboto" w:cs="Roboto"/>
          <w:b/>
        </w:rPr>
        <w:t>31%</w:t>
      </w:r>
      <w:r>
        <w:rPr>
          <w:rFonts w:ascii="Roboto" w:eastAsia="Roboto" w:hAnsi="Roboto" w:cs="Roboto"/>
        </w:rPr>
        <w:t xml:space="preserve"> de la población gitana se ha sentido discriminado en una situación relacionada con el acceso a la vivienda (alquiler, comprar) en el último año</w:t>
      </w:r>
      <w:r>
        <w:rPr>
          <w:rFonts w:ascii="Roboto" w:eastAsia="Roboto" w:hAnsi="Roboto" w:cs="Roboto"/>
          <w:vertAlign w:val="superscript"/>
        </w:rPr>
        <w:footnoteReference w:id="7"/>
      </w:r>
      <w:r>
        <w:rPr>
          <w:rFonts w:ascii="Roboto" w:eastAsia="Roboto" w:hAnsi="Roboto" w:cs="Roboto"/>
        </w:rPr>
        <w:t>.  Asimismo, se puede imaginar que la</w:t>
      </w:r>
      <w:r>
        <w:rPr>
          <w:rFonts w:ascii="Roboto" w:eastAsia="Roboto" w:hAnsi="Roboto" w:cs="Roboto"/>
        </w:rPr>
        <w:t xml:space="preserve">s tasas de discriminación son aún más elevadas en la realidad dado que algunas personas pueden no ser conscientes de haber sufrido un hecho discriminatorio. 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Las situaciones de discriminación también pueden observarse desde las dificultades a las que se en</w:t>
      </w:r>
      <w:r>
        <w:rPr>
          <w:rFonts w:ascii="Roboto" w:eastAsia="Roboto" w:hAnsi="Roboto" w:cs="Roboto"/>
          <w:b/>
        </w:rPr>
        <w:t>frentan las personas refugiadas y solicitantes de asilo para pasar a ser autónomas</w:t>
      </w:r>
      <w:r>
        <w:rPr>
          <w:rFonts w:ascii="Roboto" w:eastAsia="Roboto" w:hAnsi="Roboto" w:cs="Roboto"/>
        </w:rPr>
        <w:t xml:space="preserve">. El Informe “Una casa como refugio. Itinerarios residenciales de las </w:t>
      </w:r>
      <w:r>
        <w:rPr>
          <w:rFonts w:ascii="Roboto" w:eastAsia="Roboto" w:hAnsi="Roboto" w:cs="Roboto"/>
        </w:rPr>
        <w:lastRenderedPageBreak/>
        <w:t>personas solicitantes de protección internacional en Madrid y Vigo”</w:t>
      </w:r>
      <w:r>
        <w:rPr>
          <w:rFonts w:ascii="Roboto" w:eastAsia="Roboto" w:hAnsi="Roboto" w:cs="Roboto"/>
          <w:vertAlign w:val="superscript"/>
        </w:rPr>
        <w:footnoteReference w:id="8"/>
      </w:r>
      <w:r>
        <w:rPr>
          <w:rFonts w:ascii="Roboto" w:eastAsia="Roboto" w:hAnsi="Roboto" w:cs="Roboto"/>
        </w:rPr>
        <w:t xml:space="preserve"> muestra las</w:t>
      </w:r>
      <w:r>
        <w:rPr>
          <w:rFonts w:ascii="Roboto" w:eastAsia="Roboto" w:hAnsi="Roboto" w:cs="Roboto"/>
          <w:b/>
        </w:rPr>
        <w:t xml:space="preserve"> barreras de acceso a la</w:t>
      </w:r>
      <w:r>
        <w:rPr>
          <w:rFonts w:ascii="Roboto" w:eastAsia="Roboto" w:hAnsi="Roboto" w:cs="Roboto"/>
          <w:b/>
        </w:rPr>
        <w:t xml:space="preserve"> vivienda a las que se enfrenta este grupo de población como determinante en los procesos de autonomía e integración</w:t>
      </w:r>
      <w:r>
        <w:rPr>
          <w:rFonts w:ascii="Roboto" w:eastAsia="Roboto" w:hAnsi="Roboto" w:cs="Roboto"/>
        </w:rPr>
        <w:t>. Dicho informe recoge que a pesar de hallarse en una situación de residencia legal en virtud de la normativa nacional e internacional, y de</w:t>
      </w:r>
      <w:r>
        <w:rPr>
          <w:rFonts w:ascii="Roboto" w:eastAsia="Roboto" w:hAnsi="Roboto" w:cs="Roboto"/>
        </w:rPr>
        <w:t xml:space="preserve"> contar con un documento acreditativo de dicha condición (‘tarjeta roja’), se les niega el acceso a una vivienda en alquiler por desconocimiento de la documentación. </w:t>
      </w:r>
    </w:p>
    <w:p w:rsidR="00596CC7" w:rsidRDefault="008222AC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En el acceso a las viviendas de autonomía en la </w:t>
      </w:r>
      <w:r>
        <w:rPr>
          <w:rFonts w:ascii="Roboto" w:eastAsia="Roboto" w:hAnsi="Roboto" w:cs="Roboto"/>
          <w:b/>
        </w:rPr>
        <w:t>II Fase del Sistema de Acogida y Protecci</w:t>
      </w:r>
      <w:r>
        <w:rPr>
          <w:rFonts w:ascii="Roboto" w:eastAsia="Roboto" w:hAnsi="Roboto" w:cs="Roboto"/>
          <w:b/>
        </w:rPr>
        <w:t>ón Internacional (SAPI) de España, las personas solicitantes de asilo y beneficiarias de protección internacional se encuentran en un proceso en el que, de forma paralela, ganan autonomía y pierden calidad de vida</w:t>
      </w:r>
      <w:r>
        <w:rPr>
          <w:rFonts w:ascii="Roboto" w:eastAsia="Roboto" w:hAnsi="Roboto" w:cs="Roboto"/>
        </w:rPr>
        <w:t xml:space="preserve">. En este paso a la Fase II de preparación </w:t>
      </w:r>
      <w:r>
        <w:rPr>
          <w:rFonts w:ascii="Roboto" w:eastAsia="Roboto" w:hAnsi="Roboto" w:cs="Roboto"/>
        </w:rPr>
        <w:t>para la Autonomía, se dan problemas como la dificultad de acceso a la vivienda en alquiler, la necesidad de crear redes de apoyo nuevamente, los cambios de barrio y la ruptura que estos suponen en sus itinerarios o la localización, que en muchos casos se a</w:t>
      </w:r>
      <w:r>
        <w:rPr>
          <w:rFonts w:ascii="Roboto" w:eastAsia="Roboto" w:hAnsi="Roboto" w:cs="Roboto"/>
        </w:rPr>
        <w:t xml:space="preserve">leja de los servicios y recursos de los que dependen. </w:t>
      </w:r>
    </w:p>
    <w:p w:rsidR="00596CC7" w:rsidRDefault="008222AC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El </w:t>
      </w:r>
      <w:r>
        <w:rPr>
          <w:rFonts w:ascii="Roboto" w:eastAsia="Roboto" w:hAnsi="Roboto" w:cs="Roboto"/>
          <w:b/>
        </w:rPr>
        <w:t>mercado residencial es, por tanto, uno de los grandes condicionantes del proceso de integración de estas personas</w:t>
      </w:r>
      <w:r>
        <w:rPr>
          <w:rFonts w:ascii="Roboto" w:eastAsia="Roboto" w:hAnsi="Roboto" w:cs="Roboto"/>
        </w:rPr>
        <w:t>. La situación residencial condiciona la evolución de otros aspectos relacionados con</w:t>
      </w:r>
      <w:r>
        <w:rPr>
          <w:rFonts w:ascii="Roboto" w:eastAsia="Roboto" w:hAnsi="Roboto" w:cs="Roboto"/>
        </w:rPr>
        <w:t xml:space="preserve"> la autonomía e integración social y económica, a la vez que estos aspectos determinan las herramientas de las que disponen para hacer frente a las condiciones del mercado residencial, como es el caso del idioma. 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Como se recoge en el Informe “Una casa com</w:t>
      </w:r>
      <w:r>
        <w:rPr>
          <w:rFonts w:ascii="Roboto" w:eastAsia="Roboto" w:hAnsi="Roboto" w:cs="Roboto"/>
        </w:rPr>
        <w:t>o refugio 2: retos para la autonomía de las personas solicitantes y beneficiarias de Protección Internacional”</w:t>
      </w:r>
      <w:r>
        <w:rPr>
          <w:rFonts w:ascii="Roboto" w:eastAsia="Roboto" w:hAnsi="Roboto" w:cs="Roboto"/>
          <w:vertAlign w:val="superscript"/>
        </w:rPr>
        <w:footnoteReference w:id="9"/>
      </w:r>
      <w:r>
        <w:rPr>
          <w:rFonts w:ascii="Roboto" w:eastAsia="Roboto" w:hAnsi="Roboto" w:cs="Roboto"/>
        </w:rPr>
        <w:t xml:space="preserve"> publicado en </w:t>
      </w:r>
      <w:r>
        <w:rPr>
          <w:rFonts w:ascii="Roboto" w:eastAsia="Roboto" w:hAnsi="Roboto" w:cs="Roboto"/>
        </w:rPr>
        <w:lastRenderedPageBreak/>
        <w:t>2021</w:t>
      </w:r>
      <w:r>
        <w:rPr>
          <w:rFonts w:ascii="Roboto" w:eastAsia="Roboto" w:hAnsi="Roboto" w:cs="Roboto"/>
          <w:b/>
        </w:rPr>
        <w:t xml:space="preserve">, el Estado de Alarma y la crisis sociosanitaria vinculada a la COVID-19 han tenido un fuerte impacto negativo en la situación </w:t>
      </w:r>
      <w:r>
        <w:rPr>
          <w:rFonts w:ascii="Roboto" w:eastAsia="Roboto" w:hAnsi="Roboto" w:cs="Roboto"/>
          <w:b/>
        </w:rPr>
        <w:t>de las personas refugiadas y solicitantes de asilo,</w:t>
      </w:r>
      <w:r>
        <w:rPr>
          <w:rFonts w:ascii="Roboto" w:eastAsia="Roboto" w:hAnsi="Roboto" w:cs="Roboto"/>
        </w:rPr>
        <w:t xml:space="preserve"> no sólo con el </w:t>
      </w:r>
      <w:r>
        <w:rPr>
          <w:rFonts w:ascii="Roboto" w:eastAsia="Roboto" w:hAnsi="Roboto" w:cs="Roboto"/>
          <w:b/>
        </w:rPr>
        <w:t>retraso de los procedimientos administrativos y jurídicos</w:t>
      </w:r>
      <w:r>
        <w:rPr>
          <w:rFonts w:ascii="Roboto" w:eastAsia="Roboto" w:hAnsi="Roboto" w:cs="Roboto"/>
        </w:rPr>
        <w:t>, por ejemplo el bloqueo en el acceso a un alojamiento en la entrada al Sistema de protección internacional por estar saturados, sin</w:t>
      </w:r>
      <w:r>
        <w:rPr>
          <w:rFonts w:ascii="Roboto" w:eastAsia="Roboto" w:hAnsi="Roboto" w:cs="Roboto"/>
        </w:rPr>
        <w:t xml:space="preserve">o también con la </w:t>
      </w:r>
      <w:r>
        <w:rPr>
          <w:rFonts w:ascii="Roboto" w:eastAsia="Roboto" w:hAnsi="Roboto" w:cs="Roboto"/>
          <w:b/>
        </w:rPr>
        <w:t>pérdida de empleos o de ingresos</w:t>
      </w:r>
      <w:r>
        <w:rPr>
          <w:rFonts w:ascii="Roboto" w:eastAsia="Roboto" w:hAnsi="Roboto" w:cs="Roboto"/>
        </w:rPr>
        <w:t xml:space="preserve">, lo que pudo acarrear situaciones graves de exclusión residencial. 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Además, ante la </w:t>
      </w:r>
      <w:r>
        <w:rPr>
          <w:rFonts w:ascii="Roboto" w:eastAsia="Roboto" w:hAnsi="Roboto" w:cs="Roboto"/>
          <w:b/>
        </w:rPr>
        <w:t>nueva instrucción SEM 6/2020</w:t>
      </w:r>
      <w:r>
        <w:rPr>
          <w:rFonts w:ascii="Roboto" w:eastAsia="Roboto" w:hAnsi="Roboto" w:cs="Roboto"/>
        </w:rPr>
        <w:t>, solo llegarán a la Fase II o de preparación para la Autonomía aquellas personas que tengan c</w:t>
      </w:r>
      <w:r>
        <w:rPr>
          <w:rFonts w:ascii="Roboto" w:eastAsia="Roboto" w:hAnsi="Roboto" w:cs="Roboto"/>
        </w:rPr>
        <w:t xml:space="preserve">oncedida la Protección Internacional. Teniendo en cuenta que </w:t>
      </w:r>
      <w:r>
        <w:rPr>
          <w:rFonts w:ascii="Roboto" w:eastAsia="Roboto" w:hAnsi="Roboto" w:cs="Roboto"/>
          <w:b/>
        </w:rPr>
        <w:t>el 92,2% de las solicitudes son denegadas en el proceso, la inmensa mayoría no tendrá acceso a las herramientas necesarias a la salida del Sistema, lo que hace que las personas quedarán en una si</w:t>
      </w:r>
      <w:r>
        <w:rPr>
          <w:rFonts w:ascii="Roboto" w:eastAsia="Roboto" w:hAnsi="Roboto" w:cs="Roboto"/>
          <w:b/>
        </w:rPr>
        <w:t>tuación irregular, y pueden enfrentarse aún más a situaciones de discriminación y de exclusión residencial</w:t>
      </w:r>
      <w:r>
        <w:rPr>
          <w:rFonts w:ascii="Roboto" w:eastAsia="Roboto" w:hAnsi="Roboto" w:cs="Roboto"/>
        </w:rPr>
        <w:t>.</w:t>
      </w:r>
    </w:p>
    <w:p w:rsidR="00596CC7" w:rsidRDefault="008222AC">
      <w:p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crisis de la COVID-19 no surgió, por tanto, en un escenario muy favorable: ya existía una situación de dificultad en el acceso a la vivienda. </w:t>
      </w:r>
      <w:r>
        <w:rPr>
          <w:rFonts w:ascii="Roboto" w:eastAsia="Roboto" w:hAnsi="Roboto" w:cs="Roboto"/>
          <w:b/>
        </w:rPr>
        <w:t xml:space="preserve"> La</w:t>
      </w:r>
      <w:r>
        <w:rPr>
          <w:rFonts w:ascii="Roboto" w:eastAsia="Roboto" w:hAnsi="Roboto" w:cs="Roboto"/>
          <w:b/>
        </w:rPr>
        <w:t xml:space="preserve"> pandemia afectó también de forma indirecta al derecho a la vivienda de las personas migradas</w:t>
      </w:r>
      <w:r>
        <w:rPr>
          <w:rFonts w:ascii="Roboto" w:eastAsia="Roboto" w:hAnsi="Roboto" w:cs="Roboto"/>
        </w:rPr>
        <w:t>, que no sólo han tenido que padecer un confinamiento, en muchos casos, en viviendas con deficiencias de habitabilidad o situaciones de hacinamiento, sino que adem</w:t>
      </w:r>
      <w:r>
        <w:rPr>
          <w:rFonts w:ascii="Roboto" w:eastAsia="Roboto" w:hAnsi="Roboto" w:cs="Roboto"/>
        </w:rPr>
        <w:t xml:space="preserve">ás se han visto abocadas a poner en riesgo su salud y la de sus familias al desempeñar en un porcentaje elevado trabajos esenciales o sin contrato laboral. </w:t>
      </w:r>
    </w:p>
    <w:p w:rsidR="00596CC7" w:rsidRDefault="008222AC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Por su parte, las </w:t>
      </w:r>
      <w:r>
        <w:rPr>
          <w:rFonts w:ascii="Roboto" w:eastAsia="Roboto" w:hAnsi="Roboto" w:cs="Roboto"/>
          <w:b/>
        </w:rPr>
        <w:t>medidas de protección en vivienda que se aprobaron a raíz de la crisis de la COVI</w:t>
      </w:r>
      <w:r>
        <w:rPr>
          <w:rFonts w:ascii="Roboto" w:eastAsia="Roboto" w:hAnsi="Roboto" w:cs="Roboto"/>
          <w:b/>
        </w:rPr>
        <w:t>D-19, en ocasiones no han tenido en cuenta situaciones que son más frecuentes en el caso de las personas migradas en comparación con la población autóctona.</w:t>
      </w:r>
      <w:r>
        <w:rPr>
          <w:rFonts w:ascii="Roboto" w:eastAsia="Roboto" w:hAnsi="Roboto" w:cs="Roboto"/>
        </w:rPr>
        <w:t xml:space="preserve"> Es el caso de los </w:t>
      </w:r>
      <w:r>
        <w:rPr>
          <w:rFonts w:ascii="Roboto" w:eastAsia="Roboto" w:hAnsi="Roboto" w:cs="Roboto"/>
          <w:b/>
        </w:rPr>
        <w:t>subarriendos de vivienda</w:t>
      </w:r>
      <w:r>
        <w:rPr>
          <w:rFonts w:ascii="Roboto" w:eastAsia="Roboto" w:hAnsi="Roboto" w:cs="Roboto"/>
        </w:rPr>
        <w:t>, los contratos de habitación o los contratos verbales, m</w:t>
      </w:r>
      <w:r>
        <w:rPr>
          <w:rFonts w:ascii="Roboto" w:eastAsia="Roboto" w:hAnsi="Roboto" w:cs="Roboto"/>
        </w:rPr>
        <w:t>ás frecuentes en población migrante dados los elevados pre</w:t>
      </w:r>
      <w:r>
        <w:rPr>
          <w:rFonts w:ascii="Roboto" w:eastAsia="Roboto" w:hAnsi="Roboto" w:cs="Roboto"/>
        </w:rPr>
        <w:lastRenderedPageBreak/>
        <w:t xml:space="preserve">cios de la vivienda y los obstáculos para cumplir los requisitos de titularidad del contrato de arrendamiento, sumado a las barreras interpuestas por propietarios/as y empresas inmobiliarias. </w:t>
      </w: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596CC7">
      <w:pPr>
        <w:jc w:val="both"/>
        <w:rPr>
          <w:rFonts w:ascii="Roboto" w:eastAsia="Roboto" w:hAnsi="Roboto" w:cs="Roboto"/>
        </w:rPr>
      </w:pPr>
    </w:p>
    <w:p w:rsidR="00596CC7" w:rsidRDefault="008222AC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Recomendaciones: </w:t>
      </w:r>
    </w:p>
    <w:p w:rsidR="00596CC7" w:rsidRDefault="008222AC">
      <w:pPr>
        <w:numPr>
          <w:ilvl w:val="0"/>
          <w:numId w:val="1"/>
        </w:num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Incluir en las </w:t>
      </w:r>
      <w:r>
        <w:rPr>
          <w:rFonts w:ascii="Roboto" w:eastAsia="Roboto" w:hAnsi="Roboto" w:cs="Roboto"/>
          <w:b/>
        </w:rPr>
        <w:t>políticas de la vivienda medidas transversales contra la discriminación que garanticen el derecho a la vivienda para todas las personas</w:t>
      </w:r>
      <w:r>
        <w:rPr>
          <w:rFonts w:ascii="Roboto" w:eastAsia="Roboto" w:hAnsi="Roboto" w:cs="Roboto"/>
        </w:rPr>
        <w:t>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Aprobar una </w:t>
      </w:r>
      <w:r>
        <w:rPr>
          <w:rFonts w:ascii="Roboto" w:eastAsia="Roboto" w:hAnsi="Roboto" w:cs="Roboto"/>
          <w:b/>
        </w:rPr>
        <w:t>Ley Integral para la Igualdad de Trato y la No Discriminación que contemple la vivienda como ámbito de discriminación</w:t>
      </w:r>
      <w:r>
        <w:rPr>
          <w:rFonts w:ascii="Roboto" w:eastAsia="Roboto" w:hAnsi="Roboto" w:cs="Roboto"/>
        </w:rPr>
        <w:t>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Impulsar </w:t>
      </w:r>
      <w:r>
        <w:rPr>
          <w:rFonts w:ascii="Roboto" w:eastAsia="Roboto" w:hAnsi="Roboto" w:cs="Roboto"/>
          <w:b/>
        </w:rPr>
        <w:t>servicios de mediación en alquiler como políticas públicas</w:t>
      </w:r>
      <w:r>
        <w:rPr>
          <w:rFonts w:ascii="Roboto" w:eastAsia="Roboto" w:hAnsi="Roboto" w:cs="Roboto"/>
        </w:rPr>
        <w:t xml:space="preserve">: los programas de </w:t>
      </w:r>
      <w:r>
        <w:rPr>
          <w:rFonts w:ascii="Roboto" w:eastAsia="Roboto" w:hAnsi="Roboto" w:cs="Roboto"/>
          <w:b/>
        </w:rPr>
        <w:t>Bolsas de vivienda</w:t>
      </w:r>
      <w:r>
        <w:rPr>
          <w:rFonts w:ascii="Roboto" w:eastAsia="Roboto" w:hAnsi="Roboto" w:cs="Roboto"/>
        </w:rPr>
        <w:t xml:space="preserve"> desarrollados en España han demo</w:t>
      </w:r>
      <w:r>
        <w:rPr>
          <w:rFonts w:ascii="Roboto" w:eastAsia="Roboto" w:hAnsi="Roboto" w:cs="Roboto"/>
        </w:rPr>
        <w:t>strado su eficacia para facilitar el acceso a un alojamiento de personas que sufrían discriminación por su origen. Ofrecen garantías al propietario, quien no puede rechazar a una persona que la mediadora les ofrezca.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Apoyar a </w:t>
      </w:r>
      <w:r>
        <w:rPr>
          <w:rFonts w:ascii="Roboto" w:eastAsia="Roboto" w:hAnsi="Roboto" w:cs="Roboto"/>
          <w:b/>
        </w:rPr>
        <w:t>proyectos de investigación y sensibilización sobre discriminación y vivienda</w:t>
      </w:r>
      <w:r>
        <w:rPr>
          <w:rFonts w:ascii="Roboto" w:eastAsia="Roboto" w:hAnsi="Roboto" w:cs="Roboto"/>
        </w:rPr>
        <w:t>, lo que se vuelve necesario en un contexto en el que muchas de las discriminaciones son indirectas o invisibilizadas.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lastRenderedPageBreak/>
        <w:t>Formar específicamente a agentes clave sobre discriminación e</w:t>
      </w:r>
      <w:r>
        <w:rPr>
          <w:rFonts w:ascii="Roboto" w:eastAsia="Roboto" w:hAnsi="Roboto" w:cs="Roboto"/>
          <w:b/>
        </w:rPr>
        <w:t>n el ámbito de la vivienda</w:t>
      </w:r>
      <w:r>
        <w:rPr>
          <w:rFonts w:ascii="Roboto" w:eastAsia="Roboto" w:hAnsi="Roboto" w:cs="Roboto"/>
        </w:rPr>
        <w:t>, no solo a los/as agentes inmobiliarios o los/as agentes de la propiedad inmobiliaria, sino también a las fiscalías y las Fuerzas y Cuerpos de Seguridad del Estado.</w:t>
      </w:r>
    </w:p>
    <w:p w:rsidR="00596CC7" w:rsidRDefault="008222AC">
      <w:pPr>
        <w:numPr>
          <w:ilvl w:val="0"/>
          <w:numId w:val="1"/>
        </w:numPr>
        <w:spacing w:before="200"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Facilitar el </w:t>
      </w:r>
      <w:r>
        <w:rPr>
          <w:rFonts w:ascii="Roboto" w:eastAsia="Roboto" w:hAnsi="Roboto" w:cs="Roboto"/>
          <w:b/>
        </w:rPr>
        <w:t>acceso a la información sobre la búsqueda de vivien</w:t>
      </w:r>
      <w:r>
        <w:rPr>
          <w:rFonts w:ascii="Roboto" w:eastAsia="Roboto" w:hAnsi="Roboto" w:cs="Roboto"/>
          <w:b/>
        </w:rPr>
        <w:t>da y los derechos asociados para las personas migrantes</w:t>
      </w:r>
      <w:r>
        <w:rPr>
          <w:rFonts w:ascii="Roboto" w:eastAsia="Roboto" w:hAnsi="Roboto" w:cs="Roboto"/>
        </w:rPr>
        <w:t xml:space="preserve">, con la creación de una </w:t>
      </w:r>
      <w:r>
        <w:rPr>
          <w:rFonts w:ascii="Roboto" w:eastAsia="Roboto" w:hAnsi="Roboto" w:cs="Roboto"/>
          <w:b/>
        </w:rPr>
        <w:t xml:space="preserve">plataforma virtual </w:t>
      </w:r>
      <w:r>
        <w:rPr>
          <w:rFonts w:ascii="Roboto" w:eastAsia="Roboto" w:hAnsi="Roboto" w:cs="Roboto"/>
        </w:rPr>
        <w:t xml:space="preserve">que reúna en diferentes idiomas información relativa a los derechos de las personas extranjeras. También tener servicios de asesoramiento en los procesos de </w:t>
      </w:r>
      <w:r>
        <w:rPr>
          <w:rFonts w:ascii="Roboto" w:eastAsia="Roboto" w:hAnsi="Roboto" w:cs="Roboto"/>
        </w:rPr>
        <w:t>acceso a la vivienda, en la recopilación de documentación y para proteger de prácticas abusivas.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Adherir al </w:t>
      </w:r>
      <w:r>
        <w:rPr>
          <w:rFonts w:ascii="Roboto" w:eastAsia="Roboto" w:hAnsi="Roboto" w:cs="Roboto"/>
          <w:b/>
        </w:rPr>
        <w:t>Código de Buenas Prácticas Inmobiliarias</w:t>
      </w:r>
      <w:r>
        <w:rPr>
          <w:rFonts w:ascii="Roboto" w:eastAsia="Roboto" w:hAnsi="Roboto" w:cs="Roboto"/>
        </w:rPr>
        <w:t>, que incluirá compromisos con la igualdad de trato y el derecho a la vivienda.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Apoyar las reclamaciones for</w:t>
      </w:r>
      <w:r>
        <w:rPr>
          <w:rFonts w:ascii="Roboto" w:eastAsia="Roboto" w:hAnsi="Roboto" w:cs="Roboto"/>
          <w:b/>
        </w:rPr>
        <w:t>males sobre vulneración de derechos</w:t>
      </w:r>
      <w:r>
        <w:rPr>
          <w:rFonts w:ascii="Roboto" w:eastAsia="Roboto" w:hAnsi="Roboto" w:cs="Roboto"/>
        </w:rPr>
        <w:t>, fomentando las reclamaciones ante la Oficina Municipal de Información al Consumidor (OMIC) y ante el Defensor del Pueblo, y así poder contabilizar prácticas discriminatorias en el ámbito de la vivienda y visibilizar dic</w:t>
      </w:r>
      <w:r>
        <w:rPr>
          <w:rFonts w:ascii="Roboto" w:eastAsia="Roboto" w:hAnsi="Roboto" w:cs="Roboto"/>
        </w:rPr>
        <w:t>ho problema.</w:t>
      </w:r>
    </w:p>
    <w:p w:rsidR="00596CC7" w:rsidRDefault="008222AC">
      <w:pPr>
        <w:numPr>
          <w:ilvl w:val="0"/>
          <w:numId w:val="1"/>
        </w:numPr>
        <w:spacing w:after="20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Crear </w:t>
      </w:r>
      <w:r>
        <w:rPr>
          <w:rFonts w:ascii="Roboto" w:eastAsia="Roboto" w:hAnsi="Roboto" w:cs="Roboto"/>
          <w:b/>
        </w:rPr>
        <w:t xml:space="preserve">canales directos de interlocución entre Tercer Sector y Fiscalía especializada, y también de interlocución con la sociedad civil, </w:t>
      </w:r>
      <w:r>
        <w:rPr>
          <w:rFonts w:ascii="Roboto" w:eastAsia="Roboto" w:hAnsi="Roboto" w:cs="Roboto"/>
        </w:rPr>
        <w:t>con la creación o el desarrollo de Comisiones específicas sobre racismo y xenofobia, como la inclusión clar</w:t>
      </w:r>
      <w:r>
        <w:rPr>
          <w:rFonts w:ascii="Roboto" w:eastAsia="Roboto" w:hAnsi="Roboto" w:cs="Roboto"/>
        </w:rPr>
        <w:t>a de aquellas situaciones relacionadas con vivienda que puedan abordarse desde el ámbito penal.</w:t>
      </w:r>
    </w:p>
    <w:p w:rsidR="00596CC7" w:rsidRDefault="00596CC7">
      <w:pPr>
        <w:spacing w:before="200" w:after="200"/>
        <w:ind w:left="720"/>
        <w:jc w:val="both"/>
        <w:rPr>
          <w:rFonts w:ascii="Roboto" w:eastAsia="Roboto" w:hAnsi="Roboto" w:cs="Roboto"/>
        </w:rPr>
      </w:pPr>
    </w:p>
    <w:p w:rsidR="00596CC7" w:rsidRDefault="00596CC7">
      <w:pPr>
        <w:spacing w:before="200" w:after="200"/>
        <w:rPr>
          <w:rFonts w:ascii="Roboto" w:eastAsia="Roboto" w:hAnsi="Roboto" w:cs="Roboto"/>
        </w:rPr>
      </w:pPr>
    </w:p>
    <w:p w:rsidR="00596CC7" w:rsidRDefault="00596CC7">
      <w:pPr>
        <w:spacing w:before="200" w:after="200"/>
        <w:jc w:val="both"/>
        <w:rPr>
          <w:rFonts w:ascii="Roboto" w:eastAsia="Roboto" w:hAnsi="Roboto" w:cs="Roboto"/>
        </w:rPr>
      </w:pPr>
    </w:p>
    <w:sectPr w:rsidR="00596C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22AC">
      <w:pPr>
        <w:spacing w:line="240" w:lineRule="auto"/>
      </w:pPr>
      <w:r>
        <w:separator/>
      </w:r>
    </w:p>
  </w:endnote>
  <w:endnote w:type="continuationSeparator" w:id="0">
    <w:p w:rsidR="00000000" w:rsidRDefault="0082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22AC">
      <w:pPr>
        <w:spacing w:line="240" w:lineRule="auto"/>
      </w:pPr>
      <w:r>
        <w:separator/>
      </w:r>
    </w:p>
  </w:footnote>
  <w:footnote w:type="continuationSeparator" w:id="0">
    <w:p w:rsidR="00000000" w:rsidRDefault="008222AC">
      <w:pPr>
        <w:spacing w:line="240" w:lineRule="auto"/>
      </w:pPr>
      <w:r>
        <w:continuationSeparator/>
      </w:r>
    </w:p>
  </w:footnote>
  <w:footnote w:id="1">
    <w:p w:rsidR="00596CC7" w:rsidRDefault="008222AC">
      <w:pPr>
        <w:widowControl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Roboto" w:eastAsia="Roboto" w:hAnsi="Roboto" w:cs="Roboto"/>
          <w:sz w:val="18"/>
          <w:szCs w:val="18"/>
        </w:rPr>
        <w:t xml:space="preserve">MITMA (2020). Observatorio de Vivienda y suelo. Boletín núm. 36 Cuarto trimestre 2020 </w:t>
      </w:r>
      <w:hyperlink r:id="rId1"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https://www.google.com/url?q=https://apps.fomento.gob.es/CVP/handlers/pdfhandler.ashx?idpub%3DBAW081&amp;sa=D&amp;source=editors&amp;ust=1619</w:t>
        </w:r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535654977000&amp;usg=AOvVaw3_GK3KDtbeilm1NUYm4ZI0</w:t>
        </w:r>
      </w:hyperlink>
      <w:r>
        <w:rPr>
          <w:rFonts w:ascii="Roboto" w:eastAsia="Roboto" w:hAnsi="Roboto" w:cs="Roboto"/>
          <w:sz w:val="18"/>
          <w:szCs w:val="18"/>
        </w:rPr>
        <w:t xml:space="preserve"> </w:t>
      </w:r>
    </w:p>
  </w:footnote>
  <w:footnote w:id="2">
    <w:p w:rsidR="00596CC7" w:rsidRDefault="008222AC">
      <w:pPr>
        <w:spacing w:line="240" w:lineRule="auto"/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Provivienda (2020): </w:t>
      </w:r>
      <w:r>
        <w:rPr>
          <w:rFonts w:ascii="Roboto" w:eastAsia="Roboto" w:hAnsi="Roboto" w:cs="Roboto"/>
          <w:i/>
          <w:sz w:val="18"/>
          <w:szCs w:val="18"/>
        </w:rPr>
        <w:t>Cuando la casa nos enferma III: redes de apoyo en tiempos de crisis</w:t>
      </w:r>
      <w:r>
        <w:rPr>
          <w:rFonts w:ascii="Roboto" w:eastAsia="Roboto" w:hAnsi="Roboto" w:cs="Roboto"/>
          <w:sz w:val="18"/>
          <w:szCs w:val="18"/>
        </w:rPr>
        <w:t xml:space="preserve">. Madrid: Provivienda. Disponible en: </w:t>
      </w:r>
      <w:hyperlink r:id="rId2"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http</w:t>
        </w:r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s://www.provivienda.org/informe-la-casa-nos-enferma-3/</w:t>
        </w:r>
      </w:hyperlink>
    </w:p>
  </w:footnote>
  <w:footnote w:id="3">
    <w:p w:rsidR="00596CC7" w:rsidRDefault="008222AC">
      <w:pPr>
        <w:spacing w:line="240" w:lineRule="auto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Roboto" w:eastAsia="Roboto" w:hAnsi="Roboto" w:cs="Roboto"/>
          <w:sz w:val="18"/>
          <w:szCs w:val="18"/>
        </w:rPr>
        <w:t>Encuesta de Condiciones de Vida 2019, INE</w:t>
      </w:r>
    </w:p>
  </w:footnote>
  <w:footnote w:id="4">
    <w:p w:rsidR="00596CC7" w:rsidRDefault="008222AC">
      <w:pPr>
        <w:spacing w:line="240" w:lineRule="auto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Encuesta de Condiciones de Vida 2019, INE</w:t>
      </w:r>
    </w:p>
  </w:footnote>
  <w:footnote w:id="5">
    <w:p w:rsidR="00596CC7" w:rsidRDefault="008222AC">
      <w:pPr>
        <w:spacing w:line="240" w:lineRule="auto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Provivienda (2020). </w:t>
      </w:r>
      <w:r>
        <w:rPr>
          <w:rFonts w:ascii="Roboto" w:eastAsia="Roboto" w:hAnsi="Roboto" w:cs="Roboto"/>
          <w:i/>
          <w:sz w:val="18"/>
          <w:szCs w:val="18"/>
        </w:rPr>
        <w:t>¿Se Alquila? Racismo y xenofobia en el mercado del alquiler</w:t>
      </w:r>
      <w:r>
        <w:rPr>
          <w:rFonts w:ascii="Roboto" w:eastAsia="Roboto" w:hAnsi="Roboto" w:cs="Roboto"/>
          <w:sz w:val="18"/>
          <w:szCs w:val="18"/>
        </w:rPr>
        <w:t xml:space="preserve">. Madrid: Provivienda. Disponible en: </w:t>
      </w:r>
      <w:hyperlink r:id="rId3"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http://www.provivienda.org/informe-se-alquila-racismo-xenofobia-mercado-alquiler/</w:t>
        </w:r>
      </w:hyperlink>
      <w:r>
        <w:rPr>
          <w:rFonts w:ascii="Roboto" w:eastAsia="Roboto" w:hAnsi="Roboto" w:cs="Roboto"/>
          <w:sz w:val="18"/>
          <w:szCs w:val="18"/>
        </w:rPr>
        <w:t xml:space="preserve"> </w:t>
      </w:r>
    </w:p>
  </w:footnote>
  <w:footnote w:id="6">
    <w:p w:rsidR="00596CC7" w:rsidRDefault="008222AC">
      <w:pPr>
        <w:spacing w:line="240" w:lineRule="auto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</w:t>
      </w:r>
      <w:r>
        <w:rPr>
          <w:rFonts w:ascii="Roboto" w:eastAsia="Roboto" w:hAnsi="Roboto" w:cs="Roboto"/>
          <w:sz w:val="18"/>
          <w:szCs w:val="18"/>
          <w:highlight w:val="white"/>
        </w:rPr>
        <w:t xml:space="preserve">Consejo para la Eliminación de la Discriminación Racial o Étnica (2020). </w:t>
      </w:r>
      <w:r>
        <w:rPr>
          <w:rFonts w:ascii="Roboto" w:eastAsia="Roboto" w:hAnsi="Roboto" w:cs="Roboto"/>
          <w:i/>
          <w:sz w:val="18"/>
          <w:szCs w:val="18"/>
        </w:rPr>
        <w:t>Estudio sobre l</w:t>
      </w:r>
      <w:r>
        <w:rPr>
          <w:rFonts w:ascii="Roboto" w:eastAsia="Roboto" w:hAnsi="Roboto" w:cs="Roboto"/>
          <w:i/>
          <w:sz w:val="18"/>
          <w:szCs w:val="18"/>
        </w:rPr>
        <w:t>a percepción de la discriminación por origen racial o étnico por parte de sus potenciales víctimas</w:t>
      </w:r>
      <w:r>
        <w:rPr>
          <w:rFonts w:ascii="Roboto" w:eastAsia="Roboto" w:hAnsi="Roboto" w:cs="Roboto"/>
          <w:sz w:val="18"/>
          <w:szCs w:val="18"/>
        </w:rPr>
        <w:t>.</w:t>
      </w:r>
    </w:p>
  </w:footnote>
  <w:footnote w:id="7">
    <w:p w:rsidR="00596CC7" w:rsidRDefault="008222AC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Ibid. </w:t>
      </w:r>
    </w:p>
  </w:footnote>
  <w:footnote w:id="8">
    <w:p w:rsidR="00596CC7" w:rsidRDefault="008222AC">
      <w:pPr>
        <w:spacing w:line="240" w:lineRule="auto"/>
        <w:rPr>
          <w:rFonts w:ascii="Roboto" w:eastAsia="Roboto" w:hAnsi="Roboto" w:cs="Roboto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sz w:val="18"/>
          <w:szCs w:val="18"/>
        </w:rPr>
        <w:t xml:space="preserve">Provivienda (2019). </w:t>
      </w:r>
      <w:r>
        <w:rPr>
          <w:rFonts w:ascii="Roboto" w:eastAsia="Roboto" w:hAnsi="Roboto" w:cs="Roboto"/>
          <w:i/>
          <w:sz w:val="20"/>
          <w:szCs w:val="20"/>
        </w:rPr>
        <w:t>Una casa como refugio. Itinerarios residenciales de las personas solicitantes d</w:t>
      </w:r>
      <w:r>
        <w:rPr>
          <w:rFonts w:ascii="Roboto" w:eastAsia="Roboto" w:hAnsi="Roboto" w:cs="Roboto"/>
          <w:i/>
          <w:sz w:val="20"/>
          <w:szCs w:val="20"/>
        </w:rPr>
        <w:t>e protección internacional en Madrid y Vigo</w:t>
      </w:r>
      <w:r>
        <w:rPr>
          <w:rFonts w:ascii="Roboto" w:eastAsia="Roboto" w:hAnsi="Roboto" w:cs="Roboto"/>
          <w:sz w:val="20"/>
          <w:szCs w:val="20"/>
        </w:rPr>
        <w:t xml:space="preserve">. Madrid: Provivienda. Disponible en: </w:t>
      </w:r>
      <w:hyperlink r:id="rId4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https://www.provivienda.org/wp-content/uploads/INFORME-CIUDADES-ACOGEDORAS-FINAL-28-OCTUBRE-LR.pdf</w:t>
        </w:r>
      </w:hyperlink>
    </w:p>
  </w:footnote>
  <w:footnote w:id="9">
    <w:p w:rsidR="00596CC7" w:rsidRDefault="008222AC">
      <w:pPr>
        <w:spacing w:line="240" w:lineRule="auto"/>
        <w:jc w:val="both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Provivienda (2021). Una casa como refugio 2: Retos para la autonomía de las personas solicitantes y beneficiarias de Protección Internacional. Madrid: Prov</w:t>
      </w:r>
      <w:r>
        <w:rPr>
          <w:rFonts w:ascii="Roboto" w:eastAsia="Roboto" w:hAnsi="Roboto" w:cs="Roboto"/>
          <w:sz w:val="18"/>
          <w:szCs w:val="18"/>
        </w:rPr>
        <w:t xml:space="preserve">ivienda. Disponible en: </w:t>
      </w:r>
      <w:hyperlink r:id="rId5"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https://www.provivienda.org/informe-una-casa-como-refugio-2/</w:t>
        </w:r>
      </w:hyperlink>
      <w:r>
        <w:rPr>
          <w:rFonts w:ascii="Roboto" w:eastAsia="Roboto" w:hAnsi="Roboto" w:cs="Roboto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900C4"/>
    <w:multiLevelType w:val="multilevel"/>
    <w:tmpl w:val="00DE8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C7"/>
    <w:rsid w:val="00596CC7"/>
    <w:rsid w:val="008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D5951-F421-4829-B3E6-2517569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proviviend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vivienda.org/informe-se-alquila-racismo-xenofobia-mercado-alquiler/" TargetMode="External"/><Relationship Id="rId2" Type="http://schemas.openxmlformats.org/officeDocument/2006/relationships/hyperlink" Target="https://www.provivienda.org/informe-la-casa-nos-enferma-3/" TargetMode="External"/><Relationship Id="rId1" Type="http://schemas.openxmlformats.org/officeDocument/2006/relationships/hyperlink" Target="https://www.google.com/url?q=https://apps.fomento.gob.es/CVP/handlers/pdfhandler.ashx?idpub%3DBAW081&amp;sa=D&amp;source=editors&amp;ust=1619535654977000&amp;usg=AOvVaw3_GK3KDtbeilm1NUYm4ZI0" TargetMode="External"/><Relationship Id="rId5" Type="http://schemas.openxmlformats.org/officeDocument/2006/relationships/hyperlink" Target="https://www.provivienda.org/informe-una-casa-como-refugio-2/" TargetMode="External"/><Relationship Id="rId4" Type="http://schemas.openxmlformats.org/officeDocument/2006/relationships/hyperlink" Target="https://www.provivienda.org/wp-content/uploads/INFORME-CIUDADES-ACOGEDORAS-FINAL-28-OCTUBRE-L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B9E571-F2FA-4E3B-AEEB-52742704151B}"/>
</file>

<file path=customXml/itemProps2.xml><?xml version="1.0" encoding="utf-8"?>
<ds:datastoreItem xmlns:ds="http://schemas.openxmlformats.org/officeDocument/2006/customXml" ds:itemID="{4E130BAD-5995-45D9-A590-549FCBBC3642}"/>
</file>

<file path=customXml/itemProps3.xml><?xml version="1.0" encoding="utf-8"?>
<ds:datastoreItem xmlns:ds="http://schemas.openxmlformats.org/officeDocument/2006/customXml" ds:itemID="{5392451D-6D0C-4B0F-93F1-62A3E52C0F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2055</Words>
  <Characters>11716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THEISSEN Gunnar</dc:creator>
  <cp:lastModifiedBy>THEISSEN Gunnar</cp:lastModifiedBy>
  <cp:revision>2</cp:revision>
  <dcterms:created xsi:type="dcterms:W3CDTF">2021-05-14T08:54:00Z</dcterms:created>
  <dcterms:modified xsi:type="dcterms:W3CDTF">2021-05-14T08:54:00Z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