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F79" w:rsidRPr="00EF7388" w:rsidRDefault="00226F79" w:rsidP="004265C2">
      <w:pPr>
        <w:spacing w:line="360" w:lineRule="auto"/>
        <w:jc w:val="center"/>
        <w:rPr>
          <w:b/>
          <w:sz w:val="24"/>
          <w:szCs w:val="24"/>
        </w:rPr>
      </w:pPr>
      <w:r w:rsidRPr="00EF7388">
        <w:rPr>
          <w:b/>
          <w:sz w:val="24"/>
          <w:szCs w:val="24"/>
        </w:rPr>
        <w:t>REPORT</w:t>
      </w:r>
      <w:r w:rsidR="00A92868" w:rsidRPr="00EF7388">
        <w:rPr>
          <w:b/>
          <w:sz w:val="24"/>
          <w:szCs w:val="24"/>
        </w:rPr>
        <w:t>S</w:t>
      </w:r>
      <w:r w:rsidRPr="00EF7388">
        <w:rPr>
          <w:b/>
          <w:sz w:val="24"/>
          <w:szCs w:val="24"/>
        </w:rPr>
        <w:t xml:space="preserve"> ON DISCRIMINATION, SEGREGATION AND THE RIGHT TO ADEQUATE HOUSING</w:t>
      </w:r>
    </w:p>
    <w:p w:rsidR="00226F79" w:rsidRPr="00EF7388" w:rsidRDefault="00226F79" w:rsidP="004265C2">
      <w:pPr>
        <w:spacing w:line="360" w:lineRule="auto"/>
        <w:jc w:val="center"/>
        <w:rPr>
          <w:bCs/>
          <w:sz w:val="24"/>
          <w:szCs w:val="24"/>
        </w:rPr>
      </w:pPr>
    </w:p>
    <w:p w:rsidR="00226F79" w:rsidRPr="00EF7388" w:rsidRDefault="00226F79" w:rsidP="004265C2">
      <w:pPr>
        <w:spacing w:line="360" w:lineRule="auto"/>
        <w:jc w:val="center"/>
        <w:rPr>
          <w:sz w:val="24"/>
          <w:szCs w:val="24"/>
        </w:rPr>
      </w:pPr>
      <w:r w:rsidRPr="00EF7388">
        <w:rPr>
          <w:bCs/>
          <w:sz w:val="24"/>
          <w:szCs w:val="24"/>
        </w:rPr>
        <w:t>QUESTIONNAIRE</w:t>
      </w:r>
    </w:p>
    <w:p w:rsidR="00226F79" w:rsidRPr="00EF7388" w:rsidRDefault="00226F79" w:rsidP="004265C2">
      <w:pPr>
        <w:spacing w:line="360" w:lineRule="auto"/>
        <w:rPr>
          <w:b/>
          <w:sz w:val="24"/>
          <w:szCs w:val="24"/>
        </w:rPr>
      </w:pPr>
    </w:p>
    <w:p w:rsidR="00A92868" w:rsidRPr="00EF7388" w:rsidRDefault="00A92868" w:rsidP="004265C2">
      <w:pPr>
        <w:spacing w:line="360" w:lineRule="auto"/>
        <w:jc w:val="both"/>
        <w:rPr>
          <w:sz w:val="24"/>
          <w:szCs w:val="24"/>
        </w:rPr>
      </w:pPr>
    </w:p>
    <w:p w:rsidR="00226F79" w:rsidRPr="00EF7388" w:rsidRDefault="00226F79" w:rsidP="004265C2">
      <w:pPr>
        <w:spacing w:line="360" w:lineRule="auto"/>
        <w:jc w:val="both"/>
        <w:rPr>
          <w:b/>
          <w:sz w:val="24"/>
          <w:szCs w:val="24"/>
          <w:u w:val="single"/>
        </w:rPr>
      </w:pPr>
      <w:r w:rsidRPr="00EF7388">
        <w:rPr>
          <w:b/>
          <w:sz w:val="24"/>
          <w:szCs w:val="24"/>
          <w:u w:val="single"/>
        </w:rPr>
        <w:t xml:space="preserve">BASIC INFORMATION </w:t>
      </w:r>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t xml:space="preserve">1. </w:t>
      </w:r>
      <w:r w:rsidRPr="00EF7388">
        <w:rPr>
          <w:b/>
          <w:sz w:val="24"/>
          <w:szCs w:val="24"/>
        </w:rPr>
        <w:t xml:space="preserve">Name of Individual, Organization, Institution, Agency or State:   </w:t>
      </w:r>
      <w:sdt>
        <w:sdtPr>
          <w:rPr>
            <w:sz w:val="24"/>
            <w:szCs w:val="24"/>
          </w:rPr>
          <w:id w:val="-219832636"/>
          <w:placeholder>
            <w:docPart w:val="8C51350C3C2E40C7B851479DE8F27FC8"/>
          </w:placeholder>
        </w:sdtPr>
        <w:sdtEndPr/>
        <w:sdtContent>
          <w:r w:rsidR="000652BE" w:rsidRPr="00851B6A">
            <w:rPr>
              <w:color w:val="1F497D" w:themeColor="text2"/>
              <w:sz w:val="24"/>
              <w:szCs w:val="24"/>
            </w:rPr>
            <w:t>South African Human Rights Commission</w:t>
          </w:r>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t>Type of Entity*</w:t>
      </w:r>
    </w:p>
    <w:p w:rsidR="00226F79" w:rsidRPr="00EF7388" w:rsidRDefault="00BA4496" w:rsidP="004265C2">
      <w:pPr>
        <w:pStyle w:val="ListParagraph"/>
        <w:spacing w:line="360" w:lineRule="auto"/>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0652BE" w:rsidRPr="00EF7388">
            <w:rPr>
              <w:rFonts w:ascii="MS Gothic" w:eastAsia="MS Gothic" w:hAnsi="MS Gothic" w:hint="eastAsia"/>
              <w:sz w:val="24"/>
              <w:szCs w:val="24"/>
            </w:rPr>
            <w:t>☐</w:t>
          </w:r>
        </w:sdtContent>
      </w:sdt>
      <w:r w:rsidR="00226F79" w:rsidRPr="00EF7388">
        <w:rPr>
          <w:rFonts w:eastAsia="MS Gothic" w:cstheme="minorHAnsi"/>
          <w:sz w:val="24"/>
          <w:szCs w:val="24"/>
        </w:rPr>
        <w:t xml:space="preserve"> National Government or federal governmental ministry/agency</w:t>
      </w:r>
    </w:p>
    <w:p w:rsidR="00226F79" w:rsidRPr="00EF7388" w:rsidRDefault="00BA4496" w:rsidP="004265C2">
      <w:pPr>
        <w:pStyle w:val="ListParagraph"/>
        <w:spacing w:line="360" w:lineRule="auto"/>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EF7388">
            <w:rPr>
              <w:rFonts w:ascii="Segoe UI Symbol" w:eastAsia="MS Gothic" w:hAnsi="Segoe UI Symbol" w:cs="Segoe UI Symbol"/>
              <w:sz w:val="24"/>
              <w:szCs w:val="24"/>
            </w:rPr>
            <w:t>☐</w:t>
          </w:r>
        </w:sdtContent>
      </w:sdt>
      <w:r w:rsidR="00226F79" w:rsidRPr="00EF7388">
        <w:rPr>
          <w:rFonts w:eastAsia="MS Gothic" w:cstheme="minorHAnsi"/>
          <w:sz w:val="24"/>
          <w:szCs w:val="24"/>
        </w:rPr>
        <w:t xml:space="preserve">  Inter-governmental organization or UN agency</w:t>
      </w:r>
    </w:p>
    <w:p w:rsidR="00226F79" w:rsidRPr="00EF7388" w:rsidRDefault="00BA4496" w:rsidP="004265C2">
      <w:pPr>
        <w:pStyle w:val="ListParagraph"/>
        <w:spacing w:line="360" w:lineRule="auto"/>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EF7388">
            <w:rPr>
              <w:rFonts w:ascii="Segoe UI Symbol" w:eastAsia="MS Gothic" w:hAnsi="Segoe UI Symbol" w:cs="Segoe UI Symbol"/>
              <w:sz w:val="24"/>
              <w:szCs w:val="24"/>
            </w:rPr>
            <w:t>☐</w:t>
          </w:r>
        </w:sdtContent>
      </w:sdt>
      <w:r w:rsidR="00226F79" w:rsidRPr="00EF7388">
        <w:rPr>
          <w:rFonts w:eastAsia="MS Gothic" w:cstheme="minorHAnsi"/>
          <w:sz w:val="24"/>
          <w:szCs w:val="24"/>
        </w:rPr>
        <w:t xml:space="preserve">  Local or regional government, agency, representative or mayor</w:t>
      </w:r>
    </w:p>
    <w:p w:rsidR="00226F79" w:rsidRPr="00EF7388" w:rsidRDefault="00BA4496" w:rsidP="004265C2">
      <w:pPr>
        <w:pStyle w:val="ListParagraph"/>
        <w:spacing w:line="360" w:lineRule="auto"/>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EF7388">
            <w:rPr>
              <w:rFonts w:ascii="Segoe UI Symbol" w:eastAsia="MS Gothic" w:hAnsi="Segoe UI Symbol" w:cs="Segoe UI Symbol"/>
              <w:sz w:val="24"/>
              <w:szCs w:val="24"/>
            </w:rPr>
            <w:t>☐</w:t>
          </w:r>
        </w:sdtContent>
      </w:sdt>
      <w:r w:rsidR="00226F79" w:rsidRPr="00EF7388">
        <w:rPr>
          <w:rFonts w:eastAsia="MS Gothic" w:cstheme="minorHAnsi"/>
          <w:sz w:val="24"/>
          <w:szCs w:val="24"/>
        </w:rPr>
        <w:t xml:space="preserve">  Association, tenant union or housing cooperative</w:t>
      </w:r>
    </w:p>
    <w:p w:rsidR="00226F79" w:rsidRPr="00EF7388" w:rsidRDefault="00BA4496" w:rsidP="004265C2">
      <w:pPr>
        <w:pStyle w:val="ListParagraph"/>
        <w:spacing w:line="360" w:lineRule="auto"/>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EF7388">
            <w:rPr>
              <w:rFonts w:ascii="Segoe UI Symbol" w:eastAsia="MS Gothic" w:hAnsi="Segoe UI Symbol" w:cs="Segoe UI Symbol"/>
              <w:sz w:val="24"/>
              <w:szCs w:val="24"/>
            </w:rPr>
            <w:t>☐</w:t>
          </w:r>
        </w:sdtContent>
      </w:sdt>
      <w:r w:rsidR="00226F79" w:rsidRPr="00EF7388">
        <w:rPr>
          <w:rFonts w:eastAsia="MS Gothic" w:cstheme="minorHAnsi"/>
          <w:sz w:val="24"/>
          <w:szCs w:val="24"/>
        </w:rPr>
        <w:t xml:space="preserve">  NGO network, umbrella organization</w:t>
      </w:r>
    </w:p>
    <w:p w:rsidR="00226F79" w:rsidRPr="00EF7388" w:rsidRDefault="00BA4496" w:rsidP="004265C2">
      <w:pPr>
        <w:pStyle w:val="ListParagraph"/>
        <w:spacing w:line="360" w:lineRule="auto"/>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EF7388">
            <w:rPr>
              <w:rFonts w:ascii="Segoe UI Symbol" w:eastAsia="MS Gothic" w:hAnsi="Segoe UI Symbol" w:cs="Segoe UI Symbol"/>
              <w:sz w:val="24"/>
              <w:szCs w:val="24"/>
            </w:rPr>
            <w:t>☐</w:t>
          </w:r>
        </w:sdtContent>
      </w:sdt>
      <w:r w:rsidR="00226F79" w:rsidRPr="00EF7388">
        <w:rPr>
          <w:rFonts w:ascii="MS Gothic" w:eastAsia="MS Gothic" w:hAnsi="MS Gothic"/>
          <w:sz w:val="24"/>
          <w:szCs w:val="24"/>
        </w:rPr>
        <w:t xml:space="preserve"> </w:t>
      </w:r>
      <w:r w:rsidR="00226F79" w:rsidRPr="00EF7388">
        <w:rPr>
          <w:sz w:val="24"/>
          <w:szCs w:val="24"/>
        </w:rPr>
        <w:t>Community-based NGO</w:t>
      </w:r>
    </w:p>
    <w:p w:rsidR="00226F79" w:rsidRPr="00EF7388" w:rsidRDefault="00BA4496" w:rsidP="004265C2">
      <w:pPr>
        <w:pStyle w:val="ListParagraph"/>
        <w:spacing w:line="360" w:lineRule="auto"/>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rFonts w:ascii="MS Gothic" w:eastAsia="MS Gothic" w:hAnsi="MS Gothic"/>
          <w:sz w:val="24"/>
          <w:szCs w:val="24"/>
        </w:rPr>
        <w:t xml:space="preserve"> </w:t>
      </w:r>
      <w:r w:rsidR="00226F79" w:rsidRPr="00EF7388">
        <w:rPr>
          <w:sz w:val="24"/>
          <w:szCs w:val="24"/>
        </w:rPr>
        <w:t>Academia</w:t>
      </w:r>
    </w:p>
    <w:p w:rsidR="00226F79" w:rsidRPr="00EF7388" w:rsidRDefault="00BA4496" w:rsidP="004265C2">
      <w:pPr>
        <w:pStyle w:val="ListParagraph"/>
        <w:spacing w:line="360" w:lineRule="auto"/>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rFonts w:ascii="MS Gothic" w:eastAsia="MS Gothic" w:hAnsi="MS Gothic"/>
          <w:sz w:val="24"/>
          <w:szCs w:val="24"/>
        </w:rPr>
        <w:t xml:space="preserve"> </w:t>
      </w:r>
      <w:r w:rsidR="00226F79" w:rsidRPr="00EF7388">
        <w:rPr>
          <w:sz w:val="24"/>
          <w:szCs w:val="24"/>
        </w:rPr>
        <w:t>Foundation</w:t>
      </w:r>
    </w:p>
    <w:p w:rsidR="00226F79" w:rsidRPr="00851B6A" w:rsidRDefault="00BA4496" w:rsidP="004265C2">
      <w:pPr>
        <w:pStyle w:val="ListParagraph"/>
        <w:spacing w:line="360" w:lineRule="auto"/>
        <w:ind w:left="567"/>
        <w:jc w:val="both"/>
        <w:rPr>
          <w:color w:val="1F497D" w:themeColor="text2"/>
          <w:sz w:val="24"/>
          <w:szCs w:val="24"/>
        </w:rPr>
      </w:pPr>
      <w:sdt>
        <w:sdtPr>
          <w:rPr>
            <w:rFonts w:ascii="MS Gothic" w:eastAsia="MS Gothic" w:hAnsi="MS Gothic"/>
            <w:color w:val="1F497D" w:themeColor="text2"/>
            <w:sz w:val="24"/>
            <w:szCs w:val="24"/>
          </w:rPr>
          <w:id w:val="1135690096"/>
          <w14:checkbox>
            <w14:checked w14:val="1"/>
            <w14:checkedState w14:val="2612" w14:font="MS Gothic"/>
            <w14:uncheckedState w14:val="2610" w14:font="MS Gothic"/>
          </w14:checkbox>
        </w:sdtPr>
        <w:sdtEndPr/>
        <w:sdtContent>
          <w:r w:rsidR="000652BE" w:rsidRPr="00851B6A">
            <w:rPr>
              <w:rFonts w:ascii="MS Gothic" w:eastAsia="MS Gothic" w:hAnsi="MS Gothic" w:hint="eastAsia"/>
              <w:color w:val="1F497D" w:themeColor="text2"/>
              <w:sz w:val="24"/>
              <w:szCs w:val="24"/>
            </w:rPr>
            <w:t>☒</w:t>
          </w:r>
        </w:sdtContent>
      </w:sdt>
      <w:r w:rsidR="00226F79" w:rsidRPr="00851B6A">
        <w:rPr>
          <w:rFonts w:ascii="MS Gothic" w:eastAsia="MS Gothic" w:hAnsi="MS Gothic"/>
          <w:color w:val="1F497D" w:themeColor="text2"/>
          <w:sz w:val="24"/>
          <w:szCs w:val="24"/>
        </w:rPr>
        <w:t xml:space="preserve"> </w:t>
      </w:r>
      <w:r w:rsidR="00226F79" w:rsidRPr="00851B6A">
        <w:rPr>
          <w:color w:val="1F497D" w:themeColor="text2"/>
          <w:sz w:val="24"/>
          <w:szCs w:val="24"/>
        </w:rPr>
        <w:t>National human rights organization, ombudsperson</w:t>
      </w:r>
    </w:p>
    <w:p w:rsidR="00226F79" w:rsidRPr="00EF7388" w:rsidRDefault="00BA4496" w:rsidP="004265C2">
      <w:pPr>
        <w:pStyle w:val="ListParagraph"/>
        <w:spacing w:line="360" w:lineRule="auto"/>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rFonts w:ascii="MS Gothic" w:eastAsia="MS Gothic" w:hAnsi="MS Gothic"/>
          <w:sz w:val="24"/>
          <w:szCs w:val="24"/>
        </w:rPr>
        <w:t xml:space="preserve"> </w:t>
      </w:r>
      <w:r w:rsidR="00226F79" w:rsidRPr="00EF7388">
        <w:rPr>
          <w:sz w:val="24"/>
          <w:szCs w:val="24"/>
        </w:rPr>
        <w:t xml:space="preserve">Real estate, urban planning or construction </w:t>
      </w:r>
    </w:p>
    <w:p w:rsidR="00226F79" w:rsidRPr="00EF7388" w:rsidRDefault="00BA4496" w:rsidP="004265C2">
      <w:pPr>
        <w:pStyle w:val="ListParagraph"/>
        <w:spacing w:line="360" w:lineRule="auto"/>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rFonts w:ascii="MS Gothic" w:eastAsia="MS Gothic" w:hAnsi="MS Gothic"/>
          <w:sz w:val="24"/>
          <w:szCs w:val="24"/>
        </w:rPr>
        <w:t xml:space="preserve"> </w:t>
      </w:r>
      <w:r w:rsidR="00226F79" w:rsidRPr="00EF7388">
        <w:rPr>
          <w:sz w:val="24"/>
          <w:szCs w:val="24"/>
        </w:rPr>
        <w:t>Real estate investor or investment fund</w:t>
      </w:r>
    </w:p>
    <w:p w:rsidR="00226F79" w:rsidRPr="00EF7388" w:rsidRDefault="00BA4496" w:rsidP="004265C2">
      <w:pPr>
        <w:pStyle w:val="ListParagraph"/>
        <w:spacing w:line="360" w:lineRule="auto"/>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rFonts w:ascii="MS Gothic" w:eastAsia="MS Gothic" w:hAnsi="MS Gothic"/>
          <w:sz w:val="24"/>
          <w:szCs w:val="24"/>
        </w:rPr>
        <w:t xml:space="preserve"> </w:t>
      </w:r>
      <w:r w:rsidR="00226F79" w:rsidRPr="00EF7388">
        <w:rPr>
          <w:sz w:val="24"/>
          <w:szCs w:val="24"/>
        </w:rPr>
        <w:t>Trade Union</w:t>
      </w:r>
    </w:p>
    <w:p w:rsidR="00226F79" w:rsidRPr="00EF7388" w:rsidRDefault="00BA4496" w:rsidP="004265C2">
      <w:pPr>
        <w:pStyle w:val="ListParagraph"/>
        <w:spacing w:line="360" w:lineRule="auto"/>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rFonts w:ascii="MS Gothic" w:eastAsia="MS Gothic" w:hAnsi="MS Gothic"/>
          <w:sz w:val="24"/>
          <w:szCs w:val="24"/>
        </w:rPr>
        <w:t xml:space="preserve"> </w:t>
      </w:r>
      <w:r w:rsidR="00226F79" w:rsidRPr="00EF7388">
        <w:rPr>
          <w:sz w:val="24"/>
          <w:szCs w:val="24"/>
        </w:rPr>
        <w:t xml:space="preserve">Other: </w:t>
      </w:r>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t>2</w:t>
      </w:r>
      <w:r w:rsidRPr="00EF7388">
        <w:rPr>
          <w:b/>
          <w:sz w:val="24"/>
          <w:szCs w:val="24"/>
        </w:rPr>
        <w:t>. Categorization of your Work</w:t>
      </w:r>
    </w:p>
    <w:p w:rsidR="00226F79" w:rsidRPr="00EF7388" w:rsidRDefault="00226F79" w:rsidP="004265C2">
      <w:pPr>
        <w:spacing w:line="360" w:lineRule="auto"/>
        <w:jc w:val="both"/>
        <w:rPr>
          <w:sz w:val="24"/>
          <w:szCs w:val="24"/>
        </w:rPr>
      </w:pPr>
      <w:r w:rsidRPr="00EF7388">
        <w:rPr>
          <w:sz w:val="24"/>
          <w:szCs w:val="24"/>
        </w:rPr>
        <w:t>Please select one or more responses, as appropriate.</w:t>
      </w:r>
    </w:p>
    <w:p w:rsidR="00226F79" w:rsidRPr="00EF7388" w:rsidRDefault="00BA4496" w:rsidP="004265C2">
      <w:pPr>
        <w:spacing w:line="360" w:lineRule="auto"/>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sz w:val="24"/>
          <w:szCs w:val="24"/>
        </w:rPr>
        <w:t>Public administration</w:t>
      </w:r>
    </w:p>
    <w:p w:rsidR="00226F79" w:rsidRPr="00851B6A" w:rsidRDefault="00BA4496" w:rsidP="004265C2">
      <w:pPr>
        <w:spacing w:line="360" w:lineRule="auto"/>
        <w:ind w:left="567"/>
        <w:jc w:val="both"/>
        <w:rPr>
          <w:color w:val="1F497D" w:themeColor="text2"/>
          <w:sz w:val="24"/>
          <w:szCs w:val="24"/>
        </w:rPr>
      </w:pPr>
      <w:sdt>
        <w:sdtPr>
          <w:rPr>
            <w:color w:val="1F497D" w:themeColor="text2"/>
            <w:sz w:val="24"/>
            <w:szCs w:val="24"/>
          </w:rPr>
          <w:id w:val="8181584"/>
          <w14:checkbox>
            <w14:checked w14:val="1"/>
            <w14:checkedState w14:val="2612" w14:font="MS Gothic"/>
            <w14:uncheckedState w14:val="2610" w14:font="MS Gothic"/>
          </w14:checkbox>
        </w:sdtPr>
        <w:sdtEndPr/>
        <w:sdtContent>
          <w:r w:rsidR="00BB735A" w:rsidRPr="00851B6A">
            <w:rPr>
              <w:rFonts w:ascii="MS Gothic" w:eastAsia="MS Gothic" w:hAnsi="MS Gothic" w:hint="eastAsia"/>
              <w:color w:val="1F497D" w:themeColor="text2"/>
              <w:sz w:val="24"/>
              <w:szCs w:val="24"/>
            </w:rPr>
            <w:t>☒</w:t>
          </w:r>
        </w:sdtContent>
      </w:sdt>
      <w:r w:rsidR="00226F79" w:rsidRPr="00851B6A">
        <w:rPr>
          <w:color w:val="1F497D" w:themeColor="text2"/>
          <w:sz w:val="24"/>
          <w:szCs w:val="24"/>
        </w:rPr>
        <w:t>Advocacy</w:t>
      </w:r>
    </w:p>
    <w:p w:rsidR="00226F79" w:rsidRPr="00EF7388" w:rsidRDefault="00BA4496" w:rsidP="004265C2">
      <w:pPr>
        <w:spacing w:line="360" w:lineRule="auto"/>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sz w:val="24"/>
          <w:szCs w:val="24"/>
        </w:rPr>
        <w:t>Funding</w:t>
      </w:r>
    </w:p>
    <w:p w:rsidR="00226F79" w:rsidRPr="00EF7388" w:rsidRDefault="00BA4496" w:rsidP="004265C2">
      <w:pPr>
        <w:spacing w:line="360" w:lineRule="auto"/>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sz w:val="24"/>
          <w:szCs w:val="24"/>
        </w:rPr>
        <w:t>Legal Assistance</w:t>
      </w:r>
    </w:p>
    <w:p w:rsidR="00226F79" w:rsidRPr="00851B6A" w:rsidRDefault="00BA4496" w:rsidP="004265C2">
      <w:pPr>
        <w:spacing w:line="360" w:lineRule="auto"/>
        <w:ind w:left="567"/>
        <w:jc w:val="both"/>
        <w:rPr>
          <w:color w:val="1F497D" w:themeColor="text2"/>
          <w:sz w:val="24"/>
          <w:szCs w:val="24"/>
        </w:rPr>
      </w:pPr>
      <w:sdt>
        <w:sdtPr>
          <w:rPr>
            <w:color w:val="1F497D" w:themeColor="text2"/>
            <w:sz w:val="24"/>
            <w:szCs w:val="24"/>
          </w:rPr>
          <w:id w:val="979044773"/>
          <w14:checkbox>
            <w14:checked w14:val="1"/>
            <w14:checkedState w14:val="2612" w14:font="MS Gothic"/>
            <w14:uncheckedState w14:val="2610" w14:font="MS Gothic"/>
          </w14:checkbox>
        </w:sdtPr>
        <w:sdtEndPr/>
        <w:sdtContent>
          <w:r w:rsidR="00BB735A" w:rsidRPr="00851B6A">
            <w:rPr>
              <w:rFonts w:ascii="MS Gothic" w:eastAsia="MS Gothic" w:hAnsi="MS Gothic" w:hint="eastAsia"/>
              <w:color w:val="1F497D" w:themeColor="text2"/>
              <w:sz w:val="24"/>
              <w:szCs w:val="24"/>
            </w:rPr>
            <w:t>☒</w:t>
          </w:r>
        </w:sdtContent>
      </w:sdt>
      <w:r w:rsidR="00226F79" w:rsidRPr="00851B6A">
        <w:rPr>
          <w:color w:val="1F497D" w:themeColor="text2"/>
          <w:sz w:val="24"/>
          <w:szCs w:val="24"/>
        </w:rPr>
        <w:t>Networking</w:t>
      </w:r>
    </w:p>
    <w:p w:rsidR="00226F79" w:rsidRPr="00851B6A" w:rsidRDefault="00BA4496" w:rsidP="004265C2">
      <w:pPr>
        <w:spacing w:line="360" w:lineRule="auto"/>
        <w:ind w:left="567"/>
        <w:jc w:val="both"/>
        <w:rPr>
          <w:color w:val="1F497D" w:themeColor="text2"/>
          <w:sz w:val="24"/>
          <w:szCs w:val="24"/>
        </w:rPr>
      </w:pPr>
      <w:sdt>
        <w:sdtPr>
          <w:rPr>
            <w:color w:val="1F497D" w:themeColor="text2"/>
            <w:sz w:val="24"/>
            <w:szCs w:val="24"/>
          </w:rPr>
          <w:id w:val="-1895807093"/>
          <w14:checkbox>
            <w14:checked w14:val="1"/>
            <w14:checkedState w14:val="2612" w14:font="MS Gothic"/>
            <w14:uncheckedState w14:val="2610" w14:font="MS Gothic"/>
          </w14:checkbox>
        </w:sdtPr>
        <w:sdtEndPr/>
        <w:sdtContent>
          <w:r w:rsidR="00BB735A" w:rsidRPr="00851B6A">
            <w:rPr>
              <w:rFonts w:ascii="MS Gothic" w:eastAsia="MS Gothic" w:hAnsi="MS Gothic" w:hint="eastAsia"/>
              <w:color w:val="1F497D" w:themeColor="text2"/>
              <w:sz w:val="24"/>
              <w:szCs w:val="24"/>
            </w:rPr>
            <w:t>☒</w:t>
          </w:r>
        </w:sdtContent>
      </w:sdt>
      <w:r w:rsidR="00226F79" w:rsidRPr="00851B6A">
        <w:rPr>
          <w:color w:val="1F497D" w:themeColor="text2"/>
          <w:sz w:val="24"/>
          <w:szCs w:val="24"/>
        </w:rPr>
        <w:t>Policy</w:t>
      </w:r>
    </w:p>
    <w:p w:rsidR="00226F79" w:rsidRPr="00851B6A" w:rsidRDefault="00BA4496" w:rsidP="004265C2">
      <w:pPr>
        <w:spacing w:line="360" w:lineRule="auto"/>
        <w:ind w:left="567"/>
        <w:jc w:val="both"/>
        <w:rPr>
          <w:color w:val="1F497D" w:themeColor="text2"/>
          <w:sz w:val="24"/>
          <w:szCs w:val="24"/>
        </w:rPr>
      </w:pPr>
      <w:sdt>
        <w:sdtPr>
          <w:rPr>
            <w:color w:val="1F497D" w:themeColor="text2"/>
            <w:sz w:val="24"/>
            <w:szCs w:val="24"/>
          </w:rPr>
          <w:id w:val="-1431660576"/>
          <w14:checkbox>
            <w14:checked w14:val="1"/>
            <w14:checkedState w14:val="2612" w14:font="MS Gothic"/>
            <w14:uncheckedState w14:val="2610" w14:font="MS Gothic"/>
          </w14:checkbox>
        </w:sdtPr>
        <w:sdtEndPr/>
        <w:sdtContent>
          <w:r w:rsidR="00BB735A" w:rsidRPr="00851B6A">
            <w:rPr>
              <w:rFonts w:ascii="MS Gothic" w:eastAsia="MS Gothic" w:hAnsi="MS Gothic" w:hint="eastAsia"/>
              <w:color w:val="1F497D" w:themeColor="text2"/>
              <w:sz w:val="24"/>
              <w:szCs w:val="24"/>
            </w:rPr>
            <w:t>☒</w:t>
          </w:r>
        </w:sdtContent>
      </w:sdt>
      <w:r w:rsidR="00226F79" w:rsidRPr="00851B6A">
        <w:rPr>
          <w:color w:val="1F497D" w:themeColor="text2"/>
          <w:sz w:val="24"/>
          <w:szCs w:val="24"/>
        </w:rPr>
        <w:t>Research</w:t>
      </w:r>
    </w:p>
    <w:p w:rsidR="00226F79" w:rsidRPr="00EF7388" w:rsidRDefault="00BA4496" w:rsidP="004265C2">
      <w:pPr>
        <w:spacing w:line="360" w:lineRule="auto"/>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sz w:val="24"/>
          <w:szCs w:val="24"/>
        </w:rPr>
        <w:t>Technical Assistance</w:t>
      </w:r>
    </w:p>
    <w:p w:rsidR="00226F79" w:rsidRPr="00851B6A" w:rsidRDefault="00BA4496" w:rsidP="004265C2">
      <w:pPr>
        <w:spacing w:line="360" w:lineRule="auto"/>
        <w:ind w:left="567"/>
        <w:jc w:val="both"/>
        <w:rPr>
          <w:color w:val="1F497D" w:themeColor="text2"/>
          <w:sz w:val="24"/>
          <w:szCs w:val="24"/>
        </w:rPr>
      </w:pPr>
      <w:sdt>
        <w:sdtPr>
          <w:rPr>
            <w:color w:val="1F497D" w:themeColor="text2"/>
            <w:sz w:val="24"/>
            <w:szCs w:val="24"/>
          </w:rPr>
          <w:id w:val="1814833555"/>
          <w14:checkbox>
            <w14:checked w14:val="1"/>
            <w14:checkedState w14:val="2612" w14:font="MS Gothic"/>
            <w14:uncheckedState w14:val="2610" w14:font="MS Gothic"/>
          </w14:checkbox>
        </w:sdtPr>
        <w:sdtEndPr/>
        <w:sdtContent>
          <w:r w:rsidR="00BB735A" w:rsidRPr="00851B6A">
            <w:rPr>
              <w:rFonts w:ascii="MS Gothic" w:eastAsia="MS Gothic" w:hAnsi="MS Gothic" w:hint="eastAsia"/>
              <w:color w:val="1F497D" w:themeColor="text2"/>
              <w:sz w:val="24"/>
              <w:szCs w:val="24"/>
            </w:rPr>
            <w:t>☒</w:t>
          </w:r>
        </w:sdtContent>
      </w:sdt>
      <w:r w:rsidR="00226F79" w:rsidRPr="00851B6A">
        <w:rPr>
          <w:color w:val="1F497D" w:themeColor="text2"/>
          <w:sz w:val="24"/>
          <w:szCs w:val="24"/>
        </w:rPr>
        <w:t>Training</w:t>
      </w:r>
    </w:p>
    <w:p w:rsidR="00226F79" w:rsidRPr="00EF7388" w:rsidRDefault="00BA4496" w:rsidP="004265C2">
      <w:pPr>
        <w:spacing w:line="360" w:lineRule="auto"/>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sz w:val="24"/>
          <w:szCs w:val="24"/>
        </w:rPr>
        <w:t>N/A</w:t>
      </w:r>
    </w:p>
    <w:p w:rsidR="00226F79" w:rsidRPr="00EF7388" w:rsidRDefault="00BA4496" w:rsidP="004265C2">
      <w:pPr>
        <w:spacing w:line="360" w:lineRule="auto"/>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EF7388">
            <w:rPr>
              <w:rFonts w:ascii="MS Gothic" w:eastAsia="MS Gothic" w:hAnsi="MS Gothic" w:hint="eastAsia"/>
              <w:sz w:val="24"/>
              <w:szCs w:val="24"/>
            </w:rPr>
            <w:t>☐</w:t>
          </w:r>
        </w:sdtContent>
      </w:sdt>
      <w:r w:rsidR="00226F79" w:rsidRPr="00EF7388">
        <w:rPr>
          <w:sz w:val="24"/>
          <w:szCs w:val="24"/>
        </w:rPr>
        <w:t xml:space="preserve">Other: </w:t>
      </w:r>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lastRenderedPageBreak/>
        <w:t xml:space="preserve">3. </w:t>
      </w:r>
      <w:r w:rsidRPr="00EF7388">
        <w:rPr>
          <w:b/>
          <w:sz w:val="24"/>
          <w:szCs w:val="24"/>
        </w:rPr>
        <w:t>City/Town</w:t>
      </w:r>
      <w:r w:rsidRPr="00EF7388">
        <w:rPr>
          <w:sz w:val="24"/>
          <w:szCs w:val="24"/>
        </w:rPr>
        <w:t xml:space="preserve">: </w:t>
      </w:r>
      <w:sdt>
        <w:sdtPr>
          <w:rPr>
            <w:color w:val="1F497D" w:themeColor="text2"/>
            <w:sz w:val="24"/>
            <w:szCs w:val="24"/>
          </w:rPr>
          <w:id w:val="-2124614724"/>
          <w:placeholder>
            <w:docPart w:val="8C51350C3C2E40C7B851479DE8F27FC8"/>
          </w:placeholder>
        </w:sdtPr>
        <w:sdtEndPr/>
        <w:sdtContent>
          <w:r w:rsidR="00063A36" w:rsidRPr="000B60CD">
            <w:rPr>
              <w:color w:val="1F497D" w:themeColor="text2"/>
              <w:sz w:val="24"/>
              <w:szCs w:val="24"/>
            </w:rPr>
            <w:t>The SAHRC has offices in all the 9 Provinces of South Africa</w:t>
          </w:r>
        </w:sdtContent>
      </w:sdt>
      <w:r w:rsidRPr="000B60CD">
        <w:rPr>
          <w:color w:val="1F497D" w:themeColor="text2"/>
          <w:sz w:val="24"/>
          <w:szCs w:val="24"/>
        </w:rPr>
        <w:t xml:space="preserve"> </w:t>
      </w:r>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t xml:space="preserve">4. </w:t>
      </w:r>
      <w:r w:rsidRPr="00EF7388">
        <w:rPr>
          <w:b/>
          <w:sz w:val="24"/>
          <w:szCs w:val="24"/>
        </w:rPr>
        <w:t>State/Province</w:t>
      </w:r>
      <w:r w:rsidRPr="00EF7388">
        <w:rPr>
          <w:sz w:val="24"/>
          <w:szCs w:val="24"/>
        </w:rPr>
        <w:t xml:space="preserve">: </w:t>
      </w:r>
      <w:sdt>
        <w:sdtPr>
          <w:rPr>
            <w:sz w:val="24"/>
            <w:szCs w:val="24"/>
          </w:rPr>
          <w:id w:val="1607307630"/>
          <w:placeholder>
            <w:docPart w:val="8C51350C3C2E40C7B851479DE8F27FC8"/>
          </w:placeholder>
        </w:sdtPr>
        <w:sdtEndPr/>
        <w:sdtContent>
          <w:r w:rsidR="00063A36" w:rsidRPr="000B60CD">
            <w:rPr>
              <w:color w:val="1F497D" w:themeColor="text2"/>
              <w:sz w:val="24"/>
              <w:szCs w:val="24"/>
            </w:rPr>
            <w:t xml:space="preserve">The Provinces are Eastern Cape, Free State, Gauteng, KwaZulu Natal, Limpopo, Mpumalanga, Northern Cape, North West and Western Cape </w:t>
          </w:r>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t xml:space="preserve">5. </w:t>
      </w:r>
      <w:r w:rsidRPr="00EF7388">
        <w:rPr>
          <w:b/>
          <w:sz w:val="24"/>
          <w:szCs w:val="24"/>
        </w:rPr>
        <w:t>Country (please indicate your region or “international” if focus the work of your organization covers multiple countries);</w:t>
      </w:r>
      <w:r w:rsidRPr="00EF7388">
        <w:rPr>
          <w:sz w:val="24"/>
          <w:szCs w:val="24"/>
        </w:rPr>
        <w:t xml:space="preserve"> </w:t>
      </w:r>
      <w:sdt>
        <w:sdtPr>
          <w:rPr>
            <w:sz w:val="24"/>
            <w:szCs w:val="24"/>
          </w:rPr>
          <w:id w:val="97685920"/>
          <w:placeholder>
            <w:docPart w:val="8C51350C3C2E40C7B851479DE8F27FC8"/>
          </w:placeholder>
        </w:sdtPr>
        <w:sdtEndPr/>
        <w:sdtContent>
          <w:r w:rsidR="000652BE" w:rsidRPr="000B60CD">
            <w:rPr>
              <w:color w:val="1F497D" w:themeColor="text2"/>
              <w:sz w:val="24"/>
              <w:szCs w:val="24"/>
            </w:rPr>
            <w:t>South Africa</w:t>
          </w:r>
        </w:sdtContent>
      </w:sdt>
    </w:p>
    <w:p w:rsidR="00226F79" w:rsidRPr="00EF7388" w:rsidRDefault="00226F79" w:rsidP="004265C2">
      <w:pPr>
        <w:spacing w:line="360" w:lineRule="auto"/>
        <w:jc w:val="both"/>
        <w:rPr>
          <w:sz w:val="24"/>
          <w:szCs w:val="24"/>
        </w:rPr>
      </w:pPr>
    </w:p>
    <w:p w:rsidR="00226F79" w:rsidRPr="00851B6A" w:rsidRDefault="00226F79" w:rsidP="004265C2">
      <w:pPr>
        <w:spacing w:line="360" w:lineRule="auto"/>
        <w:jc w:val="both"/>
        <w:rPr>
          <w:color w:val="1F497D" w:themeColor="text2"/>
          <w:sz w:val="24"/>
          <w:szCs w:val="24"/>
        </w:rPr>
      </w:pPr>
      <w:r w:rsidRPr="00EF7388">
        <w:rPr>
          <w:sz w:val="24"/>
          <w:szCs w:val="24"/>
        </w:rPr>
        <w:t xml:space="preserve">6. </w:t>
      </w:r>
      <w:r w:rsidRPr="00EF7388">
        <w:rPr>
          <w:b/>
          <w:sz w:val="24"/>
          <w:szCs w:val="24"/>
        </w:rPr>
        <w:t>Contact e-mail (will remain confidential) in case we have questions:</w:t>
      </w:r>
      <w:r w:rsidRPr="00EF7388">
        <w:rPr>
          <w:sz w:val="24"/>
          <w:szCs w:val="24"/>
        </w:rPr>
        <w:t xml:space="preserve">  </w:t>
      </w:r>
      <w:sdt>
        <w:sdtPr>
          <w:rPr>
            <w:color w:val="1F497D" w:themeColor="text2"/>
            <w:sz w:val="24"/>
            <w:szCs w:val="24"/>
          </w:rPr>
          <w:id w:val="736523558"/>
          <w:placeholder>
            <w:docPart w:val="8C51350C3C2E40C7B851479DE8F27FC8"/>
          </w:placeholder>
          <w:showingPlcHdr/>
        </w:sdtPr>
        <w:sdtEndPr/>
        <w:sdtContent>
          <w:bookmarkStart w:id="0" w:name="_GoBack"/>
          <w:r w:rsidR="00A54EEC" w:rsidRPr="00F50928">
            <w:rPr>
              <w:rStyle w:val="PlaceholderText"/>
            </w:rPr>
            <w:t>Click here to enter text.</w:t>
          </w:r>
          <w:bookmarkEnd w:id="0"/>
        </w:sdtContent>
      </w:sdt>
    </w:p>
    <w:p w:rsidR="00226F79" w:rsidRPr="00851B6A" w:rsidRDefault="00226F79" w:rsidP="004265C2">
      <w:pPr>
        <w:spacing w:line="360" w:lineRule="auto"/>
        <w:rPr>
          <w:color w:val="1F497D" w:themeColor="text2"/>
          <w:sz w:val="24"/>
          <w:szCs w:val="24"/>
        </w:rPr>
      </w:pPr>
      <w:r w:rsidRPr="00851B6A">
        <w:rPr>
          <w:color w:val="1F497D" w:themeColor="text2"/>
          <w:sz w:val="24"/>
          <w:szCs w:val="24"/>
        </w:rPr>
        <w:br w:type="page"/>
      </w:r>
    </w:p>
    <w:p w:rsidR="00226F79" w:rsidRPr="00EF7388" w:rsidRDefault="00226F79" w:rsidP="004265C2">
      <w:pPr>
        <w:spacing w:line="360" w:lineRule="auto"/>
        <w:jc w:val="both"/>
        <w:rPr>
          <w:b/>
          <w:sz w:val="24"/>
          <w:szCs w:val="24"/>
          <w:u w:val="single"/>
        </w:rPr>
      </w:pPr>
      <w:r w:rsidRPr="00EF7388">
        <w:rPr>
          <w:b/>
          <w:sz w:val="24"/>
          <w:szCs w:val="24"/>
          <w:u w:val="single"/>
        </w:rPr>
        <w:lastRenderedPageBreak/>
        <w:t>HOUSING DISCRIMINATION</w:t>
      </w:r>
    </w:p>
    <w:p w:rsidR="00226F79" w:rsidRPr="00EF7388" w:rsidRDefault="00226F79" w:rsidP="004265C2">
      <w:pPr>
        <w:spacing w:line="360" w:lineRule="auto"/>
        <w:jc w:val="both"/>
        <w:rPr>
          <w:sz w:val="24"/>
          <w:szCs w:val="24"/>
          <w:u w:val="single"/>
        </w:rPr>
      </w:pPr>
    </w:p>
    <w:p w:rsidR="00226F79" w:rsidRPr="00EF7388" w:rsidRDefault="00226F79" w:rsidP="004265C2">
      <w:pPr>
        <w:spacing w:line="360" w:lineRule="auto"/>
        <w:jc w:val="both"/>
        <w:rPr>
          <w:sz w:val="24"/>
          <w:szCs w:val="24"/>
        </w:rPr>
      </w:pPr>
      <w:r w:rsidRPr="00EF7388">
        <w:rPr>
          <w:sz w:val="24"/>
          <w:szCs w:val="24"/>
        </w:rPr>
        <w:t>7.</w:t>
      </w:r>
      <w:r w:rsidRPr="00EF7388">
        <w:rPr>
          <w:b/>
          <w:sz w:val="24"/>
          <w:szCs w:val="24"/>
        </w:rPr>
        <w:t xml:space="preserve">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226F79" w:rsidRPr="00EF7388" w:rsidRDefault="00226F79" w:rsidP="004265C2">
      <w:pPr>
        <w:spacing w:line="360" w:lineRule="auto"/>
        <w:jc w:val="both"/>
        <w:rPr>
          <w:sz w:val="24"/>
          <w:szCs w:val="24"/>
        </w:rPr>
      </w:pPr>
    </w:p>
    <w:p w:rsidR="00226F79" w:rsidRPr="00EF7388" w:rsidRDefault="00226F79" w:rsidP="004265C2">
      <w:pPr>
        <w:pStyle w:val="ListParagraph"/>
        <w:numPr>
          <w:ilvl w:val="0"/>
          <w:numId w:val="1"/>
        </w:numPr>
        <w:spacing w:line="360" w:lineRule="auto"/>
        <w:jc w:val="both"/>
        <w:rPr>
          <w:sz w:val="24"/>
          <w:szCs w:val="24"/>
        </w:rPr>
      </w:pPr>
      <w:r w:rsidRPr="00EF7388">
        <w:rPr>
          <w:sz w:val="24"/>
          <w:szCs w:val="24"/>
        </w:rPr>
        <w:t xml:space="preserve">People of African Descent, or Roma </w:t>
      </w:r>
    </w:p>
    <w:p w:rsidR="00226F79" w:rsidRPr="00EF7388" w:rsidRDefault="00226F79" w:rsidP="004265C2">
      <w:pPr>
        <w:pStyle w:val="ListParagraph"/>
        <w:numPr>
          <w:ilvl w:val="0"/>
          <w:numId w:val="1"/>
        </w:numPr>
        <w:spacing w:line="360" w:lineRule="auto"/>
        <w:jc w:val="both"/>
        <w:rPr>
          <w:sz w:val="24"/>
          <w:szCs w:val="24"/>
        </w:rPr>
      </w:pPr>
      <w:r w:rsidRPr="00EF7388">
        <w:rPr>
          <w:sz w:val="24"/>
          <w:szCs w:val="24"/>
        </w:rPr>
        <w:t>Racial, caste, ethnic, religious groups/minorities or other groups</w:t>
      </w:r>
    </w:p>
    <w:p w:rsidR="00226F79" w:rsidRPr="00EF7388" w:rsidRDefault="00226F79" w:rsidP="004265C2">
      <w:pPr>
        <w:pStyle w:val="ListParagraph"/>
        <w:numPr>
          <w:ilvl w:val="0"/>
          <w:numId w:val="1"/>
        </w:numPr>
        <w:spacing w:line="360" w:lineRule="auto"/>
        <w:jc w:val="both"/>
        <w:rPr>
          <w:sz w:val="24"/>
          <w:szCs w:val="24"/>
        </w:rPr>
      </w:pPr>
      <w:r w:rsidRPr="00EF7388">
        <w:rPr>
          <w:sz w:val="24"/>
          <w:szCs w:val="24"/>
        </w:rPr>
        <w:t xml:space="preserve">Migrants, foreigners, refugees, internally displaced persons </w:t>
      </w:r>
    </w:p>
    <w:p w:rsidR="00226F79" w:rsidRPr="00EF7388" w:rsidRDefault="00226F79" w:rsidP="004265C2">
      <w:pPr>
        <w:pStyle w:val="ListParagraph"/>
        <w:numPr>
          <w:ilvl w:val="0"/>
          <w:numId w:val="1"/>
        </w:numPr>
        <w:spacing w:line="360" w:lineRule="auto"/>
        <w:jc w:val="both"/>
        <w:rPr>
          <w:sz w:val="24"/>
          <w:szCs w:val="24"/>
        </w:rPr>
      </w:pPr>
      <w:r w:rsidRPr="00EF7388">
        <w:rPr>
          <w:sz w:val="24"/>
          <w:szCs w:val="24"/>
        </w:rPr>
        <w:t xml:space="preserve">Women, children or older persons </w:t>
      </w:r>
    </w:p>
    <w:p w:rsidR="00226F79" w:rsidRPr="00EF7388" w:rsidRDefault="00226F79" w:rsidP="004265C2">
      <w:pPr>
        <w:pStyle w:val="ListParagraph"/>
        <w:numPr>
          <w:ilvl w:val="0"/>
          <w:numId w:val="1"/>
        </w:numPr>
        <w:spacing w:line="360" w:lineRule="auto"/>
        <w:jc w:val="both"/>
        <w:rPr>
          <w:sz w:val="24"/>
          <w:szCs w:val="24"/>
        </w:rPr>
      </w:pPr>
      <w:r w:rsidRPr="00EF7388">
        <w:rPr>
          <w:sz w:val="24"/>
          <w:szCs w:val="24"/>
        </w:rPr>
        <w:t>Indigenous peoples</w:t>
      </w:r>
    </w:p>
    <w:p w:rsidR="00226F79" w:rsidRPr="00EF7388" w:rsidRDefault="00226F79" w:rsidP="004265C2">
      <w:pPr>
        <w:pStyle w:val="ListParagraph"/>
        <w:numPr>
          <w:ilvl w:val="0"/>
          <w:numId w:val="1"/>
        </w:numPr>
        <w:spacing w:line="360" w:lineRule="auto"/>
        <w:jc w:val="both"/>
        <w:rPr>
          <w:sz w:val="24"/>
          <w:szCs w:val="24"/>
        </w:rPr>
      </w:pPr>
      <w:r w:rsidRPr="00EF7388">
        <w:rPr>
          <w:sz w:val="24"/>
          <w:szCs w:val="24"/>
        </w:rPr>
        <w:t xml:space="preserve">Persons with disabilities </w:t>
      </w:r>
    </w:p>
    <w:p w:rsidR="00226F79" w:rsidRPr="00EF7388" w:rsidRDefault="00226F79" w:rsidP="004265C2">
      <w:pPr>
        <w:pStyle w:val="ListParagraph"/>
        <w:numPr>
          <w:ilvl w:val="0"/>
          <w:numId w:val="1"/>
        </w:numPr>
        <w:spacing w:line="360" w:lineRule="auto"/>
        <w:jc w:val="both"/>
        <w:rPr>
          <w:sz w:val="24"/>
          <w:szCs w:val="24"/>
        </w:rPr>
      </w:pPr>
      <w:r w:rsidRPr="00EF7388">
        <w:rPr>
          <w:sz w:val="24"/>
          <w:szCs w:val="24"/>
        </w:rPr>
        <w:t xml:space="preserve">LGBTQ persons </w:t>
      </w:r>
    </w:p>
    <w:p w:rsidR="00226F79" w:rsidRPr="00EF7388" w:rsidRDefault="00226F79" w:rsidP="004265C2">
      <w:pPr>
        <w:pStyle w:val="ListParagraph"/>
        <w:numPr>
          <w:ilvl w:val="0"/>
          <w:numId w:val="1"/>
        </w:numPr>
        <w:spacing w:line="360" w:lineRule="auto"/>
        <w:jc w:val="both"/>
        <w:rPr>
          <w:sz w:val="24"/>
          <w:szCs w:val="24"/>
        </w:rPr>
      </w:pPr>
      <w:r w:rsidRPr="00EF7388">
        <w:rPr>
          <w:sz w:val="24"/>
          <w:szCs w:val="24"/>
        </w:rPr>
        <w:t xml:space="preserve">Low income persons, including people living in poverty </w:t>
      </w:r>
    </w:p>
    <w:p w:rsidR="00226F79" w:rsidRPr="00EF7388" w:rsidRDefault="00226F79" w:rsidP="004265C2">
      <w:pPr>
        <w:pStyle w:val="ListParagraph"/>
        <w:numPr>
          <w:ilvl w:val="0"/>
          <w:numId w:val="1"/>
        </w:numPr>
        <w:spacing w:line="360" w:lineRule="auto"/>
        <w:jc w:val="both"/>
        <w:rPr>
          <w:sz w:val="24"/>
          <w:szCs w:val="24"/>
        </w:rPr>
      </w:pPr>
      <w:r w:rsidRPr="00EF7388">
        <w:rPr>
          <w:sz w:val="24"/>
          <w:szCs w:val="24"/>
        </w:rPr>
        <w:t>Residents of informal settlements; persons experiencing homelessness</w:t>
      </w:r>
    </w:p>
    <w:p w:rsidR="00226F79" w:rsidRPr="00EF7388" w:rsidRDefault="00226F79" w:rsidP="004265C2">
      <w:pPr>
        <w:pStyle w:val="ListParagraph"/>
        <w:numPr>
          <w:ilvl w:val="0"/>
          <w:numId w:val="1"/>
        </w:numPr>
        <w:spacing w:line="360" w:lineRule="auto"/>
        <w:jc w:val="both"/>
        <w:rPr>
          <w:sz w:val="24"/>
          <w:szCs w:val="24"/>
        </w:rPr>
      </w:pPr>
      <w:r w:rsidRPr="00EF7388">
        <w:rPr>
          <w:sz w:val="24"/>
          <w:szCs w:val="24"/>
        </w:rPr>
        <w:t>Other social groups, please specify</w:t>
      </w:r>
    </w:p>
    <w:p w:rsidR="00226F79" w:rsidRPr="00EF7388" w:rsidRDefault="00226F79" w:rsidP="004265C2">
      <w:pPr>
        <w:spacing w:line="360" w:lineRule="auto"/>
        <w:jc w:val="both"/>
        <w:rPr>
          <w:sz w:val="24"/>
          <w:szCs w:val="24"/>
        </w:rPr>
      </w:pPr>
    </w:p>
    <w:sdt>
      <w:sdtPr>
        <w:rPr>
          <w:sz w:val="24"/>
          <w:szCs w:val="24"/>
        </w:rPr>
        <w:id w:val="726886835"/>
        <w:placeholder>
          <w:docPart w:val="8C51350C3C2E40C7B851479DE8F27FC8"/>
        </w:placeholder>
      </w:sdtPr>
      <w:sdtEndPr/>
      <w:sdtContent>
        <w:p w:rsidR="008970F7" w:rsidRPr="000B60CD" w:rsidRDefault="002871B4" w:rsidP="004265C2">
          <w:pPr>
            <w:spacing w:line="360" w:lineRule="auto"/>
            <w:jc w:val="both"/>
            <w:rPr>
              <w:color w:val="1F497D" w:themeColor="text2"/>
              <w:sz w:val="24"/>
              <w:szCs w:val="24"/>
            </w:rPr>
          </w:pPr>
          <w:r w:rsidRPr="000B60CD">
            <w:rPr>
              <w:color w:val="1F497D" w:themeColor="text2"/>
              <w:sz w:val="24"/>
              <w:szCs w:val="24"/>
            </w:rPr>
            <w:t xml:space="preserve">The existing legal barriers towards the equal enjoyment of the right to adequate housing in South Africa operate on numerous levels. There are various barriers to accessing the </w:t>
          </w:r>
          <w:r w:rsidRPr="000B60CD">
            <w:rPr>
              <w:color w:val="1F497D" w:themeColor="text2"/>
              <w:sz w:val="24"/>
              <w:szCs w:val="24"/>
            </w:rPr>
            <w:lastRenderedPageBreak/>
            <w:t xml:space="preserve">right to adequate housing namely, the housing market requires one to be formally employed before accessing rental housing as well as when accessing housing finance. South Africa has an unemployment rate </w:t>
          </w:r>
          <w:r w:rsidR="00D5621F" w:rsidRPr="000B60CD">
            <w:rPr>
              <w:color w:val="1F497D" w:themeColor="text2"/>
              <w:sz w:val="24"/>
              <w:szCs w:val="24"/>
            </w:rPr>
            <w:t>of 32.5% and 18.3% of people who are employed work in the informal sector.</w:t>
          </w:r>
          <w:r w:rsidR="00D5621F" w:rsidRPr="000B60CD">
            <w:rPr>
              <w:rStyle w:val="FootnoteReference"/>
              <w:color w:val="1F497D" w:themeColor="text2"/>
              <w:sz w:val="24"/>
              <w:szCs w:val="24"/>
            </w:rPr>
            <w:footnoteReference w:id="1"/>
          </w:r>
          <w:r w:rsidR="00D5621F" w:rsidRPr="000B60CD">
            <w:rPr>
              <w:color w:val="1F497D" w:themeColor="text2"/>
              <w:sz w:val="24"/>
              <w:szCs w:val="24"/>
            </w:rPr>
            <w:t xml:space="preserve"> People who are unemployed </w:t>
          </w:r>
          <w:r w:rsidR="00E51033" w:rsidRPr="000B60CD">
            <w:rPr>
              <w:color w:val="1F497D" w:themeColor="text2"/>
              <w:sz w:val="24"/>
              <w:szCs w:val="24"/>
            </w:rPr>
            <w:t>or informally employed experience barriers to accessing adequate housing because of their inability to prove their income. For these people, the only option then becomes the informal housing market</w:t>
          </w:r>
          <w:r w:rsidR="004A418C" w:rsidRPr="000B60CD">
            <w:rPr>
              <w:color w:val="1F497D" w:themeColor="text2"/>
              <w:sz w:val="24"/>
              <w:szCs w:val="24"/>
            </w:rPr>
            <w:t>,</w:t>
          </w:r>
          <w:r w:rsidR="00E51033" w:rsidRPr="000B60CD">
            <w:rPr>
              <w:color w:val="1F497D" w:themeColor="text2"/>
              <w:sz w:val="24"/>
              <w:szCs w:val="24"/>
            </w:rPr>
            <w:t xml:space="preserve"> which is usually unsecured housing which may lead to eviction</w:t>
          </w:r>
          <w:r w:rsidR="008970F7" w:rsidRPr="000B60CD">
            <w:rPr>
              <w:color w:val="1F497D" w:themeColor="text2"/>
              <w:sz w:val="24"/>
              <w:szCs w:val="24"/>
            </w:rPr>
            <w:t>. Low income households may have access to state-subsidised housing, but the waiting lists are lengthy and there is a lack of transparency around how houses are allocated.</w:t>
          </w:r>
        </w:p>
        <w:p w:rsidR="00D62C4C" w:rsidRPr="000B60CD" w:rsidRDefault="008970F7" w:rsidP="004265C2">
          <w:pPr>
            <w:spacing w:line="360" w:lineRule="auto"/>
            <w:jc w:val="both"/>
            <w:rPr>
              <w:color w:val="1F497D" w:themeColor="text2"/>
              <w:sz w:val="24"/>
              <w:szCs w:val="24"/>
            </w:rPr>
          </w:pPr>
          <w:r w:rsidRPr="000B60CD">
            <w:rPr>
              <w:color w:val="1F497D" w:themeColor="text2"/>
              <w:sz w:val="24"/>
              <w:szCs w:val="24"/>
            </w:rPr>
            <w:t xml:space="preserve"> </w:t>
          </w:r>
        </w:p>
        <w:p w:rsidR="00371A27" w:rsidRPr="000B60CD" w:rsidRDefault="008970F7" w:rsidP="008970F7">
          <w:pPr>
            <w:spacing w:line="360" w:lineRule="auto"/>
            <w:jc w:val="both"/>
            <w:rPr>
              <w:color w:val="1F497D" w:themeColor="text2"/>
              <w:sz w:val="24"/>
              <w:szCs w:val="24"/>
            </w:rPr>
          </w:pPr>
          <w:r w:rsidRPr="000B60CD">
            <w:rPr>
              <w:color w:val="1F497D" w:themeColor="text2"/>
              <w:sz w:val="24"/>
              <w:szCs w:val="24"/>
            </w:rPr>
            <w:t xml:space="preserve">Approximately, </w:t>
          </w:r>
          <w:r w:rsidR="001B3A1F" w:rsidRPr="000B60CD">
            <w:rPr>
              <w:color w:val="1F497D" w:themeColor="text2"/>
              <w:sz w:val="24"/>
              <w:szCs w:val="24"/>
            </w:rPr>
            <w:t>38% of South Africa</w:t>
          </w:r>
          <w:r w:rsidRPr="000B60CD">
            <w:rPr>
              <w:color w:val="1F497D" w:themeColor="text2"/>
              <w:sz w:val="24"/>
              <w:szCs w:val="24"/>
            </w:rPr>
            <w:t>ns</w:t>
          </w:r>
          <w:r w:rsidR="001B3A1F" w:rsidRPr="000B60CD">
            <w:rPr>
              <w:color w:val="1F497D" w:themeColor="text2"/>
              <w:sz w:val="24"/>
              <w:szCs w:val="24"/>
            </w:rPr>
            <w:t xml:space="preserve"> live in poverty</w:t>
          </w:r>
          <w:r w:rsidR="000E4AD1" w:rsidRPr="000B60CD">
            <w:rPr>
              <w:color w:val="1F497D" w:themeColor="text2"/>
              <w:sz w:val="24"/>
              <w:szCs w:val="24"/>
            </w:rPr>
            <w:t xml:space="preserve"> and are unemployed, when these people do not meet the requirements for a house built by government (namely living with a partner or having financial dependents) their options for housing are severely limited. They have to live in temporary shelters </w:t>
          </w:r>
          <w:r w:rsidR="00D62C4C" w:rsidRPr="000B60CD">
            <w:rPr>
              <w:color w:val="1F497D" w:themeColor="text2"/>
              <w:sz w:val="24"/>
              <w:szCs w:val="24"/>
            </w:rPr>
            <w:t xml:space="preserve">(which often include risks to health and safety) </w:t>
          </w:r>
          <w:r w:rsidR="000E4AD1" w:rsidRPr="000B60CD">
            <w:rPr>
              <w:color w:val="1F497D" w:themeColor="text2"/>
              <w:sz w:val="24"/>
              <w:szCs w:val="24"/>
            </w:rPr>
            <w:t xml:space="preserve">or become homeless. </w:t>
          </w:r>
          <w:r w:rsidR="00D62C4C" w:rsidRPr="000B60CD">
            <w:rPr>
              <w:color w:val="1F497D" w:themeColor="text2"/>
              <w:sz w:val="24"/>
              <w:szCs w:val="24"/>
            </w:rPr>
            <w:t>An independent investigation on a temporary shelter for the homeless conducted by Medecins Sans Frontieres</w:t>
          </w:r>
          <w:r w:rsidRPr="000B60CD">
            <w:rPr>
              <w:color w:val="1F497D" w:themeColor="text2"/>
              <w:sz w:val="24"/>
              <w:szCs w:val="24"/>
            </w:rPr>
            <w:t xml:space="preserve"> (Doctors Without Borders)</w:t>
          </w:r>
          <w:r w:rsidR="00D62C4C" w:rsidRPr="000B60CD">
            <w:rPr>
              <w:color w:val="1F497D" w:themeColor="text2"/>
              <w:sz w:val="24"/>
              <w:szCs w:val="24"/>
            </w:rPr>
            <w:t xml:space="preserve"> for the South African </w:t>
          </w:r>
          <w:r w:rsidR="00D62C4C" w:rsidRPr="000B60CD">
            <w:rPr>
              <w:color w:val="1F497D" w:themeColor="text2"/>
              <w:sz w:val="24"/>
              <w:szCs w:val="24"/>
            </w:rPr>
            <w:lastRenderedPageBreak/>
            <w:t>Human Rights Commission found concerning trends including lack of education on hygiene, soiled communal toilets, interruption to their treatment of chronic disease and insufficient treatment of drug withdrawal symptoms.</w:t>
          </w:r>
          <w:r w:rsidR="00D62C4C" w:rsidRPr="000B60CD">
            <w:rPr>
              <w:rStyle w:val="FootnoteReference"/>
              <w:color w:val="1F497D" w:themeColor="text2"/>
              <w:sz w:val="24"/>
              <w:szCs w:val="24"/>
            </w:rPr>
            <w:footnoteReference w:id="2"/>
          </w:r>
        </w:p>
        <w:p w:rsidR="00371A27" w:rsidRPr="000B60CD" w:rsidRDefault="00371A27" w:rsidP="008970F7">
          <w:pPr>
            <w:spacing w:line="360" w:lineRule="auto"/>
            <w:jc w:val="both"/>
            <w:rPr>
              <w:color w:val="1F497D" w:themeColor="text2"/>
              <w:sz w:val="24"/>
              <w:szCs w:val="24"/>
            </w:rPr>
          </w:pPr>
        </w:p>
        <w:p w:rsidR="00226F79" w:rsidRPr="00EF7388" w:rsidRDefault="00371A27" w:rsidP="008970F7">
          <w:pPr>
            <w:spacing w:line="360" w:lineRule="auto"/>
            <w:jc w:val="both"/>
            <w:rPr>
              <w:sz w:val="24"/>
              <w:szCs w:val="24"/>
            </w:rPr>
          </w:pPr>
          <w:r w:rsidRPr="000B60CD">
            <w:rPr>
              <w:color w:val="1F497D" w:themeColor="text2"/>
              <w:sz w:val="24"/>
              <w:szCs w:val="24"/>
            </w:rPr>
            <w:t>South Africa currently does not have</w:t>
          </w:r>
          <w:r w:rsidR="00B63C9B" w:rsidRPr="000B60CD">
            <w:rPr>
              <w:color w:val="1F497D" w:themeColor="text2"/>
              <w:sz w:val="24"/>
              <w:szCs w:val="24"/>
            </w:rPr>
            <w:t xml:space="preserve"> a</w:t>
          </w:r>
          <w:r w:rsidRPr="000B60CD">
            <w:rPr>
              <w:color w:val="1F497D" w:themeColor="text2"/>
              <w:sz w:val="24"/>
              <w:szCs w:val="24"/>
            </w:rPr>
            <w:t xml:space="preserve"> natio</w:t>
          </w:r>
          <w:r w:rsidR="00EF7388" w:rsidRPr="000B60CD">
            <w:rPr>
              <w:color w:val="1F497D" w:themeColor="text2"/>
              <w:sz w:val="24"/>
              <w:szCs w:val="24"/>
            </w:rPr>
            <w:t xml:space="preserve">nal special needs housing policy to cater for the disadvantaged groups such as the poor, people living with disabilities, women, children and the elderly. This is despite the </w:t>
          </w:r>
          <w:r w:rsidR="0071665C" w:rsidRPr="000B60CD">
            <w:rPr>
              <w:color w:val="1F497D" w:themeColor="text2"/>
              <w:sz w:val="24"/>
              <w:szCs w:val="24"/>
              <w:lang w:val="en-ZA"/>
            </w:rPr>
            <w:t>Special Rapporteur on adequate housing during a country visit to South Africa in 2007</w:t>
          </w:r>
          <w:r w:rsidR="00EF7388" w:rsidRPr="000B60CD">
            <w:rPr>
              <w:color w:val="1F497D" w:themeColor="text2"/>
              <w:sz w:val="24"/>
              <w:szCs w:val="24"/>
              <w:lang w:val="en-ZA"/>
            </w:rPr>
            <w:t xml:space="preserve"> having</w:t>
          </w:r>
          <w:r w:rsidR="0071665C" w:rsidRPr="000B60CD">
            <w:rPr>
              <w:color w:val="1F497D" w:themeColor="text2"/>
              <w:sz w:val="24"/>
              <w:szCs w:val="24"/>
              <w:lang w:val="en-ZA"/>
            </w:rPr>
            <w:t xml:space="preserve"> </w:t>
          </w:r>
          <w:hyperlink r:id="rId11" w:history="1">
            <w:r w:rsidR="0071665C" w:rsidRPr="000B60CD">
              <w:rPr>
                <w:color w:val="1F497D" w:themeColor="text2"/>
              </w:rPr>
              <w:t>recommended</w:t>
            </w:r>
          </w:hyperlink>
          <w:r w:rsidR="0071665C" w:rsidRPr="000B60CD">
            <w:rPr>
              <w:color w:val="1F497D" w:themeColor="text2"/>
              <w:sz w:val="24"/>
              <w:szCs w:val="24"/>
            </w:rPr>
            <w:t xml:space="preserve"> that the State formulates a specific national policy for groups with specific housing requir</w:t>
          </w:r>
          <w:r w:rsidR="00EF7388" w:rsidRPr="000B60CD">
            <w:rPr>
              <w:color w:val="1F497D" w:themeColor="text2"/>
              <w:sz w:val="24"/>
              <w:szCs w:val="24"/>
            </w:rPr>
            <w:t xml:space="preserve">ements </w:t>
          </w:r>
          <w:r w:rsidR="00EF7388" w:rsidRPr="000B60CD">
            <w:rPr>
              <w:color w:val="1F497D" w:themeColor="text2"/>
              <w:sz w:val="24"/>
              <w:szCs w:val="24"/>
              <w:lang w:val="en-ZA"/>
            </w:rPr>
            <w:t>(special housing needs) and the SAHRC having recommended the finalisation and adoption of a special needs housing policy.</w:t>
          </w:r>
          <w:r w:rsidR="00EF7388" w:rsidRPr="000B60CD">
            <w:rPr>
              <w:rStyle w:val="FootnoteReference"/>
              <w:color w:val="1F497D" w:themeColor="text2"/>
              <w:sz w:val="24"/>
              <w:szCs w:val="24"/>
              <w:lang w:val="en-ZA"/>
            </w:rPr>
            <w:footnoteReference w:id="3"/>
          </w:r>
        </w:p>
      </w:sdtContent>
    </w:sdt>
    <w:p w:rsidR="00226F79" w:rsidRPr="00EF7388" w:rsidRDefault="00226F79" w:rsidP="004265C2">
      <w:pPr>
        <w:spacing w:line="360" w:lineRule="auto"/>
        <w:jc w:val="both"/>
        <w:rPr>
          <w:sz w:val="24"/>
          <w:szCs w:val="24"/>
        </w:rPr>
      </w:pPr>
    </w:p>
    <w:p w:rsidR="008970F7" w:rsidRPr="00EF7388" w:rsidRDefault="008970F7"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lastRenderedPageBreak/>
        <w:t xml:space="preserve">8. </w:t>
      </w:r>
      <w:r w:rsidRPr="00EF7388">
        <w:rPr>
          <w:b/>
          <w:sz w:val="24"/>
          <w:szCs w:val="24"/>
        </w:rPr>
        <w:t>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w:t>
      </w:r>
      <w:r w:rsidRPr="00EF7388">
        <w:rPr>
          <w:sz w:val="24"/>
          <w:szCs w:val="24"/>
        </w:rPr>
        <w:t xml:space="preserve"> </w:t>
      </w:r>
    </w:p>
    <w:p w:rsidR="00226F79" w:rsidRPr="00EF7388" w:rsidRDefault="00226F79" w:rsidP="004265C2">
      <w:pPr>
        <w:spacing w:line="360" w:lineRule="auto"/>
        <w:jc w:val="both"/>
        <w:rPr>
          <w:sz w:val="24"/>
          <w:szCs w:val="24"/>
        </w:rPr>
      </w:pPr>
    </w:p>
    <w:p w:rsidR="00226F79" w:rsidRPr="000B60CD" w:rsidRDefault="00226F79" w:rsidP="004265C2">
      <w:pPr>
        <w:spacing w:line="360" w:lineRule="auto"/>
        <w:jc w:val="both"/>
        <w:rPr>
          <w:i/>
          <w:color w:val="1F497D" w:themeColor="text2"/>
          <w:sz w:val="24"/>
          <w:szCs w:val="24"/>
        </w:rPr>
      </w:pPr>
      <w:r w:rsidRPr="000B60CD">
        <w:rPr>
          <w:i/>
          <w:color w:val="1F497D" w:themeColor="text2"/>
          <w:sz w:val="24"/>
          <w:szCs w:val="24"/>
        </w:rPr>
        <w:t>Accessibility</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 xml:space="preserve">Discrimination in relation to access to land, including water and natural resources essential for habitation; </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 xml:space="preserve">Discrimination in relation to housing for rental or for acquisition or in accessing public or social housing; </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A</w:t>
      </w:r>
      <w:r w:rsidR="00226F79" w:rsidRPr="000B60CD">
        <w:rPr>
          <w:color w:val="1F497D" w:themeColor="text2"/>
          <w:sz w:val="24"/>
          <w:szCs w:val="24"/>
        </w:rPr>
        <w:t>ccess to emergency and/or transitional housing after disaster, conflict related displacement or in case of homelessness, family or domestic violence;</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A</w:t>
      </w:r>
      <w:r w:rsidR="00226F79" w:rsidRPr="000B60CD">
        <w:rPr>
          <w:color w:val="1F497D" w:themeColor="text2"/>
          <w:sz w:val="24"/>
          <w:szCs w:val="24"/>
        </w:rPr>
        <w:t xml:space="preserve">ccessibility of housing for persons with disabilities or older persons, including access to housing for independent living or to care homes; </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 xml:space="preserve">data collection or requirements to furnish certain certifications resulting in the exclusion of particular persons from accessing housing; </w:t>
      </w:r>
    </w:p>
    <w:p w:rsidR="00226F79" w:rsidRPr="000B60CD" w:rsidRDefault="00226F79" w:rsidP="004265C2">
      <w:pPr>
        <w:spacing w:line="360" w:lineRule="auto"/>
        <w:jc w:val="both"/>
        <w:rPr>
          <w:color w:val="1F497D" w:themeColor="text2"/>
          <w:sz w:val="24"/>
          <w:szCs w:val="24"/>
        </w:rPr>
      </w:pPr>
    </w:p>
    <w:p w:rsidR="00226F79" w:rsidRPr="000B60CD" w:rsidRDefault="00226F79" w:rsidP="004265C2">
      <w:pPr>
        <w:spacing w:line="360" w:lineRule="auto"/>
        <w:jc w:val="both"/>
        <w:rPr>
          <w:i/>
          <w:color w:val="1F497D" w:themeColor="text2"/>
          <w:sz w:val="24"/>
          <w:szCs w:val="24"/>
        </w:rPr>
      </w:pPr>
      <w:r w:rsidRPr="000B60CD">
        <w:rPr>
          <w:i/>
          <w:color w:val="1F497D" w:themeColor="text2"/>
          <w:sz w:val="24"/>
          <w:szCs w:val="24"/>
        </w:rPr>
        <w:t>Habitability</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lastRenderedPageBreak/>
        <w:t xml:space="preserve">discrimination in relation to housing conditions, overcrowding or housing maintenance; </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E</w:t>
      </w:r>
      <w:r w:rsidR="00226F79" w:rsidRPr="000B60CD">
        <w:rPr>
          <w:color w:val="1F497D" w:themeColor="text2"/>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 xml:space="preserve">Exposure to other risks which render housing uninhabitable, including sexual or gender-based violence, interference with privacy and physical security in the home and neighbourhood; </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Discrimination in relation to housing renovation or permission of housing extension;</w:t>
      </w:r>
    </w:p>
    <w:p w:rsidR="00226F79" w:rsidRPr="000B60CD" w:rsidRDefault="00226F79" w:rsidP="004265C2">
      <w:pPr>
        <w:spacing w:line="360" w:lineRule="auto"/>
        <w:ind w:left="360"/>
        <w:jc w:val="both"/>
        <w:rPr>
          <w:color w:val="1F497D" w:themeColor="text2"/>
          <w:sz w:val="24"/>
          <w:szCs w:val="24"/>
        </w:rPr>
      </w:pPr>
    </w:p>
    <w:p w:rsidR="003A314E" w:rsidRPr="000B60CD" w:rsidRDefault="003A314E" w:rsidP="004265C2">
      <w:pPr>
        <w:spacing w:line="360" w:lineRule="auto"/>
        <w:ind w:left="360"/>
        <w:jc w:val="both"/>
        <w:rPr>
          <w:color w:val="1F497D" w:themeColor="text2"/>
          <w:sz w:val="24"/>
          <w:szCs w:val="24"/>
        </w:rPr>
      </w:pPr>
    </w:p>
    <w:p w:rsidR="00226F79" w:rsidRPr="000B60CD" w:rsidRDefault="00226F79" w:rsidP="004265C2">
      <w:pPr>
        <w:spacing w:line="360" w:lineRule="auto"/>
        <w:jc w:val="both"/>
        <w:rPr>
          <w:i/>
          <w:color w:val="1F497D" w:themeColor="text2"/>
          <w:sz w:val="24"/>
          <w:szCs w:val="24"/>
        </w:rPr>
      </w:pPr>
      <w:r w:rsidRPr="000B60CD">
        <w:rPr>
          <w:i/>
          <w:color w:val="1F497D" w:themeColor="text2"/>
          <w:sz w:val="24"/>
          <w:szCs w:val="24"/>
        </w:rPr>
        <w:t>Affordability</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Discrimination in relation to access to public benefits related to housing;</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 xml:space="preserve">Lack of equal access to affordable housing; </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Discrimination in public and private housing financing;</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Discrimination related to housing and service costs, housing related fees, litigation or taxation;</w:t>
      </w:r>
    </w:p>
    <w:p w:rsidR="00226F79" w:rsidRPr="000B60CD" w:rsidRDefault="00226F79" w:rsidP="004265C2">
      <w:pPr>
        <w:spacing w:line="360" w:lineRule="auto"/>
        <w:jc w:val="both"/>
        <w:rPr>
          <w:color w:val="1F497D" w:themeColor="text2"/>
          <w:sz w:val="24"/>
          <w:szCs w:val="24"/>
        </w:rPr>
      </w:pPr>
    </w:p>
    <w:p w:rsidR="00226F79" w:rsidRPr="000B60CD" w:rsidRDefault="00226F79" w:rsidP="004265C2">
      <w:pPr>
        <w:spacing w:line="360" w:lineRule="auto"/>
        <w:jc w:val="both"/>
        <w:rPr>
          <w:i/>
          <w:color w:val="1F497D" w:themeColor="text2"/>
          <w:sz w:val="24"/>
          <w:szCs w:val="24"/>
        </w:rPr>
      </w:pPr>
      <w:r w:rsidRPr="000B60CD">
        <w:rPr>
          <w:i/>
          <w:color w:val="1F497D" w:themeColor="text2"/>
          <w:sz w:val="24"/>
          <w:szCs w:val="24"/>
        </w:rPr>
        <w:lastRenderedPageBreak/>
        <w:t>Security of tenure</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D</w:t>
      </w:r>
      <w:r w:rsidR="00226F79" w:rsidRPr="000B60CD">
        <w:rPr>
          <w:color w:val="1F497D" w:themeColor="text2"/>
          <w:sz w:val="24"/>
          <w:szCs w:val="24"/>
        </w:rPr>
        <w:t>iscrimination in relation to ownership or inheritance of housing and land and related natural resources including water including on the basis of a distinction between formal and informal tenure arrangements;</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D</w:t>
      </w:r>
      <w:r w:rsidR="00226F79" w:rsidRPr="000B60CD">
        <w:rPr>
          <w:color w:val="1F497D" w:themeColor="text2"/>
          <w:sz w:val="24"/>
          <w:szCs w:val="24"/>
        </w:rPr>
        <w:t>iscrimination in relation to evictions, resettlement and compensation for loss or damage of housing, land or livelihoods;</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D</w:t>
      </w:r>
      <w:r w:rsidR="00226F79" w:rsidRPr="000B60CD">
        <w:rPr>
          <w:color w:val="1F497D" w:themeColor="text2"/>
          <w:sz w:val="24"/>
          <w:szCs w:val="24"/>
        </w:rPr>
        <w:t>ifferential treatment in land or title registration, permission of housing construction;</w:t>
      </w:r>
    </w:p>
    <w:p w:rsidR="00226F79" w:rsidRPr="000B60CD" w:rsidRDefault="00226F79" w:rsidP="004265C2">
      <w:pPr>
        <w:spacing w:line="360" w:lineRule="auto"/>
        <w:jc w:val="both"/>
        <w:rPr>
          <w:color w:val="1F497D" w:themeColor="text2"/>
          <w:sz w:val="24"/>
          <w:szCs w:val="24"/>
        </w:rPr>
      </w:pPr>
    </w:p>
    <w:p w:rsidR="00226F79" w:rsidRPr="000B60CD" w:rsidRDefault="00226F79" w:rsidP="004265C2">
      <w:pPr>
        <w:spacing w:line="360" w:lineRule="auto"/>
        <w:jc w:val="both"/>
        <w:rPr>
          <w:i/>
          <w:color w:val="1F497D" w:themeColor="text2"/>
          <w:sz w:val="24"/>
          <w:szCs w:val="24"/>
        </w:rPr>
      </w:pPr>
      <w:r w:rsidRPr="000B60CD">
        <w:rPr>
          <w:i/>
          <w:color w:val="1F497D" w:themeColor="text2"/>
          <w:sz w:val="24"/>
          <w:szCs w:val="24"/>
        </w:rPr>
        <w:t xml:space="preserve">Availability of services, materials, facilities and infrastructure </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D</w:t>
      </w:r>
      <w:r w:rsidR="00226F79" w:rsidRPr="000B60CD">
        <w:rPr>
          <w:color w:val="1F497D" w:themeColor="text2"/>
          <w:sz w:val="24"/>
          <w:szCs w:val="24"/>
        </w:rPr>
        <w:t>iscrimination in relation to access to work, schooling, health care or public benefits based on the residential address or related to a lack of an official address;</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P</w:t>
      </w:r>
      <w:r w:rsidR="00226F79" w:rsidRPr="000B60CD">
        <w:rPr>
          <w:color w:val="1F497D" w:themeColor="text2"/>
          <w:sz w:val="24"/>
          <w:szCs w:val="24"/>
        </w:rPr>
        <w:t xml:space="preserve">ublic transportation services and transportation costs; </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P</w:t>
      </w:r>
      <w:r w:rsidR="00226F79" w:rsidRPr="000B60CD">
        <w:rPr>
          <w:color w:val="1F497D" w:themeColor="text2"/>
          <w:sz w:val="24"/>
          <w:szCs w:val="24"/>
        </w:rPr>
        <w:t>rovision of water, sanitation, energy, waste collection and other utility services; their quality or cost, including interruptions/blackouts including policies relating to disconnection from utility services;</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 xml:space="preserve">spatial disparities in access to health care, education, child care, cultural and recreational facilities; </w:t>
      </w:r>
    </w:p>
    <w:p w:rsidR="00226F79" w:rsidRPr="000B60CD" w:rsidRDefault="00226F79" w:rsidP="004265C2">
      <w:pPr>
        <w:spacing w:line="360" w:lineRule="auto"/>
        <w:jc w:val="both"/>
        <w:rPr>
          <w:color w:val="1F497D" w:themeColor="text2"/>
          <w:sz w:val="24"/>
          <w:szCs w:val="24"/>
        </w:rPr>
      </w:pPr>
    </w:p>
    <w:p w:rsidR="00226F79" w:rsidRPr="000B60CD" w:rsidRDefault="00226F79" w:rsidP="004265C2">
      <w:pPr>
        <w:spacing w:line="360" w:lineRule="auto"/>
        <w:jc w:val="both"/>
        <w:rPr>
          <w:i/>
          <w:color w:val="1F497D" w:themeColor="text2"/>
          <w:sz w:val="24"/>
          <w:szCs w:val="24"/>
        </w:rPr>
      </w:pPr>
      <w:r w:rsidRPr="000B60CD">
        <w:rPr>
          <w:i/>
          <w:color w:val="1F497D" w:themeColor="text2"/>
          <w:sz w:val="24"/>
          <w:szCs w:val="24"/>
        </w:rPr>
        <w:t>Location</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lastRenderedPageBreak/>
        <w:t>D</w:t>
      </w:r>
      <w:r w:rsidR="00226F79" w:rsidRPr="000B60CD">
        <w:rPr>
          <w:color w:val="1F497D" w:themeColor="text2"/>
          <w:sz w:val="24"/>
          <w:szCs w:val="24"/>
        </w:rPr>
        <w:t>iscrimination in relation to freedom of choice of the place of residency within the country, within a particular region or location;</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D</w:t>
      </w:r>
      <w:r w:rsidR="00226F79" w:rsidRPr="000B60CD">
        <w:rPr>
          <w:color w:val="1F497D" w:themeColor="text2"/>
          <w:sz w:val="24"/>
          <w:szCs w:val="24"/>
        </w:rPr>
        <w:t>iscrimination based on place of residence or address, such as exclusion from invitation to job interviews or access to credit;</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E</w:t>
      </w:r>
      <w:r w:rsidR="00226F79" w:rsidRPr="000B60CD">
        <w:rPr>
          <w:color w:val="1F497D" w:themeColor="text2"/>
          <w:sz w:val="24"/>
          <w:szCs w:val="24"/>
        </w:rPr>
        <w:t>xposure to environmental health risks, such as external air quality, flooding, toxic ground exposure; noise; risk of landslides etc.;</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L</w:t>
      </w:r>
      <w:r w:rsidR="00226F79" w:rsidRPr="000B60CD">
        <w:rPr>
          <w:color w:val="1F497D" w:themeColor="text2"/>
          <w:sz w:val="24"/>
          <w:szCs w:val="24"/>
        </w:rPr>
        <w:t xml:space="preserve">iving quality and physical security in the neighbourhood, including geographical disparities in policing and law enforcement; </w:t>
      </w:r>
    </w:p>
    <w:p w:rsidR="00226F79" w:rsidRPr="000B60CD" w:rsidRDefault="00226F79" w:rsidP="004265C2">
      <w:pPr>
        <w:spacing w:line="360" w:lineRule="auto"/>
        <w:ind w:left="720"/>
        <w:jc w:val="both"/>
        <w:rPr>
          <w:color w:val="1F497D" w:themeColor="text2"/>
          <w:sz w:val="24"/>
          <w:szCs w:val="24"/>
        </w:rPr>
      </w:pPr>
    </w:p>
    <w:p w:rsidR="00226F79" w:rsidRPr="000B60CD" w:rsidRDefault="00226F79" w:rsidP="004265C2">
      <w:pPr>
        <w:spacing w:line="360" w:lineRule="auto"/>
        <w:jc w:val="both"/>
        <w:rPr>
          <w:i/>
          <w:color w:val="1F497D" w:themeColor="text2"/>
          <w:sz w:val="24"/>
          <w:szCs w:val="24"/>
        </w:rPr>
      </w:pPr>
      <w:r w:rsidRPr="000B60CD">
        <w:rPr>
          <w:i/>
          <w:color w:val="1F497D" w:themeColor="text2"/>
          <w:sz w:val="24"/>
          <w:szCs w:val="24"/>
        </w:rPr>
        <w:t>Cultural adequacy</w:t>
      </w:r>
    </w:p>
    <w:p w:rsidR="00226F79" w:rsidRPr="000B60CD" w:rsidRDefault="00226F79"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 xml:space="preserve">Discrimination in relation to the recognition of culturally adequate dwellings as housing as well as equal access to public space; </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P</w:t>
      </w:r>
      <w:r w:rsidR="00226F79" w:rsidRPr="000B60CD">
        <w:rPr>
          <w:color w:val="1F497D" w:themeColor="text2"/>
          <w:sz w:val="24"/>
          <w:szCs w:val="24"/>
        </w:rPr>
        <w:t>rohibition of accessing, maintaining or constructing culturally adequate housing;</w:t>
      </w:r>
    </w:p>
    <w:p w:rsidR="00226F79" w:rsidRPr="000B60CD" w:rsidRDefault="000C7384" w:rsidP="004265C2">
      <w:pPr>
        <w:pStyle w:val="ListParagraph"/>
        <w:numPr>
          <w:ilvl w:val="0"/>
          <w:numId w:val="2"/>
        </w:numPr>
        <w:spacing w:line="360" w:lineRule="auto"/>
        <w:jc w:val="both"/>
        <w:rPr>
          <w:color w:val="1F497D" w:themeColor="text2"/>
          <w:sz w:val="24"/>
          <w:szCs w:val="24"/>
        </w:rPr>
      </w:pPr>
      <w:r w:rsidRPr="000B60CD">
        <w:rPr>
          <w:color w:val="1F497D" w:themeColor="text2"/>
          <w:sz w:val="24"/>
          <w:szCs w:val="24"/>
        </w:rPr>
        <w:t>L</w:t>
      </w:r>
      <w:r w:rsidR="00226F79" w:rsidRPr="000B60CD">
        <w:rPr>
          <w:color w:val="1F497D" w:themeColor="text2"/>
          <w:sz w:val="24"/>
          <w:szCs w:val="24"/>
        </w:rPr>
        <w:t>ack of recognition of mobile forms of residency.</w:t>
      </w:r>
    </w:p>
    <w:p w:rsidR="00226F79" w:rsidRPr="000B60CD" w:rsidRDefault="00226F79" w:rsidP="004265C2">
      <w:pPr>
        <w:pStyle w:val="ListParagraph"/>
        <w:spacing w:line="360" w:lineRule="auto"/>
        <w:jc w:val="both"/>
        <w:rPr>
          <w:color w:val="1F497D" w:themeColor="text2"/>
          <w:sz w:val="24"/>
          <w:szCs w:val="24"/>
        </w:rPr>
      </w:pPr>
    </w:p>
    <w:sdt>
      <w:sdtPr>
        <w:rPr>
          <w:color w:val="1F497D" w:themeColor="text2"/>
          <w:sz w:val="24"/>
          <w:szCs w:val="24"/>
        </w:rPr>
        <w:id w:val="727583382"/>
      </w:sdtPr>
      <w:sdtEndPr/>
      <w:sdtContent>
        <w:p w:rsidR="00A77C7A" w:rsidRPr="000B60CD" w:rsidRDefault="007775D2" w:rsidP="004265C2">
          <w:pPr>
            <w:spacing w:line="360" w:lineRule="auto"/>
            <w:jc w:val="both"/>
            <w:rPr>
              <w:color w:val="1F497D" w:themeColor="text2"/>
              <w:sz w:val="24"/>
              <w:szCs w:val="24"/>
            </w:rPr>
          </w:pPr>
          <w:r w:rsidRPr="000B60CD">
            <w:rPr>
              <w:color w:val="1F497D" w:themeColor="text2"/>
              <w:sz w:val="24"/>
              <w:szCs w:val="24"/>
            </w:rPr>
            <w:t xml:space="preserve">The right to adequate housing necessarily </w:t>
          </w:r>
          <w:r w:rsidR="009B5E0C" w:rsidRPr="000B60CD">
            <w:rPr>
              <w:color w:val="1F497D" w:themeColor="text2"/>
              <w:sz w:val="24"/>
              <w:szCs w:val="24"/>
            </w:rPr>
            <w:t>includes and</w:t>
          </w:r>
          <w:r w:rsidRPr="000B60CD">
            <w:rPr>
              <w:color w:val="1F497D" w:themeColor="text2"/>
              <w:sz w:val="24"/>
              <w:szCs w:val="24"/>
            </w:rPr>
            <w:t xml:space="preserve"> cannot be realised without to realisation of the right to water and sanitation. The 2019 General Household Survey conducted by Statistics South Africa revealed that only 88.2% of South Africans had access to piped or tap water in their dwellings, off-site or no-site. Additionally, 25.8% of South Africans reported that they experienced water interruptions in 2019. South Africa still </w:t>
          </w:r>
          <w:r w:rsidRPr="000B60CD">
            <w:rPr>
              <w:color w:val="1F497D" w:themeColor="text2"/>
              <w:sz w:val="24"/>
              <w:szCs w:val="24"/>
            </w:rPr>
            <w:lastRenderedPageBreak/>
            <w:t xml:space="preserve">experiences sanitation backlogs with a number of households still using the bucket toilet system. In 2019 it was reported that 82% of South Africans had access to improved sanitation, this figure however is greatly unequal among the provinces. In the Limpopo and Mpumalanga provinces only 63% of households had access to an improved sanitation system. </w:t>
          </w:r>
        </w:p>
        <w:p w:rsidR="00A77C7A" w:rsidRPr="000B60CD" w:rsidRDefault="00A77C7A" w:rsidP="004265C2">
          <w:pPr>
            <w:spacing w:line="360" w:lineRule="auto"/>
            <w:jc w:val="both"/>
            <w:rPr>
              <w:color w:val="1F497D" w:themeColor="text2"/>
              <w:sz w:val="24"/>
              <w:szCs w:val="24"/>
            </w:rPr>
          </w:pPr>
        </w:p>
        <w:p w:rsidR="00226F79" w:rsidRPr="000B60CD" w:rsidRDefault="00A77C7A" w:rsidP="004265C2">
          <w:pPr>
            <w:spacing w:line="360" w:lineRule="auto"/>
            <w:jc w:val="both"/>
            <w:rPr>
              <w:color w:val="1F497D" w:themeColor="text2"/>
              <w:sz w:val="24"/>
              <w:szCs w:val="24"/>
            </w:rPr>
          </w:pPr>
          <w:r w:rsidRPr="000B60CD">
            <w:rPr>
              <w:color w:val="1F497D" w:themeColor="text2"/>
              <w:sz w:val="24"/>
              <w:szCs w:val="24"/>
            </w:rPr>
            <w:t>South Africans who live on land held under customary land laws face a number of challenges as their security of tenure over their land is often less secure than that of people who have title deeds to their homes. Ingonyama Trust which holds vast amounts of land in Kwa-Zulu Natal under customary law, for example, has been reported to extort money from residents and unlawfully make people enter into lease agreements and pay rental in order to live on land administered by the Trust.</w:t>
          </w:r>
          <w:r w:rsidRPr="000B60CD">
            <w:rPr>
              <w:rStyle w:val="FootnoteReference"/>
              <w:color w:val="1F497D" w:themeColor="text2"/>
              <w:sz w:val="24"/>
              <w:szCs w:val="24"/>
            </w:rPr>
            <w:footnoteReference w:id="4"/>
          </w:r>
          <w:r w:rsidRPr="000B60CD">
            <w:rPr>
              <w:color w:val="1F497D" w:themeColor="text2"/>
              <w:sz w:val="24"/>
              <w:szCs w:val="24"/>
            </w:rPr>
            <w:t xml:space="preserve"> These unlawful actions undermine the right to housing of South Africans who live </w:t>
          </w:r>
          <w:r w:rsidR="000E4AD1" w:rsidRPr="000B60CD">
            <w:rPr>
              <w:color w:val="1F497D" w:themeColor="text2"/>
              <w:sz w:val="24"/>
              <w:szCs w:val="24"/>
            </w:rPr>
            <w:t xml:space="preserve">in rural areas. </w:t>
          </w:r>
        </w:p>
      </w:sdtContent>
    </w:sdt>
    <w:p w:rsidR="00226F79" w:rsidRPr="00EF7388" w:rsidRDefault="00226F79" w:rsidP="004265C2">
      <w:pPr>
        <w:spacing w:line="360" w:lineRule="auto"/>
        <w:jc w:val="both"/>
        <w:rPr>
          <w:sz w:val="24"/>
          <w:szCs w:val="24"/>
        </w:rPr>
      </w:pPr>
    </w:p>
    <w:p w:rsidR="00226F79" w:rsidRPr="00EF7388" w:rsidRDefault="003A314E" w:rsidP="004265C2">
      <w:pPr>
        <w:spacing w:line="360" w:lineRule="auto"/>
        <w:jc w:val="both"/>
        <w:rPr>
          <w:sz w:val="24"/>
          <w:szCs w:val="24"/>
        </w:rPr>
      </w:pPr>
      <w:r w:rsidRPr="00EF7388">
        <w:rPr>
          <w:sz w:val="24"/>
          <w:szCs w:val="24"/>
        </w:rPr>
        <w:t>9</w:t>
      </w:r>
      <w:r w:rsidR="00226F79" w:rsidRPr="00EF7388">
        <w:rPr>
          <w:sz w:val="24"/>
          <w:szCs w:val="24"/>
        </w:rPr>
        <w:t>.</w:t>
      </w:r>
      <w:r w:rsidRPr="00EF7388">
        <w:rPr>
          <w:sz w:val="24"/>
          <w:szCs w:val="24"/>
        </w:rPr>
        <w:t xml:space="preserve"> </w:t>
      </w:r>
      <w:r w:rsidR="00226F79" w:rsidRPr="00EF7388">
        <w:rPr>
          <w:b/>
          <w:sz w:val="24"/>
          <w:szCs w:val="24"/>
        </w:rPr>
        <w:t xml:space="preserve">Are there any particular current laws, policies or practices in your country, region or town/community that contribute to or exacerbate discrimination in relation to the right to adequate housing? </w:t>
      </w:r>
    </w:p>
    <w:sdt>
      <w:sdtPr>
        <w:rPr>
          <w:color w:val="1F497D" w:themeColor="text2"/>
          <w:sz w:val="24"/>
          <w:szCs w:val="24"/>
        </w:rPr>
        <w:id w:val="-1433501859"/>
      </w:sdtPr>
      <w:sdtEndPr/>
      <w:sdtContent>
        <w:p w:rsidR="009B5E0C" w:rsidRPr="00F65173" w:rsidRDefault="009B5E0C" w:rsidP="004265C2">
          <w:pPr>
            <w:spacing w:line="360" w:lineRule="auto"/>
            <w:jc w:val="both"/>
            <w:rPr>
              <w:color w:val="1F497D" w:themeColor="text2"/>
              <w:sz w:val="24"/>
              <w:szCs w:val="24"/>
            </w:rPr>
          </w:pPr>
        </w:p>
        <w:p w:rsidR="006D0C62" w:rsidRPr="00EF7388" w:rsidRDefault="009B5E0C" w:rsidP="004265C2">
          <w:pPr>
            <w:spacing w:line="360" w:lineRule="auto"/>
            <w:jc w:val="both"/>
            <w:rPr>
              <w:sz w:val="24"/>
              <w:szCs w:val="24"/>
            </w:rPr>
          </w:pPr>
          <w:r w:rsidRPr="00F65173">
            <w:rPr>
              <w:color w:val="1F497D" w:themeColor="text2"/>
              <w:sz w:val="24"/>
              <w:szCs w:val="24"/>
            </w:rPr>
            <w:lastRenderedPageBreak/>
            <w:t>In its</w:t>
          </w:r>
          <w:r w:rsidR="0091134F" w:rsidRPr="00F65173">
            <w:rPr>
              <w:color w:val="1F497D" w:themeColor="text2"/>
              <w:sz w:val="24"/>
              <w:szCs w:val="24"/>
            </w:rPr>
            <w:t xml:space="preserve"> report on the</w:t>
          </w:r>
          <w:r w:rsidRPr="00F65173">
            <w:rPr>
              <w:color w:val="1F497D" w:themeColor="text2"/>
              <w:sz w:val="24"/>
              <w:szCs w:val="24"/>
            </w:rPr>
            <w:t xml:space="preserve"> High Level </w:t>
          </w:r>
          <w:r w:rsidR="0091134F" w:rsidRPr="00F65173">
            <w:rPr>
              <w:color w:val="1F497D" w:themeColor="text2"/>
              <w:sz w:val="24"/>
              <w:szCs w:val="24"/>
            </w:rPr>
            <w:t>Public Inquiry</w:t>
          </w:r>
          <w:r w:rsidRPr="00F65173">
            <w:rPr>
              <w:color w:val="1F497D" w:themeColor="text2"/>
              <w:sz w:val="24"/>
              <w:szCs w:val="24"/>
            </w:rPr>
            <w:t xml:space="preserve"> on</w:t>
          </w:r>
          <w:r w:rsidR="0091134F" w:rsidRPr="00F65173">
            <w:rPr>
              <w:color w:val="1F497D" w:themeColor="text2"/>
              <w:sz w:val="24"/>
              <w:szCs w:val="24"/>
            </w:rPr>
            <w:t xml:space="preserve"> the impact of</w:t>
          </w:r>
          <w:r w:rsidRPr="00F65173">
            <w:rPr>
              <w:color w:val="1F497D" w:themeColor="text2"/>
              <w:sz w:val="24"/>
              <w:szCs w:val="24"/>
            </w:rPr>
            <w:t xml:space="preserve"> rural land</w:t>
          </w:r>
          <w:r w:rsidR="0091134F" w:rsidRPr="00F65173">
            <w:rPr>
              <w:color w:val="1F497D" w:themeColor="text2"/>
              <w:sz w:val="24"/>
              <w:szCs w:val="24"/>
            </w:rPr>
            <w:t xml:space="preserve"> use and </w:t>
          </w:r>
          <w:r w:rsidRPr="00F65173">
            <w:rPr>
              <w:color w:val="1F497D" w:themeColor="text2"/>
              <w:sz w:val="24"/>
              <w:szCs w:val="24"/>
            </w:rPr>
            <w:t xml:space="preserve"> ownership patterns</w:t>
          </w:r>
          <w:r w:rsidR="0091134F" w:rsidRPr="00F65173">
            <w:rPr>
              <w:color w:val="1F497D" w:themeColor="text2"/>
              <w:sz w:val="24"/>
              <w:szCs w:val="24"/>
            </w:rPr>
            <w:t xml:space="preserve"> on human rights</w:t>
          </w:r>
          <w:r w:rsidRPr="00F65173">
            <w:rPr>
              <w:color w:val="1F497D" w:themeColor="text2"/>
              <w:sz w:val="24"/>
              <w:szCs w:val="24"/>
            </w:rPr>
            <w:t xml:space="preserve"> the </w:t>
          </w:r>
          <w:r w:rsidR="00063A36" w:rsidRPr="00F65173">
            <w:rPr>
              <w:color w:val="1F497D" w:themeColor="text2"/>
              <w:sz w:val="24"/>
              <w:szCs w:val="24"/>
            </w:rPr>
            <w:t xml:space="preserve">South African Human Rights </w:t>
          </w:r>
          <w:r w:rsidRPr="00F65173">
            <w:rPr>
              <w:color w:val="1F497D" w:themeColor="text2"/>
              <w:sz w:val="24"/>
              <w:szCs w:val="24"/>
            </w:rPr>
            <w:t>Commission</w:t>
          </w:r>
          <w:r w:rsidR="004A7867" w:rsidRPr="00F65173">
            <w:rPr>
              <w:color w:val="1F497D" w:themeColor="text2"/>
              <w:sz w:val="24"/>
              <w:szCs w:val="24"/>
            </w:rPr>
            <w:t xml:space="preserve"> (Commission)</w:t>
          </w:r>
          <w:r w:rsidR="00063A36" w:rsidRPr="00F65173">
            <w:rPr>
              <w:color w:val="1F497D" w:themeColor="text2"/>
              <w:sz w:val="24"/>
              <w:szCs w:val="24"/>
            </w:rPr>
            <w:t xml:space="preserve"> </w:t>
          </w:r>
          <w:r w:rsidRPr="00F65173">
            <w:rPr>
              <w:color w:val="1F497D" w:themeColor="text2"/>
              <w:sz w:val="24"/>
              <w:szCs w:val="24"/>
            </w:rPr>
            <w:t xml:space="preserve">found that even though customary land rights are protected in the Constitution, in practice </w:t>
          </w:r>
          <w:r w:rsidR="00063A36" w:rsidRPr="00F65173">
            <w:rPr>
              <w:color w:val="1F497D" w:themeColor="text2"/>
              <w:sz w:val="24"/>
              <w:szCs w:val="24"/>
            </w:rPr>
            <w:t xml:space="preserve">it </w:t>
          </w:r>
          <w:r w:rsidRPr="00F65173">
            <w:rPr>
              <w:color w:val="1F497D" w:themeColor="text2"/>
              <w:sz w:val="24"/>
              <w:szCs w:val="24"/>
            </w:rPr>
            <w:t>is difficult to protect people who have customary rights to access, use and own land.</w:t>
          </w:r>
          <w:r w:rsidRPr="00F65173">
            <w:rPr>
              <w:rStyle w:val="FootnoteReference"/>
              <w:color w:val="1F497D" w:themeColor="text2"/>
              <w:sz w:val="24"/>
              <w:szCs w:val="24"/>
            </w:rPr>
            <w:footnoteReference w:id="5"/>
          </w:r>
          <w:r w:rsidRPr="00F65173">
            <w:rPr>
              <w:color w:val="1F497D" w:themeColor="text2"/>
              <w:sz w:val="24"/>
              <w:szCs w:val="24"/>
            </w:rPr>
            <w:t xml:space="preserve"> </w:t>
          </w:r>
          <w:r w:rsidR="0091134F" w:rsidRPr="00F65173">
            <w:rPr>
              <w:color w:val="1F497D" w:themeColor="text2"/>
              <w:sz w:val="24"/>
              <w:szCs w:val="24"/>
            </w:rPr>
            <w:t>South Africa’s property ownership based on common law “perpetuates discrimination against mining affected communities that cannot assert ownership in order to mitigate the adverse impacts of mining on this rights” – this can range from the destruction of dwellings and forced relocations to the pollution of water sources.</w:t>
          </w:r>
          <w:r w:rsidR="0091134F" w:rsidRPr="00F65173">
            <w:rPr>
              <w:rStyle w:val="FootnoteReference"/>
              <w:color w:val="1F497D" w:themeColor="text2"/>
              <w:sz w:val="24"/>
              <w:szCs w:val="24"/>
            </w:rPr>
            <w:footnoteReference w:id="6"/>
          </w:r>
          <w:r w:rsidR="004A7867" w:rsidRPr="00F65173">
            <w:rPr>
              <w:color w:val="1F497D" w:themeColor="text2"/>
              <w:sz w:val="24"/>
              <w:szCs w:val="24"/>
            </w:rPr>
            <w:t xml:space="preserve"> </w:t>
          </w:r>
          <w:r w:rsidR="00C87E9A" w:rsidRPr="00F65173">
            <w:rPr>
              <w:color w:val="1F497D" w:themeColor="text2"/>
              <w:sz w:val="24"/>
              <w:szCs w:val="24"/>
            </w:rPr>
            <w:t>Evidence received by the Commission during the public inquiry demonstrated that farm dwellers and labour tenants demonstrated a worrying trend in the forced eviction of farm dwellers</w:t>
          </w:r>
          <w:r w:rsidR="009F1DB2" w:rsidRPr="00F65173">
            <w:rPr>
              <w:color w:val="1F497D" w:themeColor="text2"/>
              <w:sz w:val="24"/>
              <w:szCs w:val="24"/>
            </w:rPr>
            <w:t xml:space="preserve"> </w:t>
          </w:r>
          <w:r w:rsidR="004A7867" w:rsidRPr="00F65173">
            <w:rPr>
              <w:color w:val="1F497D" w:themeColor="text2"/>
              <w:sz w:val="24"/>
              <w:szCs w:val="24"/>
            </w:rPr>
            <w:t>de</w:t>
          </w:r>
          <w:r w:rsidR="009F1DB2" w:rsidRPr="00F65173">
            <w:rPr>
              <w:color w:val="1F497D" w:themeColor="text2"/>
              <w:sz w:val="24"/>
              <w:szCs w:val="24"/>
            </w:rPr>
            <w:t>spite the implementation of the Extension of Security of Tenure Act which protects farm dwellers.</w:t>
          </w:r>
          <w:r w:rsidR="009F1DB2" w:rsidRPr="00F65173">
            <w:rPr>
              <w:rStyle w:val="FootnoteReference"/>
              <w:color w:val="1F497D" w:themeColor="text2"/>
              <w:sz w:val="24"/>
              <w:szCs w:val="24"/>
            </w:rPr>
            <w:footnoteReference w:id="7"/>
          </w:r>
          <w:r w:rsidR="009F1DB2" w:rsidRPr="00F65173">
            <w:rPr>
              <w:color w:val="1F497D" w:themeColor="text2"/>
              <w:sz w:val="24"/>
              <w:szCs w:val="24"/>
            </w:rPr>
            <w:t xml:space="preserve"> Women farm dwellers are particularly disadvantaged as their rights to land are contingent on the presence of a male and when his employment is terminated, the woman and entire family also have to vacate the farm.</w:t>
          </w:r>
          <w:r w:rsidR="009F1DB2" w:rsidRPr="00F65173">
            <w:rPr>
              <w:rStyle w:val="FootnoteReference"/>
              <w:color w:val="1F497D" w:themeColor="text2"/>
              <w:sz w:val="24"/>
              <w:szCs w:val="24"/>
            </w:rPr>
            <w:footnoteReference w:id="8"/>
          </w:r>
        </w:p>
      </w:sdtContent>
    </w:sdt>
    <w:p w:rsidR="006D0C62" w:rsidRPr="00EF7388" w:rsidRDefault="006D0C62" w:rsidP="004265C2">
      <w:pPr>
        <w:spacing w:line="360" w:lineRule="auto"/>
        <w:jc w:val="both"/>
        <w:rPr>
          <w:sz w:val="24"/>
          <w:szCs w:val="24"/>
        </w:rPr>
      </w:pPr>
    </w:p>
    <w:p w:rsidR="00226F79" w:rsidRDefault="003A314E" w:rsidP="004265C2">
      <w:pPr>
        <w:spacing w:line="360" w:lineRule="auto"/>
        <w:jc w:val="both"/>
        <w:rPr>
          <w:sz w:val="24"/>
          <w:szCs w:val="24"/>
        </w:rPr>
      </w:pPr>
      <w:r w:rsidRPr="00EF7388">
        <w:rPr>
          <w:sz w:val="24"/>
          <w:szCs w:val="24"/>
        </w:rPr>
        <w:lastRenderedPageBreak/>
        <w:t>10</w:t>
      </w:r>
      <w:r w:rsidR="00226F79" w:rsidRPr="00EF7388">
        <w:rPr>
          <w:sz w:val="24"/>
          <w:szCs w:val="24"/>
        </w:rPr>
        <w:t xml:space="preserve">. </w:t>
      </w:r>
      <w:r w:rsidR="00226F79" w:rsidRPr="00EF7388">
        <w:rPr>
          <w:b/>
          <w:sz w:val="24"/>
          <w:szCs w:val="24"/>
        </w:rPr>
        <w:t>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w:t>
      </w:r>
      <w:r w:rsidR="00226F79" w:rsidRPr="00EF7388">
        <w:rPr>
          <w:sz w:val="24"/>
          <w:szCs w:val="24"/>
        </w:rPr>
        <w:t xml:space="preserve"> </w:t>
      </w:r>
    </w:p>
    <w:p w:rsidR="00EF7388" w:rsidRPr="00EF7388" w:rsidRDefault="00EF7388" w:rsidP="004265C2">
      <w:pPr>
        <w:spacing w:line="360" w:lineRule="auto"/>
        <w:jc w:val="both"/>
        <w:rPr>
          <w:sz w:val="24"/>
          <w:szCs w:val="24"/>
        </w:rPr>
      </w:pPr>
    </w:p>
    <w:sdt>
      <w:sdtPr>
        <w:rPr>
          <w:sz w:val="24"/>
          <w:szCs w:val="24"/>
        </w:rPr>
        <w:id w:val="785089057"/>
      </w:sdtPr>
      <w:sdtEndPr/>
      <w:sdtContent>
        <w:p w:rsidR="00226F79" w:rsidRPr="00EF7388" w:rsidRDefault="00BA4496" w:rsidP="004265C2">
          <w:pPr>
            <w:spacing w:line="360" w:lineRule="auto"/>
            <w:jc w:val="both"/>
            <w:rPr>
              <w:sz w:val="24"/>
              <w:szCs w:val="24"/>
            </w:rPr>
          </w:pPr>
          <w:sdt>
            <w:sdtPr>
              <w:rPr>
                <w:sz w:val="24"/>
                <w:szCs w:val="24"/>
              </w:rPr>
              <w:id w:val="-1791424749"/>
            </w:sdtPr>
            <w:sdtEndPr/>
            <w:sdtContent>
              <w:r w:rsidR="00A77C7A" w:rsidRPr="00F65173">
                <w:rPr>
                  <w:color w:val="1F497D" w:themeColor="text2"/>
                  <w:sz w:val="24"/>
                  <w:szCs w:val="24"/>
                </w:rPr>
                <w:t>No</w:t>
              </w:r>
              <w:r w:rsidR="00F6708E" w:rsidRPr="00EF7388">
                <w:rPr>
                  <w:sz w:val="24"/>
                  <w:szCs w:val="24"/>
                </w:rPr>
                <w:t xml:space="preserve"> </w:t>
              </w:r>
            </w:sdtContent>
          </w:sdt>
        </w:p>
      </w:sdtContent>
    </w:sdt>
    <w:p w:rsidR="00EF7388" w:rsidRDefault="00EF7388" w:rsidP="004265C2">
      <w:pPr>
        <w:spacing w:line="360" w:lineRule="auto"/>
        <w:jc w:val="both"/>
        <w:rPr>
          <w:sz w:val="24"/>
          <w:szCs w:val="24"/>
        </w:rPr>
      </w:pPr>
    </w:p>
    <w:p w:rsidR="00226F79" w:rsidRDefault="003A314E" w:rsidP="004265C2">
      <w:pPr>
        <w:spacing w:line="360" w:lineRule="auto"/>
        <w:jc w:val="both"/>
        <w:rPr>
          <w:b/>
          <w:sz w:val="24"/>
          <w:szCs w:val="24"/>
        </w:rPr>
      </w:pPr>
      <w:r w:rsidRPr="00EF7388">
        <w:rPr>
          <w:sz w:val="24"/>
          <w:szCs w:val="24"/>
        </w:rPr>
        <w:t>11</w:t>
      </w:r>
      <w:r w:rsidRPr="00EF7388">
        <w:rPr>
          <w:b/>
          <w:sz w:val="24"/>
          <w:szCs w:val="24"/>
        </w:rPr>
        <w:t xml:space="preserve">. </w:t>
      </w:r>
      <w:r w:rsidR="00226F79" w:rsidRPr="00EF7388">
        <w:rPr>
          <w:b/>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EF7388" w:rsidRPr="00EF7388" w:rsidRDefault="00EF7388" w:rsidP="004265C2">
      <w:pPr>
        <w:spacing w:line="360" w:lineRule="auto"/>
        <w:jc w:val="both"/>
        <w:rPr>
          <w:sz w:val="24"/>
          <w:szCs w:val="24"/>
        </w:rPr>
      </w:pPr>
    </w:p>
    <w:p w:rsidR="00226F79" w:rsidRPr="00F65173" w:rsidRDefault="00BA4496" w:rsidP="004265C2">
      <w:pPr>
        <w:spacing w:line="360" w:lineRule="auto"/>
        <w:jc w:val="both"/>
        <w:rPr>
          <w:color w:val="1F497D" w:themeColor="text2"/>
          <w:sz w:val="24"/>
          <w:szCs w:val="24"/>
        </w:rPr>
      </w:pPr>
      <w:sdt>
        <w:sdtPr>
          <w:rPr>
            <w:color w:val="1F497D" w:themeColor="text2"/>
            <w:sz w:val="24"/>
            <w:szCs w:val="24"/>
          </w:rPr>
          <w:id w:val="2106150593"/>
        </w:sdtPr>
        <w:sdtEndPr/>
        <w:sdtContent>
          <w:r w:rsidR="00A77C7A" w:rsidRPr="00F65173">
            <w:rPr>
              <w:color w:val="1F497D" w:themeColor="text2"/>
              <w:sz w:val="24"/>
              <w:szCs w:val="24"/>
            </w:rPr>
            <w:t>N/A</w:t>
          </w:r>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b/>
          <w:sz w:val="24"/>
          <w:szCs w:val="24"/>
          <w:u w:val="single"/>
        </w:rPr>
      </w:pPr>
      <w:r w:rsidRPr="00EF7388">
        <w:rPr>
          <w:b/>
          <w:sz w:val="24"/>
          <w:szCs w:val="24"/>
          <w:u w:val="single"/>
        </w:rPr>
        <w:t xml:space="preserve">SPATIAL AND RESIDENTIAL SEGREGATION </w:t>
      </w:r>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lastRenderedPageBreak/>
        <w:t xml:space="preserve">12. </w:t>
      </w:r>
      <w:r w:rsidRPr="00EF7388">
        <w:rPr>
          <w:b/>
          <w:sz w:val="24"/>
          <w:szCs w:val="24"/>
        </w:rPr>
        <w:t>What forms of spatial segregation along racial, caste, ethnicity, religion, nationality, migration status, heritage, economic status/income or other social grounds can be observed in urban and urban-rural contexts in your country?</w:t>
      </w:r>
      <w:r w:rsidRPr="00EF7388">
        <w:rPr>
          <w:sz w:val="24"/>
          <w:szCs w:val="24"/>
        </w:rPr>
        <w:t xml:space="preserve"> </w:t>
      </w:r>
    </w:p>
    <w:p w:rsidR="004A5AE3" w:rsidRPr="00EF7388" w:rsidRDefault="004A5AE3" w:rsidP="004265C2">
      <w:pPr>
        <w:spacing w:line="360" w:lineRule="auto"/>
        <w:jc w:val="both"/>
        <w:rPr>
          <w:sz w:val="24"/>
          <w:szCs w:val="24"/>
        </w:rPr>
      </w:pPr>
    </w:p>
    <w:p w:rsidR="00226F79" w:rsidRPr="00EF7388" w:rsidRDefault="00BA4496" w:rsidP="004265C2">
      <w:pPr>
        <w:spacing w:line="360" w:lineRule="auto"/>
        <w:jc w:val="both"/>
        <w:rPr>
          <w:strike/>
          <w:sz w:val="24"/>
          <w:szCs w:val="24"/>
        </w:rPr>
      </w:pPr>
      <w:sdt>
        <w:sdtPr>
          <w:rPr>
            <w:sz w:val="24"/>
            <w:szCs w:val="24"/>
          </w:rPr>
          <w:id w:val="671691551"/>
        </w:sdtPr>
        <w:sdtEndPr/>
        <w:sdtContent>
          <w:sdt>
            <w:sdtPr>
              <w:rPr>
                <w:color w:val="1F497D" w:themeColor="text2"/>
                <w:sz w:val="24"/>
                <w:szCs w:val="24"/>
              </w:rPr>
              <w:id w:val="1816518302"/>
            </w:sdtPr>
            <w:sdtEndPr/>
            <w:sdtContent>
              <w:r w:rsidR="004A5AE3" w:rsidRPr="00F65173">
                <w:rPr>
                  <w:color w:val="1F497D" w:themeColor="text2"/>
                  <w:sz w:val="24"/>
                  <w:szCs w:val="24"/>
                  <w:lang w:val="en-ZA"/>
                </w:rPr>
                <w:t xml:space="preserve">The historic context of South Africa was one based on systemic ghettoisation, segregation and compartmentalisation of privileges and advantage along racial lines. Apartheid was spatial injustice </w:t>
              </w:r>
              <w:r w:rsidR="004A5AE3" w:rsidRPr="00F65173">
                <w:rPr>
                  <w:i/>
                  <w:color w:val="1F497D" w:themeColor="text2"/>
                  <w:sz w:val="24"/>
                  <w:szCs w:val="24"/>
                  <w:lang w:val="en-ZA"/>
                </w:rPr>
                <w:t>par excellence</w:t>
              </w:r>
              <w:r w:rsidR="004A5AE3" w:rsidRPr="00F65173">
                <w:rPr>
                  <w:i/>
                  <w:color w:val="1F497D" w:themeColor="text2"/>
                  <w:sz w:val="24"/>
                  <w:szCs w:val="24"/>
                  <w:vertAlign w:val="superscript"/>
                  <w:lang w:val="en-ZA"/>
                </w:rPr>
                <w:footnoteReference w:id="9"/>
              </w:r>
              <w:r w:rsidR="004A5AE3" w:rsidRPr="00F65173">
                <w:rPr>
                  <w:color w:val="1F497D" w:themeColor="text2"/>
                  <w:sz w:val="24"/>
                  <w:szCs w:val="24"/>
                  <w:lang w:val="en-ZA"/>
                </w:rPr>
                <w:t xml:space="preserve"> , which intentionally and strategically used geographical dislocation to exclude people according to racial lines from the space and economy. </w:t>
              </w:r>
              <w:r w:rsidR="00BF1906" w:rsidRPr="00F65173">
                <w:rPr>
                  <w:color w:val="1F497D" w:themeColor="text2"/>
                  <w:sz w:val="24"/>
                  <w:szCs w:val="24"/>
                  <w:lang w:val="en-ZA"/>
                </w:rPr>
                <w:t>Since 1994, through a number of programes such as the Reconstruction and Development Programme (RDP), the Breaking New Ground (BNG) and the National Development Plan (NDP) South Africa has recognised that the effects of apartheid spatial planning and its patterns linger on and has sought to break them down through land reform, more compact cities, decent public transport and the development of industries and services that use local resources and/or meet local needs’.</w:t>
              </w:r>
              <w:r w:rsidR="00BF1906" w:rsidRPr="00F65173">
                <w:rPr>
                  <w:color w:val="1F497D" w:themeColor="text2"/>
                  <w:sz w:val="24"/>
                  <w:szCs w:val="24"/>
                  <w:vertAlign w:val="superscript"/>
                  <w:lang w:val="en-ZA"/>
                </w:rPr>
                <w:footnoteReference w:id="10"/>
              </w:r>
              <w:r w:rsidR="00BF1906" w:rsidRPr="00F65173">
                <w:rPr>
                  <w:color w:val="1F497D" w:themeColor="text2"/>
                  <w:sz w:val="24"/>
                  <w:szCs w:val="24"/>
                  <w:lang w:val="en-ZA"/>
                </w:rPr>
                <w:t xml:space="preserve"> Despite</w:t>
              </w:r>
              <w:r w:rsidR="00BF1906" w:rsidRPr="00F65173">
                <w:rPr>
                  <w:rFonts w:eastAsia="Calibri"/>
                  <w:color w:val="1F497D" w:themeColor="text2"/>
                  <w:sz w:val="24"/>
                  <w:szCs w:val="24"/>
                  <w:lang w:val="en-ZA"/>
                </w:rPr>
                <w:t xml:space="preserve"> the</w:t>
              </w:r>
              <w:r w:rsidR="00BF1906" w:rsidRPr="00F65173">
                <w:rPr>
                  <w:color w:val="1F497D" w:themeColor="text2"/>
                  <w:sz w:val="24"/>
                  <w:szCs w:val="24"/>
                  <w:lang w:val="en-ZA"/>
                </w:rPr>
                <w:t>se legislative and policy measures adopted by the state, spatial inequalities still exist in South Africa.</w:t>
              </w:r>
              <w:r w:rsidR="00BF1906" w:rsidRPr="00F65173">
                <w:rPr>
                  <w:color w:val="1F497D" w:themeColor="text2"/>
                  <w:sz w:val="24"/>
                  <w:szCs w:val="24"/>
                  <w:vertAlign w:val="superscript"/>
                  <w:lang w:val="en-ZA"/>
                </w:rPr>
                <w:footnoteReference w:id="11"/>
              </w:r>
              <w:r w:rsidR="00BF1906" w:rsidRPr="00F65173">
                <w:rPr>
                  <w:color w:val="1F497D" w:themeColor="text2"/>
                  <w:sz w:val="24"/>
                  <w:szCs w:val="24"/>
                  <w:lang w:val="en-ZA"/>
                </w:rPr>
                <w:t xml:space="preserve"> </w:t>
              </w:r>
              <w:r w:rsidR="006318F2" w:rsidRPr="00F65173">
                <w:rPr>
                  <w:color w:val="1F497D" w:themeColor="text2"/>
                  <w:sz w:val="24"/>
                  <w:szCs w:val="24"/>
                  <w:lang w:val="en-ZA"/>
                </w:rPr>
                <w:t>The spatial inequality is racialised in nature in that</w:t>
              </w:r>
              <w:r w:rsidR="006318F2" w:rsidRPr="00F65173">
                <w:rPr>
                  <w:rFonts w:eastAsia="Calibri"/>
                  <w:color w:val="1F497D" w:themeColor="text2"/>
                  <w:sz w:val="24"/>
                  <w:szCs w:val="24"/>
                  <w:lang w:val="en-ZA"/>
                </w:rPr>
                <w:t xml:space="preserve"> </w:t>
              </w:r>
              <w:r w:rsidR="006318F2" w:rsidRPr="00F65173">
                <w:rPr>
                  <w:color w:val="1F497D" w:themeColor="text2"/>
                  <w:sz w:val="24"/>
                  <w:szCs w:val="24"/>
                  <w:lang w:val="en-ZA"/>
                </w:rPr>
                <w:t xml:space="preserve">majority of poor black households continuing to live in peripheral, </w:t>
              </w:r>
              <w:r w:rsidR="006318F2" w:rsidRPr="00F65173">
                <w:rPr>
                  <w:color w:val="1F497D" w:themeColor="text2"/>
                  <w:sz w:val="24"/>
                  <w:szCs w:val="24"/>
                  <w:lang w:val="en-ZA"/>
                </w:rPr>
                <w:lastRenderedPageBreak/>
                <w:t>poorly located areas with insufficient access to opportunities and resources.</w:t>
              </w:r>
              <w:r w:rsidR="006318F2" w:rsidRPr="00F65173">
                <w:rPr>
                  <w:color w:val="1F497D" w:themeColor="text2"/>
                  <w:sz w:val="24"/>
                  <w:szCs w:val="24"/>
                  <w:vertAlign w:val="superscript"/>
                  <w:lang w:val="en-ZA"/>
                </w:rPr>
                <w:footnoteReference w:id="12"/>
              </w:r>
              <w:r w:rsidR="006318F2" w:rsidRPr="00F65173">
                <w:rPr>
                  <w:color w:val="1F497D" w:themeColor="text2"/>
                  <w:sz w:val="24"/>
                  <w:szCs w:val="24"/>
                  <w:lang w:val="en-ZA"/>
                </w:rPr>
                <w:t xml:space="preserve"> As a result of this planning, unevenness has resulted which has reified and stratified into spatial injustice with privilege and advantage being premised on geographic location and space in and around urban areas.</w:t>
              </w:r>
              <w:r w:rsidR="006318F2" w:rsidRPr="00F65173">
                <w:rPr>
                  <w:color w:val="1F497D" w:themeColor="text2"/>
                  <w:sz w:val="24"/>
                  <w:szCs w:val="24"/>
                  <w:vertAlign w:val="superscript"/>
                  <w:lang w:val="en-ZA"/>
                </w:rPr>
                <w:footnoteReference w:id="13"/>
              </w:r>
              <w:r w:rsidR="006318F2" w:rsidRPr="00F65173">
                <w:rPr>
                  <w:color w:val="1F497D" w:themeColor="text2"/>
                  <w:sz w:val="24"/>
                  <w:szCs w:val="24"/>
                  <w:lang w:val="en-ZA"/>
                </w:rPr>
                <w:t xml:space="preserve"> This has undermined universal access to human rights perpetuating inequality and exclusion.  </w:t>
              </w:r>
            </w:sdtContent>
          </w:sdt>
          <w:r w:rsidR="00226F79" w:rsidRPr="00EF7388" w:rsidDel="004541C6">
            <w:rPr>
              <w:sz w:val="24"/>
              <w:szCs w:val="24"/>
            </w:rPr>
            <w:t xml:space="preserve"> </w:t>
          </w:r>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t>13.</w:t>
      </w:r>
      <w:r w:rsidRPr="00EF7388">
        <w:rPr>
          <w:b/>
          <w:sz w:val="24"/>
          <w:szCs w:val="24"/>
        </w:rPr>
        <w:t xml:space="preserve">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rsidR="00282C50" w:rsidRPr="00EF7388" w:rsidRDefault="00282C50" w:rsidP="004265C2">
      <w:pPr>
        <w:spacing w:line="360" w:lineRule="auto"/>
        <w:jc w:val="both"/>
        <w:rPr>
          <w:sz w:val="24"/>
          <w:szCs w:val="24"/>
        </w:rPr>
      </w:pPr>
    </w:p>
    <w:sdt>
      <w:sdtPr>
        <w:rPr>
          <w:color w:val="1F497D" w:themeColor="text2"/>
          <w:sz w:val="24"/>
          <w:szCs w:val="24"/>
        </w:rPr>
        <w:id w:val="1043406738"/>
      </w:sdtPr>
      <w:sdtEndPr/>
      <w:sdtContent>
        <w:p w:rsidR="008D3877" w:rsidRPr="00F65173" w:rsidRDefault="006318F2" w:rsidP="004265C2">
          <w:pPr>
            <w:spacing w:line="360" w:lineRule="auto"/>
            <w:jc w:val="both"/>
            <w:rPr>
              <w:color w:val="1F497D" w:themeColor="text2"/>
              <w:sz w:val="24"/>
              <w:szCs w:val="24"/>
              <w:lang w:val="en-ZA"/>
            </w:rPr>
          </w:pPr>
          <w:r w:rsidRPr="00F65173">
            <w:rPr>
              <w:color w:val="1F497D" w:themeColor="text2"/>
              <w:sz w:val="24"/>
              <w:szCs w:val="24"/>
            </w:rPr>
            <w:t>The</w:t>
          </w:r>
          <w:r w:rsidRPr="00F65173">
            <w:rPr>
              <w:rFonts w:eastAsia="Calibri"/>
              <w:color w:val="1F497D" w:themeColor="text2"/>
              <w:sz w:val="24"/>
              <w:szCs w:val="24"/>
              <w:lang w:val="en-ZA"/>
            </w:rPr>
            <w:t xml:space="preserve"> spa</w:t>
          </w:r>
          <w:r w:rsidR="008D3877" w:rsidRPr="00F65173">
            <w:rPr>
              <w:rFonts w:eastAsia="Calibri"/>
              <w:color w:val="1F497D" w:themeColor="text2"/>
              <w:sz w:val="24"/>
              <w:szCs w:val="24"/>
              <w:lang w:val="en-ZA"/>
            </w:rPr>
            <w:t xml:space="preserve">tial economy in South Africa </w:t>
          </w:r>
          <w:r w:rsidR="00282C50" w:rsidRPr="00F65173">
            <w:rPr>
              <w:rFonts w:eastAsia="Calibri"/>
              <w:color w:val="1F497D" w:themeColor="text2"/>
              <w:sz w:val="24"/>
              <w:szCs w:val="24"/>
              <w:lang w:val="en-ZA"/>
            </w:rPr>
            <w:t xml:space="preserve">is that </w:t>
          </w:r>
          <w:r w:rsidR="008D3877" w:rsidRPr="00F65173">
            <w:rPr>
              <w:rFonts w:eastAsia="Calibri"/>
              <w:color w:val="1F497D" w:themeColor="text2"/>
              <w:sz w:val="24"/>
              <w:szCs w:val="24"/>
              <w:lang w:val="en-ZA"/>
            </w:rPr>
            <w:t>of a spatial mismatch, which cr</w:t>
          </w:r>
          <w:r w:rsidRPr="00F65173">
            <w:rPr>
              <w:color w:val="1F497D" w:themeColor="text2"/>
              <w:sz w:val="24"/>
              <w:szCs w:val="24"/>
              <w:lang w:val="en-ZA"/>
            </w:rPr>
            <w:t xml:space="preserve">eates an asymmetry on the living conditions of residents in cities between those living in the ‘core areas’ </w:t>
          </w:r>
          <w:r w:rsidRPr="00F65173">
            <w:rPr>
              <w:color w:val="1F497D" w:themeColor="text2"/>
              <w:sz w:val="24"/>
              <w:szCs w:val="24"/>
              <w:lang w:val="en-ZA"/>
            </w:rPr>
            <w:lastRenderedPageBreak/>
            <w:t>and in ‘peripheral areas’. Those in core areas enjoy by design more opportunities of access to education and quality of life, while those in the periphery have limited opportunities and diminished quality of life.</w:t>
          </w:r>
          <w:r w:rsidRPr="00F65173">
            <w:rPr>
              <w:color w:val="1F497D" w:themeColor="text2"/>
              <w:sz w:val="24"/>
              <w:szCs w:val="24"/>
              <w:vertAlign w:val="superscript"/>
              <w:lang w:val="en-ZA"/>
            </w:rPr>
            <w:footnoteReference w:id="14"/>
          </w:r>
          <w:r w:rsidR="008D3877" w:rsidRPr="00F65173">
            <w:rPr>
              <w:color w:val="1F497D" w:themeColor="text2"/>
              <w:sz w:val="24"/>
              <w:szCs w:val="24"/>
              <w:lang w:val="en-ZA"/>
            </w:rPr>
            <w:t xml:space="preserve"> For instance women in peripheral areas</w:t>
          </w:r>
          <w:r w:rsidR="00282C50" w:rsidRPr="00F65173">
            <w:rPr>
              <w:color w:val="1F497D" w:themeColor="text2"/>
              <w:sz w:val="24"/>
              <w:szCs w:val="24"/>
              <w:lang w:val="en-ZA"/>
            </w:rPr>
            <w:t xml:space="preserve"> face a </w:t>
          </w:r>
          <w:r w:rsidR="008D3877" w:rsidRPr="00F65173">
            <w:rPr>
              <w:color w:val="1F497D" w:themeColor="text2"/>
              <w:sz w:val="24"/>
              <w:szCs w:val="24"/>
              <w:lang w:val="en-ZA"/>
            </w:rPr>
            <w:t xml:space="preserve">heightened risk </w:t>
          </w:r>
          <w:r w:rsidR="00282C50" w:rsidRPr="00F65173">
            <w:rPr>
              <w:color w:val="1F497D" w:themeColor="text2"/>
              <w:sz w:val="24"/>
              <w:szCs w:val="24"/>
              <w:lang w:val="en-ZA"/>
            </w:rPr>
            <w:t xml:space="preserve">due to having to travel long distances </w:t>
          </w:r>
          <w:r w:rsidR="008D3877" w:rsidRPr="00F65173">
            <w:rPr>
              <w:color w:val="1F497D" w:themeColor="text2"/>
              <w:sz w:val="24"/>
              <w:szCs w:val="24"/>
              <w:lang w:val="en-ZA"/>
            </w:rPr>
            <w:t>to work in urban centres from far-flung and under-resourced locations.</w:t>
          </w:r>
          <w:r w:rsidR="00955A33" w:rsidRPr="00F65173">
            <w:rPr>
              <w:rStyle w:val="FootnoteReference"/>
              <w:color w:val="1F497D" w:themeColor="text2"/>
              <w:sz w:val="24"/>
              <w:szCs w:val="24"/>
              <w:lang w:val="en-ZA"/>
            </w:rPr>
            <w:footnoteReference w:id="15"/>
          </w:r>
          <w:r w:rsidR="008D3877" w:rsidRPr="00F65173">
            <w:rPr>
              <w:color w:val="1F497D" w:themeColor="text2"/>
              <w:sz w:val="24"/>
              <w:szCs w:val="24"/>
              <w:lang w:val="en-ZA"/>
            </w:rPr>
            <w:t xml:space="preserve"> </w:t>
          </w:r>
          <w:r w:rsidR="00282C50" w:rsidRPr="00F65173">
            <w:rPr>
              <w:color w:val="1F497D" w:themeColor="text2"/>
              <w:sz w:val="24"/>
              <w:szCs w:val="24"/>
              <w:lang w:val="en-ZA"/>
            </w:rPr>
            <w:t>Living on the periphery of the urban areas (core areas) makes it difficult for the poor people to find jobs, which thus creates poverty traps.</w:t>
          </w:r>
          <w:r w:rsidR="00282C50" w:rsidRPr="00F65173">
            <w:rPr>
              <w:rStyle w:val="FootnoteReference"/>
              <w:color w:val="1F497D" w:themeColor="text2"/>
              <w:sz w:val="24"/>
              <w:szCs w:val="24"/>
              <w:lang w:val="en-ZA"/>
            </w:rPr>
            <w:footnoteReference w:id="16"/>
          </w:r>
          <w:r w:rsidR="00026BDC" w:rsidRPr="00F65173">
            <w:rPr>
              <w:color w:val="1F497D" w:themeColor="text2"/>
              <w:sz w:val="24"/>
              <w:szCs w:val="24"/>
              <w:lang w:val="en-ZA"/>
            </w:rPr>
            <w:t xml:space="preserve"> Those in the periphery</w:t>
          </w:r>
          <w:r w:rsidR="00282C50" w:rsidRPr="00F65173">
            <w:rPr>
              <w:color w:val="1F497D" w:themeColor="text2"/>
              <w:sz w:val="24"/>
              <w:szCs w:val="24"/>
              <w:lang w:val="en-ZA"/>
            </w:rPr>
            <w:t xml:space="preserve">, </w:t>
          </w:r>
          <w:r w:rsidR="00026BDC" w:rsidRPr="00F65173">
            <w:rPr>
              <w:color w:val="1F497D" w:themeColor="text2"/>
              <w:sz w:val="24"/>
              <w:szCs w:val="24"/>
              <w:lang w:val="en-ZA"/>
            </w:rPr>
            <w:t>face social and economic exclusion.</w:t>
          </w:r>
          <w:r w:rsidR="00026BDC" w:rsidRPr="00F65173">
            <w:rPr>
              <w:rStyle w:val="FootnoteReference"/>
              <w:color w:val="1F497D" w:themeColor="text2"/>
              <w:sz w:val="24"/>
              <w:szCs w:val="24"/>
              <w:lang w:val="en-ZA"/>
            </w:rPr>
            <w:footnoteReference w:id="17"/>
          </w:r>
        </w:p>
        <w:p w:rsidR="008D3877" w:rsidRPr="00F65173" w:rsidRDefault="008D3877" w:rsidP="004265C2">
          <w:pPr>
            <w:spacing w:line="360" w:lineRule="auto"/>
            <w:jc w:val="both"/>
            <w:rPr>
              <w:color w:val="1F497D" w:themeColor="text2"/>
              <w:sz w:val="24"/>
              <w:szCs w:val="24"/>
              <w:lang w:val="en-ZA"/>
            </w:rPr>
          </w:pPr>
        </w:p>
        <w:p w:rsidR="006D0C62" w:rsidRPr="00EF7388" w:rsidRDefault="00BA4496" w:rsidP="004265C2">
          <w:pPr>
            <w:spacing w:line="360" w:lineRule="auto"/>
            <w:jc w:val="both"/>
            <w:rPr>
              <w:sz w:val="24"/>
              <w:szCs w:val="24"/>
            </w:rPr>
          </w:pPr>
        </w:p>
      </w:sdtContent>
    </w:sdt>
    <w:p w:rsidR="00226F79" w:rsidRPr="00EF7388" w:rsidRDefault="00226F79" w:rsidP="004265C2">
      <w:pPr>
        <w:spacing w:line="360" w:lineRule="auto"/>
        <w:jc w:val="both"/>
        <w:rPr>
          <w:sz w:val="24"/>
          <w:szCs w:val="24"/>
        </w:rPr>
      </w:pPr>
      <w:r w:rsidRPr="00EF7388">
        <w:rPr>
          <w:sz w:val="24"/>
          <w:szCs w:val="24"/>
        </w:rPr>
        <w:t>14</w:t>
      </w:r>
      <w:r w:rsidRPr="00EF7388">
        <w:rPr>
          <w:b/>
          <w:sz w:val="24"/>
          <w:szCs w:val="24"/>
        </w:rPr>
        <w:t>. Have any particular historical or current laws, policies or practices in your country, region or town/community caused or exacerbated segregation?</w:t>
      </w:r>
      <w:r w:rsidRPr="00EF7388">
        <w:rPr>
          <w:sz w:val="24"/>
          <w:szCs w:val="24"/>
        </w:rPr>
        <w:t xml:space="preserve"> </w:t>
      </w:r>
    </w:p>
    <w:p w:rsidR="00026BDC" w:rsidRPr="00EF7388" w:rsidRDefault="00026BDC" w:rsidP="004265C2">
      <w:pPr>
        <w:spacing w:line="360" w:lineRule="auto"/>
        <w:jc w:val="both"/>
        <w:rPr>
          <w:sz w:val="24"/>
          <w:szCs w:val="24"/>
        </w:rPr>
      </w:pPr>
    </w:p>
    <w:sdt>
      <w:sdtPr>
        <w:rPr>
          <w:color w:val="1F497D" w:themeColor="text2"/>
          <w:sz w:val="24"/>
          <w:szCs w:val="24"/>
        </w:rPr>
        <w:id w:val="1911802082"/>
      </w:sdtPr>
      <w:sdtEndPr/>
      <w:sdtContent>
        <w:p w:rsidR="00026BDC" w:rsidRPr="00F65173" w:rsidRDefault="00026BDC" w:rsidP="004265C2">
          <w:pPr>
            <w:spacing w:line="360" w:lineRule="auto"/>
            <w:jc w:val="both"/>
            <w:rPr>
              <w:color w:val="1F497D" w:themeColor="text2"/>
              <w:sz w:val="24"/>
              <w:szCs w:val="24"/>
            </w:rPr>
          </w:pPr>
          <w:r w:rsidRPr="00F65173">
            <w:rPr>
              <w:color w:val="1F497D" w:themeColor="text2"/>
              <w:sz w:val="24"/>
              <w:szCs w:val="24"/>
            </w:rPr>
            <w:t>South Africa inherited histori</w:t>
          </w:r>
          <w:r w:rsidR="00AA3C8A" w:rsidRPr="00F65173">
            <w:rPr>
              <w:color w:val="1F497D" w:themeColor="text2"/>
              <w:sz w:val="24"/>
              <w:szCs w:val="24"/>
            </w:rPr>
            <w:t>cal legacy of apartheid anchored on centuries of legislative and policy implementation which relegated t</w:t>
          </w:r>
          <w:r w:rsidRPr="00F65173">
            <w:rPr>
              <w:color w:val="1F497D" w:themeColor="text2"/>
              <w:sz w:val="24"/>
              <w:szCs w:val="24"/>
            </w:rPr>
            <w:t>he black majority to</w:t>
          </w:r>
          <w:r w:rsidR="00AA3C8A" w:rsidRPr="00F65173">
            <w:rPr>
              <w:color w:val="1F497D" w:themeColor="text2"/>
              <w:sz w:val="24"/>
              <w:szCs w:val="24"/>
            </w:rPr>
            <w:t xml:space="preserve"> the land which was unproductive and edged them out from space and economy. Legislation such as the </w:t>
          </w:r>
          <w:r w:rsidRPr="00F65173">
            <w:rPr>
              <w:color w:val="1F497D" w:themeColor="text2"/>
              <w:sz w:val="24"/>
              <w:szCs w:val="24"/>
            </w:rPr>
            <w:t xml:space="preserve">Hut </w:t>
          </w:r>
          <w:r w:rsidRPr="00F65173">
            <w:rPr>
              <w:color w:val="1F497D" w:themeColor="text2"/>
              <w:sz w:val="24"/>
              <w:szCs w:val="24"/>
            </w:rPr>
            <w:lastRenderedPageBreak/>
            <w:t>taxes (starting in 1870) and the Natives Land Acts of 1913 and 192</w:t>
          </w:r>
          <w:r w:rsidR="00AA3C8A" w:rsidRPr="00F65173">
            <w:rPr>
              <w:color w:val="1F497D" w:themeColor="text2"/>
              <w:sz w:val="24"/>
              <w:szCs w:val="24"/>
            </w:rPr>
            <w:t xml:space="preserve">6, was </w:t>
          </w:r>
          <w:r w:rsidR="00747302" w:rsidRPr="00F65173">
            <w:rPr>
              <w:color w:val="1F497D" w:themeColor="text2"/>
              <w:sz w:val="24"/>
              <w:szCs w:val="24"/>
            </w:rPr>
            <w:t>strategically</w:t>
          </w:r>
          <w:r w:rsidR="00AA3C8A" w:rsidRPr="00F65173">
            <w:rPr>
              <w:color w:val="1F497D" w:themeColor="text2"/>
              <w:sz w:val="24"/>
              <w:szCs w:val="24"/>
            </w:rPr>
            <w:t xml:space="preserve"> designed to confine blacks to the </w:t>
          </w:r>
          <w:r w:rsidR="00747302" w:rsidRPr="00F65173">
            <w:rPr>
              <w:color w:val="1F497D" w:themeColor="text2"/>
              <w:sz w:val="24"/>
              <w:szCs w:val="24"/>
            </w:rPr>
            <w:t>periphery</w:t>
          </w:r>
          <w:r w:rsidR="00AA3C8A" w:rsidRPr="00F65173">
            <w:rPr>
              <w:color w:val="1F497D" w:themeColor="text2"/>
              <w:sz w:val="24"/>
              <w:szCs w:val="24"/>
            </w:rPr>
            <w:t xml:space="preserve"> and </w:t>
          </w:r>
          <w:r w:rsidR="00747302" w:rsidRPr="00F65173">
            <w:rPr>
              <w:color w:val="1F497D" w:themeColor="text2"/>
              <w:sz w:val="24"/>
              <w:szCs w:val="24"/>
            </w:rPr>
            <w:t>viewed</w:t>
          </w:r>
          <w:r w:rsidR="00AA3C8A" w:rsidRPr="00F65173">
            <w:rPr>
              <w:color w:val="1F497D" w:themeColor="text2"/>
              <w:sz w:val="24"/>
              <w:szCs w:val="24"/>
            </w:rPr>
            <w:t xml:space="preserve"> them as labour sending rese</w:t>
          </w:r>
          <w:r w:rsidRPr="00F65173">
            <w:rPr>
              <w:color w:val="1F497D" w:themeColor="text2"/>
              <w:sz w:val="24"/>
              <w:szCs w:val="24"/>
            </w:rPr>
            <w:t>rvoirs.</w:t>
          </w:r>
          <w:r w:rsidR="00AA3C8A" w:rsidRPr="00F65173">
            <w:rPr>
              <w:rStyle w:val="FootnoteReference"/>
              <w:color w:val="1F497D" w:themeColor="text2"/>
              <w:sz w:val="24"/>
              <w:szCs w:val="24"/>
            </w:rPr>
            <w:footnoteReference w:id="18"/>
          </w:r>
          <w:r w:rsidRPr="00F65173">
            <w:rPr>
              <w:color w:val="1F497D" w:themeColor="text2"/>
              <w:sz w:val="24"/>
              <w:szCs w:val="24"/>
            </w:rPr>
            <w:t xml:space="preserve"> </w:t>
          </w:r>
        </w:p>
        <w:p w:rsidR="00026BDC" w:rsidRPr="00F65173" w:rsidRDefault="00026BDC" w:rsidP="004265C2">
          <w:pPr>
            <w:spacing w:line="360" w:lineRule="auto"/>
            <w:jc w:val="both"/>
            <w:rPr>
              <w:color w:val="1F497D" w:themeColor="text2"/>
              <w:sz w:val="24"/>
              <w:szCs w:val="24"/>
            </w:rPr>
          </w:pPr>
        </w:p>
        <w:p w:rsidR="00AA3C8A" w:rsidRPr="00F65173" w:rsidRDefault="00AA3C8A" w:rsidP="004265C2">
          <w:pPr>
            <w:spacing w:line="360" w:lineRule="auto"/>
            <w:jc w:val="both"/>
            <w:rPr>
              <w:color w:val="1F497D" w:themeColor="text2"/>
              <w:sz w:val="24"/>
              <w:szCs w:val="24"/>
            </w:rPr>
          </w:pPr>
          <w:r w:rsidRPr="00F65173">
            <w:rPr>
              <w:color w:val="1F497D" w:themeColor="text2"/>
              <w:sz w:val="24"/>
              <w:szCs w:val="24"/>
            </w:rPr>
            <w:t>Unfortunately, the democratic government’s implementation of post-apartheid housing policies has had the adverse impact of reinforcing historical injustices created by apartheid. Through its</w:t>
          </w:r>
          <w:r w:rsidR="00026BDC" w:rsidRPr="00F65173">
            <w:rPr>
              <w:color w:val="1F497D" w:themeColor="text2"/>
              <w:sz w:val="24"/>
              <w:szCs w:val="24"/>
            </w:rPr>
            <w:t xml:space="preserve"> programme </w:t>
          </w:r>
          <w:r w:rsidRPr="00F65173">
            <w:rPr>
              <w:color w:val="1F497D" w:themeColor="text2"/>
              <w:sz w:val="24"/>
              <w:szCs w:val="24"/>
            </w:rPr>
            <w:t xml:space="preserve">of redistributive housing, </w:t>
          </w:r>
          <w:r w:rsidR="00026BDC" w:rsidRPr="00F65173">
            <w:rPr>
              <w:color w:val="1F497D" w:themeColor="text2"/>
              <w:sz w:val="24"/>
              <w:szCs w:val="24"/>
            </w:rPr>
            <w:t>government has built houses in peripheral locations where there is little or no economic growth.  This has had the unintended consequences of exacerbating exclusion, inequality and the entrenchment of poverty.</w:t>
          </w:r>
        </w:p>
        <w:p w:rsidR="00AA3C8A" w:rsidRPr="00F65173" w:rsidRDefault="00AA3C8A" w:rsidP="004265C2">
          <w:pPr>
            <w:spacing w:line="360" w:lineRule="auto"/>
            <w:jc w:val="both"/>
            <w:rPr>
              <w:color w:val="1F497D" w:themeColor="text2"/>
              <w:sz w:val="24"/>
              <w:szCs w:val="24"/>
            </w:rPr>
          </w:pPr>
        </w:p>
        <w:p w:rsidR="00AA3C8A" w:rsidRPr="00F65173" w:rsidRDefault="00CF4E02" w:rsidP="004265C2">
          <w:pPr>
            <w:spacing w:line="360" w:lineRule="auto"/>
            <w:jc w:val="both"/>
            <w:rPr>
              <w:color w:val="1F497D" w:themeColor="text2"/>
              <w:sz w:val="24"/>
              <w:szCs w:val="24"/>
            </w:rPr>
          </w:pPr>
          <w:r w:rsidRPr="00F65173">
            <w:rPr>
              <w:color w:val="1F497D" w:themeColor="text2"/>
              <w:sz w:val="24"/>
              <w:szCs w:val="24"/>
              <w:lang w:val="en-ZA"/>
            </w:rPr>
            <w:t xml:space="preserve">Further, the notion of </w:t>
          </w:r>
          <w:r w:rsidR="00AA3C8A" w:rsidRPr="00F65173">
            <w:rPr>
              <w:color w:val="1F497D" w:themeColor="text2"/>
              <w:sz w:val="24"/>
              <w:szCs w:val="24"/>
              <w:lang w:val="en-ZA"/>
            </w:rPr>
            <w:t>“world class cities”</w:t>
          </w:r>
          <w:r w:rsidRPr="00F65173">
            <w:rPr>
              <w:color w:val="1F497D" w:themeColor="text2"/>
              <w:sz w:val="24"/>
              <w:szCs w:val="24"/>
              <w:lang w:val="en-ZA"/>
            </w:rPr>
            <w:t xml:space="preserve"> as a</w:t>
          </w:r>
          <w:r w:rsidR="00AA3C8A" w:rsidRPr="00F65173">
            <w:rPr>
              <w:color w:val="1F497D" w:themeColor="text2"/>
              <w:sz w:val="24"/>
              <w:szCs w:val="24"/>
              <w:lang w:val="en-ZA"/>
            </w:rPr>
            <w:t xml:space="preserve"> means to attract foreign direct investment to boost the economy can result in ‘preference being granted to private investment in the development of prime land situated close to economic hubs, as opposed to prioritising the needs of the poor’.</w:t>
          </w:r>
          <w:r w:rsidR="00AA3C8A" w:rsidRPr="00F65173">
            <w:rPr>
              <w:color w:val="1F497D" w:themeColor="text2"/>
              <w:sz w:val="24"/>
              <w:szCs w:val="24"/>
              <w:vertAlign w:val="superscript"/>
              <w:lang w:val="en-ZA"/>
            </w:rPr>
            <w:footnoteReference w:id="19"/>
          </w:r>
          <w:r w:rsidR="00AA3C8A" w:rsidRPr="00F65173">
            <w:rPr>
              <w:color w:val="1F497D" w:themeColor="text2"/>
              <w:sz w:val="24"/>
              <w:szCs w:val="24"/>
              <w:lang w:val="en-ZA"/>
            </w:rPr>
            <w:t xml:space="preserve"> This is already evident in the South African context through the proliferation of gated communities.</w:t>
          </w:r>
          <w:r w:rsidR="00AA3C8A" w:rsidRPr="00F65173">
            <w:rPr>
              <w:color w:val="1F497D" w:themeColor="text2"/>
              <w:sz w:val="24"/>
              <w:szCs w:val="24"/>
              <w:vertAlign w:val="superscript"/>
              <w:lang w:val="en-ZA"/>
            </w:rPr>
            <w:footnoteReference w:id="20"/>
          </w:r>
          <w:r w:rsidR="00AA3C8A" w:rsidRPr="00F65173">
            <w:rPr>
              <w:color w:val="1F497D" w:themeColor="text2"/>
              <w:sz w:val="24"/>
              <w:szCs w:val="24"/>
              <w:lang w:val="en-ZA"/>
            </w:rPr>
            <w:t xml:space="preserve"> This is a form of institutionalised residential segregation based on race and class.</w:t>
          </w:r>
        </w:p>
        <w:p w:rsidR="00226F79" w:rsidRPr="00EF7388" w:rsidRDefault="00BA4496" w:rsidP="004265C2">
          <w:pPr>
            <w:spacing w:line="360" w:lineRule="auto"/>
            <w:jc w:val="both"/>
            <w:rPr>
              <w:sz w:val="24"/>
              <w:szCs w:val="24"/>
            </w:rPr>
          </w:pPr>
        </w:p>
      </w:sdtContent>
    </w:sdt>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t xml:space="preserve">15. </w:t>
      </w:r>
      <w:r w:rsidRPr="00EF7388">
        <w:rPr>
          <w:b/>
          <w:sz w:val="24"/>
          <w:szCs w:val="24"/>
        </w:rPr>
        <w:t xml:space="preserve">In your view, what factors (current or historical) are the principal </w:t>
      </w:r>
      <w:r w:rsidRPr="00EF7388">
        <w:rPr>
          <w:b/>
          <w:i/>
          <w:sz w:val="24"/>
          <w:szCs w:val="24"/>
        </w:rPr>
        <w:t>drivers</w:t>
      </w:r>
      <w:r w:rsidRPr="00EF7388">
        <w:rPr>
          <w:b/>
          <w:sz w:val="24"/>
          <w:szCs w:val="24"/>
        </w:rPr>
        <w:t xml:space="preserve"> of spatial and residential segregation in urban and urban-rural contexts in your country?</w:t>
      </w:r>
      <w:r w:rsidRPr="00EF7388">
        <w:rPr>
          <w:sz w:val="24"/>
          <w:szCs w:val="24"/>
        </w:rPr>
        <w:t xml:space="preserve"> </w:t>
      </w:r>
    </w:p>
    <w:p w:rsidR="00CF4E02" w:rsidRPr="00EF7388" w:rsidRDefault="00CF4E02" w:rsidP="004265C2">
      <w:pPr>
        <w:spacing w:line="360" w:lineRule="auto"/>
        <w:jc w:val="both"/>
        <w:rPr>
          <w:sz w:val="24"/>
          <w:szCs w:val="24"/>
        </w:rPr>
      </w:pPr>
    </w:p>
    <w:p w:rsidR="00226F79" w:rsidRPr="00EF7388" w:rsidRDefault="00BA4496" w:rsidP="004265C2">
      <w:pPr>
        <w:spacing w:line="360" w:lineRule="auto"/>
        <w:jc w:val="both"/>
        <w:rPr>
          <w:sz w:val="24"/>
          <w:szCs w:val="24"/>
        </w:rPr>
      </w:pPr>
      <w:sdt>
        <w:sdtPr>
          <w:rPr>
            <w:sz w:val="24"/>
            <w:szCs w:val="24"/>
          </w:rPr>
          <w:id w:val="-796444237"/>
        </w:sdtPr>
        <w:sdtEndPr/>
        <w:sdtContent>
          <w:sdt>
            <w:sdtPr>
              <w:rPr>
                <w:color w:val="1F497D" w:themeColor="text2"/>
                <w:sz w:val="24"/>
                <w:szCs w:val="24"/>
              </w:rPr>
              <w:id w:val="-914243571"/>
            </w:sdtPr>
            <w:sdtEndPr/>
            <w:sdtContent>
              <w:r w:rsidR="00CF4E02" w:rsidRPr="00F65173">
                <w:rPr>
                  <w:color w:val="1F497D" w:themeColor="text2"/>
                  <w:sz w:val="24"/>
                  <w:szCs w:val="24"/>
                  <w:lang w:val="en-ZA"/>
                </w:rPr>
                <w:t xml:space="preserve">The drivers of spatial segregation include the historical factor of </w:t>
              </w:r>
              <w:r w:rsidR="000F6A9F" w:rsidRPr="00F65173">
                <w:rPr>
                  <w:color w:val="1F497D" w:themeColor="text2"/>
                  <w:sz w:val="24"/>
                  <w:szCs w:val="24"/>
                  <w:lang w:val="en-ZA"/>
                </w:rPr>
                <w:t>apartheid</w:t>
              </w:r>
              <w:r w:rsidR="00CF4E02" w:rsidRPr="00F65173">
                <w:rPr>
                  <w:color w:val="1F497D" w:themeColor="text2"/>
                  <w:sz w:val="24"/>
                  <w:szCs w:val="24"/>
                  <w:lang w:val="en-ZA"/>
                </w:rPr>
                <w:t xml:space="preserve"> spatial planning. The other factors, as highlighted above include: government’s</w:t>
              </w:r>
              <w:r w:rsidR="00CF4E02" w:rsidRPr="00F65173">
                <w:rPr>
                  <w:color w:val="1F497D" w:themeColor="text2"/>
                  <w:sz w:val="24"/>
                  <w:szCs w:val="24"/>
                </w:rPr>
                <w:t xml:space="preserve"> </w:t>
              </w:r>
              <w:r w:rsidR="00CF4E02" w:rsidRPr="00F65173">
                <w:rPr>
                  <w:color w:val="1F497D" w:themeColor="text2"/>
                  <w:sz w:val="24"/>
                  <w:szCs w:val="24"/>
                  <w:lang w:val="en-ZA"/>
                </w:rPr>
                <w:t>post-apartheid housing subsidy programmes which have reinforced poverty due to the location of housing opportunities provided; the notion of the ‘world class cities” which has not</w:t>
              </w:r>
              <w:r w:rsidR="006318F2" w:rsidRPr="00F65173">
                <w:rPr>
                  <w:color w:val="1F497D" w:themeColor="text2"/>
                  <w:sz w:val="24"/>
                  <w:szCs w:val="24"/>
                  <w:lang w:val="en-ZA"/>
                </w:rPr>
                <w:t xml:space="preserve"> recognised the needs of poor sufficiently to prevent the reinforcement of separ</w:t>
              </w:r>
              <w:r w:rsidR="00CF4E02" w:rsidRPr="00F65173">
                <w:rPr>
                  <w:color w:val="1F497D" w:themeColor="text2"/>
                  <w:sz w:val="24"/>
                  <w:szCs w:val="24"/>
                  <w:lang w:val="en-ZA"/>
                </w:rPr>
                <w:t xml:space="preserve">ation and exclusion; and the phenomenon of gentrification </w:t>
              </w:r>
              <w:r w:rsidR="00390884" w:rsidRPr="00F65173">
                <w:rPr>
                  <w:color w:val="1F497D" w:themeColor="text2"/>
                  <w:sz w:val="24"/>
                  <w:szCs w:val="24"/>
                  <w:lang w:val="en-ZA"/>
                </w:rPr>
                <w:t>which edges out and displaces historical communities due to capital investments which plummet the cost of living in a particular area.</w:t>
              </w:r>
              <w:r w:rsidR="00390884" w:rsidRPr="00F65173">
                <w:rPr>
                  <w:rStyle w:val="FootnoteReference"/>
                  <w:color w:val="1F497D" w:themeColor="text2"/>
                  <w:sz w:val="24"/>
                  <w:szCs w:val="24"/>
                  <w:lang w:val="en-ZA"/>
                </w:rPr>
                <w:footnoteReference w:id="21"/>
              </w:r>
              <w:r w:rsidR="00390884" w:rsidRPr="00F65173">
                <w:rPr>
                  <w:color w:val="1F497D" w:themeColor="text2"/>
                  <w:sz w:val="24"/>
                  <w:szCs w:val="24"/>
                  <w:lang w:val="en-ZA"/>
                </w:rPr>
                <w:t xml:space="preserve"> </w:t>
              </w:r>
            </w:sdtContent>
          </w:sdt>
          <w:r w:rsidR="00390884" w:rsidRPr="00EF7388">
            <w:rPr>
              <w:sz w:val="24"/>
              <w:szCs w:val="24"/>
            </w:rPr>
            <w:t xml:space="preserve">  </w:t>
          </w:r>
          <w:r w:rsidR="00226F79" w:rsidRPr="00EF7388" w:rsidDel="004541C6">
            <w:rPr>
              <w:sz w:val="24"/>
              <w:szCs w:val="24"/>
            </w:rPr>
            <w:t xml:space="preserve"> </w:t>
          </w:r>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b/>
          <w:sz w:val="24"/>
          <w:szCs w:val="24"/>
        </w:rPr>
      </w:pPr>
      <w:r w:rsidRPr="00EF7388">
        <w:rPr>
          <w:sz w:val="24"/>
          <w:szCs w:val="24"/>
        </w:rPr>
        <w:t xml:space="preserve">16. </w:t>
      </w:r>
      <w:r w:rsidRPr="00EF7388">
        <w:rPr>
          <w:b/>
          <w:sz w:val="24"/>
          <w:szCs w:val="24"/>
        </w:rPr>
        <w:t xml:space="preserve">Are there examples in your country of where spatial and residential clustering has been a result of voluntary choices of residence by members of particular groups? </w:t>
      </w:r>
    </w:p>
    <w:p w:rsidR="004A7867" w:rsidRPr="00EF7388" w:rsidRDefault="004A7867" w:rsidP="004265C2">
      <w:pPr>
        <w:spacing w:line="360" w:lineRule="auto"/>
        <w:jc w:val="both"/>
        <w:rPr>
          <w:sz w:val="24"/>
          <w:szCs w:val="24"/>
        </w:rPr>
      </w:pPr>
    </w:p>
    <w:p w:rsidR="00226F79" w:rsidRPr="00EF7388" w:rsidRDefault="00BA4496" w:rsidP="004265C2">
      <w:pPr>
        <w:spacing w:line="360" w:lineRule="auto"/>
        <w:jc w:val="both"/>
        <w:rPr>
          <w:sz w:val="24"/>
          <w:szCs w:val="24"/>
        </w:rPr>
      </w:pPr>
      <w:sdt>
        <w:sdtPr>
          <w:rPr>
            <w:sz w:val="24"/>
            <w:szCs w:val="24"/>
          </w:rPr>
          <w:id w:val="-155766628"/>
        </w:sdtPr>
        <w:sdtEndPr/>
        <w:sdtContent>
          <w:sdt>
            <w:sdtPr>
              <w:rPr>
                <w:sz w:val="24"/>
                <w:szCs w:val="24"/>
              </w:rPr>
              <w:id w:val="427857712"/>
            </w:sdtPr>
            <w:sdtEndPr/>
            <w:sdtContent>
              <w:sdt>
                <w:sdtPr>
                  <w:rPr>
                    <w:color w:val="1F497D" w:themeColor="text2"/>
                    <w:sz w:val="24"/>
                    <w:szCs w:val="24"/>
                  </w:rPr>
                  <w:id w:val="2071919888"/>
                </w:sdtPr>
                <w:sdtEndPr/>
                <w:sdtContent>
                  <w:r w:rsidR="00987ADB" w:rsidRPr="00F65173">
                    <w:rPr>
                      <w:color w:val="1F497D" w:themeColor="text2"/>
                      <w:sz w:val="24"/>
                      <w:szCs w:val="24"/>
                    </w:rPr>
                    <w:t>The</w:t>
                  </w:r>
                  <w:r w:rsidR="00B63C9B" w:rsidRPr="00F65173">
                    <w:rPr>
                      <w:color w:val="1F497D" w:themeColor="text2"/>
                      <w:sz w:val="24"/>
                      <w:szCs w:val="24"/>
                    </w:rPr>
                    <w:t>re is a group made up of Afrika</w:t>
                  </w:r>
                  <w:r w:rsidR="00987ADB" w:rsidRPr="00F65173">
                    <w:rPr>
                      <w:color w:val="1F497D" w:themeColor="text2"/>
                      <w:sz w:val="24"/>
                      <w:szCs w:val="24"/>
                    </w:rPr>
                    <w:t xml:space="preserve">ner nationalists in a town called Orania where only white people may reside. Residents of Orania rely on the right to self-determination under </w:t>
                  </w:r>
                  <w:r w:rsidR="00987ADB" w:rsidRPr="00F65173">
                    <w:rPr>
                      <w:color w:val="1F497D" w:themeColor="text2"/>
                      <w:sz w:val="24"/>
                      <w:szCs w:val="24"/>
                    </w:rPr>
                    <w:lastRenderedPageBreak/>
                    <w:t>section 245 of the Constitution to resist attempts to incorporate them into a local municipality and to reinforce their right to live separately from the rest of South Africa.</w:t>
                  </w:r>
                  <w:r w:rsidR="00987ADB" w:rsidRPr="00F65173">
                    <w:rPr>
                      <w:rStyle w:val="FootnoteReference"/>
                      <w:color w:val="1F497D" w:themeColor="text2"/>
                      <w:sz w:val="24"/>
                      <w:szCs w:val="24"/>
                    </w:rPr>
                    <w:footnoteReference w:id="22"/>
                  </w:r>
                  <w:r w:rsidR="00987ADB" w:rsidRPr="00F65173">
                    <w:rPr>
                      <w:color w:val="1F497D" w:themeColor="text2"/>
                      <w:sz w:val="24"/>
                      <w:szCs w:val="24"/>
                    </w:rPr>
                    <w:t xml:space="preserve"> It must be noted that the existence of the town operates contrary of the principles of equality, non-discrimination and dignity enshrined in the Constitution. There</w:t>
                  </w:r>
                  <w:r w:rsidR="00B63C9B" w:rsidRPr="00F65173">
                    <w:rPr>
                      <w:color w:val="1F497D" w:themeColor="text2"/>
                      <w:sz w:val="24"/>
                      <w:szCs w:val="24"/>
                    </w:rPr>
                    <w:t xml:space="preserve"> is no evidence that the Afrika</w:t>
                  </w:r>
                  <w:r w:rsidR="00987ADB" w:rsidRPr="00F65173">
                    <w:rPr>
                      <w:color w:val="1F497D" w:themeColor="text2"/>
                      <w:sz w:val="24"/>
                      <w:szCs w:val="24"/>
                    </w:rPr>
                    <w:t xml:space="preserve">ner group in South Africa has been the subject of discrimination.     </w:t>
                  </w:r>
                </w:sdtContent>
              </w:sdt>
              <w:r w:rsidR="00987ADB" w:rsidRPr="00EF7388" w:rsidDel="004541C6">
                <w:rPr>
                  <w:sz w:val="24"/>
                  <w:szCs w:val="24"/>
                </w:rPr>
                <w:t xml:space="preserve"> </w:t>
              </w:r>
              <w:r w:rsidR="00987ADB" w:rsidRPr="00EF7388">
                <w:rPr>
                  <w:sz w:val="24"/>
                  <w:szCs w:val="24"/>
                </w:rPr>
                <w:t xml:space="preserve"> </w:t>
              </w:r>
            </w:sdtContent>
          </w:sdt>
          <w:r w:rsidR="00226F79" w:rsidRPr="00EF7388" w:rsidDel="004541C6">
            <w:rPr>
              <w:sz w:val="24"/>
              <w:szCs w:val="24"/>
            </w:rPr>
            <w:t xml:space="preserve"> </w:t>
          </w:r>
        </w:sdtContent>
      </w:sdt>
    </w:p>
    <w:p w:rsidR="00226F79" w:rsidRPr="00EF7388" w:rsidRDefault="00226F79" w:rsidP="004265C2">
      <w:pPr>
        <w:spacing w:line="360" w:lineRule="auto"/>
        <w:jc w:val="both"/>
        <w:rPr>
          <w:sz w:val="24"/>
          <w:szCs w:val="24"/>
        </w:rPr>
      </w:pPr>
    </w:p>
    <w:p w:rsidR="004A7867" w:rsidRPr="00EF7388" w:rsidRDefault="00226F79" w:rsidP="004265C2">
      <w:pPr>
        <w:spacing w:line="360" w:lineRule="auto"/>
        <w:jc w:val="both"/>
        <w:rPr>
          <w:b/>
          <w:sz w:val="24"/>
          <w:szCs w:val="24"/>
        </w:rPr>
      </w:pPr>
      <w:r w:rsidRPr="00EF7388">
        <w:rPr>
          <w:sz w:val="24"/>
          <w:szCs w:val="24"/>
        </w:rPr>
        <w:t xml:space="preserve">17. </w:t>
      </w:r>
      <w:r w:rsidRPr="00EF7388">
        <w:rPr>
          <w:b/>
          <w:sz w:val="24"/>
          <w:szCs w:val="24"/>
        </w:rPr>
        <w:t xml:space="preserve">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226F79" w:rsidRPr="00EF7388" w:rsidRDefault="00226F79" w:rsidP="004265C2">
      <w:pPr>
        <w:spacing w:line="360" w:lineRule="auto"/>
        <w:jc w:val="both"/>
        <w:rPr>
          <w:sz w:val="24"/>
          <w:szCs w:val="24"/>
        </w:rPr>
      </w:pPr>
      <w:r w:rsidRPr="00EF7388">
        <w:rPr>
          <w:b/>
          <w:sz w:val="24"/>
          <w:szCs w:val="24"/>
        </w:rPr>
        <w:t xml:space="preserve"> </w:t>
      </w:r>
    </w:p>
    <w:p w:rsidR="006D0C62" w:rsidRPr="00EF7388" w:rsidRDefault="00BA4496" w:rsidP="004265C2">
      <w:pPr>
        <w:spacing w:line="360" w:lineRule="auto"/>
        <w:jc w:val="both"/>
        <w:rPr>
          <w:sz w:val="24"/>
          <w:szCs w:val="24"/>
        </w:rPr>
      </w:pPr>
      <w:sdt>
        <w:sdtPr>
          <w:rPr>
            <w:color w:val="1F497D" w:themeColor="text2"/>
            <w:sz w:val="24"/>
            <w:szCs w:val="24"/>
          </w:rPr>
          <w:id w:val="1909880691"/>
        </w:sdtPr>
        <w:sdtEndPr/>
        <w:sdtContent>
          <w:r w:rsidR="00987ADB" w:rsidRPr="00F65173">
            <w:rPr>
              <w:color w:val="1F497D" w:themeColor="text2"/>
              <w:sz w:val="24"/>
              <w:szCs w:val="24"/>
            </w:rPr>
            <w:t xml:space="preserve">Orania detailed above is one such example. There is no evidence that the </w:t>
          </w:r>
          <w:r w:rsidR="00D62C4C" w:rsidRPr="00F65173">
            <w:rPr>
              <w:color w:val="1F497D" w:themeColor="text2"/>
              <w:sz w:val="24"/>
              <w:szCs w:val="24"/>
            </w:rPr>
            <w:t>Afrikaner</w:t>
          </w:r>
          <w:r w:rsidR="00987ADB" w:rsidRPr="00F65173">
            <w:rPr>
              <w:color w:val="1F497D" w:themeColor="text2"/>
              <w:sz w:val="24"/>
              <w:szCs w:val="24"/>
            </w:rPr>
            <w:t xml:space="preserve"> group in South Africa has been the subject of discrimination.     </w:t>
          </w:r>
        </w:sdtContent>
      </w:sdt>
      <w:r w:rsidR="006D0C62" w:rsidRPr="00EF7388" w:rsidDel="004541C6">
        <w:rPr>
          <w:sz w:val="24"/>
          <w:szCs w:val="24"/>
        </w:rPr>
        <w:t xml:space="preserve"> </w:t>
      </w:r>
    </w:p>
    <w:p w:rsidR="00226F79" w:rsidRPr="00EF7388" w:rsidRDefault="00226F79" w:rsidP="004265C2">
      <w:pPr>
        <w:spacing w:line="360" w:lineRule="auto"/>
        <w:jc w:val="both"/>
        <w:rPr>
          <w:sz w:val="24"/>
          <w:szCs w:val="24"/>
        </w:rPr>
      </w:pPr>
    </w:p>
    <w:p w:rsidR="00226F79" w:rsidRPr="00EF7388" w:rsidRDefault="003A314E" w:rsidP="004265C2">
      <w:pPr>
        <w:spacing w:line="360" w:lineRule="auto"/>
        <w:jc w:val="both"/>
        <w:rPr>
          <w:sz w:val="24"/>
          <w:szCs w:val="24"/>
        </w:rPr>
      </w:pPr>
      <w:r w:rsidRPr="00EF7388">
        <w:rPr>
          <w:sz w:val="24"/>
          <w:szCs w:val="24"/>
        </w:rPr>
        <w:t xml:space="preserve">18. </w:t>
      </w:r>
      <w:r w:rsidR="00226F79" w:rsidRPr="00EF7388">
        <w:rPr>
          <w:b/>
          <w:sz w:val="24"/>
          <w:szCs w:val="24"/>
        </w:rPr>
        <w:t xml:space="preserve">In your view, are certain forms of observed residential separation/voluntary clustering compatible with human rights law and if so why? (for example to protect rights </w:t>
      </w:r>
      <w:r w:rsidR="00226F79" w:rsidRPr="00EF7388">
        <w:rPr>
          <w:b/>
          <w:sz w:val="24"/>
          <w:szCs w:val="24"/>
        </w:rPr>
        <w:lastRenderedPageBreak/>
        <w:t>of minorities or to respect the freedom of choice of individuals to decide with whom to live together).</w:t>
      </w:r>
      <w:r w:rsidR="00226F79" w:rsidRPr="00EF7388">
        <w:rPr>
          <w:sz w:val="24"/>
          <w:szCs w:val="24"/>
        </w:rPr>
        <w:t xml:space="preserve"> </w:t>
      </w:r>
    </w:p>
    <w:p w:rsidR="004A7867" w:rsidRPr="00EF7388" w:rsidRDefault="004A7867" w:rsidP="004265C2">
      <w:pPr>
        <w:spacing w:line="360" w:lineRule="auto"/>
        <w:jc w:val="both"/>
        <w:rPr>
          <w:sz w:val="24"/>
          <w:szCs w:val="24"/>
        </w:rPr>
      </w:pPr>
    </w:p>
    <w:p w:rsidR="00226F79" w:rsidRPr="00EF7388" w:rsidRDefault="00BA4496" w:rsidP="004265C2">
      <w:pPr>
        <w:spacing w:line="360" w:lineRule="auto"/>
        <w:jc w:val="both"/>
        <w:rPr>
          <w:sz w:val="24"/>
          <w:szCs w:val="24"/>
        </w:rPr>
      </w:pPr>
      <w:sdt>
        <w:sdtPr>
          <w:rPr>
            <w:sz w:val="24"/>
            <w:szCs w:val="24"/>
          </w:rPr>
          <w:id w:val="-1361113105"/>
        </w:sdtPr>
        <w:sdtEndPr/>
        <w:sdtContent>
          <w:sdt>
            <w:sdtPr>
              <w:rPr>
                <w:color w:val="1F497D" w:themeColor="text2"/>
                <w:sz w:val="24"/>
                <w:szCs w:val="24"/>
              </w:rPr>
              <w:id w:val="-1861265766"/>
            </w:sdtPr>
            <w:sdtEndPr/>
            <w:sdtContent>
              <w:r w:rsidR="001C1158" w:rsidRPr="00F65173">
                <w:rPr>
                  <w:color w:val="1F497D" w:themeColor="text2"/>
                  <w:sz w:val="24"/>
                  <w:szCs w:val="24"/>
                </w:rPr>
                <w:t xml:space="preserve">The South African Human Rights Commission conducted an </w:t>
              </w:r>
              <w:hyperlink r:id="rId12" w:history="1">
                <w:r w:rsidR="001C1158" w:rsidRPr="00F65173">
                  <w:rPr>
                    <w:rStyle w:val="Hyperlink"/>
                    <w:color w:val="1F497D" w:themeColor="text2"/>
                    <w:sz w:val="24"/>
                    <w:szCs w:val="24"/>
                  </w:rPr>
                  <w:t>inquiry</w:t>
                </w:r>
              </w:hyperlink>
              <w:r w:rsidR="001C1158" w:rsidRPr="00F65173">
                <w:rPr>
                  <w:color w:val="1F497D" w:themeColor="text2"/>
                  <w:sz w:val="24"/>
                  <w:szCs w:val="24"/>
                </w:rPr>
                <w:t xml:space="preserve"> titled “</w:t>
              </w:r>
              <w:r w:rsidR="001C1158" w:rsidRPr="00F65173">
                <w:rPr>
                  <w:i/>
                  <w:color w:val="1F497D" w:themeColor="text2"/>
                  <w:sz w:val="24"/>
                  <w:szCs w:val="24"/>
                </w:rPr>
                <w:t>The Exclusionary Policies of Voluntary Associations: Constitutional Considerations</w:t>
              </w:r>
              <w:r w:rsidR="001C1158" w:rsidRPr="00F65173">
                <w:rPr>
                  <w:color w:val="1F497D" w:themeColor="text2"/>
                  <w:sz w:val="24"/>
                  <w:szCs w:val="24"/>
                </w:rPr>
                <w:t xml:space="preserve">”. The SAHRC </w:t>
              </w:r>
              <w:r w:rsidR="002350C0" w:rsidRPr="00F65173">
                <w:rPr>
                  <w:color w:val="1F497D" w:themeColor="text2"/>
                  <w:sz w:val="24"/>
                  <w:szCs w:val="24"/>
                </w:rPr>
                <w:t xml:space="preserve">highlighted that </w:t>
              </w:r>
              <w:r w:rsidR="001C1158" w:rsidRPr="00F65173">
                <w:rPr>
                  <w:color w:val="1F497D" w:themeColor="text2"/>
                  <w:sz w:val="24"/>
                  <w:szCs w:val="24"/>
                </w:rPr>
                <w:t xml:space="preserve"> </w:t>
              </w:r>
            </w:sdtContent>
          </w:sdt>
          <w:r w:rsidR="002350C0" w:rsidRPr="00F65173">
            <w:rPr>
              <w:color w:val="1F497D" w:themeColor="text2"/>
              <w:sz w:val="24"/>
              <w:szCs w:val="24"/>
            </w:rPr>
            <w:t>in order for a Voluntary association, i.e. a home for the aged set up and maintained by a religious organisation for the primary purpose of providing for the religious and other related needs of those in the community in the twilight of their lives, to be said to fairly discriminate, it should establish a constitutionally sanctioned objective and also demonstrate that the inclusion of a person not affiliated to that faith would materially and significantly affect the voluntary association’s ability to carry out its objectives in order to justify that particular person’s exclusion.</w:t>
          </w:r>
          <w:r w:rsidR="00226F79" w:rsidRPr="00F65173" w:rsidDel="004541C6">
            <w:rPr>
              <w:color w:val="1F497D" w:themeColor="text2"/>
              <w:sz w:val="24"/>
              <w:szCs w:val="24"/>
            </w:rPr>
            <w:t xml:space="preserve"> </w:t>
          </w:r>
          <w:r w:rsidR="0042541F" w:rsidRPr="00F65173">
            <w:rPr>
              <w:color w:val="1F497D" w:themeColor="text2"/>
              <w:sz w:val="24"/>
              <w:szCs w:val="24"/>
            </w:rPr>
            <w:t>Thus, any voluntary or exclusionary clustering has to demonstrate the objectives forming the basis of such exclusion</w:t>
          </w:r>
          <w:r w:rsidR="00825176" w:rsidRPr="00F65173">
            <w:rPr>
              <w:color w:val="1F497D" w:themeColor="text2"/>
              <w:sz w:val="24"/>
              <w:szCs w:val="24"/>
            </w:rPr>
            <w:t xml:space="preserve"> (which have to be sourced in the Constitution)</w:t>
          </w:r>
          <w:r w:rsidR="0042541F" w:rsidRPr="00F65173">
            <w:rPr>
              <w:color w:val="1F497D" w:themeColor="text2"/>
              <w:sz w:val="24"/>
              <w:szCs w:val="24"/>
            </w:rPr>
            <w:t xml:space="preserve">, the impact on the excluded person and whether there are no other less intrusive means which could be adopted. This approach is in line with South Africa’s equality jurisprudence.  </w:t>
          </w:r>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b/>
          <w:sz w:val="24"/>
          <w:szCs w:val="24"/>
        </w:rPr>
      </w:pPr>
      <w:r w:rsidRPr="00EF7388">
        <w:rPr>
          <w:sz w:val="24"/>
          <w:szCs w:val="24"/>
        </w:rPr>
        <w:t>1</w:t>
      </w:r>
      <w:r w:rsidR="003A314E" w:rsidRPr="00EF7388">
        <w:rPr>
          <w:sz w:val="24"/>
          <w:szCs w:val="24"/>
        </w:rPr>
        <w:t>9</w:t>
      </w:r>
      <w:r w:rsidRPr="00EF7388">
        <w:rPr>
          <w:sz w:val="24"/>
          <w:szCs w:val="24"/>
        </w:rPr>
        <w:t xml:space="preserve">. </w:t>
      </w:r>
      <w:r w:rsidRPr="00EF7388">
        <w:rPr>
          <w:b/>
          <w:sz w:val="24"/>
          <w:szCs w:val="24"/>
        </w:rPr>
        <w:t xml:space="preserve">Are there any laws or policies requiring certain individuals (and their families) to live in particular housing provided to them or in a particular geographical area (e.g. </w:t>
      </w:r>
      <w:r w:rsidRPr="00EF7388">
        <w:rPr>
          <w:b/>
          <w:sz w:val="24"/>
          <w:szCs w:val="24"/>
        </w:rPr>
        <w:lastRenderedPageBreak/>
        <w:t>asylum seekers, migrants, IDPs, refugees, ethnic, religious, linguistic or other minorities, indigenous peoples, persons with disabilities, public service and military personnel)?</w:t>
      </w:r>
    </w:p>
    <w:p w:rsidR="004A7867" w:rsidRPr="00EF7388" w:rsidRDefault="004A7867" w:rsidP="004265C2">
      <w:pPr>
        <w:spacing w:line="360" w:lineRule="auto"/>
        <w:jc w:val="both"/>
        <w:rPr>
          <w:sz w:val="24"/>
          <w:szCs w:val="24"/>
        </w:rPr>
      </w:pPr>
    </w:p>
    <w:p w:rsidR="00226F79" w:rsidRPr="00EF7388" w:rsidRDefault="00BA4496" w:rsidP="004265C2">
      <w:pPr>
        <w:spacing w:line="360" w:lineRule="auto"/>
        <w:jc w:val="both"/>
        <w:rPr>
          <w:sz w:val="24"/>
          <w:szCs w:val="24"/>
        </w:rPr>
      </w:pPr>
      <w:sdt>
        <w:sdtPr>
          <w:rPr>
            <w:sz w:val="24"/>
            <w:szCs w:val="24"/>
          </w:rPr>
          <w:id w:val="-1059548944"/>
        </w:sdtPr>
        <w:sdtEndPr/>
        <w:sdtContent>
          <w:r w:rsidR="00226F79" w:rsidRPr="00EF7388" w:rsidDel="004541C6">
            <w:rPr>
              <w:sz w:val="24"/>
              <w:szCs w:val="24"/>
            </w:rPr>
            <w:t xml:space="preserve"> </w:t>
          </w:r>
          <w:r w:rsidR="004A7867" w:rsidRPr="00F65173">
            <w:rPr>
              <w:color w:val="1F497D" w:themeColor="text2"/>
              <w:sz w:val="24"/>
              <w:szCs w:val="24"/>
            </w:rPr>
            <w:t>No</w:t>
          </w:r>
        </w:sdtContent>
      </w:sdt>
    </w:p>
    <w:p w:rsidR="00226F79" w:rsidRPr="00EF7388" w:rsidRDefault="00226F79" w:rsidP="004265C2">
      <w:pPr>
        <w:spacing w:line="360" w:lineRule="auto"/>
        <w:jc w:val="both"/>
        <w:rPr>
          <w:sz w:val="24"/>
          <w:szCs w:val="24"/>
        </w:rPr>
      </w:pPr>
    </w:p>
    <w:p w:rsidR="00226F79" w:rsidRPr="00EF7388" w:rsidRDefault="003A314E" w:rsidP="004265C2">
      <w:pPr>
        <w:spacing w:line="360" w:lineRule="auto"/>
        <w:jc w:val="both"/>
        <w:rPr>
          <w:b/>
          <w:sz w:val="24"/>
          <w:szCs w:val="24"/>
        </w:rPr>
      </w:pPr>
      <w:r w:rsidRPr="00EF7388">
        <w:rPr>
          <w:sz w:val="24"/>
          <w:szCs w:val="24"/>
        </w:rPr>
        <w:t>20</w:t>
      </w:r>
      <w:r w:rsidR="00226F79" w:rsidRPr="00EF7388">
        <w:rPr>
          <w:sz w:val="24"/>
          <w:szCs w:val="24"/>
        </w:rPr>
        <w:t xml:space="preserve">. </w:t>
      </w:r>
      <w:r w:rsidR="00226F79" w:rsidRPr="00EF7388">
        <w:rPr>
          <w:b/>
          <w:sz w:val="24"/>
          <w:szCs w:val="24"/>
        </w:rPr>
        <w:t xml:space="preserve">In your view, what are the principal </w:t>
      </w:r>
      <w:r w:rsidR="00226F79" w:rsidRPr="00EF7388">
        <w:rPr>
          <w:b/>
          <w:i/>
          <w:sz w:val="24"/>
          <w:szCs w:val="24"/>
        </w:rPr>
        <w:t>barriers</w:t>
      </w:r>
      <w:r w:rsidR="00226F79" w:rsidRPr="00EF7388">
        <w:rPr>
          <w:b/>
          <w:sz w:val="24"/>
          <w:szCs w:val="24"/>
        </w:rPr>
        <w:t xml:space="preserve"> to diminishing spatial, including residential segregation?  </w:t>
      </w:r>
    </w:p>
    <w:p w:rsidR="004A7867" w:rsidRPr="00EF7388" w:rsidRDefault="004A7867" w:rsidP="004265C2">
      <w:pPr>
        <w:spacing w:line="360" w:lineRule="auto"/>
        <w:jc w:val="both"/>
        <w:rPr>
          <w:sz w:val="24"/>
          <w:szCs w:val="24"/>
        </w:rPr>
      </w:pPr>
    </w:p>
    <w:p w:rsidR="00226F79" w:rsidRPr="00EF7388" w:rsidRDefault="00BA4496" w:rsidP="004265C2">
      <w:pPr>
        <w:spacing w:line="360" w:lineRule="auto"/>
        <w:jc w:val="both"/>
        <w:rPr>
          <w:sz w:val="24"/>
          <w:szCs w:val="24"/>
        </w:rPr>
      </w:pPr>
      <w:sdt>
        <w:sdtPr>
          <w:rPr>
            <w:sz w:val="24"/>
            <w:szCs w:val="24"/>
          </w:rPr>
          <w:id w:val="-1084141250"/>
        </w:sdtPr>
        <w:sdtEndPr/>
        <w:sdtContent>
          <w:sdt>
            <w:sdtPr>
              <w:rPr>
                <w:color w:val="1F497D" w:themeColor="text2"/>
                <w:sz w:val="24"/>
                <w:szCs w:val="24"/>
              </w:rPr>
              <w:id w:val="148176631"/>
            </w:sdtPr>
            <w:sdtEndPr/>
            <w:sdtContent>
              <w:r w:rsidR="00773AD3" w:rsidRPr="00F65173">
                <w:rPr>
                  <w:color w:val="1F497D" w:themeColor="text2"/>
                  <w:sz w:val="24"/>
                  <w:szCs w:val="24"/>
                </w:rPr>
                <w:t xml:space="preserve">The </w:t>
              </w:r>
              <w:r w:rsidR="00747302" w:rsidRPr="00F65173">
                <w:rPr>
                  <w:color w:val="1F497D" w:themeColor="text2"/>
                  <w:sz w:val="24"/>
                  <w:szCs w:val="24"/>
                </w:rPr>
                <w:t xml:space="preserve">policy practice of government building houses in the periphery hinders spatial integration and perpetuates spatial injustice. The </w:t>
              </w:r>
              <w:r w:rsidR="00773AD3" w:rsidRPr="00F65173">
                <w:rPr>
                  <w:color w:val="1F497D" w:themeColor="text2"/>
                  <w:sz w:val="24"/>
                  <w:szCs w:val="24"/>
                </w:rPr>
                <w:t xml:space="preserve">lack of a central coordinating mechanism to tackle spatial segregation in the country. This </w:t>
              </w:r>
              <w:r w:rsidR="00764279" w:rsidRPr="00F65173">
                <w:rPr>
                  <w:color w:val="1F497D" w:themeColor="text2"/>
                  <w:sz w:val="24"/>
                  <w:szCs w:val="24"/>
                </w:rPr>
                <w:t>coordinating</w:t>
              </w:r>
              <w:r w:rsidR="00773AD3" w:rsidRPr="00F65173">
                <w:rPr>
                  <w:color w:val="1F497D" w:themeColor="text2"/>
                  <w:sz w:val="24"/>
                  <w:szCs w:val="24"/>
                </w:rPr>
                <w:t xml:space="preserve"> mechanisms will develop spatial and human settlements frameworks to ensure that new human settlements developed d</w:t>
              </w:r>
              <w:r w:rsidR="00764279" w:rsidRPr="00F65173">
                <w:rPr>
                  <w:color w:val="1F497D" w:themeColor="text2"/>
                  <w:sz w:val="24"/>
                  <w:szCs w:val="24"/>
                </w:rPr>
                <w:t>o not exacerbate</w:t>
              </w:r>
              <w:r w:rsidR="00773AD3" w:rsidRPr="00F65173">
                <w:rPr>
                  <w:color w:val="1F497D" w:themeColor="text2"/>
                  <w:sz w:val="24"/>
                  <w:szCs w:val="24"/>
                </w:rPr>
                <w:t xml:space="preserve"> spatial segregation but rather ameliorate same. It will ensure greater coordination and collaboration amongst all the spheres of government and all stakeholders. The other barrier </w:t>
              </w:r>
              <w:r w:rsidR="00747302" w:rsidRPr="00F65173">
                <w:rPr>
                  <w:color w:val="1F497D" w:themeColor="text2"/>
                  <w:sz w:val="24"/>
                  <w:szCs w:val="24"/>
                </w:rPr>
                <w:t>has been that the private sector has not been adequately and sufficiently leveraged on to ensure that the human settlements it develops offer spatial integration.</w:t>
              </w:r>
              <w:r w:rsidR="007E552B" w:rsidRPr="00F65173">
                <w:rPr>
                  <w:color w:val="1F497D" w:themeColor="text2"/>
                  <w:sz w:val="24"/>
                  <w:szCs w:val="24"/>
                </w:rPr>
                <w:t xml:space="preserve"> The principal challenge to</w:t>
              </w:r>
              <w:r w:rsidR="00987ADB" w:rsidRPr="00F65173">
                <w:rPr>
                  <w:color w:val="1F497D" w:themeColor="text2"/>
                  <w:sz w:val="24"/>
                  <w:szCs w:val="24"/>
                </w:rPr>
                <w:t xml:space="preserve"> </w:t>
              </w:r>
              <w:r w:rsidR="007E552B" w:rsidRPr="00F65173">
                <w:rPr>
                  <w:color w:val="1F497D" w:themeColor="text2"/>
                  <w:sz w:val="24"/>
                  <w:szCs w:val="24"/>
                </w:rPr>
                <w:t xml:space="preserve">diminishing spatial segregation is financial. Land that is located in the </w:t>
              </w:r>
              <w:r w:rsidR="00987ADB" w:rsidRPr="00F65173">
                <w:rPr>
                  <w:color w:val="1F497D" w:themeColor="text2"/>
                  <w:sz w:val="24"/>
                  <w:szCs w:val="24"/>
                </w:rPr>
                <w:t xml:space="preserve">financial hubs is expensive and that poses challenges for poor people, who are also mostly Black. Land which is located at the periphery of the city is usually more </w:t>
              </w:r>
              <w:r w:rsidR="00987ADB" w:rsidRPr="00F65173">
                <w:rPr>
                  <w:color w:val="1F497D" w:themeColor="text2"/>
                  <w:sz w:val="24"/>
                  <w:szCs w:val="24"/>
                </w:rPr>
                <w:lastRenderedPageBreak/>
                <w:t xml:space="preserve">affordable for government and so it becomes that land that government procures in order to build houses under the RDP housing programme. This has inadvertently perpetuated residential segregation. </w:t>
              </w:r>
              <w:r w:rsidR="00747302" w:rsidRPr="00F65173">
                <w:rPr>
                  <w:color w:val="1F497D" w:themeColor="text2"/>
                  <w:sz w:val="24"/>
                  <w:szCs w:val="24"/>
                </w:rPr>
                <w:t xml:space="preserve"> </w:t>
              </w:r>
            </w:sdtContent>
          </w:sdt>
          <w:r w:rsidR="00226F79" w:rsidRPr="00EF7388" w:rsidDel="004541C6">
            <w:rPr>
              <w:sz w:val="24"/>
              <w:szCs w:val="24"/>
            </w:rPr>
            <w:t xml:space="preserve"> </w:t>
          </w:r>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b/>
          <w:sz w:val="24"/>
          <w:szCs w:val="24"/>
          <w:u w:val="single"/>
        </w:rPr>
      </w:pPr>
      <w:r w:rsidRPr="00EF7388">
        <w:rPr>
          <w:b/>
          <w:sz w:val="24"/>
          <w:szCs w:val="24"/>
          <w:u w:val="single"/>
        </w:rPr>
        <w:t>MEASURES AND GOOD PRACTICES TO CURB DISCRIMINATION AND REDUCE SEGREGATION</w:t>
      </w:r>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t>2</w:t>
      </w:r>
      <w:r w:rsidR="003A314E" w:rsidRPr="00EF7388">
        <w:rPr>
          <w:sz w:val="24"/>
          <w:szCs w:val="24"/>
        </w:rPr>
        <w:t>1</w:t>
      </w:r>
      <w:r w:rsidRPr="00EF7388">
        <w:rPr>
          <w:sz w:val="24"/>
          <w:szCs w:val="24"/>
        </w:rPr>
        <w:t xml:space="preserve">. </w:t>
      </w:r>
      <w:r w:rsidRPr="00EF7388">
        <w:rPr>
          <w:b/>
          <w:sz w:val="24"/>
          <w:szCs w:val="24"/>
        </w:rPr>
        <w:t>What laws, policies or measures exist at national or local level to prevent or prohibit discrimination in relation to the right to adequate housing?</w:t>
      </w:r>
      <w:r w:rsidRPr="00EF7388">
        <w:rPr>
          <w:sz w:val="24"/>
          <w:szCs w:val="24"/>
        </w:rPr>
        <w:t xml:space="preserve"> </w:t>
      </w:r>
    </w:p>
    <w:p w:rsidR="004A7867" w:rsidRPr="00EF7388" w:rsidRDefault="004A7867" w:rsidP="004265C2">
      <w:pPr>
        <w:spacing w:line="360" w:lineRule="auto"/>
        <w:jc w:val="both"/>
        <w:rPr>
          <w:sz w:val="24"/>
          <w:szCs w:val="24"/>
        </w:rPr>
      </w:pPr>
    </w:p>
    <w:sdt>
      <w:sdtPr>
        <w:rPr>
          <w:color w:val="1F497D" w:themeColor="text2"/>
          <w:sz w:val="24"/>
          <w:szCs w:val="24"/>
        </w:rPr>
        <w:id w:val="1273279467"/>
      </w:sdtPr>
      <w:sdtEndPr/>
      <w:sdtContent>
        <w:p w:rsidR="00803EE8" w:rsidRPr="00F65173" w:rsidRDefault="00764279" w:rsidP="004265C2">
          <w:pPr>
            <w:spacing w:line="360" w:lineRule="auto"/>
            <w:jc w:val="both"/>
            <w:rPr>
              <w:color w:val="1F497D" w:themeColor="text2"/>
              <w:sz w:val="24"/>
              <w:szCs w:val="24"/>
            </w:rPr>
          </w:pPr>
          <w:r w:rsidRPr="00F65173">
            <w:rPr>
              <w:color w:val="1F497D" w:themeColor="text2"/>
              <w:sz w:val="24"/>
              <w:szCs w:val="24"/>
            </w:rPr>
            <w:t>The Constitution of the Republic o</w:t>
          </w:r>
          <w:r w:rsidR="0083641D" w:rsidRPr="00F65173">
            <w:rPr>
              <w:color w:val="1F497D" w:themeColor="text2"/>
              <w:sz w:val="24"/>
              <w:szCs w:val="24"/>
            </w:rPr>
            <w:t>f South Africa, 1996 provides the right to equali</w:t>
          </w:r>
          <w:r w:rsidR="004A7867" w:rsidRPr="00F65173">
            <w:rPr>
              <w:color w:val="1F497D" w:themeColor="text2"/>
              <w:sz w:val="24"/>
              <w:szCs w:val="24"/>
            </w:rPr>
            <w:t>ty in section 9. T</w:t>
          </w:r>
          <w:r w:rsidR="007A3A64" w:rsidRPr="00F65173">
            <w:rPr>
              <w:color w:val="1F497D" w:themeColor="text2"/>
              <w:sz w:val="24"/>
              <w:szCs w:val="24"/>
            </w:rPr>
            <w:t xml:space="preserve">his is further buttressed by the Promotion of Equality and Prevention of Unfair Discrimination Act 4 of 200 which generally prohibits unfair discrimination. The Constitution </w:t>
          </w:r>
          <w:r w:rsidR="0083641D" w:rsidRPr="00F65173">
            <w:rPr>
              <w:color w:val="1F497D" w:themeColor="text2"/>
              <w:sz w:val="24"/>
              <w:szCs w:val="24"/>
            </w:rPr>
            <w:t>further provides in</w:t>
          </w:r>
          <w:r w:rsidRPr="00F65173">
            <w:rPr>
              <w:color w:val="1F497D" w:themeColor="text2"/>
              <w:sz w:val="24"/>
              <w:szCs w:val="24"/>
            </w:rPr>
            <w:t xml:space="preserve"> section 26(1) that, “everyone has the right to have access to adequate housing”.  </w:t>
          </w:r>
          <w:r w:rsidR="00803EE8" w:rsidRPr="00F65173">
            <w:rPr>
              <w:color w:val="1F497D" w:themeColor="text2"/>
              <w:sz w:val="24"/>
              <w:szCs w:val="24"/>
            </w:rPr>
            <w:t>In terms of housing, the Rental Housing Act of 1999 (RHA) states that while advertising or negotiating for a lease agreement, or after one has been entered into, “a landlord may not unfairly discriminate against such prospective tenant or tenants, or the members of such tenant’s household or the bona fide visitors of such tenant” on the basis of race, gender, marital status, sexual orientation, ethnic or social origin, or language</w:t>
          </w:r>
        </w:p>
        <w:p w:rsidR="00803EE8" w:rsidRPr="00F65173" w:rsidRDefault="00803EE8" w:rsidP="004265C2">
          <w:pPr>
            <w:spacing w:line="360" w:lineRule="auto"/>
            <w:jc w:val="both"/>
            <w:rPr>
              <w:color w:val="1F497D" w:themeColor="text2"/>
              <w:sz w:val="24"/>
              <w:szCs w:val="24"/>
            </w:rPr>
          </w:pPr>
        </w:p>
        <w:p w:rsidR="00781455" w:rsidRPr="00F65173" w:rsidRDefault="00764279" w:rsidP="004265C2">
          <w:pPr>
            <w:spacing w:line="360" w:lineRule="auto"/>
            <w:jc w:val="both"/>
            <w:rPr>
              <w:color w:val="1F497D" w:themeColor="text2"/>
              <w:sz w:val="24"/>
              <w:szCs w:val="24"/>
            </w:rPr>
          </w:pPr>
          <w:r w:rsidRPr="00F65173">
            <w:rPr>
              <w:color w:val="1F497D" w:themeColor="text2"/>
              <w:sz w:val="24"/>
              <w:szCs w:val="24"/>
            </w:rPr>
            <w:t xml:space="preserve">The Constitutional Court in </w:t>
          </w:r>
          <w:r w:rsidRPr="00F65173">
            <w:rPr>
              <w:i/>
              <w:color w:val="1F497D" w:themeColor="text2"/>
              <w:sz w:val="24"/>
              <w:szCs w:val="24"/>
            </w:rPr>
            <w:t>Government of the Republic of South Africa and others v Grootboom and others</w:t>
          </w:r>
          <w:r w:rsidRPr="00F65173">
            <w:rPr>
              <w:rStyle w:val="FootnoteReference"/>
              <w:color w:val="1F497D" w:themeColor="text2"/>
              <w:sz w:val="24"/>
              <w:szCs w:val="24"/>
            </w:rPr>
            <w:footnoteReference w:id="23"/>
          </w:r>
          <w:r w:rsidRPr="00F65173">
            <w:rPr>
              <w:color w:val="1F497D" w:themeColor="text2"/>
              <w:sz w:val="24"/>
              <w:szCs w:val="24"/>
            </w:rPr>
            <w:t xml:space="preserve"> stated that the section 26(1) places a negative obligation upon the state and all other entities and persons to desist from preventing or impairing the right of access to housing.</w:t>
          </w:r>
          <w:r w:rsidRPr="00F65173">
            <w:rPr>
              <w:rStyle w:val="FootnoteReference"/>
              <w:color w:val="1F497D" w:themeColor="text2"/>
              <w:sz w:val="24"/>
              <w:szCs w:val="24"/>
            </w:rPr>
            <w:footnoteReference w:id="24"/>
          </w:r>
          <w:r w:rsidR="0083641D" w:rsidRPr="00F65173">
            <w:rPr>
              <w:color w:val="1F497D" w:themeColor="text2"/>
              <w:sz w:val="24"/>
              <w:szCs w:val="24"/>
            </w:rPr>
            <w:t xml:space="preserve"> The Constitutional Court has coined reasonableness as the standard of interpretation and has stated that a government programme would be unreasonable if it excludes from its scope those in desperate conditions and in need of immediate</w:t>
          </w:r>
          <w:r w:rsidR="007A3A64" w:rsidRPr="00F65173">
            <w:rPr>
              <w:color w:val="1F497D" w:themeColor="text2"/>
              <w:sz w:val="24"/>
              <w:szCs w:val="24"/>
            </w:rPr>
            <w:t xml:space="preserve"> relief</w:t>
          </w:r>
          <w:r w:rsidR="0083641D" w:rsidRPr="00F65173">
            <w:rPr>
              <w:color w:val="1F497D" w:themeColor="text2"/>
              <w:sz w:val="24"/>
              <w:szCs w:val="24"/>
            </w:rPr>
            <w:t>.</w:t>
          </w:r>
          <w:r w:rsidR="007A3A64" w:rsidRPr="00F65173">
            <w:rPr>
              <w:color w:val="1F497D" w:themeColor="text2"/>
              <w:sz w:val="24"/>
              <w:szCs w:val="24"/>
            </w:rPr>
            <w:t xml:space="preserve"> In the </w:t>
          </w:r>
          <w:r w:rsidR="007A3A64" w:rsidRPr="00F65173">
            <w:rPr>
              <w:i/>
              <w:color w:val="1F497D" w:themeColor="text2"/>
              <w:sz w:val="24"/>
              <w:szCs w:val="24"/>
            </w:rPr>
            <w:t>Blue Moonlight</w:t>
          </w:r>
          <w:r w:rsidR="007A3A64" w:rsidRPr="00F65173">
            <w:rPr>
              <w:color w:val="1F497D" w:themeColor="text2"/>
              <w:sz w:val="24"/>
              <w:szCs w:val="24"/>
            </w:rPr>
            <w:t xml:space="preserve"> case</w:t>
          </w:r>
          <w:r w:rsidR="007A3A64" w:rsidRPr="00F65173">
            <w:rPr>
              <w:rStyle w:val="FootnoteReference"/>
              <w:color w:val="1F497D" w:themeColor="text2"/>
              <w:sz w:val="24"/>
              <w:szCs w:val="24"/>
            </w:rPr>
            <w:footnoteReference w:id="25"/>
          </w:r>
          <w:r w:rsidR="007A3A64" w:rsidRPr="00F65173">
            <w:rPr>
              <w:color w:val="1F497D" w:themeColor="text2"/>
              <w:sz w:val="24"/>
              <w:szCs w:val="24"/>
            </w:rPr>
            <w:t xml:space="preserve"> the Constitutional Court found that the City of Johannesburg’s housing policy was unconstitutional in that it differentiated between persons evicted by a private landowner and those relocated by the City</w:t>
          </w:r>
          <w:r w:rsidR="00803EE8" w:rsidRPr="00F65173">
            <w:rPr>
              <w:color w:val="1F497D" w:themeColor="text2"/>
              <w:sz w:val="24"/>
              <w:szCs w:val="24"/>
            </w:rPr>
            <w:t>.</w:t>
          </w:r>
        </w:p>
        <w:p w:rsidR="00781455" w:rsidRPr="00F65173" w:rsidRDefault="00781455" w:rsidP="004265C2">
          <w:pPr>
            <w:spacing w:line="360" w:lineRule="auto"/>
            <w:jc w:val="both"/>
            <w:rPr>
              <w:color w:val="1F497D" w:themeColor="text2"/>
              <w:sz w:val="24"/>
              <w:szCs w:val="24"/>
            </w:rPr>
          </w:pPr>
        </w:p>
        <w:p w:rsidR="00EF7388" w:rsidRPr="00F65173" w:rsidRDefault="00781455" w:rsidP="004265C2">
          <w:pPr>
            <w:spacing w:line="360" w:lineRule="auto"/>
            <w:jc w:val="both"/>
            <w:rPr>
              <w:color w:val="1F497D" w:themeColor="text2"/>
              <w:sz w:val="24"/>
              <w:szCs w:val="24"/>
            </w:rPr>
          </w:pPr>
          <w:r w:rsidRPr="00F65173">
            <w:rPr>
              <w:color w:val="1F497D" w:themeColor="text2"/>
              <w:sz w:val="24"/>
              <w:szCs w:val="24"/>
            </w:rPr>
            <w:t xml:space="preserve">The Spatial Planning Land Use Management Act </w:t>
          </w:r>
          <w:r w:rsidR="004A7867" w:rsidRPr="00F65173">
            <w:rPr>
              <w:color w:val="1F497D" w:themeColor="text2"/>
              <w:sz w:val="24"/>
              <w:szCs w:val="24"/>
            </w:rPr>
            <w:t xml:space="preserve">(SPLUMA) </w:t>
          </w:r>
          <w:r w:rsidRPr="00F65173">
            <w:rPr>
              <w:color w:val="1F497D" w:themeColor="text2"/>
              <w:sz w:val="24"/>
              <w:szCs w:val="24"/>
            </w:rPr>
            <w:t xml:space="preserve">was implemented in 2015 with the aim of fostering spatial justice. </w:t>
          </w:r>
          <w:r w:rsidR="004A7867" w:rsidRPr="00F65173">
            <w:rPr>
              <w:color w:val="1F497D" w:themeColor="text2"/>
              <w:sz w:val="24"/>
              <w:szCs w:val="24"/>
            </w:rPr>
            <w:t>SPLUMA</w:t>
          </w:r>
          <w:r w:rsidRPr="00F65173">
            <w:rPr>
              <w:color w:val="1F497D" w:themeColor="text2"/>
              <w:sz w:val="24"/>
              <w:szCs w:val="24"/>
            </w:rPr>
            <w:t xml:space="preserve"> lists as one of its objectives to “ensure that the system of spatial planning and land use management promotes social and economic inclusion”. It aims to</w:t>
          </w:r>
          <w:r w:rsidR="004A7867" w:rsidRPr="00F65173">
            <w:rPr>
              <w:color w:val="1F497D" w:themeColor="text2"/>
              <w:sz w:val="24"/>
              <w:szCs w:val="24"/>
            </w:rPr>
            <w:t xml:space="preserve"> abolish </w:t>
          </w:r>
          <w:r w:rsidRPr="00F65173">
            <w:rPr>
              <w:color w:val="1F497D" w:themeColor="text2"/>
              <w:sz w:val="24"/>
              <w:szCs w:val="24"/>
            </w:rPr>
            <w:t xml:space="preserve">land use laws and spatial planning patterns based on racial </w:t>
          </w:r>
          <w:r w:rsidR="007E552B" w:rsidRPr="00F65173">
            <w:rPr>
              <w:color w:val="1F497D" w:themeColor="text2"/>
              <w:sz w:val="24"/>
              <w:szCs w:val="24"/>
            </w:rPr>
            <w:t>inequality</w:t>
          </w:r>
          <w:r w:rsidRPr="00F65173">
            <w:rPr>
              <w:color w:val="1F497D" w:themeColor="text2"/>
              <w:sz w:val="24"/>
              <w:szCs w:val="24"/>
            </w:rPr>
            <w:t xml:space="preserve">, segregation and unsustainable settlement patterns. The purpose of the </w:t>
          </w:r>
          <w:r w:rsidRPr="00F65173">
            <w:rPr>
              <w:color w:val="1F497D" w:themeColor="text2"/>
              <w:sz w:val="24"/>
              <w:szCs w:val="24"/>
            </w:rPr>
            <w:lastRenderedPageBreak/>
            <w:t xml:space="preserve">Act is to achieve its objectives by redressing past spatial imbalances and exclusions, including people and areas that were previously excluded in spatial development projects (especially informal settlements, former homeland areas and areas characterised by widespread poverty and deprivation and upgrading informal areas and settlements. </w:t>
          </w:r>
        </w:p>
        <w:p w:rsidR="00EF7388" w:rsidRPr="00F65173" w:rsidRDefault="00EF7388" w:rsidP="004265C2">
          <w:pPr>
            <w:spacing w:line="360" w:lineRule="auto"/>
            <w:jc w:val="both"/>
            <w:rPr>
              <w:color w:val="1F497D" w:themeColor="text2"/>
              <w:sz w:val="24"/>
              <w:szCs w:val="24"/>
            </w:rPr>
          </w:pPr>
        </w:p>
        <w:p w:rsidR="00B63C9B" w:rsidRPr="00F65173" w:rsidRDefault="00EF7388" w:rsidP="004265C2">
          <w:pPr>
            <w:spacing w:line="360" w:lineRule="auto"/>
            <w:jc w:val="both"/>
            <w:rPr>
              <w:color w:val="1F497D" w:themeColor="text2"/>
              <w:sz w:val="24"/>
              <w:szCs w:val="24"/>
            </w:rPr>
          </w:pPr>
          <w:r w:rsidRPr="00F65173">
            <w:rPr>
              <w:color w:val="1F497D" w:themeColor="text2"/>
              <w:sz w:val="24"/>
              <w:szCs w:val="24"/>
            </w:rPr>
            <w:t>The government has also adopted the Integrated Urban Development Framework (IUDF) which is a national policy framework aimed at the achievement of spatial transformation guided by the ‘3Cs model’ of achieving compact, connected and coordinated cities and towns as opposed to fragmented development.</w:t>
          </w:r>
          <w:r w:rsidRPr="00F65173">
            <w:rPr>
              <w:color w:val="1F497D" w:themeColor="text2"/>
              <w:sz w:val="24"/>
              <w:szCs w:val="24"/>
              <w:vertAlign w:val="superscript"/>
            </w:rPr>
            <w:footnoteReference w:id="26"/>
          </w:r>
          <w:r w:rsidRPr="00F65173">
            <w:rPr>
              <w:color w:val="1F497D" w:themeColor="text2"/>
              <w:sz w:val="24"/>
              <w:szCs w:val="24"/>
            </w:rPr>
            <w:t xml:space="preserve"> However, despite legislative and policy intents, these have not translated to change in the lives of people. This is largely due to weak co-ordination between the three spheres of government and inadequate inter-governmental collaboration. Therefore, to address this ‘change deficit’ and weak co-ordination, government has adopted the National Spatial Development Framework, to enhance the spatial objectives in the National Development Plan. The National Spatial Development Framework is aimed at articulating a post-apartheid spatial development logic. This logic seeks to be a guide and driver of spatial transformation to ensure that everyone enjoys quality of life.</w:t>
          </w:r>
        </w:p>
        <w:p w:rsidR="00226F79" w:rsidRPr="00EF7388" w:rsidRDefault="00BA4496" w:rsidP="004265C2">
          <w:pPr>
            <w:spacing w:line="360" w:lineRule="auto"/>
            <w:jc w:val="both"/>
            <w:rPr>
              <w:sz w:val="24"/>
              <w:szCs w:val="24"/>
            </w:rPr>
          </w:pPr>
        </w:p>
      </w:sdtContent>
    </w:sdt>
    <w:p w:rsidR="00226F79" w:rsidRPr="00EF7388" w:rsidRDefault="003A314E" w:rsidP="004265C2">
      <w:pPr>
        <w:spacing w:line="360" w:lineRule="auto"/>
        <w:jc w:val="both"/>
        <w:rPr>
          <w:b/>
          <w:sz w:val="24"/>
          <w:szCs w:val="24"/>
        </w:rPr>
      </w:pPr>
      <w:r w:rsidRPr="00EF7388">
        <w:rPr>
          <w:sz w:val="24"/>
          <w:szCs w:val="24"/>
        </w:rPr>
        <w:lastRenderedPageBreak/>
        <w:t>22</w:t>
      </w:r>
      <w:r w:rsidR="006D0C62" w:rsidRPr="00EF7388">
        <w:rPr>
          <w:b/>
          <w:sz w:val="24"/>
          <w:szCs w:val="24"/>
        </w:rPr>
        <w:t>. Have</w:t>
      </w:r>
      <w:r w:rsidR="00226F79" w:rsidRPr="00EF7388">
        <w:rPr>
          <w:b/>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rsidR="00226F79" w:rsidRPr="00EF7388" w:rsidRDefault="00BA4496" w:rsidP="004265C2">
      <w:pPr>
        <w:spacing w:line="360" w:lineRule="auto"/>
        <w:jc w:val="both"/>
        <w:rPr>
          <w:sz w:val="24"/>
          <w:szCs w:val="24"/>
        </w:rPr>
      </w:pPr>
      <w:sdt>
        <w:sdtPr>
          <w:rPr>
            <w:sz w:val="24"/>
            <w:szCs w:val="24"/>
          </w:rPr>
          <w:id w:val="1503775671"/>
          <w:showingPlcHdr/>
        </w:sdtPr>
        <w:sdtEndPr/>
        <w:sdtContent>
          <w:r w:rsidR="00226F79" w:rsidRPr="00EF7388">
            <w:rPr>
              <w:rStyle w:val="PlaceholderText"/>
              <w:sz w:val="24"/>
              <w:szCs w:val="24"/>
            </w:rPr>
            <w:t>Click here to enter text.</w:t>
          </w:r>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b/>
          <w:sz w:val="24"/>
          <w:szCs w:val="24"/>
        </w:rPr>
      </w:pPr>
      <w:r w:rsidRPr="00EF7388">
        <w:rPr>
          <w:sz w:val="24"/>
          <w:szCs w:val="24"/>
        </w:rPr>
        <w:t>2</w:t>
      </w:r>
      <w:r w:rsidR="003A314E" w:rsidRPr="00EF7388">
        <w:rPr>
          <w:sz w:val="24"/>
          <w:szCs w:val="24"/>
        </w:rPr>
        <w:t>3</w:t>
      </w:r>
      <w:r w:rsidRPr="00EF7388">
        <w:rPr>
          <w:sz w:val="24"/>
          <w:szCs w:val="24"/>
        </w:rPr>
        <w:t xml:space="preserve">. </w:t>
      </w:r>
      <w:r w:rsidRPr="00EF7388">
        <w:rPr>
          <w:b/>
          <w:sz w:val="24"/>
          <w:szCs w:val="24"/>
        </w:rPr>
        <w:t>Have any particular laws, policies or measures been implemented to limit or reduce residential segregation?  To what extent have such policies raised human rights concerns?</w:t>
      </w:r>
    </w:p>
    <w:p w:rsidR="00371A27" w:rsidRPr="00EF7388" w:rsidRDefault="00371A27" w:rsidP="004265C2">
      <w:pPr>
        <w:spacing w:line="360" w:lineRule="auto"/>
        <w:jc w:val="both"/>
        <w:rPr>
          <w:sz w:val="24"/>
          <w:szCs w:val="24"/>
        </w:rPr>
      </w:pPr>
    </w:p>
    <w:p w:rsidR="00226F79" w:rsidRPr="00EF7388" w:rsidRDefault="00BA4496" w:rsidP="004265C2">
      <w:pPr>
        <w:spacing w:line="360" w:lineRule="auto"/>
        <w:jc w:val="both"/>
        <w:rPr>
          <w:sz w:val="24"/>
          <w:szCs w:val="24"/>
        </w:rPr>
      </w:pPr>
      <w:sdt>
        <w:sdtPr>
          <w:rPr>
            <w:sz w:val="24"/>
            <w:szCs w:val="24"/>
          </w:rPr>
          <w:id w:val="-1718507619"/>
        </w:sdtPr>
        <w:sdtEndPr/>
        <w:sdtContent>
          <w:sdt>
            <w:sdtPr>
              <w:rPr>
                <w:color w:val="1F497D" w:themeColor="text2"/>
                <w:sz w:val="24"/>
                <w:szCs w:val="24"/>
              </w:rPr>
              <w:id w:val="-2110036250"/>
            </w:sdtPr>
            <w:sdtEndPr/>
            <w:sdtContent>
              <w:r w:rsidR="00371A27" w:rsidRPr="00851B6A">
                <w:rPr>
                  <w:color w:val="1F497D" w:themeColor="text2"/>
                  <w:sz w:val="24"/>
                  <w:szCs w:val="24"/>
                </w:rPr>
                <w:t xml:space="preserve">See above at 21 and the </w:t>
              </w:r>
              <w:hyperlink r:id="rId13" w:history="1">
                <w:r w:rsidR="00371A27" w:rsidRPr="00851B6A">
                  <w:rPr>
                    <w:rStyle w:val="Hyperlink"/>
                    <w:color w:val="1F497D" w:themeColor="text2"/>
                    <w:sz w:val="24"/>
                    <w:szCs w:val="24"/>
                  </w:rPr>
                  <w:t>Tafelberg</w:t>
                </w:r>
              </w:hyperlink>
              <w:r w:rsidR="00371A27" w:rsidRPr="00851B6A">
                <w:rPr>
                  <w:color w:val="1F497D" w:themeColor="text2"/>
                  <w:sz w:val="24"/>
                  <w:szCs w:val="24"/>
                </w:rPr>
                <w:t xml:space="preserve"> case where the court held that sections 25 and 26 of the Constitution creates an imperative to address historically unequal distribution of land. The court held that the Western Cape Provincial government (this translates to all the provincial governments across the country) has an obligation to promote spatial justice through the integration of the city’s neighbourhoods under SPLUMA. </w:t>
              </w:r>
            </w:sdtContent>
          </w:sdt>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b/>
          <w:sz w:val="24"/>
          <w:szCs w:val="24"/>
        </w:rPr>
      </w:pPr>
      <w:r w:rsidRPr="00EF7388">
        <w:rPr>
          <w:sz w:val="24"/>
          <w:szCs w:val="24"/>
        </w:rPr>
        <w:t>2</w:t>
      </w:r>
      <w:r w:rsidR="00487B1A" w:rsidRPr="00EF7388">
        <w:rPr>
          <w:sz w:val="24"/>
          <w:szCs w:val="24"/>
        </w:rPr>
        <w:t>4</w:t>
      </w:r>
      <w:r w:rsidRPr="00EF7388">
        <w:rPr>
          <w:sz w:val="24"/>
          <w:szCs w:val="24"/>
        </w:rPr>
        <w:t xml:space="preserve">. </w:t>
      </w:r>
      <w:r w:rsidRPr="00EF7388">
        <w:rPr>
          <w:b/>
          <w:sz w:val="24"/>
          <w:szCs w:val="24"/>
        </w:rPr>
        <w:t>What is the role of the media, as well as other non- governmental organizations, of religious and governmental institutions, in fostering a climate that reduces or exacerbates discrimination in relation to housing and segregation?</w:t>
      </w:r>
    </w:p>
    <w:p w:rsidR="00371A27" w:rsidRPr="00EF7388" w:rsidRDefault="00371A27" w:rsidP="004265C2">
      <w:pPr>
        <w:spacing w:line="360" w:lineRule="auto"/>
        <w:jc w:val="both"/>
        <w:rPr>
          <w:b/>
          <w:sz w:val="24"/>
          <w:szCs w:val="24"/>
        </w:rPr>
      </w:pPr>
    </w:p>
    <w:sdt>
      <w:sdtPr>
        <w:rPr>
          <w:color w:val="1F497D" w:themeColor="text2"/>
          <w:sz w:val="24"/>
          <w:szCs w:val="24"/>
        </w:rPr>
        <w:id w:val="-1062947959"/>
      </w:sdtPr>
      <w:sdtEndPr/>
      <w:sdtContent>
        <w:p w:rsidR="00371A27" w:rsidRPr="00851B6A" w:rsidRDefault="007E552B" w:rsidP="004265C2">
          <w:pPr>
            <w:spacing w:line="360" w:lineRule="auto"/>
            <w:jc w:val="both"/>
            <w:rPr>
              <w:color w:val="1F497D" w:themeColor="text2"/>
              <w:sz w:val="24"/>
              <w:szCs w:val="24"/>
            </w:rPr>
          </w:pPr>
          <w:r w:rsidRPr="00851B6A">
            <w:rPr>
              <w:color w:val="1F497D" w:themeColor="text2"/>
              <w:sz w:val="24"/>
              <w:szCs w:val="24"/>
            </w:rPr>
            <w:t>Realising the right to housing has been a concerning challenging in South Africa, as a result a number of civil society organisations have been formed with the purpose of addressing the challenges linked to housing and spatial injustice. The Legal Resources Centre, Socio-Economic Rights Institute, Ndifuna Ukwazi, Abahlali baseMjon</w:t>
          </w:r>
          <w:r w:rsidR="00B63C9B" w:rsidRPr="00851B6A">
            <w:rPr>
              <w:color w:val="1F497D" w:themeColor="text2"/>
              <w:sz w:val="24"/>
              <w:szCs w:val="24"/>
            </w:rPr>
            <w:t>d</w:t>
          </w:r>
          <w:r w:rsidRPr="00851B6A">
            <w:rPr>
              <w:color w:val="1F497D" w:themeColor="text2"/>
              <w:sz w:val="24"/>
              <w:szCs w:val="24"/>
            </w:rPr>
            <w:t xml:space="preserve">olo, Reclaim the City and numerous </w:t>
          </w:r>
          <w:r w:rsidR="00371A27" w:rsidRPr="00851B6A">
            <w:rPr>
              <w:color w:val="1F497D" w:themeColor="text2"/>
              <w:sz w:val="24"/>
              <w:szCs w:val="24"/>
            </w:rPr>
            <w:t>grassroots</w:t>
          </w:r>
          <w:r w:rsidRPr="00851B6A">
            <w:rPr>
              <w:color w:val="1F497D" w:themeColor="text2"/>
              <w:sz w:val="24"/>
              <w:szCs w:val="24"/>
            </w:rPr>
            <w:t xml:space="preserve"> civil society organisations work daily to address the inequitable housing situation in the country using a variety of methods including advocacy and litigation.</w:t>
          </w:r>
          <w:r w:rsidR="00371A27" w:rsidRPr="00851B6A">
            <w:rPr>
              <w:color w:val="1F497D" w:themeColor="text2"/>
              <w:sz w:val="24"/>
              <w:szCs w:val="24"/>
            </w:rPr>
            <w:t xml:space="preserve"> These organisations have conducted litigation, research and engaged in rigorous debates around the adequacy and deficiencies in the measures adopted by government in fostering inclusionary housing and addressing the pernicious effects of apartheid spatial geography. </w:t>
          </w:r>
        </w:p>
        <w:p w:rsidR="00371A27" w:rsidRPr="00851B6A" w:rsidRDefault="00371A27" w:rsidP="00371A27">
          <w:pPr>
            <w:spacing w:line="360" w:lineRule="auto"/>
            <w:jc w:val="both"/>
            <w:rPr>
              <w:color w:val="1F497D" w:themeColor="text2"/>
              <w:sz w:val="24"/>
              <w:szCs w:val="24"/>
            </w:rPr>
          </w:pPr>
        </w:p>
        <w:p w:rsidR="00371A27" w:rsidRPr="00851B6A" w:rsidRDefault="00371A27" w:rsidP="00371A27">
          <w:pPr>
            <w:spacing w:line="360" w:lineRule="auto"/>
            <w:jc w:val="both"/>
            <w:rPr>
              <w:color w:val="1F497D" w:themeColor="text2"/>
              <w:sz w:val="24"/>
              <w:szCs w:val="24"/>
            </w:rPr>
          </w:pPr>
          <w:r w:rsidRPr="00851B6A">
            <w:rPr>
              <w:color w:val="1F497D" w:themeColor="text2"/>
              <w:sz w:val="24"/>
              <w:szCs w:val="24"/>
            </w:rPr>
            <w:t xml:space="preserve">The media plays an essential role. The media shines a spotlight in instances where people are living in deplorable and discriminatory conditions.  The media serves as a mirror to reflect the extent to which government is moving in transforming the lives of people and undoing the past injustices. </w:t>
          </w:r>
        </w:p>
        <w:p w:rsidR="00371A27" w:rsidRPr="00851B6A" w:rsidRDefault="00371A27" w:rsidP="00371A27">
          <w:pPr>
            <w:spacing w:line="360" w:lineRule="auto"/>
            <w:jc w:val="both"/>
            <w:rPr>
              <w:color w:val="1F497D" w:themeColor="text2"/>
              <w:sz w:val="24"/>
              <w:szCs w:val="24"/>
            </w:rPr>
          </w:pPr>
        </w:p>
        <w:p w:rsidR="00371A27" w:rsidRPr="00851B6A" w:rsidRDefault="00371A27" w:rsidP="004265C2">
          <w:pPr>
            <w:spacing w:line="360" w:lineRule="auto"/>
            <w:jc w:val="both"/>
            <w:rPr>
              <w:color w:val="1F497D" w:themeColor="text2"/>
              <w:sz w:val="24"/>
              <w:szCs w:val="24"/>
            </w:rPr>
          </w:pPr>
          <w:r w:rsidRPr="00851B6A">
            <w:rPr>
              <w:color w:val="1F497D" w:themeColor="text2"/>
              <w:sz w:val="24"/>
              <w:szCs w:val="24"/>
            </w:rPr>
            <w:t xml:space="preserve">The state is the main guarantor of human rights. Thus, governmental institutions must come up with legislative, policy and programmatic measures that do not exacerbate the pernicious past which was anchored on segregation and discrimination.   </w:t>
          </w:r>
        </w:p>
        <w:p w:rsidR="00226F79" w:rsidRPr="00EF7388" w:rsidRDefault="007E552B" w:rsidP="004265C2">
          <w:pPr>
            <w:spacing w:line="360" w:lineRule="auto"/>
            <w:jc w:val="both"/>
            <w:rPr>
              <w:sz w:val="24"/>
              <w:szCs w:val="24"/>
            </w:rPr>
          </w:pPr>
          <w:r w:rsidRPr="00851B6A">
            <w:rPr>
              <w:color w:val="1F497D" w:themeColor="text2"/>
              <w:sz w:val="24"/>
              <w:szCs w:val="24"/>
            </w:rPr>
            <w:t xml:space="preserve"> </w:t>
          </w:r>
        </w:p>
      </w:sdtContent>
    </w:sdt>
    <w:p w:rsidR="00226F79" w:rsidRPr="00EF7388" w:rsidRDefault="00226F79" w:rsidP="004265C2">
      <w:pPr>
        <w:spacing w:line="360" w:lineRule="auto"/>
        <w:ind w:left="360"/>
        <w:jc w:val="both"/>
        <w:rPr>
          <w:sz w:val="24"/>
          <w:szCs w:val="24"/>
        </w:rPr>
      </w:pPr>
    </w:p>
    <w:p w:rsidR="00226F79" w:rsidRPr="00EF7388" w:rsidRDefault="00226F79" w:rsidP="004265C2">
      <w:pPr>
        <w:spacing w:line="360" w:lineRule="auto"/>
        <w:jc w:val="both"/>
        <w:rPr>
          <w:sz w:val="24"/>
          <w:szCs w:val="24"/>
        </w:rPr>
      </w:pPr>
      <w:r w:rsidRPr="00EF7388">
        <w:rPr>
          <w:sz w:val="24"/>
          <w:szCs w:val="24"/>
        </w:rPr>
        <w:t>2</w:t>
      </w:r>
      <w:r w:rsidR="00487B1A" w:rsidRPr="00EF7388">
        <w:rPr>
          <w:sz w:val="24"/>
          <w:szCs w:val="24"/>
        </w:rPr>
        <w:t>5</w:t>
      </w:r>
      <w:r w:rsidRPr="00EF7388">
        <w:rPr>
          <w:sz w:val="24"/>
          <w:szCs w:val="24"/>
        </w:rPr>
        <w:t xml:space="preserve">. </w:t>
      </w:r>
      <w:r w:rsidRPr="00EF7388">
        <w:rPr>
          <w:b/>
          <w:sz w:val="24"/>
          <w:szCs w:val="24"/>
        </w:rPr>
        <w:t>Which institutional mechanisms exist to report, redress and monitor cases of discrimination or segregation in relation to the right to adequate housing and how effective have they been to address discrimination?</w:t>
      </w:r>
      <w:r w:rsidRPr="00EF7388">
        <w:rPr>
          <w:sz w:val="24"/>
          <w:szCs w:val="24"/>
        </w:rPr>
        <w:t xml:space="preserve"> </w:t>
      </w:r>
    </w:p>
    <w:p w:rsidR="00371A27" w:rsidRPr="00EF7388" w:rsidRDefault="00371A27" w:rsidP="004265C2">
      <w:pPr>
        <w:spacing w:line="360" w:lineRule="auto"/>
        <w:jc w:val="both"/>
        <w:rPr>
          <w:sz w:val="24"/>
          <w:szCs w:val="24"/>
        </w:rPr>
      </w:pPr>
    </w:p>
    <w:p w:rsidR="00226F79" w:rsidRPr="00EF7388" w:rsidRDefault="00BA4496" w:rsidP="004265C2">
      <w:pPr>
        <w:spacing w:line="360" w:lineRule="auto"/>
        <w:jc w:val="both"/>
        <w:rPr>
          <w:sz w:val="24"/>
          <w:szCs w:val="24"/>
        </w:rPr>
      </w:pPr>
      <w:sdt>
        <w:sdtPr>
          <w:rPr>
            <w:sz w:val="24"/>
            <w:szCs w:val="24"/>
          </w:rPr>
          <w:id w:val="-1413463060"/>
        </w:sdtPr>
        <w:sdtEndPr/>
        <w:sdtContent>
          <w:sdt>
            <w:sdtPr>
              <w:rPr>
                <w:color w:val="1F497D" w:themeColor="text2"/>
                <w:sz w:val="24"/>
                <w:szCs w:val="24"/>
              </w:rPr>
              <w:id w:val="996921466"/>
            </w:sdtPr>
            <w:sdtEndPr/>
            <w:sdtContent>
              <w:r w:rsidR="00371A27" w:rsidRPr="00851B6A">
                <w:rPr>
                  <w:color w:val="1F497D" w:themeColor="text2"/>
                  <w:sz w:val="24"/>
                  <w:szCs w:val="24"/>
                </w:rPr>
                <w:t xml:space="preserve">The Rental Housing Act 50 of 1999 establishes the Rental Housing Tribunal which deals with complaints emanating from the rental housing market. There is also the Community Schemes Ombud Service which regulates all community schemes in South Africa. It is a dispute resolution mechanism for people in community schemes. </w:t>
              </w:r>
              <w:r w:rsidR="007A3A64" w:rsidRPr="00851B6A">
                <w:rPr>
                  <w:color w:val="1F497D" w:themeColor="text2"/>
                  <w:sz w:val="24"/>
                  <w:szCs w:val="24"/>
                </w:rPr>
                <w:t xml:space="preserve">The South African Human Rights Commission exists as a National Human Rights </w:t>
              </w:r>
              <w:r w:rsidR="009E2085" w:rsidRPr="00851B6A">
                <w:rPr>
                  <w:color w:val="1F497D" w:themeColor="text2"/>
                  <w:sz w:val="24"/>
                  <w:szCs w:val="24"/>
                </w:rPr>
                <w:t>Institution mandated to promote respect for human rights and a culture of human rights; promote the protection, development and attainment of human rights; and monitor and assess the observance of human rights in the Republic of South Africa.</w:t>
              </w:r>
              <w:r w:rsidR="009E2085" w:rsidRPr="00851B6A">
                <w:rPr>
                  <w:rStyle w:val="FootnoteReference"/>
                  <w:color w:val="1F497D" w:themeColor="text2"/>
                  <w:sz w:val="24"/>
                  <w:szCs w:val="24"/>
                </w:rPr>
                <w:footnoteReference w:id="27"/>
              </w:r>
              <w:r w:rsidR="009E2085" w:rsidRPr="00851B6A">
                <w:rPr>
                  <w:color w:val="1F497D" w:themeColor="text2"/>
                  <w:sz w:val="24"/>
                  <w:szCs w:val="24"/>
                </w:rPr>
                <w:t xml:space="preserve"> The SAHRC has exercised its monitoring functions by undertaking research studies to ensure that the right to housing is progressively realised.</w:t>
              </w:r>
              <w:r w:rsidR="009E2085" w:rsidRPr="00851B6A">
                <w:rPr>
                  <w:rStyle w:val="FootnoteReference"/>
                  <w:color w:val="1F497D" w:themeColor="text2"/>
                  <w:sz w:val="24"/>
                  <w:szCs w:val="24"/>
                </w:rPr>
                <w:footnoteReference w:id="28"/>
              </w:r>
            </w:sdtContent>
          </w:sdt>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sz w:val="24"/>
          <w:szCs w:val="24"/>
        </w:rPr>
      </w:pPr>
      <w:r w:rsidRPr="00EF7388">
        <w:rPr>
          <w:sz w:val="24"/>
          <w:szCs w:val="24"/>
        </w:rPr>
        <w:t>2</w:t>
      </w:r>
      <w:r w:rsidR="00487B1A" w:rsidRPr="00EF7388">
        <w:rPr>
          <w:sz w:val="24"/>
          <w:szCs w:val="24"/>
        </w:rPr>
        <w:t>6</w:t>
      </w:r>
      <w:r w:rsidRPr="00EF7388">
        <w:rPr>
          <w:sz w:val="24"/>
          <w:szCs w:val="24"/>
        </w:rPr>
        <w:t xml:space="preserve">. </w:t>
      </w:r>
      <w:r w:rsidRPr="00EF7388">
        <w:rPr>
          <w:b/>
          <w:sz w:val="24"/>
          <w:szCs w:val="24"/>
        </w:rPr>
        <w:t>In your view, what are the principal barriers to seek justice for discrimination/segregation in relation to the right to adequate housing?</w:t>
      </w:r>
      <w:r w:rsidRPr="00EF7388">
        <w:rPr>
          <w:sz w:val="24"/>
          <w:szCs w:val="24"/>
        </w:rPr>
        <w:t xml:space="preserve"> </w:t>
      </w:r>
    </w:p>
    <w:p w:rsidR="00371A27" w:rsidRPr="00EF7388" w:rsidRDefault="00371A27" w:rsidP="004265C2">
      <w:pPr>
        <w:spacing w:line="360" w:lineRule="auto"/>
        <w:jc w:val="both"/>
        <w:rPr>
          <w:sz w:val="24"/>
          <w:szCs w:val="24"/>
        </w:rPr>
      </w:pPr>
    </w:p>
    <w:p w:rsidR="00487B1A" w:rsidRPr="00EF7388" w:rsidRDefault="00BA4496" w:rsidP="004265C2">
      <w:pPr>
        <w:spacing w:line="360" w:lineRule="auto"/>
        <w:jc w:val="both"/>
        <w:rPr>
          <w:sz w:val="24"/>
          <w:szCs w:val="24"/>
        </w:rPr>
      </w:pPr>
      <w:sdt>
        <w:sdtPr>
          <w:rPr>
            <w:sz w:val="24"/>
            <w:szCs w:val="24"/>
          </w:rPr>
          <w:id w:val="-587085050"/>
        </w:sdtPr>
        <w:sdtEndPr/>
        <w:sdtContent>
          <w:sdt>
            <w:sdtPr>
              <w:rPr>
                <w:color w:val="1F497D" w:themeColor="text2"/>
                <w:sz w:val="24"/>
                <w:szCs w:val="24"/>
              </w:rPr>
              <w:id w:val="460544402"/>
            </w:sdtPr>
            <w:sdtEndPr/>
            <w:sdtContent>
              <w:r w:rsidR="009E2085" w:rsidRPr="00851B6A">
                <w:rPr>
                  <w:color w:val="1F497D" w:themeColor="text2"/>
                  <w:sz w:val="24"/>
                  <w:szCs w:val="24"/>
                </w:rPr>
                <w:t>Some of the principal barriers for not seeking justice for segregation or discrimination include poverty; lack of knowledge of rights; and geographic location of adjudication institutions</w:t>
              </w:r>
              <w:r w:rsidR="005869E6" w:rsidRPr="00851B6A">
                <w:rPr>
                  <w:color w:val="1F497D" w:themeColor="text2"/>
                  <w:sz w:val="24"/>
                  <w:szCs w:val="24"/>
                </w:rPr>
                <w:t>.</w:t>
              </w:r>
              <w:r w:rsidR="009E2085" w:rsidRPr="00851B6A">
                <w:rPr>
                  <w:color w:val="1F497D" w:themeColor="text2"/>
                  <w:sz w:val="24"/>
                  <w:szCs w:val="24"/>
                </w:rPr>
                <w:t xml:space="preserve"> </w:t>
              </w:r>
            </w:sdtContent>
          </w:sdt>
        </w:sdtContent>
      </w:sdt>
    </w:p>
    <w:p w:rsidR="00226F79" w:rsidRPr="00EF7388" w:rsidRDefault="00226F79" w:rsidP="004265C2">
      <w:pPr>
        <w:spacing w:line="360" w:lineRule="auto"/>
        <w:jc w:val="both"/>
        <w:rPr>
          <w:sz w:val="24"/>
          <w:szCs w:val="24"/>
        </w:rPr>
      </w:pPr>
    </w:p>
    <w:p w:rsidR="00226F79" w:rsidRDefault="00226F79" w:rsidP="004265C2">
      <w:pPr>
        <w:spacing w:line="360" w:lineRule="auto"/>
        <w:jc w:val="both"/>
        <w:rPr>
          <w:b/>
          <w:sz w:val="24"/>
          <w:szCs w:val="24"/>
        </w:rPr>
      </w:pPr>
      <w:r w:rsidRPr="00EF7388">
        <w:rPr>
          <w:sz w:val="24"/>
          <w:szCs w:val="24"/>
        </w:rPr>
        <w:t>2</w:t>
      </w:r>
      <w:r w:rsidR="00487B1A" w:rsidRPr="00EF7388">
        <w:rPr>
          <w:sz w:val="24"/>
          <w:szCs w:val="24"/>
        </w:rPr>
        <w:t>7</w:t>
      </w:r>
      <w:r w:rsidRPr="00EF7388">
        <w:rPr>
          <w:sz w:val="24"/>
          <w:szCs w:val="24"/>
        </w:rPr>
        <w:t xml:space="preserve">. </w:t>
      </w:r>
      <w:r w:rsidRPr="00EF7388">
        <w:rPr>
          <w:b/>
          <w:sz w:val="24"/>
          <w:szCs w:val="24"/>
        </w:rPr>
        <w:t>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B63C9B" w:rsidRPr="00EF7388" w:rsidRDefault="00B63C9B" w:rsidP="004265C2">
      <w:pPr>
        <w:spacing w:line="360" w:lineRule="auto"/>
        <w:jc w:val="both"/>
        <w:rPr>
          <w:sz w:val="24"/>
          <w:szCs w:val="24"/>
        </w:rPr>
      </w:pPr>
    </w:p>
    <w:p w:rsidR="003A314E" w:rsidRPr="00EF7388" w:rsidRDefault="00BA4496" w:rsidP="00371A27">
      <w:pPr>
        <w:spacing w:line="360" w:lineRule="auto"/>
        <w:jc w:val="both"/>
        <w:rPr>
          <w:sz w:val="24"/>
          <w:szCs w:val="24"/>
        </w:rPr>
      </w:pPr>
      <w:sdt>
        <w:sdtPr>
          <w:rPr>
            <w:sz w:val="24"/>
            <w:szCs w:val="24"/>
          </w:rPr>
          <w:id w:val="-1715032840"/>
        </w:sdtPr>
        <w:sdtEndPr/>
        <w:sdtContent>
          <w:sdt>
            <w:sdtPr>
              <w:rPr>
                <w:color w:val="1F497D" w:themeColor="text2"/>
                <w:sz w:val="24"/>
                <w:szCs w:val="24"/>
              </w:rPr>
              <w:id w:val="185565434"/>
            </w:sdtPr>
            <w:sdtEndPr/>
            <w:sdtContent>
              <w:r w:rsidR="005869E6" w:rsidRPr="00851B6A">
                <w:rPr>
                  <w:color w:val="1F497D" w:themeColor="text2"/>
                  <w:sz w:val="24"/>
                  <w:szCs w:val="24"/>
                </w:rPr>
                <w:t>The South African Human Rights Commission as a national human rights institution receives complaints</w:t>
              </w:r>
              <w:r w:rsidR="009F3747" w:rsidRPr="00851B6A">
                <w:rPr>
                  <w:rStyle w:val="FootnoteReference"/>
                  <w:color w:val="1F497D" w:themeColor="text2"/>
                  <w:sz w:val="24"/>
                  <w:szCs w:val="24"/>
                </w:rPr>
                <w:footnoteReference w:id="29"/>
              </w:r>
              <w:r w:rsidR="005869E6" w:rsidRPr="00851B6A">
                <w:rPr>
                  <w:color w:val="1F497D" w:themeColor="text2"/>
                  <w:sz w:val="24"/>
                  <w:szCs w:val="24"/>
                </w:rPr>
                <w:t xml:space="preserve"> and can conduct inquiries to address housing relate</w:t>
              </w:r>
              <w:r w:rsidR="009F3747" w:rsidRPr="00851B6A">
                <w:rPr>
                  <w:color w:val="1F497D" w:themeColor="text2"/>
                  <w:sz w:val="24"/>
                  <w:szCs w:val="24"/>
                </w:rPr>
                <w:t>d complaints of a systemic nature.</w:t>
              </w:r>
              <w:r w:rsidR="00FC496D" w:rsidRPr="00851B6A">
                <w:rPr>
                  <w:rStyle w:val="FootnoteReference"/>
                  <w:color w:val="1F497D" w:themeColor="text2"/>
                  <w:sz w:val="24"/>
                  <w:szCs w:val="24"/>
                </w:rPr>
                <w:footnoteReference w:id="30"/>
              </w:r>
              <w:r w:rsidR="00FC496D" w:rsidRPr="00851B6A">
                <w:rPr>
                  <w:color w:val="1F497D" w:themeColor="text2"/>
                  <w:sz w:val="24"/>
                  <w:szCs w:val="24"/>
                </w:rPr>
                <w:t xml:space="preserve"> </w:t>
              </w:r>
            </w:sdtContent>
          </w:sdt>
        </w:sdtContent>
      </w:sdt>
    </w:p>
    <w:p w:rsidR="00371A27" w:rsidRPr="00EF7388" w:rsidRDefault="00371A27" w:rsidP="00371A27">
      <w:pPr>
        <w:spacing w:line="360" w:lineRule="auto"/>
        <w:jc w:val="both"/>
        <w:rPr>
          <w:sz w:val="24"/>
          <w:szCs w:val="24"/>
        </w:rPr>
      </w:pPr>
    </w:p>
    <w:p w:rsidR="00226F79" w:rsidRPr="00EF7388" w:rsidRDefault="00226F79" w:rsidP="004265C2">
      <w:pPr>
        <w:spacing w:line="360" w:lineRule="auto"/>
        <w:jc w:val="both"/>
        <w:rPr>
          <w:b/>
          <w:sz w:val="24"/>
          <w:szCs w:val="24"/>
          <w:u w:val="single"/>
        </w:rPr>
      </w:pPr>
      <w:r w:rsidRPr="00EF7388">
        <w:rPr>
          <w:b/>
          <w:sz w:val="24"/>
          <w:szCs w:val="24"/>
          <w:u w:val="single"/>
        </w:rPr>
        <w:t xml:space="preserve">DATA ON DISCRIMINATION IN HOUSING AND SPATIAL/RESIDENTIAL SEGREGATION </w:t>
      </w:r>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b/>
          <w:sz w:val="24"/>
          <w:szCs w:val="24"/>
        </w:rPr>
      </w:pPr>
      <w:r w:rsidRPr="00EF7388">
        <w:rPr>
          <w:sz w:val="24"/>
          <w:szCs w:val="24"/>
        </w:rPr>
        <w:t>2</w:t>
      </w:r>
      <w:r w:rsidR="00487B1A" w:rsidRPr="00EF7388">
        <w:rPr>
          <w:sz w:val="24"/>
          <w:szCs w:val="24"/>
        </w:rPr>
        <w:t>8</w:t>
      </w:r>
      <w:r w:rsidRPr="00EF7388">
        <w:rPr>
          <w:sz w:val="24"/>
          <w:szCs w:val="24"/>
        </w:rPr>
        <w:t xml:space="preserve">. </w:t>
      </w:r>
      <w:r w:rsidRPr="00EF7388">
        <w:rPr>
          <w:b/>
          <w:sz w:val="24"/>
          <w:szCs w:val="24"/>
        </w:rPr>
        <w:t>Is any data on housing disparities, housing discrimination and spatial segregation collected and publicly available? If so where can it be accessed? Are there any practical or legal barriers to collect and share such information in your country?</w:t>
      </w:r>
    </w:p>
    <w:p w:rsidR="00371A27" w:rsidRPr="00EF7388" w:rsidRDefault="00371A27" w:rsidP="004265C2">
      <w:pPr>
        <w:spacing w:line="360" w:lineRule="auto"/>
        <w:jc w:val="both"/>
        <w:rPr>
          <w:b/>
          <w:sz w:val="24"/>
          <w:szCs w:val="24"/>
        </w:rPr>
      </w:pPr>
    </w:p>
    <w:p w:rsidR="006D0C62" w:rsidRPr="00EF7388" w:rsidRDefault="00BA4496" w:rsidP="004265C2">
      <w:pPr>
        <w:spacing w:line="360" w:lineRule="auto"/>
        <w:jc w:val="both"/>
        <w:rPr>
          <w:sz w:val="24"/>
          <w:szCs w:val="24"/>
        </w:rPr>
      </w:pPr>
      <w:sdt>
        <w:sdtPr>
          <w:rPr>
            <w:sz w:val="24"/>
            <w:szCs w:val="24"/>
          </w:rPr>
          <w:id w:val="517506414"/>
        </w:sdtPr>
        <w:sdtEndPr/>
        <w:sdtContent>
          <w:sdt>
            <w:sdtPr>
              <w:rPr>
                <w:color w:val="1F497D" w:themeColor="text2"/>
                <w:sz w:val="24"/>
                <w:szCs w:val="24"/>
              </w:rPr>
              <w:id w:val="696820229"/>
            </w:sdtPr>
            <w:sdtEndPr/>
            <w:sdtContent>
              <w:r w:rsidR="004B69B0" w:rsidRPr="00851B6A">
                <w:rPr>
                  <w:color w:val="1F497D" w:themeColor="text2"/>
                  <w:sz w:val="24"/>
                  <w:szCs w:val="24"/>
                </w:rPr>
                <w:t>Statistics South Africa has used the General Household Survey as an instrument to track the progress of development since 2002. The survey tracks progress on</w:t>
              </w:r>
              <w:r w:rsidR="007E552B" w:rsidRPr="00851B6A">
                <w:rPr>
                  <w:color w:val="1F497D" w:themeColor="text2"/>
                  <w:sz w:val="24"/>
                  <w:szCs w:val="24"/>
                </w:rPr>
                <w:t xml:space="preserve"> housing including challenges and disparities in accessing housing. The data collected is publicly available on the Statistics South Africa website. </w:t>
              </w:r>
            </w:sdtContent>
          </w:sdt>
        </w:sdtContent>
      </w:sdt>
    </w:p>
    <w:p w:rsidR="00226F79" w:rsidRPr="00EF7388" w:rsidRDefault="00226F79" w:rsidP="004265C2">
      <w:pPr>
        <w:spacing w:line="360" w:lineRule="auto"/>
        <w:jc w:val="both"/>
        <w:rPr>
          <w:sz w:val="24"/>
          <w:szCs w:val="24"/>
        </w:rPr>
      </w:pPr>
    </w:p>
    <w:p w:rsidR="00226F79" w:rsidRPr="00EF7388" w:rsidRDefault="00226F79" w:rsidP="004265C2">
      <w:pPr>
        <w:spacing w:line="360" w:lineRule="auto"/>
        <w:jc w:val="both"/>
        <w:rPr>
          <w:b/>
          <w:sz w:val="24"/>
          <w:szCs w:val="24"/>
        </w:rPr>
      </w:pPr>
      <w:r w:rsidRPr="00EF7388">
        <w:rPr>
          <w:sz w:val="24"/>
          <w:szCs w:val="24"/>
        </w:rPr>
        <w:t>2</w:t>
      </w:r>
      <w:r w:rsidR="00487B1A" w:rsidRPr="00EF7388">
        <w:rPr>
          <w:sz w:val="24"/>
          <w:szCs w:val="24"/>
        </w:rPr>
        <w:t>9</w:t>
      </w:r>
      <w:r w:rsidRPr="00EF7388">
        <w:rPr>
          <w:sz w:val="24"/>
          <w:szCs w:val="24"/>
        </w:rPr>
        <w:t xml:space="preserve">. </w:t>
      </w:r>
      <w:r w:rsidRPr="00EF7388">
        <w:rPr>
          <w:b/>
          <w:sz w:val="24"/>
          <w:szCs w:val="24"/>
        </w:rPr>
        <w:t xml:space="preserve">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rsidR="00371A27" w:rsidRPr="00EF7388" w:rsidRDefault="00371A27" w:rsidP="004265C2">
      <w:pPr>
        <w:spacing w:line="360" w:lineRule="auto"/>
        <w:jc w:val="both"/>
        <w:rPr>
          <w:sz w:val="24"/>
          <w:szCs w:val="24"/>
        </w:rPr>
      </w:pPr>
    </w:p>
    <w:sdt>
      <w:sdtPr>
        <w:rPr>
          <w:color w:val="1F497D" w:themeColor="text2"/>
          <w:sz w:val="24"/>
          <w:szCs w:val="24"/>
        </w:rPr>
        <w:id w:val="1191101676"/>
      </w:sdtPr>
      <w:sdtEndPr/>
      <w:sdtContent>
        <w:p w:rsidR="0006576E" w:rsidRPr="00851B6A" w:rsidRDefault="0006576E" w:rsidP="004265C2">
          <w:pPr>
            <w:pStyle w:val="ListParagraph"/>
            <w:numPr>
              <w:ilvl w:val="0"/>
              <w:numId w:val="3"/>
            </w:numPr>
            <w:spacing w:line="360" w:lineRule="auto"/>
            <w:jc w:val="both"/>
            <w:rPr>
              <w:color w:val="1F497D" w:themeColor="text2"/>
              <w:sz w:val="24"/>
              <w:szCs w:val="24"/>
            </w:rPr>
          </w:pPr>
          <w:r w:rsidRPr="00851B6A">
            <w:rPr>
              <w:color w:val="1F497D" w:themeColor="text2"/>
              <w:sz w:val="24"/>
              <w:szCs w:val="24"/>
            </w:rPr>
            <w:t xml:space="preserve">South African Human Rights Commission, ‘Access to housing, local governance and service delivery’ (2015) available at </w:t>
          </w:r>
          <w:hyperlink r:id="rId14" w:history="1">
            <w:r w:rsidRPr="00851B6A">
              <w:rPr>
                <w:rStyle w:val="Hyperlink"/>
                <w:color w:val="1F497D" w:themeColor="text2"/>
                <w:sz w:val="24"/>
                <w:szCs w:val="24"/>
              </w:rPr>
              <w:t>https://www.sahrc.org.za/home/21/files/Access%20to%20Housing%202015.pdf</w:t>
            </w:r>
          </w:hyperlink>
          <w:r w:rsidRPr="00851B6A">
            <w:rPr>
              <w:color w:val="1F497D" w:themeColor="text2"/>
              <w:sz w:val="24"/>
              <w:szCs w:val="24"/>
            </w:rPr>
            <w:t xml:space="preserve"> </w:t>
          </w:r>
        </w:p>
        <w:p w:rsidR="0006576E" w:rsidRPr="00851B6A" w:rsidRDefault="0006576E" w:rsidP="004265C2">
          <w:pPr>
            <w:pStyle w:val="ListParagraph"/>
            <w:spacing w:line="360" w:lineRule="auto"/>
            <w:jc w:val="both"/>
            <w:rPr>
              <w:color w:val="1F497D" w:themeColor="text2"/>
              <w:sz w:val="24"/>
              <w:szCs w:val="24"/>
            </w:rPr>
          </w:pPr>
        </w:p>
        <w:p w:rsidR="0006576E" w:rsidRPr="00851B6A" w:rsidRDefault="0006576E" w:rsidP="004265C2">
          <w:pPr>
            <w:pStyle w:val="ListParagraph"/>
            <w:numPr>
              <w:ilvl w:val="0"/>
              <w:numId w:val="3"/>
            </w:numPr>
            <w:spacing w:line="360" w:lineRule="auto"/>
            <w:jc w:val="both"/>
            <w:rPr>
              <w:color w:val="1F497D" w:themeColor="text2"/>
              <w:sz w:val="24"/>
              <w:szCs w:val="24"/>
            </w:rPr>
          </w:pPr>
          <w:r w:rsidRPr="00851B6A">
            <w:rPr>
              <w:color w:val="1F497D" w:themeColor="text2"/>
              <w:sz w:val="24"/>
              <w:szCs w:val="24"/>
            </w:rPr>
            <w:t xml:space="preserve">High Level Panel on the assessment of key legislation and the acceleration (2017) available at </w:t>
          </w:r>
          <w:hyperlink r:id="rId15" w:history="1">
            <w:r w:rsidRPr="00851B6A">
              <w:rPr>
                <w:rStyle w:val="Hyperlink"/>
                <w:color w:val="1F497D" w:themeColor="text2"/>
                <w:sz w:val="24"/>
                <w:szCs w:val="24"/>
              </w:rPr>
              <w:t>https://www.parliament.gov.za/storage/app/media/Pages/2017/october/High_Level_Panel/HLP_Report/HLP_report.pdf</w:t>
            </w:r>
          </w:hyperlink>
          <w:r w:rsidRPr="00851B6A">
            <w:rPr>
              <w:color w:val="1F497D" w:themeColor="text2"/>
              <w:sz w:val="24"/>
              <w:szCs w:val="24"/>
            </w:rPr>
            <w:t xml:space="preserve"> </w:t>
          </w:r>
        </w:p>
        <w:p w:rsidR="00955A33" w:rsidRPr="00851B6A" w:rsidRDefault="00955A33" w:rsidP="004265C2">
          <w:pPr>
            <w:pStyle w:val="ListParagraph"/>
            <w:spacing w:line="360" w:lineRule="auto"/>
            <w:jc w:val="both"/>
            <w:rPr>
              <w:color w:val="1F497D" w:themeColor="text2"/>
              <w:sz w:val="24"/>
              <w:szCs w:val="24"/>
            </w:rPr>
          </w:pPr>
        </w:p>
        <w:p w:rsidR="00955A33" w:rsidRPr="00851B6A" w:rsidRDefault="00955A33" w:rsidP="004265C2">
          <w:pPr>
            <w:pStyle w:val="ListParagraph"/>
            <w:numPr>
              <w:ilvl w:val="0"/>
              <w:numId w:val="3"/>
            </w:numPr>
            <w:spacing w:line="360" w:lineRule="auto"/>
            <w:jc w:val="both"/>
            <w:rPr>
              <w:color w:val="1F497D" w:themeColor="text2"/>
              <w:sz w:val="24"/>
              <w:szCs w:val="24"/>
            </w:rPr>
          </w:pPr>
          <w:r w:rsidRPr="00851B6A">
            <w:rPr>
              <w:color w:val="1F497D" w:themeColor="text2"/>
              <w:sz w:val="24"/>
              <w:szCs w:val="24"/>
            </w:rPr>
            <w:t xml:space="preserve">DPME ‘Towards a 25 year review 1994 -2019’ (2019) available at </w:t>
          </w:r>
          <w:hyperlink r:id="rId16" w:history="1">
            <w:r w:rsidRPr="00851B6A">
              <w:rPr>
                <w:rStyle w:val="Hyperlink"/>
                <w:color w:val="1F497D" w:themeColor="text2"/>
                <w:sz w:val="24"/>
                <w:szCs w:val="24"/>
              </w:rPr>
              <w:t>https://www.gov.za/sites/default/files/gcis_document/201911/towards25yearreview.pdf</w:t>
            </w:r>
          </w:hyperlink>
          <w:r w:rsidRPr="00851B6A">
            <w:rPr>
              <w:color w:val="1F497D" w:themeColor="text2"/>
              <w:sz w:val="24"/>
              <w:szCs w:val="24"/>
            </w:rPr>
            <w:t xml:space="preserve"> </w:t>
          </w:r>
        </w:p>
        <w:p w:rsidR="0006576E" w:rsidRPr="00851B6A" w:rsidRDefault="0006576E" w:rsidP="004265C2">
          <w:pPr>
            <w:spacing w:line="360" w:lineRule="auto"/>
            <w:jc w:val="both"/>
            <w:rPr>
              <w:color w:val="1F497D" w:themeColor="text2"/>
              <w:sz w:val="24"/>
              <w:szCs w:val="24"/>
            </w:rPr>
          </w:pPr>
        </w:p>
        <w:p w:rsidR="0006576E" w:rsidRPr="00851B6A" w:rsidRDefault="00803EE8" w:rsidP="004265C2">
          <w:pPr>
            <w:pStyle w:val="ListParagraph"/>
            <w:numPr>
              <w:ilvl w:val="0"/>
              <w:numId w:val="3"/>
            </w:numPr>
            <w:spacing w:line="360" w:lineRule="auto"/>
            <w:jc w:val="both"/>
            <w:rPr>
              <w:color w:val="1F497D" w:themeColor="text2"/>
              <w:sz w:val="24"/>
              <w:szCs w:val="24"/>
            </w:rPr>
          </w:pPr>
          <w:r w:rsidRPr="00851B6A">
            <w:rPr>
              <w:color w:val="1F497D" w:themeColor="text2"/>
              <w:sz w:val="24"/>
              <w:szCs w:val="24"/>
            </w:rPr>
            <w:t xml:space="preserve">PASSOP, ‘Employment and Housing Discrimination Against LGBTI Refugees and Asylum Seekers  in South Africa’ (2013) available at </w:t>
          </w:r>
          <w:hyperlink r:id="rId17" w:history="1">
            <w:r w:rsidRPr="00851B6A">
              <w:rPr>
                <w:rStyle w:val="Hyperlink"/>
                <w:color w:val="1F497D" w:themeColor="text2"/>
                <w:sz w:val="24"/>
                <w:szCs w:val="24"/>
              </w:rPr>
              <w:t>http://www.passop.co.za/wp-content/uploads/2012/02/2013-Leitner-South-Africa-PASSOP-LGBT-report-1.pdf</w:t>
            </w:r>
          </w:hyperlink>
          <w:r w:rsidRPr="00851B6A">
            <w:rPr>
              <w:color w:val="1F497D" w:themeColor="text2"/>
              <w:sz w:val="24"/>
              <w:szCs w:val="24"/>
            </w:rPr>
            <w:t xml:space="preserve">  </w:t>
          </w:r>
        </w:p>
        <w:p w:rsidR="0006576E" w:rsidRPr="00851B6A" w:rsidRDefault="0006576E" w:rsidP="004265C2">
          <w:pPr>
            <w:pStyle w:val="ListParagraph"/>
            <w:spacing w:line="360" w:lineRule="auto"/>
            <w:jc w:val="both"/>
            <w:rPr>
              <w:color w:val="1F497D" w:themeColor="text2"/>
              <w:sz w:val="24"/>
              <w:szCs w:val="24"/>
            </w:rPr>
          </w:pPr>
        </w:p>
        <w:p w:rsidR="0006576E" w:rsidRPr="00851B6A" w:rsidRDefault="0006576E" w:rsidP="004265C2">
          <w:pPr>
            <w:pStyle w:val="ListParagraph"/>
            <w:numPr>
              <w:ilvl w:val="0"/>
              <w:numId w:val="3"/>
            </w:numPr>
            <w:spacing w:line="360" w:lineRule="auto"/>
            <w:jc w:val="both"/>
            <w:rPr>
              <w:color w:val="1F497D" w:themeColor="text2"/>
              <w:sz w:val="24"/>
              <w:szCs w:val="24"/>
            </w:rPr>
          </w:pPr>
          <w:r w:rsidRPr="00851B6A">
            <w:rPr>
              <w:color w:val="1F497D" w:themeColor="text2"/>
              <w:sz w:val="24"/>
              <w:szCs w:val="24"/>
            </w:rPr>
            <w:t xml:space="preserve">Socio-Economic Rights Institute, ‘Edged out: Spatial mismatch and spatial justice in South Africa’s main urban areas’ (2016) available at </w:t>
          </w:r>
          <w:hyperlink r:id="rId18" w:history="1">
            <w:r w:rsidR="00955A33" w:rsidRPr="00851B6A">
              <w:rPr>
                <w:rStyle w:val="Hyperlink"/>
                <w:color w:val="1F497D" w:themeColor="text2"/>
                <w:sz w:val="24"/>
                <w:szCs w:val="24"/>
              </w:rPr>
              <w:t>https://www.seri-sa.org/images/SERI_Edged_out_report_Final.pdf</w:t>
            </w:r>
          </w:hyperlink>
          <w:r w:rsidR="00955A33" w:rsidRPr="00851B6A">
            <w:rPr>
              <w:color w:val="1F497D" w:themeColor="text2"/>
              <w:sz w:val="24"/>
              <w:szCs w:val="24"/>
            </w:rPr>
            <w:t xml:space="preserve"> </w:t>
          </w:r>
        </w:p>
        <w:p w:rsidR="007E552B" w:rsidRPr="00851B6A" w:rsidRDefault="007E552B" w:rsidP="00B63C9B">
          <w:pPr>
            <w:pStyle w:val="ListParagraph"/>
            <w:spacing w:line="360" w:lineRule="auto"/>
            <w:rPr>
              <w:color w:val="1F497D" w:themeColor="text2"/>
              <w:sz w:val="24"/>
              <w:szCs w:val="24"/>
            </w:rPr>
          </w:pPr>
        </w:p>
        <w:p w:rsidR="0006576E" w:rsidRPr="00EF7388" w:rsidRDefault="007E552B" w:rsidP="00371A27">
          <w:pPr>
            <w:pStyle w:val="ListParagraph"/>
            <w:widowControl w:val="0"/>
            <w:numPr>
              <w:ilvl w:val="0"/>
              <w:numId w:val="3"/>
            </w:numPr>
            <w:tabs>
              <w:tab w:val="left" w:pos="821"/>
              <w:tab w:val="left" w:pos="822"/>
            </w:tabs>
            <w:autoSpaceDE w:val="0"/>
            <w:autoSpaceDN w:val="0"/>
            <w:spacing w:line="360" w:lineRule="auto"/>
            <w:ind w:right="373"/>
            <w:contextualSpacing w:val="0"/>
            <w:rPr>
              <w:sz w:val="24"/>
              <w:szCs w:val="24"/>
            </w:rPr>
          </w:pPr>
          <w:r w:rsidRPr="00851B6A">
            <w:rPr>
              <w:color w:val="1F497D" w:themeColor="text2"/>
              <w:sz w:val="24"/>
              <w:szCs w:val="24"/>
            </w:rPr>
            <w:t>Housing from a human settlement perspective, in-depth analysis of the</w:t>
          </w:r>
          <w:r w:rsidRPr="00851B6A">
            <w:rPr>
              <w:color w:val="1F497D" w:themeColor="text2"/>
              <w:spacing w:val="-64"/>
              <w:sz w:val="24"/>
              <w:szCs w:val="24"/>
            </w:rPr>
            <w:t xml:space="preserve"> </w:t>
          </w:r>
          <w:r w:rsidRPr="00851B6A">
            <w:rPr>
              <w:color w:val="1F497D" w:themeColor="text2"/>
              <w:sz w:val="24"/>
              <w:szCs w:val="24"/>
            </w:rPr>
            <w:t>General Household Survey Data 2002-2014</w:t>
          </w:r>
          <w:r w:rsidRPr="00851B6A">
            <w:rPr>
              <w:color w:val="1F497D" w:themeColor="text2"/>
              <w:spacing w:val="1"/>
              <w:sz w:val="24"/>
              <w:szCs w:val="24"/>
            </w:rPr>
            <w:t xml:space="preserve"> available at </w:t>
          </w:r>
          <w:hyperlink r:id="rId19" w:history="1">
            <w:r w:rsidRPr="00851B6A">
              <w:rPr>
                <w:rStyle w:val="Hyperlink"/>
                <w:color w:val="1F497D" w:themeColor="text2"/>
                <w:sz w:val="24"/>
                <w:szCs w:val="24"/>
              </w:rPr>
              <w:t>http://www.statssa.gov.za/publications/Report-03-18-06/Report-03-18-</w:t>
            </w:r>
          </w:hyperlink>
          <w:r w:rsidRPr="00851B6A">
            <w:rPr>
              <w:color w:val="1F497D" w:themeColor="text2"/>
              <w:spacing w:val="-64"/>
              <w:sz w:val="24"/>
              <w:szCs w:val="24"/>
            </w:rPr>
            <w:t xml:space="preserve"> </w:t>
          </w:r>
          <w:hyperlink r:id="rId20">
            <w:r w:rsidRPr="00851B6A">
              <w:rPr>
                <w:color w:val="1F497D" w:themeColor="text2"/>
                <w:sz w:val="24"/>
                <w:szCs w:val="24"/>
                <w:u w:val="single" w:color="0000FF"/>
              </w:rPr>
              <w:t>062014.pdf</w:t>
            </w:r>
          </w:hyperlink>
        </w:p>
      </w:sdtContent>
    </w:sdt>
    <w:p w:rsidR="006D0C62" w:rsidRPr="00EF7388" w:rsidRDefault="006D0C62" w:rsidP="004265C2">
      <w:pPr>
        <w:spacing w:line="360" w:lineRule="auto"/>
        <w:jc w:val="both"/>
        <w:rPr>
          <w:sz w:val="24"/>
          <w:szCs w:val="24"/>
        </w:rPr>
      </w:pPr>
    </w:p>
    <w:p w:rsidR="00226F79" w:rsidRPr="00EF7388" w:rsidRDefault="00487B1A" w:rsidP="004265C2">
      <w:pPr>
        <w:spacing w:line="360" w:lineRule="auto"/>
        <w:jc w:val="both"/>
        <w:rPr>
          <w:sz w:val="24"/>
          <w:szCs w:val="24"/>
        </w:rPr>
      </w:pPr>
      <w:r w:rsidRPr="00EF7388">
        <w:rPr>
          <w:sz w:val="24"/>
          <w:szCs w:val="24"/>
        </w:rPr>
        <w:t>30</w:t>
      </w:r>
      <w:r w:rsidR="00226F79" w:rsidRPr="00EF7388">
        <w:rPr>
          <w:sz w:val="24"/>
          <w:szCs w:val="24"/>
        </w:rPr>
        <w:t xml:space="preserve">. </w:t>
      </w:r>
      <w:r w:rsidR="00226F79" w:rsidRPr="00EF7388">
        <w:rPr>
          <w:b/>
          <w:sz w:val="24"/>
          <w:szCs w:val="24"/>
        </w:rPr>
        <w:t>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sidRPr="00EF7388">
        <w:rPr>
          <w:b/>
          <w:sz w:val="24"/>
          <w:szCs w:val="24"/>
        </w:rPr>
        <w:t>een fined or sanctioned for non-c</w:t>
      </w:r>
      <w:r w:rsidR="00226F79" w:rsidRPr="00EF7388">
        <w:rPr>
          <w:b/>
          <w:sz w:val="24"/>
          <w:szCs w:val="24"/>
        </w:rPr>
        <w:t>ompliance?</w:t>
      </w:r>
      <w:r w:rsidR="00226F79" w:rsidRPr="00EF7388">
        <w:rPr>
          <w:sz w:val="24"/>
          <w:szCs w:val="24"/>
        </w:rPr>
        <w:t xml:space="preserve"> </w:t>
      </w:r>
    </w:p>
    <w:p w:rsidR="00471E39" w:rsidRPr="00EF7388" w:rsidRDefault="00BA4496" w:rsidP="004265C2">
      <w:pPr>
        <w:spacing w:line="360" w:lineRule="auto"/>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EF7388">
                <w:rPr>
                  <w:rStyle w:val="PlaceholderText"/>
                  <w:sz w:val="24"/>
                  <w:szCs w:val="24"/>
                </w:rPr>
                <w:t>Click here to enter text.</w:t>
              </w:r>
            </w:sdtContent>
          </w:sdt>
        </w:sdtContent>
      </w:sdt>
    </w:p>
    <w:p w:rsidR="003A314E" w:rsidRPr="00EF7388" w:rsidRDefault="003A314E" w:rsidP="004265C2">
      <w:pPr>
        <w:spacing w:line="360" w:lineRule="auto"/>
        <w:jc w:val="both"/>
        <w:rPr>
          <w:sz w:val="24"/>
          <w:szCs w:val="24"/>
        </w:rPr>
      </w:pPr>
    </w:p>
    <w:sectPr w:rsidR="003A314E" w:rsidRPr="00EF7388" w:rsidSect="00895233">
      <w:headerReference w:type="first" r:id="rId21"/>
      <w:footerReference w:type="first" r:id="rId22"/>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DD4" w:rsidRDefault="00505DD4">
      <w:r>
        <w:separator/>
      </w:r>
    </w:p>
  </w:endnote>
  <w:endnote w:type="continuationSeparator" w:id="0">
    <w:p w:rsidR="00505DD4" w:rsidRDefault="0050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DB2" w:rsidRDefault="009F1DB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DD4" w:rsidRDefault="00505DD4">
      <w:r>
        <w:separator/>
      </w:r>
    </w:p>
  </w:footnote>
  <w:footnote w:type="continuationSeparator" w:id="0">
    <w:p w:rsidR="00505DD4" w:rsidRDefault="00505DD4">
      <w:r>
        <w:continuationSeparator/>
      </w:r>
    </w:p>
  </w:footnote>
  <w:footnote w:id="1">
    <w:p w:rsidR="009F1DB2" w:rsidRPr="00EF7388" w:rsidRDefault="009F1DB2" w:rsidP="00B63C9B">
      <w:pPr>
        <w:pStyle w:val="FootnoteText"/>
        <w:spacing w:line="276" w:lineRule="auto"/>
        <w:jc w:val="both"/>
        <w:rPr>
          <w:sz w:val="20"/>
          <w:szCs w:val="20"/>
        </w:rPr>
      </w:pPr>
      <w:r w:rsidRPr="00EF7388">
        <w:rPr>
          <w:rStyle w:val="FootnoteReference"/>
          <w:sz w:val="20"/>
          <w:szCs w:val="20"/>
        </w:rPr>
        <w:footnoteRef/>
      </w:r>
      <w:r w:rsidRPr="00EF7388">
        <w:rPr>
          <w:sz w:val="20"/>
          <w:szCs w:val="20"/>
        </w:rPr>
        <w:t xml:space="preserve"> Statistics South Africa “Quarterly Labour Force Survey Quarter 4:2020” http://www.statssa.gov.za/publications/P0211/P02114thQuarter2020.pdf </w:t>
      </w:r>
    </w:p>
  </w:footnote>
  <w:footnote w:id="2">
    <w:p w:rsidR="00D62C4C" w:rsidRPr="00EF7388" w:rsidRDefault="00D62C4C" w:rsidP="00B63C9B">
      <w:pPr>
        <w:pStyle w:val="FootnoteText"/>
        <w:spacing w:line="276" w:lineRule="auto"/>
        <w:jc w:val="both"/>
        <w:rPr>
          <w:sz w:val="20"/>
          <w:szCs w:val="20"/>
        </w:rPr>
      </w:pPr>
      <w:r w:rsidRPr="00EF7388">
        <w:rPr>
          <w:rStyle w:val="FootnoteReference"/>
          <w:sz w:val="20"/>
          <w:szCs w:val="20"/>
        </w:rPr>
        <w:footnoteRef/>
      </w:r>
      <w:r w:rsidRPr="00EF7388">
        <w:rPr>
          <w:sz w:val="20"/>
          <w:szCs w:val="20"/>
        </w:rPr>
        <w:t xml:space="preserve"> ‘Report on health conditions in the Strandfontein COVID-19 Temporary Shelter for the Homeless: findings of an independent investigation for the South African Human Rights Commission, conducted on Saturday 11 April 2020.’ https://www.msf.org.za/sites/default/files/publications/covid_investigation_report_health_strandfontein_shelter.pdf.</w:t>
      </w:r>
    </w:p>
  </w:footnote>
  <w:footnote w:id="3">
    <w:p w:rsidR="00EF7388" w:rsidRPr="00EF7388" w:rsidRDefault="00EF7388" w:rsidP="00B63C9B">
      <w:pPr>
        <w:pStyle w:val="FootnoteText"/>
        <w:spacing w:line="276" w:lineRule="auto"/>
        <w:jc w:val="both"/>
        <w:rPr>
          <w:sz w:val="20"/>
          <w:szCs w:val="20"/>
          <w:lang w:val="en-ZA"/>
        </w:rPr>
      </w:pPr>
      <w:r w:rsidRPr="00EF7388">
        <w:rPr>
          <w:rStyle w:val="FootnoteReference"/>
          <w:sz w:val="20"/>
          <w:szCs w:val="20"/>
        </w:rPr>
        <w:footnoteRef/>
      </w:r>
      <w:r w:rsidRPr="00EF7388">
        <w:rPr>
          <w:sz w:val="20"/>
          <w:szCs w:val="20"/>
        </w:rPr>
        <w:t xml:space="preserve"> </w:t>
      </w:r>
      <w:r w:rsidRPr="00EF7388">
        <w:rPr>
          <w:sz w:val="20"/>
          <w:szCs w:val="20"/>
          <w:lang w:val="en-ZA"/>
        </w:rPr>
        <w:t xml:space="preserve">South African Human Rights Commission, </w:t>
      </w:r>
      <w:hyperlink r:id="rId1" w:history="1">
        <w:r w:rsidRPr="00EF7388">
          <w:rPr>
            <w:rStyle w:val="Hyperlink"/>
            <w:i/>
            <w:sz w:val="20"/>
            <w:szCs w:val="20"/>
            <w:u w:val="none"/>
            <w:lang w:val="en-ZA"/>
          </w:rPr>
          <w:t>Creating an Enabling Environment for the Realisation of the Right to Adequate Housing for Persons with Special Needs: Expediting the Special Needs Housing Policy and Programme’</w:t>
        </w:r>
      </w:hyperlink>
      <w:r w:rsidRPr="00EF7388">
        <w:rPr>
          <w:i/>
          <w:sz w:val="20"/>
          <w:szCs w:val="20"/>
          <w:lang w:val="en-ZA"/>
        </w:rPr>
        <w:t>,</w:t>
      </w:r>
      <w:r w:rsidRPr="00EF7388">
        <w:rPr>
          <w:sz w:val="20"/>
          <w:szCs w:val="20"/>
          <w:lang w:val="en-ZA"/>
        </w:rPr>
        <w:t xml:space="preserve"> Economic and Social Rights Research Policy Brief 2016/2017 (2017).</w:t>
      </w:r>
    </w:p>
    <w:p w:rsidR="00EF7388" w:rsidRPr="00EF7388" w:rsidRDefault="00EF7388" w:rsidP="00B63C9B">
      <w:pPr>
        <w:pStyle w:val="FootnoteText"/>
        <w:spacing w:line="276" w:lineRule="auto"/>
        <w:jc w:val="both"/>
        <w:rPr>
          <w:sz w:val="20"/>
          <w:szCs w:val="20"/>
          <w:lang w:val="en-ZA"/>
        </w:rPr>
      </w:pPr>
    </w:p>
  </w:footnote>
  <w:footnote w:id="4">
    <w:p w:rsidR="00A77C7A" w:rsidRPr="00EF7388" w:rsidRDefault="00A77C7A" w:rsidP="00B63C9B">
      <w:pPr>
        <w:pStyle w:val="FootnoteText"/>
        <w:spacing w:line="276" w:lineRule="auto"/>
        <w:jc w:val="both"/>
        <w:rPr>
          <w:sz w:val="20"/>
          <w:szCs w:val="20"/>
        </w:rPr>
      </w:pPr>
      <w:r w:rsidRPr="00EF7388">
        <w:rPr>
          <w:rStyle w:val="FootnoteReference"/>
          <w:sz w:val="20"/>
          <w:szCs w:val="20"/>
        </w:rPr>
        <w:footnoteRef/>
      </w:r>
      <w:r w:rsidRPr="00EF7388">
        <w:rPr>
          <w:sz w:val="20"/>
          <w:szCs w:val="20"/>
        </w:rPr>
        <w:t xml:space="preserve"> C Makhanye ‘Rural women take the Ingonyama Trust to court’ https://mg.co.za/news/2020-12-07-rural-women-take-the-ingonyama-trust-to-court/</w:t>
      </w:r>
    </w:p>
  </w:footnote>
  <w:footnote w:id="5">
    <w:p w:rsidR="009F1DB2" w:rsidRPr="00EF7388" w:rsidRDefault="009F1DB2" w:rsidP="00B63C9B">
      <w:pPr>
        <w:pStyle w:val="FootnoteText"/>
        <w:spacing w:line="276" w:lineRule="auto"/>
        <w:jc w:val="both"/>
        <w:rPr>
          <w:sz w:val="20"/>
          <w:szCs w:val="20"/>
        </w:rPr>
      </w:pPr>
      <w:r w:rsidRPr="00EF7388">
        <w:rPr>
          <w:rStyle w:val="FootnoteReference"/>
          <w:sz w:val="20"/>
          <w:szCs w:val="20"/>
        </w:rPr>
        <w:footnoteRef/>
      </w:r>
      <w:r w:rsidRPr="00EF7388">
        <w:rPr>
          <w:sz w:val="20"/>
          <w:szCs w:val="20"/>
        </w:rPr>
        <w:t xml:space="preserve"> South African Human Rights Commission </w:t>
      </w:r>
      <w:r w:rsidRPr="00B63C9B">
        <w:rPr>
          <w:i/>
          <w:iCs/>
          <w:sz w:val="20"/>
          <w:szCs w:val="20"/>
        </w:rPr>
        <w:t>Report on the High Level Public Inquiry on the impact of rural land use and  ownership patterns on human rights</w:t>
      </w:r>
      <w:r w:rsidRPr="00EF7388">
        <w:rPr>
          <w:sz w:val="20"/>
          <w:szCs w:val="20"/>
        </w:rPr>
        <w:t xml:space="preserve"> Pg 25 https://www.sahrc.org.za/home/21/files/SAHRC%20Land%20Hearing%20Report%20FINAL%20WEB%20READY.pdf.</w:t>
      </w:r>
    </w:p>
  </w:footnote>
  <w:footnote w:id="6">
    <w:p w:rsidR="009F1DB2" w:rsidRPr="00EF7388" w:rsidRDefault="009F1DB2" w:rsidP="00B63C9B">
      <w:pPr>
        <w:pStyle w:val="FootnoteText"/>
        <w:spacing w:line="276" w:lineRule="auto"/>
        <w:jc w:val="both"/>
        <w:rPr>
          <w:sz w:val="20"/>
          <w:szCs w:val="20"/>
        </w:rPr>
      </w:pPr>
      <w:r w:rsidRPr="00EF7388">
        <w:rPr>
          <w:rStyle w:val="FootnoteReference"/>
          <w:sz w:val="20"/>
          <w:szCs w:val="20"/>
        </w:rPr>
        <w:footnoteRef/>
      </w:r>
      <w:r w:rsidRPr="00EF7388">
        <w:rPr>
          <w:sz w:val="20"/>
          <w:szCs w:val="20"/>
        </w:rPr>
        <w:t xml:space="preserve"> Ibid. </w:t>
      </w:r>
    </w:p>
  </w:footnote>
  <w:footnote w:id="7">
    <w:p w:rsidR="009F1DB2" w:rsidRPr="00EF7388" w:rsidRDefault="009F1DB2" w:rsidP="00B63C9B">
      <w:pPr>
        <w:pStyle w:val="FootnoteText"/>
        <w:spacing w:line="276" w:lineRule="auto"/>
        <w:jc w:val="both"/>
        <w:rPr>
          <w:sz w:val="20"/>
          <w:szCs w:val="20"/>
        </w:rPr>
      </w:pPr>
      <w:r w:rsidRPr="00EF7388">
        <w:rPr>
          <w:rStyle w:val="FootnoteReference"/>
          <w:sz w:val="20"/>
          <w:szCs w:val="20"/>
        </w:rPr>
        <w:footnoteRef/>
      </w:r>
      <w:r w:rsidRPr="00EF7388">
        <w:rPr>
          <w:sz w:val="20"/>
          <w:szCs w:val="20"/>
        </w:rPr>
        <w:t xml:space="preserve"> Ibid page 15</w:t>
      </w:r>
    </w:p>
  </w:footnote>
  <w:footnote w:id="8">
    <w:p w:rsidR="009F1DB2" w:rsidRPr="00EF7388" w:rsidRDefault="009F1DB2" w:rsidP="00B63C9B">
      <w:pPr>
        <w:pStyle w:val="FootnoteText"/>
        <w:spacing w:line="276" w:lineRule="auto"/>
        <w:jc w:val="both"/>
        <w:rPr>
          <w:sz w:val="20"/>
          <w:szCs w:val="20"/>
        </w:rPr>
      </w:pPr>
      <w:r w:rsidRPr="00EF7388">
        <w:rPr>
          <w:rStyle w:val="FootnoteReference"/>
          <w:sz w:val="20"/>
          <w:szCs w:val="20"/>
        </w:rPr>
        <w:footnoteRef/>
      </w:r>
      <w:r w:rsidRPr="00EF7388">
        <w:rPr>
          <w:sz w:val="20"/>
          <w:szCs w:val="20"/>
        </w:rPr>
        <w:t xml:space="preserve"> Ibid. </w:t>
      </w:r>
    </w:p>
  </w:footnote>
  <w:footnote w:id="9">
    <w:p w:rsidR="009F1DB2" w:rsidRPr="00EF7388" w:rsidRDefault="009F1DB2" w:rsidP="00B63C9B">
      <w:pPr>
        <w:pStyle w:val="FootnoteText"/>
        <w:spacing w:line="276" w:lineRule="auto"/>
        <w:jc w:val="both"/>
        <w:rPr>
          <w:rFonts w:cs="Times New Roman"/>
          <w:sz w:val="20"/>
          <w:szCs w:val="20"/>
        </w:rPr>
      </w:pPr>
      <w:r w:rsidRPr="00EF7388">
        <w:rPr>
          <w:rStyle w:val="FootnoteReference"/>
          <w:sz w:val="20"/>
          <w:szCs w:val="20"/>
        </w:rPr>
        <w:footnoteRef/>
      </w:r>
      <w:r w:rsidRPr="00EF7388">
        <w:rPr>
          <w:rFonts w:cs="Times New Roman"/>
          <w:sz w:val="20"/>
          <w:szCs w:val="20"/>
        </w:rPr>
        <w:t xml:space="preserve"> J Van Wyk ‘Can SPLUMA play a role in transforming spatial injustice to spatial justice in South Africa’ (2015) (30) (1) </w:t>
      </w:r>
      <w:r w:rsidRPr="00EF7388">
        <w:rPr>
          <w:rFonts w:cs="Times New Roman"/>
          <w:i/>
          <w:sz w:val="20"/>
          <w:szCs w:val="20"/>
        </w:rPr>
        <w:t>SAPL</w:t>
      </w:r>
      <w:r w:rsidRPr="00EF7388">
        <w:rPr>
          <w:rFonts w:cs="Times New Roman"/>
          <w:sz w:val="20"/>
          <w:szCs w:val="20"/>
        </w:rPr>
        <w:t xml:space="preserve"> 26, 29.</w:t>
      </w:r>
    </w:p>
  </w:footnote>
  <w:footnote w:id="10">
    <w:p w:rsidR="009F1DB2" w:rsidRPr="00EF7388" w:rsidRDefault="009F1DB2" w:rsidP="00B63C9B">
      <w:pPr>
        <w:pStyle w:val="FootnoteText"/>
        <w:spacing w:line="276" w:lineRule="auto"/>
        <w:jc w:val="both"/>
        <w:rPr>
          <w:rFonts w:cs="Times New Roman"/>
          <w:sz w:val="20"/>
          <w:szCs w:val="20"/>
        </w:rPr>
      </w:pPr>
      <w:r w:rsidRPr="00EF7388">
        <w:rPr>
          <w:rStyle w:val="FootnoteReference"/>
          <w:sz w:val="20"/>
          <w:szCs w:val="20"/>
        </w:rPr>
        <w:footnoteRef/>
      </w:r>
      <w:r w:rsidRPr="00EF7388">
        <w:rPr>
          <w:rFonts w:cs="Times New Roman"/>
          <w:sz w:val="20"/>
          <w:szCs w:val="20"/>
        </w:rPr>
        <w:t xml:space="preserve"> National Planning Commission National Development Plan: Vision for 2030 (2011) 233.</w:t>
      </w:r>
    </w:p>
  </w:footnote>
  <w:footnote w:id="11">
    <w:p w:rsidR="009F1DB2" w:rsidRPr="00EF7388" w:rsidRDefault="009F1DB2" w:rsidP="00B63C9B">
      <w:pPr>
        <w:pStyle w:val="FootnoteText"/>
        <w:spacing w:line="276" w:lineRule="auto"/>
        <w:jc w:val="both"/>
        <w:rPr>
          <w:rFonts w:cs="Times New Roman"/>
          <w:sz w:val="20"/>
          <w:szCs w:val="20"/>
        </w:rPr>
      </w:pPr>
      <w:r w:rsidRPr="00EF7388">
        <w:rPr>
          <w:rStyle w:val="FootnoteReference"/>
          <w:sz w:val="20"/>
          <w:szCs w:val="20"/>
        </w:rPr>
        <w:footnoteRef/>
      </w:r>
      <w:r w:rsidRPr="00EF7388">
        <w:rPr>
          <w:rFonts w:cs="Times New Roman"/>
          <w:sz w:val="20"/>
          <w:szCs w:val="20"/>
        </w:rPr>
        <w:t xml:space="preserve"> M Strauss &amp; S Liebenberg, ‘Contested spaces: Housing rights and evictions law in post-apartheid South Africa’ (2014) 13/4 </w:t>
      </w:r>
      <w:r w:rsidRPr="00EF7388">
        <w:rPr>
          <w:rFonts w:cs="Times New Roman"/>
          <w:i/>
          <w:sz w:val="20"/>
          <w:szCs w:val="20"/>
        </w:rPr>
        <w:t xml:space="preserve">Planning Theory </w:t>
      </w:r>
      <w:r w:rsidRPr="00EF7388">
        <w:rPr>
          <w:rFonts w:cs="Times New Roman"/>
          <w:sz w:val="20"/>
          <w:szCs w:val="20"/>
        </w:rPr>
        <w:t>429, 430.</w:t>
      </w:r>
    </w:p>
  </w:footnote>
  <w:footnote w:id="12">
    <w:p w:rsidR="009F1DB2" w:rsidRPr="00EF7388" w:rsidRDefault="009F1DB2" w:rsidP="00B63C9B">
      <w:pPr>
        <w:pStyle w:val="FootnoteText"/>
        <w:spacing w:line="276" w:lineRule="auto"/>
        <w:jc w:val="both"/>
        <w:rPr>
          <w:rFonts w:cs="Times New Roman"/>
          <w:sz w:val="20"/>
          <w:szCs w:val="20"/>
        </w:rPr>
      </w:pPr>
      <w:r w:rsidRPr="00EF7388">
        <w:rPr>
          <w:rStyle w:val="FootnoteReference"/>
          <w:sz w:val="20"/>
          <w:szCs w:val="20"/>
        </w:rPr>
        <w:footnoteRef/>
      </w:r>
      <w:r w:rsidRPr="00EF7388">
        <w:rPr>
          <w:rFonts w:cs="Times New Roman"/>
          <w:sz w:val="20"/>
          <w:szCs w:val="20"/>
        </w:rPr>
        <w:t xml:space="preserve"> South African Human Rights Commission ‘Access to housing, local governance and service delivery’ (2015) 85.</w:t>
      </w:r>
    </w:p>
  </w:footnote>
  <w:footnote w:id="13">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w:t>
      </w:r>
      <w:r w:rsidRPr="00EF7388">
        <w:rPr>
          <w:rFonts w:cs="Times New Roman"/>
          <w:sz w:val="20"/>
          <w:szCs w:val="20"/>
          <w:lang w:val="en-ZA"/>
        </w:rPr>
        <w:t>See, for example, the following website for maps of the residential location of people in South Africa across racial groups: adrianfrith.com/2013/09/08/dot-maps-of-racialdistribution-in-south-african-cities.</w:t>
      </w:r>
    </w:p>
  </w:footnote>
  <w:footnote w:id="14">
    <w:p w:rsidR="009F1DB2" w:rsidRPr="00EF7388" w:rsidRDefault="009F1DB2" w:rsidP="00B63C9B">
      <w:pPr>
        <w:pStyle w:val="FootnoteText"/>
        <w:spacing w:line="276" w:lineRule="auto"/>
        <w:jc w:val="both"/>
        <w:rPr>
          <w:rFonts w:cs="Times New Roman"/>
          <w:sz w:val="20"/>
          <w:szCs w:val="20"/>
        </w:rPr>
      </w:pPr>
      <w:r w:rsidRPr="00EF7388">
        <w:rPr>
          <w:rStyle w:val="FootnoteReference"/>
          <w:sz w:val="20"/>
          <w:szCs w:val="20"/>
        </w:rPr>
        <w:footnoteRef/>
      </w:r>
      <w:r w:rsidRPr="00EF7388">
        <w:rPr>
          <w:rFonts w:cs="Times New Roman"/>
          <w:sz w:val="20"/>
          <w:szCs w:val="20"/>
        </w:rPr>
        <w:t xml:space="preserve"> Gauteng City Region Observatory ‘Uneven spaces: Core and periphery in the Gauteng City-Region’ (2017) 16. </w:t>
      </w:r>
    </w:p>
  </w:footnote>
  <w:footnote w:id="15">
    <w:p w:rsidR="009F1DB2" w:rsidRPr="00EF7388" w:rsidRDefault="009F1DB2" w:rsidP="00B63C9B">
      <w:pPr>
        <w:pStyle w:val="FootnoteText"/>
        <w:spacing w:line="276" w:lineRule="auto"/>
        <w:jc w:val="both"/>
        <w:rPr>
          <w:sz w:val="20"/>
          <w:szCs w:val="20"/>
          <w:lang w:val="en-ZA"/>
        </w:rPr>
      </w:pPr>
      <w:r w:rsidRPr="00EF7388">
        <w:rPr>
          <w:rStyle w:val="FootnoteReference"/>
          <w:sz w:val="20"/>
          <w:szCs w:val="20"/>
        </w:rPr>
        <w:footnoteRef/>
      </w:r>
      <w:r w:rsidRPr="00EF7388">
        <w:rPr>
          <w:sz w:val="20"/>
          <w:szCs w:val="20"/>
        </w:rPr>
        <w:t xml:space="preserve"> </w:t>
      </w:r>
      <w:r w:rsidRPr="00EF7388">
        <w:rPr>
          <w:sz w:val="20"/>
          <w:szCs w:val="20"/>
          <w:lang w:val="en-ZA"/>
        </w:rPr>
        <w:t>South African Human Rights Commission ‘Unpacking the gaps and challenges in addressing gender-based violence in South Africa’ (2018) 27.</w:t>
      </w:r>
    </w:p>
  </w:footnote>
  <w:footnote w:id="16">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Socio-Economic Rights Institute of South Africa ‘Edged Out: Spatial Mismatch and Spatial justice in South Africa’s Main Urban Areas’ (2016, 2.</w:t>
      </w:r>
    </w:p>
  </w:footnote>
  <w:footnote w:id="17">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DPME ‘Towards a 25 year review 1994 -2019’ (2019) 144.</w:t>
      </w:r>
    </w:p>
  </w:footnote>
  <w:footnote w:id="18">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w:t>
      </w:r>
      <w:r w:rsidRPr="00EF7388">
        <w:rPr>
          <w:rFonts w:cs="Times New Roman"/>
          <w:sz w:val="20"/>
          <w:szCs w:val="20"/>
          <w:lang w:val="en-ZA"/>
        </w:rPr>
        <w:t>Ibid.</w:t>
      </w:r>
    </w:p>
  </w:footnote>
  <w:footnote w:id="19">
    <w:p w:rsidR="009F1DB2" w:rsidRPr="00EF7388" w:rsidRDefault="009F1DB2" w:rsidP="00B63C9B">
      <w:pPr>
        <w:pStyle w:val="FootnoteText"/>
        <w:spacing w:line="276" w:lineRule="auto"/>
        <w:jc w:val="both"/>
        <w:rPr>
          <w:rFonts w:cs="Times New Roman"/>
          <w:sz w:val="20"/>
          <w:szCs w:val="20"/>
        </w:rPr>
      </w:pPr>
      <w:r w:rsidRPr="00EF7388">
        <w:rPr>
          <w:rStyle w:val="FootnoteReference"/>
          <w:sz w:val="20"/>
          <w:szCs w:val="20"/>
        </w:rPr>
        <w:footnoteRef/>
      </w:r>
      <w:r w:rsidRPr="00EF7388">
        <w:rPr>
          <w:rFonts w:cs="Times New Roman"/>
          <w:sz w:val="20"/>
          <w:szCs w:val="20"/>
        </w:rPr>
        <w:t xml:space="preserve"> South African Human Rights Commission ‘Access to housing, local governance and service delivery’ (2015) 85.</w:t>
      </w:r>
    </w:p>
  </w:footnote>
  <w:footnote w:id="20">
    <w:p w:rsidR="009F1DB2" w:rsidRPr="00EF7388" w:rsidRDefault="009F1DB2" w:rsidP="00B63C9B">
      <w:pPr>
        <w:pStyle w:val="FootnoteText"/>
        <w:spacing w:line="276" w:lineRule="auto"/>
        <w:jc w:val="both"/>
        <w:rPr>
          <w:rFonts w:cs="Times New Roman"/>
          <w:sz w:val="20"/>
          <w:szCs w:val="20"/>
        </w:rPr>
      </w:pPr>
      <w:r w:rsidRPr="00EF7388">
        <w:rPr>
          <w:rStyle w:val="FootnoteReference"/>
          <w:sz w:val="20"/>
          <w:szCs w:val="20"/>
        </w:rPr>
        <w:footnoteRef/>
      </w:r>
      <w:r w:rsidRPr="00EF7388">
        <w:rPr>
          <w:rFonts w:cs="Times New Roman"/>
          <w:sz w:val="20"/>
          <w:szCs w:val="20"/>
        </w:rPr>
        <w:t xml:space="preserve"> Ibid.</w:t>
      </w:r>
    </w:p>
  </w:footnote>
  <w:footnote w:id="21">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w:t>
      </w:r>
      <w:r w:rsidRPr="00EF7388">
        <w:rPr>
          <w:rFonts w:cs="Times New Roman"/>
          <w:sz w:val="20"/>
          <w:szCs w:val="20"/>
          <w:lang w:val="en-ZA"/>
        </w:rPr>
        <w:t>See the experience of the Bo-Kaap community in Cape Town who once embarked on protest action challenging gentrification.</w:t>
      </w:r>
    </w:p>
  </w:footnote>
  <w:footnote w:id="22">
    <w:p w:rsidR="00987ADB" w:rsidRPr="00EF7388" w:rsidRDefault="00987ADB" w:rsidP="00B63C9B">
      <w:pPr>
        <w:pStyle w:val="FootnoteText"/>
        <w:spacing w:line="276" w:lineRule="auto"/>
        <w:jc w:val="both"/>
        <w:rPr>
          <w:sz w:val="20"/>
          <w:szCs w:val="20"/>
        </w:rPr>
      </w:pPr>
      <w:r w:rsidRPr="00EF7388">
        <w:rPr>
          <w:rStyle w:val="FootnoteReference"/>
          <w:sz w:val="20"/>
          <w:szCs w:val="20"/>
        </w:rPr>
        <w:footnoteRef/>
      </w:r>
      <w:r w:rsidRPr="00EF7388">
        <w:rPr>
          <w:sz w:val="20"/>
          <w:szCs w:val="20"/>
        </w:rPr>
        <w:t xml:space="preserve"> ‘Inside the all-white 'Apartheid town' of Orania, South Africa’ https://abcnews.go.com/International/inside-white-apartheid-town-orania-south-africa/story?id=62337338</w:t>
      </w:r>
    </w:p>
  </w:footnote>
  <w:footnote w:id="23">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w:t>
      </w:r>
      <w:r w:rsidRPr="00EF7388">
        <w:rPr>
          <w:rFonts w:cs="Times New Roman"/>
          <w:sz w:val="20"/>
          <w:szCs w:val="20"/>
          <w:lang w:val="en-ZA"/>
        </w:rPr>
        <w:t>2001(4) SA 466 (CC).</w:t>
      </w:r>
    </w:p>
  </w:footnote>
  <w:footnote w:id="24">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w:t>
      </w:r>
      <w:r w:rsidRPr="00EF7388">
        <w:rPr>
          <w:rFonts w:cs="Times New Roman"/>
          <w:sz w:val="20"/>
          <w:szCs w:val="20"/>
          <w:lang w:val="en-ZA"/>
        </w:rPr>
        <w:t>Ibid para 34</w:t>
      </w:r>
    </w:p>
  </w:footnote>
  <w:footnote w:id="25">
    <w:p w:rsidR="009F1DB2" w:rsidRPr="00B63C9B" w:rsidRDefault="009F1DB2" w:rsidP="00B63C9B">
      <w:pPr>
        <w:pStyle w:val="FootnoteText"/>
        <w:spacing w:line="276" w:lineRule="auto"/>
        <w:jc w:val="both"/>
        <w:rPr>
          <w:rFonts w:cs="Times New Roman"/>
          <w:sz w:val="20"/>
          <w:szCs w:val="20"/>
        </w:rPr>
      </w:pPr>
      <w:r w:rsidRPr="00EF7388">
        <w:rPr>
          <w:rStyle w:val="FootnoteReference"/>
          <w:sz w:val="20"/>
          <w:szCs w:val="20"/>
        </w:rPr>
        <w:footnoteRef/>
      </w:r>
      <w:r w:rsidRPr="00EF7388">
        <w:rPr>
          <w:rFonts w:cs="Times New Roman"/>
          <w:sz w:val="20"/>
          <w:szCs w:val="20"/>
        </w:rPr>
        <w:t xml:space="preserve"> </w:t>
      </w:r>
      <w:r w:rsidRPr="00EF7388">
        <w:rPr>
          <w:rFonts w:cs="Times New Roman"/>
          <w:i/>
          <w:sz w:val="20"/>
          <w:szCs w:val="20"/>
        </w:rPr>
        <w:t xml:space="preserve">City of Johannesburg Metropolitan Municipality v Blue Moonlight Properties 39 (Pty) Ltd and Another </w:t>
      </w:r>
      <w:r w:rsidRPr="00EF7388">
        <w:rPr>
          <w:rFonts w:cs="Times New Roman"/>
          <w:sz w:val="20"/>
          <w:szCs w:val="20"/>
        </w:rPr>
        <w:t>(CC) 2012 (2) SA 104 (CC).</w:t>
      </w:r>
      <w:r w:rsidRPr="00EF7388">
        <w:rPr>
          <w:rFonts w:cs="Times New Roman"/>
          <w:sz w:val="20"/>
          <w:szCs w:val="20"/>
          <w:lang w:val="en-ZA"/>
        </w:rPr>
        <w:tab/>
      </w:r>
    </w:p>
  </w:footnote>
  <w:footnote w:id="26">
    <w:p w:rsidR="00EF7388" w:rsidRPr="00EF7388" w:rsidRDefault="00EF7388"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Department of Cooperative Governance and Traditional Affairs Integrated Urban Development (2016) 7.</w:t>
      </w:r>
    </w:p>
  </w:footnote>
  <w:footnote w:id="27">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Section 184 of the Constitution of the Republic of South Africa, 1996.</w:t>
      </w:r>
    </w:p>
  </w:footnote>
  <w:footnote w:id="28">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See South African Human Rights Commission Creating an Enabling Environment for the Realisation of the Right to Adequate Housing for Persons with Special Needs: Expediting the Special Needs Housing Policy and Programme’, Economic and Social Rights Research Policy Brief 2016/2017 (2017) where the Commission conducted a study and recommended that the South African government finalises and adopt a Special Needs Housing Policy and Programme to cater for the needs of the most vulnerable in the provision of housing.</w:t>
      </w:r>
    </w:p>
  </w:footnote>
  <w:footnote w:id="29">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The SAHRC for the 2016/18 received 289 housing-related complaints. See </w:t>
      </w:r>
      <w:hyperlink r:id="rId2" w:history="1">
        <w:r w:rsidRPr="00EF7388">
          <w:rPr>
            <w:rStyle w:val="Hyperlink"/>
            <w:rFonts w:cs="Times New Roman"/>
            <w:sz w:val="20"/>
            <w:szCs w:val="20"/>
          </w:rPr>
          <w:t>https://www.sahrc.org.za/home/21/files/SAHRC%20Trend%20Analysis%202016%20-%202017.pdf</w:t>
        </w:r>
      </w:hyperlink>
      <w:r w:rsidRPr="00EF7388">
        <w:rPr>
          <w:rFonts w:cs="Times New Roman"/>
          <w:sz w:val="20"/>
          <w:szCs w:val="20"/>
        </w:rPr>
        <w:t xml:space="preserve"> </w:t>
      </w:r>
    </w:p>
  </w:footnote>
  <w:footnote w:id="30">
    <w:p w:rsidR="009F1DB2" w:rsidRPr="00EF7388" w:rsidRDefault="009F1DB2" w:rsidP="00B63C9B">
      <w:pPr>
        <w:pStyle w:val="FootnoteText"/>
        <w:spacing w:line="276" w:lineRule="auto"/>
        <w:jc w:val="both"/>
        <w:rPr>
          <w:rFonts w:cs="Times New Roman"/>
          <w:sz w:val="20"/>
          <w:szCs w:val="20"/>
          <w:lang w:val="en-ZA"/>
        </w:rPr>
      </w:pPr>
      <w:r w:rsidRPr="00EF7388">
        <w:rPr>
          <w:rStyle w:val="FootnoteReference"/>
          <w:sz w:val="20"/>
          <w:szCs w:val="20"/>
        </w:rPr>
        <w:footnoteRef/>
      </w:r>
      <w:r w:rsidRPr="00EF7388">
        <w:rPr>
          <w:rFonts w:cs="Times New Roman"/>
          <w:sz w:val="20"/>
          <w:szCs w:val="20"/>
        </w:rPr>
        <w:t xml:space="preserve"> See South African Human Rights Commission Investigative Hearing Report: Access to Housing, Local Governance and Service Delivery (2015) where the Commission after having numerous complaints regarding the right to housing conducted an investigative national hearing into access to housing, local governance and service delivery and directed recommendations to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DB2" w:rsidRPr="00925A9D" w:rsidRDefault="009F1DB2" w:rsidP="00611E96">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53F82A0A" wp14:editId="7271A775">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9F1DB2" w:rsidRPr="002745FF" w:rsidRDefault="009F1DB2"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9F1DB2" w:rsidRPr="002745FF" w:rsidRDefault="009F1DB2"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rsidR="009F1DB2" w:rsidRPr="00611E96" w:rsidRDefault="009F1DB2">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3852"/>
    <w:multiLevelType w:val="multilevel"/>
    <w:tmpl w:val="C2B2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F57D6"/>
    <w:multiLevelType w:val="hybridMultilevel"/>
    <w:tmpl w:val="EDC42122"/>
    <w:lvl w:ilvl="0" w:tplc="7DCA2B98">
      <w:numFmt w:val="bullet"/>
      <w:lvlText w:val="-"/>
      <w:lvlJc w:val="left"/>
      <w:pPr>
        <w:ind w:left="822" w:hanging="360"/>
      </w:pPr>
      <w:rPr>
        <w:rFonts w:ascii="Calibri" w:eastAsia="Calibri" w:hAnsi="Calibri" w:cs="Calibri" w:hint="default"/>
        <w:w w:val="100"/>
        <w:sz w:val="24"/>
        <w:szCs w:val="24"/>
        <w:lang w:val="en-US" w:eastAsia="en-US" w:bidi="ar-SA"/>
      </w:rPr>
    </w:lvl>
    <w:lvl w:ilvl="1" w:tplc="BCF238AA">
      <w:numFmt w:val="bullet"/>
      <w:lvlText w:val="•"/>
      <w:lvlJc w:val="left"/>
      <w:pPr>
        <w:ind w:left="1610" w:hanging="360"/>
      </w:pPr>
      <w:rPr>
        <w:rFonts w:hint="default"/>
        <w:lang w:val="en-US" w:eastAsia="en-US" w:bidi="ar-SA"/>
      </w:rPr>
    </w:lvl>
    <w:lvl w:ilvl="2" w:tplc="56AA4C82">
      <w:numFmt w:val="bullet"/>
      <w:lvlText w:val="•"/>
      <w:lvlJc w:val="left"/>
      <w:pPr>
        <w:ind w:left="2401" w:hanging="360"/>
      </w:pPr>
      <w:rPr>
        <w:rFonts w:hint="default"/>
        <w:lang w:val="en-US" w:eastAsia="en-US" w:bidi="ar-SA"/>
      </w:rPr>
    </w:lvl>
    <w:lvl w:ilvl="3" w:tplc="8FFC2A6A">
      <w:numFmt w:val="bullet"/>
      <w:lvlText w:val="•"/>
      <w:lvlJc w:val="left"/>
      <w:pPr>
        <w:ind w:left="3191" w:hanging="360"/>
      </w:pPr>
      <w:rPr>
        <w:rFonts w:hint="default"/>
        <w:lang w:val="en-US" w:eastAsia="en-US" w:bidi="ar-SA"/>
      </w:rPr>
    </w:lvl>
    <w:lvl w:ilvl="4" w:tplc="703079FE">
      <w:numFmt w:val="bullet"/>
      <w:lvlText w:val="•"/>
      <w:lvlJc w:val="left"/>
      <w:pPr>
        <w:ind w:left="3982" w:hanging="360"/>
      </w:pPr>
      <w:rPr>
        <w:rFonts w:hint="default"/>
        <w:lang w:val="en-US" w:eastAsia="en-US" w:bidi="ar-SA"/>
      </w:rPr>
    </w:lvl>
    <w:lvl w:ilvl="5" w:tplc="975AE7FE">
      <w:numFmt w:val="bullet"/>
      <w:lvlText w:val="•"/>
      <w:lvlJc w:val="left"/>
      <w:pPr>
        <w:ind w:left="4773" w:hanging="360"/>
      </w:pPr>
      <w:rPr>
        <w:rFonts w:hint="default"/>
        <w:lang w:val="en-US" w:eastAsia="en-US" w:bidi="ar-SA"/>
      </w:rPr>
    </w:lvl>
    <w:lvl w:ilvl="6" w:tplc="8CBCA368">
      <w:numFmt w:val="bullet"/>
      <w:lvlText w:val="•"/>
      <w:lvlJc w:val="left"/>
      <w:pPr>
        <w:ind w:left="5563" w:hanging="360"/>
      </w:pPr>
      <w:rPr>
        <w:rFonts w:hint="default"/>
        <w:lang w:val="en-US" w:eastAsia="en-US" w:bidi="ar-SA"/>
      </w:rPr>
    </w:lvl>
    <w:lvl w:ilvl="7" w:tplc="53901072">
      <w:numFmt w:val="bullet"/>
      <w:lvlText w:val="•"/>
      <w:lvlJc w:val="left"/>
      <w:pPr>
        <w:ind w:left="6354" w:hanging="360"/>
      </w:pPr>
      <w:rPr>
        <w:rFonts w:hint="default"/>
        <w:lang w:val="en-US" w:eastAsia="en-US" w:bidi="ar-SA"/>
      </w:rPr>
    </w:lvl>
    <w:lvl w:ilvl="8" w:tplc="29CCCAFC">
      <w:numFmt w:val="bullet"/>
      <w:lvlText w:val="•"/>
      <w:lvlJc w:val="left"/>
      <w:pPr>
        <w:ind w:left="7145" w:hanging="360"/>
      </w:pPr>
      <w:rPr>
        <w:rFonts w:hint="default"/>
        <w:lang w:val="en-US" w:eastAsia="en-US" w:bidi="ar-SA"/>
      </w:rPr>
    </w:lvl>
  </w:abstractNum>
  <w:abstractNum w:abstractNumId="3" w15:restartNumberingAfterBreak="0">
    <w:nsid w:val="3A272839"/>
    <w:multiLevelType w:val="hybridMultilevel"/>
    <w:tmpl w:val="3B3CC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4392CBC"/>
    <w:multiLevelType w:val="hybridMultilevel"/>
    <w:tmpl w:val="E9589B40"/>
    <w:lvl w:ilvl="0" w:tplc="5F0A85B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D15378"/>
    <w:multiLevelType w:val="hybridMultilevel"/>
    <w:tmpl w:val="DDA4878E"/>
    <w:lvl w:ilvl="0" w:tplc="F646A200">
      <w:start w:val="1"/>
      <w:numFmt w:val="bullet"/>
      <w:lvlText w:val="•"/>
      <w:lvlJc w:val="left"/>
      <w:pPr>
        <w:tabs>
          <w:tab w:val="num" w:pos="720"/>
        </w:tabs>
        <w:ind w:left="720" w:hanging="360"/>
      </w:pPr>
      <w:rPr>
        <w:rFonts w:ascii="Arial" w:hAnsi="Arial" w:hint="default"/>
      </w:rPr>
    </w:lvl>
    <w:lvl w:ilvl="1" w:tplc="75DE62D6" w:tentative="1">
      <w:start w:val="1"/>
      <w:numFmt w:val="bullet"/>
      <w:lvlText w:val="•"/>
      <w:lvlJc w:val="left"/>
      <w:pPr>
        <w:tabs>
          <w:tab w:val="num" w:pos="1440"/>
        </w:tabs>
        <w:ind w:left="1440" w:hanging="360"/>
      </w:pPr>
      <w:rPr>
        <w:rFonts w:ascii="Arial" w:hAnsi="Arial" w:hint="default"/>
      </w:rPr>
    </w:lvl>
    <w:lvl w:ilvl="2" w:tplc="0694D728" w:tentative="1">
      <w:start w:val="1"/>
      <w:numFmt w:val="bullet"/>
      <w:lvlText w:val="•"/>
      <w:lvlJc w:val="left"/>
      <w:pPr>
        <w:tabs>
          <w:tab w:val="num" w:pos="2160"/>
        </w:tabs>
        <w:ind w:left="2160" w:hanging="360"/>
      </w:pPr>
      <w:rPr>
        <w:rFonts w:ascii="Arial" w:hAnsi="Arial" w:hint="default"/>
      </w:rPr>
    </w:lvl>
    <w:lvl w:ilvl="3" w:tplc="A9B4E994" w:tentative="1">
      <w:start w:val="1"/>
      <w:numFmt w:val="bullet"/>
      <w:lvlText w:val="•"/>
      <w:lvlJc w:val="left"/>
      <w:pPr>
        <w:tabs>
          <w:tab w:val="num" w:pos="2880"/>
        </w:tabs>
        <w:ind w:left="2880" w:hanging="360"/>
      </w:pPr>
      <w:rPr>
        <w:rFonts w:ascii="Arial" w:hAnsi="Arial" w:hint="default"/>
      </w:rPr>
    </w:lvl>
    <w:lvl w:ilvl="4" w:tplc="6BB80D86" w:tentative="1">
      <w:start w:val="1"/>
      <w:numFmt w:val="bullet"/>
      <w:lvlText w:val="•"/>
      <w:lvlJc w:val="left"/>
      <w:pPr>
        <w:tabs>
          <w:tab w:val="num" w:pos="3600"/>
        </w:tabs>
        <w:ind w:left="3600" w:hanging="360"/>
      </w:pPr>
      <w:rPr>
        <w:rFonts w:ascii="Arial" w:hAnsi="Arial" w:hint="default"/>
      </w:rPr>
    </w:lvl>
    <w:lvl w:ilvl="5" w:tplc="38429B98" w:tentative="1">
      <w:start w:val="1"/>
      <w:numFmt w:val="bullet"/>
      <w:lvlText w:val="•"/>
      <w:lvlJc w:val="left"/>
      <w:pPr>
        <w:tabs>
          <w:tab w:val="num" w:pos="4320"/>
        </w:tabs>
        <w:ind w:left="4320" w:hanging="360"/>
      </w:pPr>
      <w:rPr>
        <w:rFonts w:ascii="Arial" w:hAnsi="Arial" w:hint="default"/>
      </w:rPr>
    </w:lvl>
    <w:lvl w:ilvl="6" w:tplc="AF8AAC4C" w:tentative="1">
      <w:start w:val="1"/>
      <w:numFmt w:val="bullet"/>
      <w:lvlText w:val="•"/>
      <w:lvlJc w:val="left"/>
      <w:pPr>
        <w:tabs>
          <w:tab w:val="num" w:pos="5040"/>
        </w:tabs>
        <w:ind w:left="5040" w:hanging="360"/>
      </w:pPr>
      <w:rPr>
        <w:rFonts w:ascii="Arial" w:hAnsi="Arial" w:hint="default"/>
      </w:rPr>
    </w:lvl>
    <w:lvl w:ilvl="7" w:tplc="6E36767C" w:tentative="1">
      <w:start w:val="1"/>
      <w:numFmt w:val="bullet"/>
      <w:lvlText w:val="•"/>
      <w:lvlJc w:val="left"/>
      <w:pPr>
        <w:tabs>
          <w:tab w:val="num" w:pos="5760"/>
        </w:tabs>
        <w:ind w:left="5760" w:hanging="360"/>
      </w:pPr>
      <w:rPr>
        <w:rFonts w:ascii="Arial" w:hAnsi="Arial" w:hint="default"/>
      </w:rPr>
    </w:lvl>
    <w:lvl w:ilvl="8" w:tplc="F776F3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3"/>
  </w:num>
  <w:num w:numId="6">
    <w:abstractNumId w:val="0"/>
  </w:num>
  <w:num w:numId="7">
    <w:abstractNumId w:val="2"/>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BDC"/>
    <w:rsid w:val="00026D1F"/>
    <w:rsid w:val="00026D52"/>
    <w:rsid w:val="00031377"/>
    <w:rsid w:val="00032D0E"/>
    <w:rsid w:val="0003674D"/>
    <w:rsid w:val="000410AB"/>
    <w:rsid w:val="0005390B"/>
    <w:rsid w:val="00063A36"/>
    <w:rsid w:val="00063BFD"/>
    <w:rsid w:val="000652BE"/>
    <w:rsid w:val="0006576E"/>
    <w:rsid w:val="00072E19"/>
    <w:rsid w:val="00077294"/>
    <w:rsid w:val="00077AE5"/>
    <w:rsid w:val="000875C6"/>
    <w:rsid w:val="00091BF0"/>
    <w:rsid w:val="00097430"/>
    <w:rsid w:val="000A2B89"/>
    <w:rsid w:val="000A6F03"/>
    <w:rsid w:val="000B38AF"/>
    <w:rsid w:val="000B60CD"/>
    <w:rsid w:val="000C7384"/>
    <w:rsid w:val="000D210E"/>
    <w:rsid w:val="000D2183"/>
    <w:rsid w:val="000D34F2"/>
    <w:rsid w:val="000D634A"/>
    <w:rsid w:val="000E1E28"/>
    <w:rsid w:val="000E42EE"/>
    <w:rsid w:val="000E4AD1"/>
    <w:rsid w:val="000F0425"/>
    <w:rsid w:val="000F183C"/>
    <w:rsid w:val="000F6A9F"/>
    <w:rsid w:val="00100FCF"/>
    <w:rsid w:val="00106F64"/>
    <w:rsid w:val="001146DA"/>
    <w:rsid w:val="00115798"/>
    <w:rsid w:val="001205D6"/>
    <w:rsid w:val="00124668"/>
    <w:rsid w:val="00131DFA"/>
    <w:rsid w:val="001456CB"/>
    <w:rsid w:val="00145CB3"/>
    <w:rsid w:val="001537CC"/>
    <w:rsid w:val="0015615C"/>
    <w:rsid w:val="00166A78"/>
    <w:rsid w:val="001676BA"/>
    <w:rsid w:val="00171DC8"/>
    <w:rsid w:val="00194332"/>
    <w:rsid w:val="00197CE5"/>
    <w:rsid w:val="001B0DD5"/>
    <w:rsid w:val="001B3A1F"/>
    <w:rsid w:val="001B7B09"/>
    <w:rsid w:val="001C1158"/>
    <w:rsid w:val="001C4360"/>
    <w:rsid w:val="001D08C8"/>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50C0"/>
    <w:rsid w:val="00235A1A"/>
    <w:rsid w:val="002431DB"/>
    <w:rsid w:val="00244860"/>
    <w:rsid w:val="0024583B"/>
    <w:rsid w:val="0025174E"/>
    <w:rsid w:val="002571C7"/>
    <w:rsid w:val="002659B2"/>
    <w:rsid w:val="00266D70"/>
    <w:rsid w:val="00267307"/>
    <w:rsid w:val="002675EB"/>
    <w:rsid w:val="00273554"/>
    <w:rsid w:val="00282C50"/>
    <w:rsid w:val="00282E14"/>
    <w:rsid w:val="0028624E"/>
    <w:rsid w:val="002863A2"/>
    <w:rsid w:val="002871B4"/>
    <w:rsid w:val="002906B5"/>
    <w:rsid w:val="00293243"/>
    <w:rsid w:val="002966DB"/>
    <w:rsid w:val="002969BF"/>
    <w:rsid w:val="002B2448"/>
    <w:rsid w:val="002C2C0E"/>
    <w:rsid w:val="002D4E0C"/>
    <w:rsid w:val="002D7106"/>
    <w:rsid w:val="002E0EEC"/>
    <w:rsid w:val="002E456F"/>
    <w:rsid w:val="002E65F4"/>
    <w:rsid w:val="002E713A"/>
    <w:rsid w:val="00305B08"/>
    <w:rsid w:val="00311BD4"/>
    <w:rsid w:val="003207A5"/>
    <w:rsid w:val="00323DEC"/>
    <w:rsid w:val="0033375D"/>
    <w:rsid w:val="00335FB9"/>
    <w:rsid w:val="00336C3F"/>
    <w:rsid w:val="00350908"/>
    <w:rsid w:val="00353D51"/>
    <w:rsid w:val="00356299"/>
    <w:rsid w:val="003577DB"/>
    <w:rsid w:val="0036094F"/>
    <w:rsid w:val="003658E5"/>
    <w:rsid w:val="00371A27"/>
    <w:rsid w:val="00372401"/>
    <w:rsid w:val="00380489"/>
    <w:rsid w:val="00382BF5"/>
    <w:rsid w:val="00390884"/>
    <w:rsid w:val="00396E4C"/>
    <w:rsid w:val="003A314E"/>
    <w:rsid w:val="003A3957"/>
    <w:rsid w:val="003B0526"/>
    <w:rsid w:val="003B4835"/>
    <w:rsid w:val="003C37C3"/>
    <w:rsid w:val="003C4D32"/>
    <w:rsid w:val="003D0C10"/>
    <w:rsid w:val="003D3D66"/>
    <w:rsid w:val="003D6889"/>
    <w:rsid w:val="003E0166"/>
    <w:rsid w:val="003E552B"/>
    <w:rsid w:val="003F7E82"/>
    <w:rsid w:val="00401FD2"/>
    <w:rsid w:val="004045F8"/>
    <w:rsid w:val="00410560"/>
    <w:rsid w:val="00413481"/>
    <w:rsid w:val="00413A21"/>
    <w:rsid w:val="004149E8"/>
    <w:rsid w:val="004153DE"/>
    <w:rsid w:val="00415EFC"/>
    <w:rsid w:val="004249D7"/>
    <w:rsid w:val="0042541F"/>
    <w:rsid w:val="004265C2"/>
    <w:rsid w:val="00427CEF"/>
    <w:rsid w:val="00433548"/>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A418C"/>
    <w:rsid w:val="004A5AE3"/>
    <w:rsid w:val="004A7867"/>
    <w:rsid w:val="004B4CAC"/>
    <w:rsid w:val="004B69B0"/>
    <w:rsid w:val="004C044F"/>
    <w:rsid w:val="004D21C9"/>
    <w:rsid w:val="004D48CA"/>
    <w:rsid w:val="004D5D19"/>
    <w:rsid w:val="004E0AB6"/>
    <w:rsid w:val="004E109C"/>
    <w:rsid w:val="004E49EC"/>
    <w:rsid w:val="004E4D86"/>
    <w:rsid w:val="004F4DB0"/>
    <w:rsid w:val="004F54F5"/>
    <w:rsid w:val="00505DD4"/>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69E6"/>
    <w:rsid w:val="005871D9"/>
    <w:rsid w:val="00591F62"/>
    <w:rsid w:val="005957ED"/>
    <w:rsid w:val="005A0F25"/>
    <w:rsid w:val="005B67E1"/>
    <w:rsid w:val="005C17A6"/>
    <w:rsid w:val="005C233E"/>
    <w:rsid w:val="005D4F9E"/>
    <w:rsid w:val="005E2983"/>
    <w:rsid w:val="005E59C1"/>
    <w:rsid w:val="005E7C37"/>
    <w:rsid w:val="005F0A9F"/>
    <w:rsid w:val="005F283E"/>
    <w:rsid w:val="0060068B"/>
    <w:rsid w:val="0060630F"/>
    <w:rsid w:val="0060785C"/>
    <w:rsid w:val="00611E96"/>
    <w:rsid w:val="00614FFD"/>
    <w:rsid w:val="00617DBD"/>
    <w:rsid w:val="00627A52"/>
    <w:rsid w:val="006304C5"/>
    <w:rsid w:val="006318F2"/>
    <w:rsid w:val="0063240F"/>
    <w:rsid w:val="006347BB"/>
    <w:rsid w:val="00635102"/>
    <w:rsid w:val="00636BD7"/>
    <w:rsid w:val="006375A5"/>
    <w:rsid w:val="00640D68"/>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B5A71"/>
    <w:rsid w:val="006C7917"/>
    <w:rsid w:val="006D0C62"/>
    <w:rsid w:val="006E6CC3"/>
    <w:rsid w:val="006F0D4E"/>
    <w:rsid w:val="006F790C"/>
    <w:rsid w:val="00710A78"/>
    <w:rsid w:val="00712363"/>
    <w:rsid w:val="00712EFD"/>
    <w:rsid w:val="0071665C"/>
    <w:rsid w:val="00716D30"/>
    <w:rsid w:val="007210F6"/>
    <w:rsid w:val="00723438"/>
    <w:rsid w:val="00726ED1"/>
    <w:rsid w:val="007274F1"/>
    <w:rsid w:val="00733660"/>
    <w:rsid w:val="00736AB0"/>
    <w:rsid w:val="00740B2E"/>
    <w:rsid w:val="00741EBC"/>
    <w:rsid w:val="007432E5"/>
    <w:rsid w:val="007450E8"/>
    <w:rsid w:val="00747302"/>
    <w:rsid w:val="00754462"/>
    <w:rsid w:val="00755F62"/>
    <w:rsid w:val="007560FD"/>
    <w:rsid w:val="007610CD"/>
    <w:rsid w:val="007625BA"/>
    <w:rsid w:val="00764279"/>
    <w:rsid w:val="007658C6"/>
    <w:rsid w:val="00773AD3"/>
    <w:rsid w:val="00776BDB"/>
    <w:rsid w:val="007775D2"/>
    <w:rsid w:val="00781455"/>
    <w:rsid w:val="00790C76"/>
    <w:rsid w:val="00790CBE"/>
    <w:rsid w:val="00792410"/>
    <w:rsid w:val="0079503A"/>
    <w:rsid w:val="00795469"/>
    <w:rsid w:val="00796729"/>
    <w:rsid w:val="0079720D"/>
    <w:rsid w:val="00797214"/>
    <w:rsid w:val="007A375D"/>
    <w:rsid w:val="007A3A64"/>
    <w:rsid w:val="007B01A6"/>
    <w:rsid w:val="007B5929"/>
    <w:rsid w:val="007B60AC"/>
    <w:rsid w:val="007C4483"/>
    <w:rsid w:val="007C4A8E"/>
    <w:rsid w:val="007C5369"/>
    <w:rsid w:val="007D1657"/>
    <w:rsid w:val="007D2D1D"/>
    <w:rsid w:val="007D47FE"/>
    <w:rsid w:val="007E1460"/>
    <w:rsid w:val="007E39E1"/>
    <w:rsid w:val="007E552B"/>
    <w:rsid w:val="007F4648"/>
    <w:rsid w:val="007F7DA3"/>
    <w:rsid w:val="00803EE8"/>
    <w:rsid w:val="0081788D"/>
    <w:rsid w:val="008226B4"/>
    <w:rsid w:val="00825176"/>
    <w:rsid w:val="00827A9A"/>
    <w:rsid w:val="00832165"/>
    <w:rsid w:val="00833FF3"/>
    <w:rsid w:val="0083641D"/>
    <w:rsid w:val="00842120"/>
    <w:rsid w:val="00842220"/>
    <w:rsid w:val="008427AA"/>
    <w:rsid w:val="00846B4A"/>
    <w:rsid w:val="00850B3F"/>
    <w:rsid w:val="00850F23"/>
    <w:rsid w:val="00851702"/>
    <w:rsid w:val="00851B6A"/>
    <w:rsid w:val="008543FC"/>
    <w:rsid w:val="00854A55"/>
    <w:rsid w:val="008553DE"/>
    <w:rsid w:val="008568EA"/>
    <w:rsid w:val="008656FA"/>
    <w:rsid w:val="00874280"/>
    <w:rsid w:val="00876DD3"/>
    <w:rsid w:val="008774E3"/>
    <w:rsid w:val="008858C5"/>
    <w:rsid w:val="00893220"/>
    <w:rsid w:val="00894E27"/>
    <w:rsid w:val="00895233"/>
    <w:rsid w:val="008970F7"/>
    <w:rsid w:val="008A2957"/>
    <w:rsid w:val="008A3B7D"/>
    <w:rsid w:val="008A5301"/>
    <w:rsid w:val="008B12FD"/>
    <w:rsid w:val="008B33E8"/>
    <w:rsid w:val="008B4DD7"/>
    <w:rsid w:val="008B4F3E"/>
    <w:rsid w:val="008C2924"/>
    <w:rsid w:val="008C3A0E"/>
    <w:rsid w:val="008C60C0"/>
    <w:rsid w:val="008D1A3C"/>
    <w:rsid w:val="008D3877"/>
    <w:rsid w:val="008D3B8A"/>
    <w:rsid w:val="008E161D"/>
    <w:rsid w:val="008E21A2"/>
    <w:rsid w:val="008E4052"/>
    <w:rsid w:val="008E46C1"/>
    <w:rsid w:val="0091134F"/>
    <w:rsid w:val="009240B2"/>
    <w:rsid w:val="009242AE"/>
    <w:rsid w:val="00925A9D"/>
    <w:rsid w:val="009337F5"/>
    <w:rsid w:val="009358CD"/>
    <w:rsid w:val="00935A07"/>
    <w:rsid w:val="00944000"/>
    <w:rsid w:val="00944040"/>
    <w:rsid w:val="00944E25"/>
    <w:rsid w:val="00945265"/>
    <w:rsid w:val="0094635D"/>
    <w:rsid w:val="009469B5"/>
    <w:rsid w:val="00951601"/>
    <w:rsid w:val="00955A33"/>
    <w:rsid w:val="00964D74"/>
    <w:rsid w:val="00977C96"/>
    <w:rsid w:val="009818C9"/>
    <w:rsid w:val="00982FCF"/>
    <w:rsid w:val="0098565E"/>
    <w:rsid w:val="00986237"/>
    <w:rsid w:val="00987ADB"/>
    <w:rsid w:val="00993C39"/>
    <w:rsid w:val="009953CF"/>
    <w:rsid w:val="00997618"/>
    <w:rsid w:val="009A2849"/>
    <w:rsid w:val="009A2BBD"/>
    <w:rsid w:val="009A4B5F"/>
    <w:rsid w:val="009B459A"/>
    <w:rsid w:val="009B47B3"/>
    <w:rsid w:val="009B5E0C"/>
    <w:rsid w:val="009D4AAC"/>
    <w:rsid w:val="009D5B81"/>
    <w:rsid w:val="009D76A9"/>
    <w:rsid w:val="009E0073"/>
    <w:rsid w:val="009E2085"/>
    <w:rsid w:val="009E2351"/>
    <w:rsid w:val="009F18EC"/>
    <w:rsid w:val="009F1DB2"/>
    <w:rsid w:val="009F2043"/>
    <w:rsid w:val="009F3747"/>
    <w:rsid w:val="009F37AC"/>
    <w:rsid w:val="009F5421"/>
    <w:rsid w:val="00A01741"/>
    <w:rsid w:val="00A02E89"/>
    <w:rsid w:val="00A153DB"/>
    <w:rsid w:val="00A21EF1"/>
    <w:rsid w:val="00A22B1B"/>
    <w:rsid w:val="00A23512"/>
    <w:rsid w:val="00A34DA7"/>
    <w:rsid w:val="00A364CF"/>
    <w:rsid w:val="00A3761B"/>
    <w:rsid w:val="00A40490"/>
    <w:rsid w:val="00A41D57"/>
    <w:rsid w:val="00A439B9"/>
    <w:rsid w:val="00A54482"/>
    <w:rsid w:val="00A54EEC"/>
    <w:rsid w:val="00A564C7"/>
    <w:rsid w:val="00A619C0"/>
    <w:rsid w:val="00A61E26"/>
    <w:rsid w:val="00A63953"/>
    <w:rsid w:val="00A63977"/>
    <w:rsid w:val="00A72E0A"/>
    <w:rsid w:val="00A77C7A"/>
    <w:rsid w:val="00A84B3F"/>
    <w:rsid w:val="00A86B19"/>
    <w:rsid w:val="00A86E08"/>
    <w:rsid w:val="00A9048E"/>
    <w:rsid w:val="00A92868"/>
    <w:rsid w:val="00A94BB4"/>
    <w:rsid w:val="00AA3895"/>
    <w:rsid w:val="00AA3C8A"/>
    <w:rsid w:val="00AA6359"/>
    <w:rsid w:val="00AA75B3"/>
    <w:rsid w:val="00AC4BC6"/>
    <w:rsid w:val="00AC50E4"/>
    <w:rsid w:val="00AD1796"/>
    <w:rsid w:val="00AD4CA9"/>
    <w:rsid w:val="00AD7262"/>
    <w:rsid w:val="00AE2231"/>
    <w:rsid w:val="00AE569D"/>
    <w:rsid w:val="00AE69A2"/>
    <w:rsid w:val="00AE796C"/>
    <w:rsid w:val="00AF291B"/>
    <w:rsid w:val="00B04529"/>
    <w:rsid w:val="00B13589"/>
    <w:rsid w:val="00B14752"/>
    <w:rsid w:val="00B1590A"/>
    <w:rsid w:val="00B23887"/>
    <w:rsid w:val="00B246B4"/>
    <w:rsid w:val="00B259BD"/>
    <w:rsid w:val="00B30F74"/>
    <w:rsid w:val="00B31236"/>
    <w:rsid w:val="00B313AC"/>
    <w:rsid w:val="00B42B30"/>
    <w:rsid w:val="00B43D96"/>
    <w:rsid w:val="00B4462A"/>
    <w:rsid w:val="00B458F6"/>
    <w:rsid w:val="00B54DD5"/>
    <w:rsid w:val="00B61545"/>
    <w:rsid w:val="00B63C9B"/>
    <w:rsid w:val="00B7425B"/>
    <w:rsid w:val="00B84F46"/>
    <w:rsid w:val="00BA4496"/>
    <w:rsid w:val="00BB735A"/>
    <w:rsid w:val="00BC486C"/>
    <w:rsid w:val="00BD2C78"/>
    <w:rsid w:val="00BD58E4"/>
    <w:rsid w:val="00BD6119"/>
    <w:rsid w:val="00BD6AAC"/>
    <w:rsid w:val="00BE21B8"/>
    <w:rsid w:val="00BE7A33"/>
    <w:rsid w:val="00BF1906"/>
    <w:rsid w:val="00BF69D2"/>
    <w:rsid w:val="00C0101A"/>
    <w:rsid w:val="00C07B5F"/>
    <w:rsid w:val="00C12BED"/>
    <w:rsid w:val="00C1564B"/>
    <w:rsid w:val="00C234D8"/>
    <w:rsid w:val="00C23DDD"/>
    <w:rsid w:val="00C35851"/>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87E9A"/>
    <w:rsid w:val="00C968E1"/>
    <w:rsid w:val="00CA65D2"/>
    <w:rsid w:val="00CB0B76"/>
    <w:rsid w:val="00CB1C6E"/>
    <w:rsid w:val="00CB32C4"/>
    <w:rsid w:val="00CC5BEF"/>
    <w:rsid w:val="00CC779C"/>
    <w:rsid w:val="00CD4806"/>
    <w:rsid w:val="00CE6A0E"/>
    <w:rsid w:val="00CF4E02"/>
    <w:rsid w:val="00D00DDC"/>
    <w:rsid w:val="00D02F61"/>
    <w:rsid w:val="00D1125E"/>
    <w:rsid w:val="00D115F7"/>
    <w:rsid w:val="00D226E4"/>
    <w:rsid w:val="00D230B7"/>
    <w:rsid w:val="00D25FF2"/>
    <w:rsid w:val="00D27563"/>
    <w:rsid w:val="00D32E5B"/>
    <w:rsid w:val="00D35B0E"/>
    <w:rsid w:val="00D3608E"/>
    <w:rsid w:val="00D36435"/>
    <w:rsid w:val="00D36635"/>
    <w:rsid w:val="00D3698C"/>
    <w:rsid w:val="00D43E54"/>
    <w:rsid w:val="00D5082F"/>
    <w:rsid w:val="00D50EB9"/>
    <w:rsid w:val="00D548D5"/>
    <w:rsid w:val="00D5621F"/>
    <w:rsid w:val="00D62C4C"/>
    <w:rsid w:val="00D641EF"/>
    <w:rsid w:val="00D6600A"/>
    <w:rsid w:val="00D67524"/>
    <w:rsid w:val="00D70178"/>
    <w:rsid w:val="00D72B1C"/>
    <w:rsid w:val="00D759B6"/>
    <w:rsid w:val="00D84C7E"/>
    <w:rsid w:val="00D852F5"/>
    <w:rsid w:val="00D869AE"/>
    <w:rsid w:val="00D93658"/>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809"/>
    <w:rsid w:val="00DF208E"/>
    <w:rsid w:val="00DF558E"/>
    <w:rsid w:val="00DF6C40"/>
    <w:rsid w:val="00E15347"/>
    <w:rsid w:val="00E22392"/>
    <w:rsid w:val="00E262FF"/>
    <w:rsid w:val="00E268E1"/>
    <w:rsid w:val="00E30296"/>
    <w:rsid w:val="00E31842"/>
    <w:rsid w:val="00E4367D"/>
    <w:rsid w:val="00E51033"/>
    <w:rsid w:val="00E56BA2"/>
    <w:rsid w:val="00E60057"/>
    <w:rsid w:val="00E65B25"/>
    <w:rsid w:val="00E679E8"/>
    <w:rsid w:val="00E80226"/>
    <w:rsid w:val="00E84288"/>
    <w:rsid w:val="00E84769"/>
    <w:rsid w:val="00E874A7"/>
    <w:rsid w:val="00EA449B"/>
    <w:rsid w:val="00EA6B3E"/>
    <w:rsid w:val="00EA7F03"/>
    <w:rsid w:val="00EC123F"/>
    <w:rsid w:val="00EC3079"/>
    <w:rsid w:val="00EC3E83"/>
    <w:rsid w:val="00EE0A7C"/>
    <w:rsid w:val="00EE156C"/>
    <w:rsid w:val="00EE5BA8"/>
    <w:rsid w:val="00EE5FB1"/>
    <w:rsid w:val="00EE6765"/>
    <w:rsid w:val="00EF0B0D"/>
    <w:rsid w:val="00EF7388"/>
    <w:rsid w:val="00F006B5"/>
    <w:rsid w:val="00F046B0"/>
    <w:rsid w:val="00F12942"/>
    <w:rsid w:val="00F268C0"/>
    <w:rsid w:val="00F47087"/>
    <w:rsid w:val="00F47B64"/>
    <w:rsid w:val="00F611C6"/>
    <w:rsid w:val="00F62027"/>
    <w:rsid w:val="00F65173"/>
    <w:rsid w:val="00F655AE"/>
    <w:rsid w:val="00F6708E"/>
    <w:rsid w:val="00F7101E"/>
    <w:rsid w:val="00F80A14"/>
    <w:rsid w:val="00F80D28"/>
    <w:rsid w:val="00F85DCD"/>
    <w:rsid w:val="00F97221"/>
    <w:rsid w:val="00FA3EB0"/>
    <w:rsid w:val="00FA61F7"/>
    <w:rsid w:val="00FB1650"/>
    <w:rsid w:val="00FB365F"/>
    <w:rsid w:val="00FB410E"/>
    <w:rsid w:val="00FB41B6"/>
    <w:rsid w:val="00FB60F8"/>
    <w:rsid w:val="00FC0B84"/>
    <w:rsid w:val="00FC1DDB"/>
    <w:rsid w:val="00FC496D"/>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1"/>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BF1906"/>
    <w:pPr>
      <w:spacing w:after="160" w:line="240" w:lineRule="exact"/>
      <w:jc w:val="both"/>
    </w:pPr>
    <w:rPr>
      <w:rFonts w:asciiTheme="minorHAnsi" w:eastAsiaTheme="minorHAnsi" w:hAnsiTheme="minorHAnsi" w:cstheme="minorBidi"/>
      <w:sz w:val="22"/>
      <w:szCs w:val="22"/>
      <w:vertAlign w:val="superscript"/>
      <w:lang w:val="en-ZA"/>
    </w:rPr>
  </w:style>
  <w:style w:type="character" w:customStyle="1" w:styleId="UnresolvedMention">
    <w:name w:val="Unresolved Mention"/>
    <w:basedOn w:val="DefaultParagraphFont"/>
    <w:uiPriority w:val="99"/>
    <w:semiHidden/>
    <w:unhideWhenUsed/>
    <w:rsid w:val="007E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186984694">
      <w:bodyDiv w:val="1"/>
      <w:marLeft w:val="0"/>
      <w:marRight w:val="0"/>
      <w:marTop w:val="0"/>
      <w:marBottom w:val="0"/>
      <w:divBdr>
        <w:top w:val="none" w:sz="0" w:space="0" w:color="auto"/>
        <w:left w:val="none" w:sz="0" w:space="0" w:color="auto"/>
        <w:bottom w:val="none" w:sz="0" w:space="0" w:color="auto"/>
        <w:right w:val="none" w:sz="0" w:space="0" w:color="auto"/>
      </w:divBdr>
      <w:divsChild>
        <w:div w:id="546602990">
          <w:marLeft w:val="806"/>
          <w:marRight w:val="0"/>
          <w:marTop w:val="0"/>
          <w:marBottom w:val="0"/>
          <w:divBdr>
            <w:top w:val="none" w:sz="0" w:space="0" w:color="auto"/>
            <w:left w:val="none" w:sz="0" w:space="0" w:color="auto"/>
            <w:bottom w:val="none" w:sz="0" w:space="0" w:color="auto"/>
            <w:right w:val="none" w:sz="0" w:space="0" w:color="auto"/>
          </w:divBdr>
        </w:div>
      </w:divsChild>
    </w:div>
    <w:div w:id="191918100">
      <w:bodyDiv w:val="1"/>
      <w:marLeft w:val="0"/>
      <w:marRight w:val="0"/>
      <w:marTop w:val="0"/>
      <w:marBottom w:val="0"/>
      <w:divBdr>
        <w:top w:val="none" w:sz="0" w:space="0" w:color="auto"/>
        <w:left w:val="none" w:sz="0" w:space="0" w:color="auto"/>
        <w:bottom w:val="none" w:sz="0" w:space="0" w:color="auto"/>
        <w:right w:val="none" w:sz="0" w:space="0" w:color="auto"/>
      </w:divBdr>
      <w:divsChild>
        <w:div w:id="1280138086">
          <w:marLeft w:val="0"/>
          <w:marRight w:val="0"/>
          <w:marTop w:val="0"/>
          <w:marBottom w:val="0"/>
          <w:divBdr>
            <w:top w:val="none" w:sz="0" w:space="0" w:color="auto"/>
            <w:left w:val="none" w:sz="0" w:space="0" w:color="auto"/>
            <w:bottom w:val="none" w:sz="0" w:space="0" w:color="auto"/>
            <w:right w:val="none" w:sz="0" w:space="0" w:color="auto"/>
          </w:divBdr>
          <w:divsChild>
            <w:div w:id="889459021">
              <w:marLeft w:val="0"/>
              <w:marRight w:val="0"/>
              <w:marTop w:val="0"/>
              <w:marBottom w:val="0"/>
              <w:divBdr>
                <w:top w:val="none" w:sz="0" w:space="0" w:color="auto"/>
                <w:left w:val="none" w:sz="0" w:space="0" w:color="auto"/>
                <w:bottom w:val="none" w:sz="0" w:space="0" w:color="auto"/>
                <w:right w:val="none" w:sz="0" w:space="0" w:color="auto"/>
              </w:divBdr>
              <w:divsChild>
                <w:div w:id="15808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3778">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7955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flii.org/za/cases/ZAWCHC/2020/87.html" TargetMode="External"/><Relationship Id="rId18" Type="http://schemas.openxmlformats.org/officeDocument/2006/relationships/hyperlink" Target="https://www.seri-sa.org/images/SERI_Edged_out_report_Final.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ahrc.org.za/home/21/files/Reports/Report%20on%20Voluntary%20Associations.pdf" TargetMode="External"/><Relationship Id="rId17" Type="http://schemas.openxmlformats.org/officeDocument/2006/relationships/hyperlink" Target="http://www.passop.co.za/wp-content/uploads/2012/02/2013-Leitner-South-Africa-PASSOP-LGBT-report-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za/sites/default/files/gcis_document/201911/towards25yearreview.pdf" TargetMode="External"/><Relationship Id="rId20" Type="http://schemas.openxmlformats.org/officeDocument/2006/relationships/hyperlink" Target="http://www.statssa.gov.za/publications/Report-03-18-06/Report-03-18-06201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dds-ny.un.org/doc/UNDOC/GEN/G08/110/55/PDF/G0811055.pdf?OpenElemen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arliament.gov.za/storage/app/media/Pages/2017/october/High_Level_Panel/HLP_Report/HLP_repor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tatssa.gov.za/publications/Report-03-18-06/Report-03-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hrc.org.za/home/21/files/Access%20to%20Housing%202015.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hrc.org.za/home/21/files/SAHRC%20Trend%20Analysis%202016%20-%202017.pdf" TargetMode="External"/><Relationship Id="rId1" Type="http://schemas.openxmlformats.org/officeDocument/2006/relationships/hyperlink" Target="https://www.sahrc.org.za/home/21/files/SAHRC%20Research%20Policy%20brief%202016-2017%20--The%20Right%20to%20Adequate%20Housing%2031%20March%202017%20-v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1326F9"/>
    <w:rsid w:val="00480C2C"/>
    <w:rsid w:val="00690D74"/>
    <w:rsid w:val="00972888"/>
    <w:rsid w:val="00A42C4F"/>
    <w:rsid w:val="00D0577F"/>
    <w:rsid w:val="00D43C44"/>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764AB3CF-2E89-414A-8F1D-4710B78E93AC}"/>
</file>

<file path=customXml/itemProps3.xml><?xml version="1.0" encoding="utf-8"?>
<ds:datastoreItem xmlns:ds="http://schemas.openxmlformats.org/officeDocument/2006/customXml" ds:itemID="{94E14274-DBAF-4E06-AA78-EE1FC78961D2}">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831E5E5-B17F-49DC-82C5-015695D0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4665</Words>
  <Characters>28387</Characters>
  <Application>Microsoft Office Word</Application>
  <DocSecurity>0</DocSecurity>
  <Lines>236</Lines>
  <Paragraphs>65</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32987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2021-05-25T08:39:00Z</dcterms:created>
  <dcterms:modified xsi:type="dcterms:W3CDTF">2021-05-25T09:50:00Z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