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E842" w14:textId="7F10AA50" w:rsidR="002058EE" w:rsidRDefault="002058EE" w:rsidP="00937761">
      <w:pPr>
        <w:spacing w:after="0" w:line="240" w:lineRule="auto"/>
        <w:jc w:val="both"/>
        <w:rPr>
          <w:rFonts w:ascii="Gill Sans MT" w:hAnsi="Gill Sans MT"/>
        </w:rPr>
      </w:pPr>
      <w:bookmarkStart w:id="0" w:name="_GoBack"/>
      <w:bookmarkEnd w:id="0"/>
    </w:p>
    <w:p w14:paraId="3D62BDC4" w14:textId="77777777" w:rsidR="00045503" w:rsidRDefault="00045503" w:rsidP="00937761">
      <w:pPr>
        <w:spacing w:after="0" w:line="240" w:lineRule="auto"/>
        <w:jc w:val="both"/>
        <w:rPr>
          <w:rFonts w:ascii="Gill Sans MT" w:hAnsi="Gill Sans MT"/>
        </w:rPr>
      </w:pPr>
    </w:p>
    <w:p w14:paraId="0C211925" w14:textId="0B331400" w:rsidR="002058EE" w:rsidRPr="00F7631C" w:rsidRDefault="002058EE" w:rsidP="00937761">
      <w:pPr>
        <w:spacing w:after="0" w:line="240" w:lineRule="auto"/>
        <w:jc w:val="both"/>
        <w:rPr>
          <w:rFonts w:ascii="Gill Sans MT" w:hAnsi="Gill Sans MT"/>
        </w:rPr>
      </w:pPr>
    </w:p>
    <w:p w14:paraId="6C6633A0" w14:textId="2D05021B" w:rsidR="00E337B7" w:rsidRPr="00E17966" w:rsidRDefault="00E17966" w:rsidP="00EB56DD">
      <w:pPr>
        <w:shd w:val="clear" w:color="auto" w:fill="2E74B5" w:themeFill="accent1" w:themeFillShade="BF"/>
        <w:spacing w:after="0" w:line="240" w:lineRule="auto"/>
        <w:jc w:val="both"/>
        <w:rPr>
          <w:rFonts w:cstheme="minorHAnsi"/>
          <w:b/>
          <w:color w:val="FFFFFF" w:themeColor="background1"/>
          <w:sz w:val="24"/>
          <w:szCs w:val="24"/>
        </w:rPr>
      </w:pPr>
      <w:r w:rsidRPr="00E17966">
        <w:rPr>
          <w:rFonts w:cstheme="minorHAnsi"/>
          <w:b/>
          <w:color w:val="FFFFFF" w:themeColor="background1"/>
          <w:sz w:val="24"/>
          <w:szCs w:val="24"/>
        </w:rPr>
        <w:t>I</w:t>
      </w:r>
      <w:r w:rsidR="00DA4CE3" w:rsidRPr="00E17966">
        <w:rPr>
          <w:rFonts w:cstheme="minorHAnsi"/>
          <w:b/>
          <w:color w:val="FFFFFF" w:themeColor="background1"/>
          <w:sz w:val="24"/>
          <w:szCs w:val="24"/>
        </w:rPr>
        <w:t xml:space="preserve">. </w:t>
      </w:r>
      <w:r w:rsidR="00EB56DD">
        <w:rPr>
          <w:rFonts w:cstheme="minorHAnsi"/>
          <w:b/>
          <w:color w:val="FFFFFF" w:themeColor="background1"/>
          <w:sz w:val="24"/>
          <w:szCs w:val="24"/>
        </w:rPr>
        <w:t>Introducción</w:t>
      </w:r>
      <w:r w:rsidR="00585CD3" w:rsidRPr="00E17966">
        <w:rPr>
          <w:rFonts w:cstheme="minorHAnsi"/>
          <w:b/>
          <w:color w:val="FFFFFF" w:themeColor="background1"/>
          <w:sz w:val="24"/>
          <w:szCs w:val="24"/>
        </w:rPr>
        <w:t>:</w:t>
      </w:r>
    </w:p>
    <w:p w14:paraId="79FF4D6E" w14:textId="49A2FB26" w:rsidR="00BD703C" w:rsidRDefault="00BD703C" w:rsidP="00447147">
      <w:pPr>
        <w:spacing w:after="0" w:line="240" w:lineRule="auto"/>
        <w:jc w:val="both"/>
        <w:rPr>
          <w:rFonts w:ascii="Gill Sans MT" w:hAnsi="Gill Sans MT"/>
        </w:rPr>
      </w:pPr>
    </w:p>
    <w:p w14:paraId="0C89BC12" w14:textId="68136004" w:rsidR="00EB56DD" w:rsidRPr="00900332" w:rsidRDefault="00EB56DD" w:rsidP="00900332">
      <w:pPr>
        <w:spacing w:after="0" w:line="276" w:lineRule="auto"/>
        <w:jc w:val="both"/>
        <w:rPr>
          <w:rFonts w:cstheme="minorHAnsi"/>
        </w:rPr>
      </w:pPr>
      <w:r w:rsidRPr="00900332">
        <w:rPr>
          <w:rFonts w:cstheme="minorHAnsi"/>
        </w:rPr>
        <w:t>Entre el 9 de febrero y el 10 de marzo de 2021 se ha</w:t>
      </w:r>
      <w:r w:rsidR="00900332">
        <w:rPr>
          <w:rFonts w:cstheme="minorHAnsi"/>
        </w:rPr>
        <w:t>n</w:t>
      </w:r>
      <w:r w:rsidRPr="00900332">
        <w:rPr>
          <w:rFonts w:cstheme="minorHAnsi"/>
        </w:rPr>
        <w:t xml:space="preserve"> llevado a cabo, dentro de un proceso más amplio dirigido a realizar propuestas de políticas públicas en la futura 2ª Estrategia Estatal de Personas Sin Hogar en el Estado español; dos consultas a nivel confederal:</w:t>
      </w:r>
    </w:p>
    <w:p w14:paraId="6997FD17" w14:textId="0762CE99" w:rsidR="00EB56DD" w:rsidRPr="00900332" w:rsidRDefault="00EB56DD" w:rsidP="0090033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900332">
        <w:rPr>
          <w:rFonts w:cstheme="minorHAnsi"/>
        </w:rPr>
        <w:t>A personas en situación de sin techo y sin vivienda (ETHOS)</w:t>
      </w:r>
      <w:r w:rsidR="00900332" w:rsidRPr="00900332">
        <w:rPr>
          <w:rFonts w:cstheme="minorHAnsi"/>
        </w:rPr>
        <w:t xml:space="preserve"> acompañadas por Cáritas.</w:t>
      </w:r>
    </w:p>
    <w:p w14:paraId="4E7BDB43" w14:textId="18896417" w:rsidR="00EB56DD" w:rsidRPr="00900332" w:rsidRDefault="00EB56DD" w:rsidP="0090033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900332">
        <w:rPr>
          <w:rFonts w:cstheme="minorHAnsi"/>
        </w:rPr>
        <w:t>A agentes</w:t>
      </w:r>
      <w:r w:rsidR="00900332" w:rsidRPr="00900332">
        <w:rPr>
          <w:rFonts w:cstheme="minorHAnsi"/>
        </w:rPr>
        <w:t xml:space="preserve"> de Cáritas que realizan ese acompañamiento.</w:t>
      </w:r>
    </w:p>
    <w:p w14:paraId="379D8162" w14:textId="7E801E3F" w:rsidR="00EB56DD" w:rsidRPr="00900332" w:rsidRDefault="00EB56DD" w:rsidP="0090033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900332">
        <w:rPr>
          <w:rFonts w:cstheme="minorHAnsi"/>
        </w:rPr>
        <w:t>Con la finalidad de recoger las vulneraciones de Derechos Humanos-Discriminación detectadas por las propias personas que las están viviendo.</w:t>
      </w:r>
    </w:p>
    <w:p w14:paraId="1415427D" w14:textId="35FB0E46" w:rsidR="00900332" w:rsidRPr="00900332" w:rsidRDefault="00900332" w:rsidP="0090033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900332">
        <w:rPr>
          <w:rFonts w:cstheme="minorHAnsi"/>
        </w:rPr>
        <w:t>Así como también recoger las causas más urgentes, importantes, prioritarias o que consideran esenciales para plantear y promover ante la Administración Estatal.</w:t>
      </w:r>
    </w:p>
    <w:p w14:paraId="29504B28" w14:textId="4C5E20C9" w:rsidR="00EB56DD" w:rsidRDefault="00EB56DD" w:rsidP="00447147">
      <w:pPr>
        <w:spacing w:after="0" w:line="240" w:lineRule="auto"/>
        <w:jc w:val="both"/>
        <w:rPr>
          <w:rFonts w:ascii="Gill Sans MT" w:hAnsi="Gill Sans MT"/>
        </w:rPr>
      </w:pPr>
    </w:p>
    <w:p w14:paraId="309B1648" w14:textId="73C95663" w:rsidR="00900332" w:rsidRDefault="00EB56DD" w:rsidP="00900332">
      <w:pPr>
        <w:jc w:val="both"/>
      </w:pPr>
      <w:r>
        <w:t>Finalmente, h</w:t>
      </w:r>
      <w:r w:rsidRPr="00E258C8">
        <w:t xml:space="preserve">emos contado con la participación de </w:t>
      </w:r>
      <w:r w:rsidRPr="00C42BF5">
        <w:rPr>
          <w:b/>
        </w:rPr>
        <w:t>905 personas en situación de sin techo y sin vivienda y 577 agentes (contratados y voluntarios) en 44 Cáritas Diocesanas</w:t>
      </w:r>
      <w:r w:rsidRPr="00E258C8">
        <w:t xml:space="preserve"> cumplimentando un breve cuestionario.</w:t>
      </w:r>
      <w:r>
        <w:t xml:space="preserve"> </w:t>
      </w:r>
    </w:p>
    <w:p w14:paraId="7722159E" w14:textId="77777777" w:rsidR="00045503" w:rsidRDefault="00045503" w:rsidP="00045503">
      <w:pPr>
        <w:jc w:val="both"/>
      </w:pPr>
      <w:r>
        <w:t xml:space="preserve">Para la recogida de la información se ha facilitado a las Cáritas Diocesanas diversas propuestas para llevar a cabo un proceso de reflexión y discusión, que dé sustento y permita priorizar las adecuadas propuestas de políticas públicas que permitan una vida digna a todas ellas. </w:t>
      </w:r>
    </w:p>
    <w:p w14:paraId="71A43A4B" w14:textId="77777777" w:rsidR="00045503" w:rsidRDefault="00045503" w:rsidP="00045503">
      <w:pPr>
        <w:jc w:val="both"/>
      </w:pPr>
      <w:r>
        <w:t xml:space="preserve">De manera general, con la recogida de información buscábamos dos objetivos principales: </w:t>
      </w:r>
    </w:p>
    <w:p w14:paraId="445D3EAA" w14:textId="77777777" w:rsidR="00045503" w:rsidRDefault="00045503" w:rsidP="00045503">
      <w:pPr>
        <w:pStyle w:val="ListParagraph"/>
        <w:numPr>
          <w:ilvl w:val="0"/>
          <w:numId w:val="35"/>
        </w:numPr>
        <w:jc w:val="both"/>
      </w:pPr>
      <w:r>
        <w:t>Recoger las vulneraciones de Derechos Humanos detectadas, por un lado, por las propias personas afectadas y, por otro, por los agentes de Cáritas que les acompañan:</w:t>
      </w:r>
    </w:p>
    <w:p w14:paraId="4839DD7E" w14:textId="77777777" w:rsidR="00045503" w:rsidRDefault="00045503" w:rsidP="00045503">
      <w:pPr>
        <w:pStyle w:val="ListParagraph"/>
        <w:numPr>
          <w:ilvl w:val="0"/>
          <w:numId w:val="32"/>
        </w:numPr>
        <w:jc w:val="both"/>
      </w:pPr>
      <w:r>
        <w:t>En el acceso.</w:t>
      </w:r>
    </w:p>
    <w:p w14:paraId="6EF30D87" w14:textId="77777777" w:rsidR="00045503" w:rsidRDefault="00045503" w:rsidP="00045503">
      <w:pPr>
        <w:pStyle w:val="ListParagraph"/>
        <w:numPr>
          <w:ilvl w:val="0"/>
          <w:numId w:val="32"/>
        </w:numPr>
        <w:jc w:val="both"/>
      </w:pPr>
      <w:r>
        <w:t>En el disfrute.</w:t>
      </w:r>
    </w:p>
    <w:p w14:paraId="7D5ADD50" w14:textId="77777777" w:rsidR="00045503" w:rsidRDefault="00045503" w:rsidP="00045503">
      <w:pPr>
        <w:pStyle w:val="ListParagraph"/>
        <w:numPr>
          <w:ilvl w:val="0"/>
          <w:numId w:val="32"/>
        </w:numPr>
        <w:jc w:val="both"/>
      </w:pPr>
      <w:r>
        <w:t>En la garantía.</w:t>
      </w:r>
    </w:p>
    <w:p w14:paraId="21E94E36" w14:textId="77777777" w:rsidR="00045503" w:rsidRDefault="00045503" w:rsidP="00045503">
      <w:pPr>
        <w:pStyle w:val="ListParagraph"/>
        <w:ind w:left="1440"/>
        <w:jc w:val="both"/>
      </w:pPr>
    </w:p>
    <w:p w14:paraId="0E6A22BF" w14:textId="77777777" w:rsidR="00045503" w:rsidRPr="000D0E32" w:rsidRDefault="00045503" w:rsidP="00045503">
      <w:pPr>
        <w:pStyle w:val="ListParagraph"/>
        <w:numPr>
          <w:ilvl w:val="0"/>
          <w:numId w:val="35"/>
        </w:numPr>
        <w:jc w:val="both"/>
      </w:pPr>
      <w:r w:rsidRPr="000D0E32">
        <w:t>Las personas afectadas y los agentes de Cáritas seleccionarían las causas más urgentes, importantes, prioritarias o que considerasen esenciales para plantear ante la Administración Estatal.</w:t>
      </w:r>
    </w:p>
    <w:p w14:paraId="3C9EB10F" w14:textId="3A87D375" w:rsidR="00045503" w:rsidRDefault="00045503" w:rsidP="00900332">
      <w:pPr>
        <w:jc w:val="both"/>
      </w:pPr>
    </w:p>
    <w:p w14:paraId="54312308" w14:textId="3E97C141" w:rsidR="00900332" w:rsidRPr="00E17966" w:rsidRDefault="00900332" w:rsidP="00900332">
      <w:pPr>
        <w:shd w:val="clear" w:color="auto" w:fill="2E74B5" w:themeFill="accent1" w:themeFillShade="BF"/>
        <w:spacing w:after="0" w:line="240" w:lineRule="auto"/>
        <w:jc w:val="both"/>
        <w:rPr>
          <w:rFonts w:cstheme="minorHAnsi"/>
          <w:b/>
          <w:color w:val="FFFFFF" w:themeColor="background1"/>
          <w:sz w:val="24"/>
          <w:szCs w:val="24"/>
        </w:rPr>
      </w:pPr>
      <w:r w:rsidRPr="00E17966">
        <w:rPr>
          <w:rFonts w:cstheme="minorHAnsi"/>
          <w:b/>
          <w:color w:val="FFFFFF" w:themeColor="background1"/>
          <w:sz w:val="24"/>
          <w:szCs w:val="24"/>
        </w:rPr>
        <w:t>I</w:t>
      </w:r>
      <w:r>
        <w:rPr>
          <w:rFonts w:cstheme="minorHAnsi"/>
          <w:b/>
          <w:color w:val="FFFFFF" w:themeColor="background1"/>
          <w:sz w:val="24"/>
          <w:szCs w:val="24"/>
        </w:rPr>
        <w:t>I</w:t>
      </w:r>
      <w:r w:rsidRPr="00E17966">
        <w:rPr>
          <w:rFonts w:cstheme="minorHAnsi"/>
          <w:b/>
          <w:color w:val="FFFFFF" w:themeColor="background1"/>
          <w:sz w:val="24"/>
          <w:szCs w:val="24"/>
        </w:rPr>
        <w:t xml:space="preserve">. </w:t>
      </w:r>
      <w:r w:rsidRPr="00900332">
        <w:rPr>
          <w:rFonts w:cstheme="minorHAnsi"/>
          <w:b/>
          <w:color w:val="FFFFFF" w:themeColor="background1"/>
          <w:sz w:val="24"/>
          <w:szCs w:val="24"/>
        </w:rPr>
        <w:t>Vulneraciones de DDHH detectadas por los agentes de Cáritas que acompañan situaciones de sin techo y sin vivienda</w:t>
      </w:r>
      <w:r w:rsidRPr="00E17966">
        <w:rPr>
          <w:rFonts w:cstheme="minorHAnsi"/>
          <w:b/>
          <w:color w:val="FFFFFF" w:themeColor="background1"/>
          <w:sz w:val="24"/>
          <w:szCs w:val="24"/>
        </w:rPr>
        <w:t>:</w:t>
      </w:r>
    </w:p>
    <w:p w14:paraId="386A963A" w14:textId="154254D7" w:rsidR="00900332" w:rsidRDefault="00900332" w:rsidP="00900332">
      <w:pPr>
        <w:jc w:val="both"/>
      </w:pPr>
    </w:p>
    <w:p w14:paraId="247CAC90" w14:textId="1BE3B77D" w:rsidR="00900332" w:rsidRDefault="00900332" w:rsidP="00900332">
      <w:pPr>
        <w:jc w:val="both"/>
      </w:pPr>
      <w:r>
        <w:t xml:space="preserve">En cuanto a los </w:t>
      </w:r>
      <w:r w:rsidRPr="006A2FF8">
        <w:rPr>
          <w:b/>
        </w:rPr>
        <w:t>principales Derechos Humanos que se vulneran</w:t>
      </w:r>
      <w:r>
        <w:t xml:space="preserve"> en España para las personas en situación de sin hogar, observamos los cinco principales en la siguiente representación gráfica. </w:t>
      </w:r>
    </w:p>
    <w:p w14:paraId="0A03040A" w14:textId="052E6797" w:rsidR="00045503" w:rsidRDefault="00045503" w:rsidP="00900332">
      <w:pPr>
        <w:jc w:val="both"/>
      </w:pPr>
    </w:p>
    <w:p w14:paraId="6048C852" w14:textId="6C388AFD" w:rsidR="00045503" w:rsidRDefault="00045503" w:rsidP="00900332">
      <w:pPr>
        <w:jc w:val="both"/>
      </w:pPr>
    </w:p>
    <w:p w14:paraId="5038F2A3" w14:textId="6F4168E2" w:rsidR="00045503" w:rsidRDefault="00045503" w:rsidP="00900332">
      <w:pPr>
        <w:jc w:val="both"/>
      </w:pPr>
    </w:p>
    <w:p w14:paraId="3B618975" w14:textId="77777777" w:rsidR="00045503" w:rsidRDefault="00045503" w:rsidP="00900332">
      <w:pPr>
        <w:jc w:val="both"/>
      </w:pPr>
    </w:p>
    <w:p w14:paraId="5DF4C762" w14:textId="77777777" w:rsidR="00900332" w:rsidRDefault="00900332" w:rsidP="00900332">
      <w:pPr>
        <w:jc w:val="center"/>
      </w:pPr>
      <w:r w:rsidRPr="00E258C8">
        <w:rPr>
          <w:noProof/>
          <w:lang w:val="en-GB" w:eastAsia="en-GB"/>
        </w:rPr>
        <w:drawing>
          <wp:inline distT="0" distB="0" distL="0" distR="0" wp14:anchorId="17559B16" wp14:editId="50A33157">
            <wp:extent cx="4522608" cy="30162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42" cy="30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0E2F2" w14:textId="2792AE88" w:rsidR="00045503" w:rsidRPr="00045503" w:rsidRDefault="00900332" w:rsidP="00900332">
      <w:pPr>
        <w:jc w:val="both"/>
        <w:rPr>
          <w:sz w:val="18"/>
          <w:szCs w:val="18"/>
        </w:rPr>
      </w:pPr>
      <w:r w:rsidRPr="00045503">
        <w:rPr>
          <w:b/>
          <w:bCs/>
          <w:sz w:val="18"/>
          <w:szCs w:val="18"/>
        </w:rPr>
        <w:t>Gráfico 4. Principales Derechos Humanos que se vulneran en España para las personas en situación de sin hogar</w:t>
      </w:r>
    </w:p>
    <w:p w14:paraId="349CE44E" w14:textId="376B1350" w:rsidR="00900332" w:rsidRDefault="00900332" w:rsidP="00900332">
      <w:pPr>
        <w:jc w:val="both"/>
      </w:pPr>
      <w:r>
        <w:t xml:space="preserve">Sin sorpresa, los agentes que acompañan a las personas sin techo y sin vivienda en Cáritas, señalan el derecho a la vivienda como el principalmente vulnerado en nuestro país. Seguido por el derecho al trabajo, el derecho a la salud y acceso a la sanidad, el derecho a la vida, libertad y la seguridad y, por último, el derecho a vivir en condiciones dignas. </w:t>
      </w:r>
    </w:p>
    <w:p w14:paraId="65DC8043" w14:textId="216F5796" w:rsidR="00900332" w:rsidRPr="00900332" w:rsidRDefault="00900332" w:rsidP="00900332">
      <w:pPr>
        <w:jc w:val="both"/>
      </w:pPr>
      <w:r w:rsidRPr="00922AF6">
        <w:t xml:space="preserve">En este sentido, </w:t>
      </w:r>
      <w:r>
        <w:t xml:space="preserve">de un listado de 21 Derechos Humanos, los agentes indicaron los 7 derechos que consideran prioritarios a trabajar desde la Administración Estatal y según qué orden de urgencia. A continuación, vemos cómo el orden de estas 7 prioridades está en total consonancia con las principales vulneraciones de DDHH en España. </w:t>
      </w:r>
    </w:p>
    <w:p w14:paraId="7F16C6AE" w14:textId="77777777" w:rsidR="00900332" w:rsidRDefault="00900332" w:rsidP="00900332">
      <w:pPr>
        <w:jc w:val="center"/>
      </w:pPr>
      <w:r w:rsidRPr="00E258C8">
        <w:rPr>
          <w:noProof/>
          <w:lang w:val="en-GB" w:eastAsia="en-GB"/>
        </w:rPr>
        <w:drawing>
          <wp:inline distT="0" distB="0" distL="0" distR="0" wp14:anchorId="7C59AD26" wp14:editId="03BCFB38">
            <wp:extent cx="4484852" cy="25336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15" cy="25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8310" w14:textId="6BD50B45" w:rsidR="00900332" w:rsidRDefault="00900332" w:rsidP="00900332">
      <w:pPr>
        <w:jc w:val="both"/>
        <w:rPr>
          <w:b/>
          <w:bCs/>
          <w:sz w:val="18"/>
          <w:szCs w:val="18"/>
        </w:rPr>
      </w:pPr>
      <w:r w:rsidRPr="00900332">
        <w:rPr>
          <w:b/>
          <w:bCs/>
          <w:sz w:val="18"/>
          <w:szCs w:val="18"/>
        </w:rPr>
        <w:t>Gráfico 5. Priorización de derechos humanos más urgentes a trabajar desde la Administración Estatal.</w:t>
      </w:r>
    </w:p>
    <w:p w14:paraId="671E3FB7" w14:textId="77777777" w:rsidR="00045503" w:rsidRDefault="00045503" w:rsidP="00900332">
      <w:pPr>
        <w:jc w:val="both"/>
        <w:rPr>
          <w:b/>
          <w:bCs/>
          <w:sz w:val="18"/>
          <w:szCs w:val="18"/>
        </w:rPr>
      </w:pPr>
    </w:p>
    <w:p w14:paraId="625E8ADD" w14:textId="77777777" w:rsidR="00045503" w:rsidRDefault="00045503" w:rsidP="00900332">
      <w:pPr>
        <w:jc w:val="both"/>
        <w:rPr>
          <w:b/>
          <w:bCs/>
          <w:sz w:val="18"/>
          <w:szCs w:val="18"/>
        </w:rPr>
      </w:pPr>
    </w:p>
    <w:p w14:paraId="45F14CBD" w14:textId="77777777" w:rsidR="00045503" w:rsidRPr="00900332" w:rsidRDefault="00045503" w:rsidP="00900332">
      <w:pPr>
        <w:jc w:val="both"/>
        <w:rPr>
          <w:b/>
          <w:bCs/>
          <w:sz w:val="18"/>
          <w:szCs w:val="18"/>
        </w:rPr>
      </w:pPr>
    </w:p>
    <w:p w14:paraId="7CC20454" w14:textId="628A52A3" w:rsidR="00900332" w:rsidRPr="00E17966" w:rsidRDefault="00900332" w:rsidP="00900332">
      <w:pPr>
        <w:shd w:val="clear" w:color="auto" w:fill="2E74B5" w:themeFill="accent1" w:themeFillShade="BF"/>
        <w:spacing w:after="0" w:line="240" w:lineRule="auto"/>
        <w:jc w:val="both"/>
        <w:rPr>
          <w:rFonts w:cstheme="minorHAnsi"/>
          <w:b/>
          <w:color w:val="FFFFFF" w:themeColor="background1"/>
          <w:sz w:val="24"/>
          <w:szCs w:val="24"/>
        </w:rPr>
      </w:pPr>
      <w:r w:rsidRPr="00E17966">
        <w:rPr>
          <w:rFonts w:cstheme="minorHAnsi"/>
          <w:b/>
          <w:color w:val="FFFFFF" w:themeColor="background1"/>
          <w:sz w:val="24"/>
          <w:szCs w:val="24"/>
        </w:rPr>
        <w:t>I</w:t>
      </w:r>
      <w:r>
        <w:rPr>
          <w:rFonts w:cstheme="minorHAnsi"/>
          <w:b/>
          <w:color w:val="FFFFFF" w:themeColor="background1"/>
          <w:sz w:val="24"/>
          <w:szCs w:val="24"/>
        </w:rPr>
        <w:t>II</w:t>
      </w:r>
      <w:r w:rsidRPr="00E17966">
        <w:rPr>
          <w:rFonts w:cstheme="minorHAnsi"/>
          <w:b/>
          <w:color w:val="FFFFFF" w:themeColor="background1"/>
          <w:sz w:val="24"/>
          <w:szCs w:val="24"/>
        </w:rPr>
        <w:t xml:space="preserve">. </w:t>
      </w:r>
      <w:r w:rsidRPr="00900332">
        <w:rPr>
          <w:rFonts w:cstheme="minorHAnsi"/>
          <w:b/>
          <w:color w:val="FFFFFF" w:themeColor="background1"/>
          <w:sz w:val="24"/>
          <w:szCs w:val="24"/>
        </w:rPr>
        <w:t>Vulneraciones de DDHH- Discriminación detectadas por las personas afectadas que viven en situación de sin techo o sin vivienda.</w:t>
      </w:r>
      <w:r w:rsidRPr="00E17966">
        <w:rPr>
          <w:rFonts w:cstheme="minorHAnsi"/>
          <w:b/>
          <w:color w:val="FFFFFF" w:themeColor="background1"/>
          <w:sz w:val="24"/>
          <w:szCs w:val="24"/>
        </w:rPr>
        <w:t>:</w:t>
      </w:r>
    </w:p>
    <w:p w14:paraId="08FCCC9F" w14:textId="77777777" w:rsidR="00900332" w:rsidRDefault="00900332" w:rsidP="00900332">
      <w:pPr>
        <w:jc w:val="both"/>
      </w:pPr>
    </w:p>
    <w:p w14:paraId="7E25CDD6" w14:textId="76A392C0" w:rsidR="00900332" w:rsidRDefault="00900332" w:rsidP="00900332">
      <w:pPr>
        <w:contextualSpacing/>
        <w:jc w:val="both"/>
        <w:rPr>
          <w:rFonts w:eastAsia="Times New Roman" w:cstheme="minorHAnsi"/>
          <w:lang w:eastAsia="es-ES"/>
        </w:rPr>
      </w:pPr>
      <w:r w:rsidRPr="00C86B00">
        <w:rPr>
          <w:rFonts w:eastAsia="Times New Roman" w:cstheme="minorHAnsi"/>
          <w:lang w:eastAsia="es-ES"/>
        </w:rPr>
        <w:t>Como se puede observar en el siguiente gráfico, tras el análisis de los datos, y considerando las respuestas mayoritarias de las personas</w:t>
      </w:r>
      <w:r>
        <w:rPr>
          <w:rFonts w:eastAsia="Times New Roman" w:cstheme="minorHAnsi"/>
          <w:lang w:eastAsia="es-ES"/>
        </w:rPr>
        <w:t xml:space="preserve"> (905)</w:t>
      </w:r>
      <w:r w:rsidRPr="00C86B00">
        <w:rPr>
          <w:rFonts w:eastAsia="Times New Roman" w:cstheme="minorHAnsi"/>
          <w:lang w:eastAsia="es-ES"/>
        </w:rPr>
        <w:t xml:space="preserve"> que han respondido el cuestionario, </w:t>
      </w:r>
      <w:r>
        <w:rPr>
          <w:rFonts w:eastAsia="Times New Roman" w:cstheme="minorHAnsi"/>
          <w:b/>
          <w:lang w:eastAsia="es-ES"/>
        </w:rPr>
        <w:t>el 49,3</w:t>
      </w:r>
      <w:r w:rsidRPr="00C86B00">
        <w:rPr>
          <w:rFonts w:eastAsia="Times New Roman" w:cstheme="minorHAnsi"/>
          <w:b/>
          <w:lang w:eastAsia="es-ES"/>
        </w:rPr>
        <w:t>%</w:t>
      </w:r>
      <w:r w:rsidRPr="00C86B00">
        <w:rPr>
          <w:rFonts w:eastAsia="Times New Roman" w:cstheme="minorHAnsi"/>
          <w:lang w:eastAsia="es-ES"/>
        </w:rPr>
        <w:t xml:space="preserve"> señalan como </w:t>
      </w:r>
      <w:r w:rsidRPr="00C86B00">
        <w:rPr>
          <w:rFonts w:eastAsia="Times New Roman" w:cstheme="minorHAnsi"/>
          <w:b/>
          <w:lang w:eastAsia="es-ES"/>
        </w:rPr>
        <w:t>principal causa de discriminación el nivel de ingresos, dinero o condición</w:t>
      </w:r>
      <w:r w:rsidRPr="00C86B00">
        <w:rPr>
          <w:rFonts w:eastAsia="Times New Roman" w:cstheme="minorHAnsi"/>
          <w:lang w:eastAsia="es-ES"/>
        </w:rPr>
        <w:t xml:space="preserve">. En </w:t>
      </w:r>
      <w:r w:rsidRPr="00C86B00">
        <w:rPr>
          <w:rFonts w:eastAsia="Times New Roman" w:cstheme="minorHAnsi"/>
          <w:b/>
          <w:lang w:eastAsia="es-ES"/>
        </w:rPr>
        <w:t>segundo lugar</w:t>
      </w:r>
      <w:r w:rsidRPr="00C86B00">
        <w:rPr>
          <w:rFonts w:eastAsia="Times New Roman" w:cstheme="minorHAnsi"/>
          <w:lang w:eastAsia="es-ES"/>
        </w:rPr>
        <w:t xml:space="preserve">, la causa más frecuente es </w:t>
      </w:r>
      <w:r w:rsidRPr="00C86B00">
        <w:rPr>
          <w:rFonts w:eastAsia="Times New Roman" w:cstheme="minorHAnsi"/>
          <w:b/>
          <w:lang w:eastAsia="es-ES"/>
        </w:rPr>
        <w:t>por ser migrante</w:t>
      </w:r>
      <w:r w:rsidRPr="00C86B00">
        <w:rPr>
          <w:rFonts w:eastAsia="Times New Roman" w:cstheme="minorHAnsi"/>
          <w:lang w:eastAsia="es-ES"/>
        </w:rPr>
        <w:t xml:space="preserve"> </w:t>
      </w:r>
      <w:r w:rsidRPr="00C86B00">
        <w:rPr>
          <w:rFonts w:eastAsia="Times New Roman" w:cstheme="minorHAnsi"/>
          <w:b/>
          <w:lang w:eastAsia="es-ES"/>
        </w:rPr>
        <w:t>(37,1%),</w:t>
      </w:r>
      <w:r w:rsidRPr="00C86B00">
        <w:rPr>
          <w:rFonts w:eastAsia="Times New Roman" w:cstheme="minorHAnsi"/>
          <w:lang w:eastAsia="es-ES"/>
        </w:rPr>
        <w:t xml:space="preserve"> seguido por sus rasgos o aspecto físico (30,6%), por sus costumbres (23,7%) y por el idioma o la lengua que habla (22,2%). Sin embargo, son citadas con menos frecuencia la identidad de género o su orientación sexual.</w:t>
      </w:r>
    </w:p>
    <w:p w14:paraId="7C41D378" w14:textId="77777777" w:rsidR="00045503" w:rsidRPr="00C86B00" w:rsidRDefault="00045503" w:rsidP="00900332">
      <w:pPr>
        <w:contextualSpacing/>
        <w:jc w:val="both"/>
        <w:rPr>
          <w:rFonts w:eastAsia="Times New Roman" w:cstheme="minorHAnsi"/>
          <w:lang w:eastAsia="es-ES"/>
        </w:rPr>
      </w:pPr>
    </w:p>
    <w:p w14:paraId="0B5675E5" w14:textId="77777777" w:rsidR="00900332" w:rsidRPr="00725A3E" w:rsidRDefault="00900332" w:rsidP="00900332">
      <w:pPr>
        <w:jc w:val="both"/>
        <w:rPr>
          <w:b/>
          <w:bCs/>
          <w:sz w:val="20"/>
        </w:rPr>
      </w:pPr>
      <w:r w:rsidRPr="00725A3E">
        <w:rPr>
          <w:b/>
          <w:bCs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3DF32" wp14:editId="6B464738">
                <wp:simplePos x="0" y="0"/>
                <wp:positionH relativeFrom="column">
                  <wp:posOffset>5715</wp:posOffset>
                </wp:positionH>
                <wp:positionV relativeFrom="paragraph">
                  <wp:posOffset>71755</wp:posOffset>
                </wp:positionV>
                <wp:extent cx="5200650" cy="14192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419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23B93" id="Rectángulo 9" o:spid="_x0000_s1026" style="position:absolute;margin-left:.45pt;margin-top:5.65pt;width:409.5pt;height:1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" filled="f" strokecolor="red" strokeweight="1pt">
                <v:stroke dashstyle="dash"/>
              </v:rect>
            </w:pict>
          </mc:Fallback>
        </mc:AlternateContent>
      </w:r>
      <w:r w:rsidRPr="00725A3E">
        <w:rPr>
          <w:b/>
          <w:bCs/>
          <w:noProof/>
          <w:sz w:val="20"/>
          <w:lang w:val="en-GB" w:eastAsia="en-GB"/>
        </w:rPr>
        <w:drawing>
          <wp:inline distT="0" distB="0" distL="0" distR="0" wp14:anchorId="0227292E" wp14:editId="5C5A4C2B">
            <wp:extent cx="5676900" cy="31432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F57C14" w14:textId="77777777" w:rsidR="00900332" w:rsidRPr="00045503" w:rsidRDefault="00900332" w:rsidP="00900332">
      <w:pPr>
        <w:jc w:val="both"/>
        <w:rPr>
          <w:b/>
          <w:bCs/>
          <w:sz w:val="18"/>
          <w:szCs w:val="18"/>
        </w:rPr>
      </w:pPr>
      <w:r w:rsidRPr="00045503">
        <w:rPr>
          <w:b/>
          <w:bCs/>
          <w:sz w:val="18"/>
          <w:szCs w:val="18"/>
        </w:rPr>
        <w:t>Gráfico 6. Percepción de las personas sin vivienda y sin techo de posibles causas de discriminación sentidas.</w:t>
      </w:r>
    </w:p>
    <w:p w14:paraId="7AA5D358" w14:textId="77777777" w:rsidR="00900332" w:rsidRPr="00725A3E" w:rsidRDefault="00900332" w:rsidP="00900332">
      <w:pPr>
        <w:jc w:val="both"/>
        <w:rPr>
          <w:b/>
          <w:bCs/>
        </w:rPr>
      </w:pPr>
    </w:p>
    <w:p w14:paraId="46A9CD21" w14:textId="77777777" w:rsidR="00900332" w:rsidRPr="00C86B00" w:rsidRDefault="00900332" w:rsidP="00900332">
      <w:pPr>
        <w:jc w:val="both"/>
        <w:rPr>
          <w:rFonts w:cstheme="minorHAnsi"/>
        </w:rPr>
      </w:pPr>
      <w:r w:rsidRPr="00C86B00">
        <w:rPr>
          <w:rFonts w:cstheme="minorHAnsi"/>
        </w:rPr>
        <w:t xml:space="preserve">Siguiendo el análisis anterior, desde la perspectiva de </w:t>
      </w:r>
      <w:r w:rsidRPr="008C1BEC">
        <w:rPr>
          <w:rFonts w:cstheme="minorHAnsi"/>
          <w:b/>
        </w:rPr>
        <w:t>las principales causas</w:t>
      </w:r>
      <w:r w:rsidRPr="00C86B00">
        <w:rPr>
          <w:rFonts w:cstheme="minorHAnsi"/>
        </w:rPr>
        <w:t xml:space="preserve">, por las que se han sentido discriminados las personas sin hogar, los derechos humanos que señalan como más afectados son, precisamente, aquellos que tienen relación con su situación o circunstancia socio-económica y personal, tal como el </w:t>
      </w:r>
      <w:r w:rsidRPr="00C86B00">
        <w:rPr>
          <w:rFonts w:cstheme="minorHAnsi"/>
          <w:b/>
        </w:rPr>
        <w:t>derecho a la vivienda (74,2%),</w:t>
      </w:r>
      <w:r w:rsidRPr="00C86B00">
        <w:rPr>
          <w:rFonts w:cstheme="minorHAnsi"/>
        </w:rPr>
        <w:t xml:space="preserve"> seguido el </w:t>
      </w:r>
      <w:r w:rsidRPr="00C86B00">
        <w:rPr>
          <w:rFonts w:cstheme="minorHAnsi"/>
          <w:b/>
        </w:rPr>
        <w:t>derecho al trabajo (71,7%),</w:t>
      </w:r>
      <w:r w:rsidRPr="00C86B00">
        <w:rPr>
          <w:rFonts w:cstheme="minorHAnsi"/>
        </w:rPr>
        <w:t xml:space="preserve"> relacionado ambos con el siguiente derecho, el </w:t>
      </w:r>
      <w:r w:rsidRPr="00C86B00">
        <w:rPr>
          <w:rFonts w:cstheme="minorHAnsi"/>
          <w:b/>
        </w:rPr>
        <w:t>derecho a Gozar de un nivel de vida adecuado (47,2%),</w:t>
      </w:r>
      <w:r w:rsidRPr="00C86B00">
        <w:rPr>
          <w:rFonts w:cstheme="minorHAnsi"/>
        </w:rPr>
        <w:t xml:space="preserve"> seguido del </w:t>
      </w:r>
      <w:r w:rsidRPr="00C86B00">
        <w:rPr>
          <w:rFonts w:cstheme="minorHAnsi"/>
          <w:b/>
        </w:rPr>
        <w:t>Derecho a la vida, la libertad y la seguridad (39,1%)</w:t>
      </w:r>
      <w:r w:rsidRPr="00C86B00">
        <w:rPr>
          <w:rFonts w:cstheme="minorHAnsi"/>
        </w:rPr>
        <w:t xml:space="preserve">, dejando en quinto lugar el </w:t>
      </w:r>
      <w:r w:rsidRPr="00C86B00">
        <w:rPr>
          <w:rFonts w:cstheme="minorHAnsi"/>
          <w:b/>
        </w:rPr>
        <w:t>Derecho a la salud (35,1%).</w:t>
      </w:r>
      <w:r w:rsidRPr="00C86B00">
        <w:rPr>
          <w:rFonts w:cstheme="minorHAnsi"/>
        </w:rPr>
        <w:t xml:space="preserve"> El siguiente gráfico resumen y clarifica estos datos:</w:t>
      </w:r>
    </w:p>
    <w:p w14:paraId="7B2F560F" w14:textId="795FC7CC" w:rsidR="00900332" w:rsidRDefault="00900332" w:rsidP="00900332">
      <w:pPr>
        <w:rPr>
          <w:rFonts w:cstheme="minorHAnsi"/>
        </w:rPr>
      </w:pPr>
    </w:p>
    <w:p w14:paraId="6A80C808" w14:textId="02D52351" w:rsidR="00045503" w:rsidRDefault="00045503" w:rsidP="00900332">
      <w:pPr>
        <w:rPr>
          <w:rFonts w:cstheme="minorHAnsi"/>
        </w:rPr>
      </w:pPr>
    </w:p>
    <w:p w14:paraId="45B88C7A" w14:textId="48B2E82A" w:rsidR="00045503" w:rsidRDefault="00045503" w:rsidP="00900332">
      <w:pPr>
        <w:rPr>
          <w:rFonts w:cstheme="minorHAnsi"/>
        </w:rPr>
      </w:pPr>
    </w:p>
    <w:p w14:paraId="12817CFC" w14:textId="77777777" w:rsidR="00045503" w:rsidRPr="00C86B00" w:rsidRDefault="00045503" w:rsidP="00900332">
      <w:pPr>
        <w:rPr>
          <w:rFonts w:cstheme="minorHAnsi"/>
        </w:rPr>
      </w:pPr>
    </w:p>
    <w:p w14:paraId="62056CF1" w14:textId="77777777" w:rsidR="00900332" w:rsidRPr="00C86B00" w:rsidRDefault="00900332" w:rsidP="00900332">
      <w:pPr>
        <w:rPr>
          <w:rFonts w:cstheme="minorHAnsi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BD4D6" wp14:editId="02B0D2E3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343525" cy="9715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CBB85" id="Rectángulo 10" o:spid="_x0000_s1026" style="position:absolute;margin-left:369.55pt;margin-top:7.9pt;width:420.75pt;height:76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" filled="f" strokecolor="red" strokeweight="1pt">
                <v:stroke dashstyle="dash"/>
                <w10:wrap anchorx="margin"/>
              </v:rect>
            </w:pict>
          </mc:Fallback>
        </mc:AlternateContent>
      </w:r>
      <w:r w:rsidRPr="00C86B00">
        <w:rPr>
          <w:rFonts w:cstheme="minorHAnsi"/>
          <w:noProof/>
          <w:lang w:val="en-GB" w:eastAsia="en-GB"/>
        </w:rPr>
        <w:drawing>
          <wp:inline distT="0" distB="0" distL="0" distR="0" wp14:anchorId="54970A55" wp14:editId="2A88807B">
            <wp:extent cx="5143500" cy="2870200"/>
            <wp:effectExtent l="0" t="0" r="0" b="63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5313E2F" w14:textId="77777777" w:rsidR="00900332" w:rsidRPr="00045503" w:rsidRDefault="00900332" w:rsidP="00900332">
      <w:pPr>
        <w:jc w:val="both"/>
        <w:rPr>
          <w:b/>
          <w:bCs/>
          <w:sz w:val="18"/>
          <w:szCs w:val="18"/>
        </w:rPr>
      </w:pPr>
      <w:r w:rsidRPr="00045503">
        <w:rPr>
          <w:b/>
          <w:bCs/>
          <w:sz w:val="18"/>
          <w:szCs w:val="18"/>
        </w:rPr>
        <w:t>Gráfico 7. Principales derechos humanos que pueden verse afectadas las personas sin vivienda y sin techo.</w:t>
      </w:r>
    </w:p>
    <w:p w14:paraId="46A279C0" w14:textId="71E26965" w:rsidR="00900332" w:rsidRPr="00045503" w:rsidRDefault="00900332" w:rsidP="00045503">
      <w:pPr>
        <w:jc w:val="both"/>
        <w:rPr>
          <w:rFonts w:eastAsiaTheme="minorEastAsia" w:cstheme="minorHAnsi"/>
          <w:kern w:val="24"/>
        </w:rPr>
      </w:pPr>
      <w:r w:rsidRPr="00C86B00">
        <w:rPr>
          <w:rFonts w:eastAsiaTheme="minorEastAsia" w:cstheme="minorHAnsi"/>
          <w:kern w:val="24"/>
        </w:rPr>
        <w:t xml:space="preserve">Otra mirada, también fundamental, es </w:t>
      </w:r>
      <w:r w:rsidRPr="008C1BEC">
        <w:rPr>
          <w:rFonts w:eastAsiaTheme="minorEastAsia" w:cstheme="minorHAnsi"/>
          <w:b/>
          <w:kern w:val="24"/>
        </w:rPr>
        <w:t>cómo perciben las personas sin hogar la vulneración de los derechos humanos</w:t>
      </w:r>
      <w:r w:rsidRPr="00C86B00">
        <w:rPr>
          <w:rFonts w:eastAsiaTheme="minorEastAsia" w:cstheme="minorHAnsi"/>
          <w:kern w:val="24"/>
        </w:rPr>
        <w:t xml:space="preserve"> o la discriminación de los mismos en la sociedad o con respecto al entorno social que más conocen. En este caso, tal como muestra el siguiente gráfico, se observa que la </w:t>
      </w:r>
      <w:r w:rsidRPr="006A2FF8">
        <w:rPr>
          <w:rFonts w:eastAsiaTheme="minorEastAsia" w:cstheme="minorHAnsi"/>
          <w:b/>
          <w:kern w:val="24"/>
        </w:rPr>
        <w:t>principal causa de discriminación</w:t>
      </w:r>
      <w:r w:rsidRPr="00C86B00">
        <w:rPr>
          <w:rFonts w:eastAsiaTheme="minorEastAsia" w:cstheme="minorHAnsi"/>
          <w:kern w:val="24"/>
        </w:rPr>
        <w:t xml:space="preserve"> que observan en los otros es </w:t>
      </w:r>
      <w:r w:rsidRPr="006A2FF8">
        <w:rPr>
          <w:rFonts w:eastAsiaTheme="minorEastAsia" w:cstheme="minorHAnsi"/>
          <w:b/>
          <w:kern w:val="24"/>
        </w:rPr>
        <w:t>“por ser migrante”, el 70,7%,</w:t>
      </w:r>
      <w:r w:rsidRPr="00C86B00">
        <w:rPr>
          <w:rFonts w:eastAsiaTheme="minorEastAsia" w:cstheme="minorHAnsi"/>
          <w:kern w:val="24"/>
        </w:rPr>
        <w:t xml:space="preserve"> del total de personas que respondieron a esta pregunta. Como causa siguiente, señalan como causa de discriminación </w:t>
      </w:r>
      <w:r w:rsidRPr="006A2FF8">
        <w:rPr>
          <w:rFonts w:eastAsiaTheme="minorEastAsia" w:cstheme="minorHAnsi"/>
          <w:b/>
          <w:kern w:val="24"/>
        </w:rPr>
        <w:t>“por su color de piel” (70,62%).</w:t>
      </w:r>
      <w:r w:rsidRPr="00C86B00">
        <w:rPr>
          <w:rFonts w:eastAsiaTheme="minorEastAsia" w:cstheme="minorHAnsi"/>
          <w:kern w:val="24"/>
        </w:rPr>
        <w:t xml:space="preserve"> Otra causa que indican es “por </w:t>
      </w:r>
      <w:r w:rsidRPr="006A2FF8">
        <w:rPr>
          <w:rFonts w:eastAsiaTheme="minorEastAsia" w:cstheme="minorHAnsi"/>
          <w:b/>
          <w:kern w:val="24"/>
        </w:rPr>
        <w:t>su nivel de ingresos/dinero/condición (61,6%),</w:t>
      </w:r>
      <w:r w:rsidRPr="00C86B00">
        <w:rPr>
          <w:rFonts w:eastAsiaTheme="minorEastAsia" w:cstheme="minorHAnsi"/>
          <w:kern w:val="24"/>
        </w:rPr>
        <w:t xml:space="preserve"> seguido “por sus </w:t>
      </w:r>
      <w:r w:rsidRPr="006A2FF8">
        <w:rPr>
          <w:rFonts w:eastAsiaTheme="minorEastAsia" w:cstheme="minorHAnsi"/>
          <w:b/>
          <w:kern w:val="24"/>
        </w:rPr>
        <w:t>rasgos o aspectos físicos (51,1%)</w:t>
      </w:r>
      <w:r w:rsidRPr="00C86B00">
        <w:rPr>
          <w:rFonts w:eastAsiaTheme="minorEastAsia" w:cstheme="minorHAnsi"/>
          <w:kern w:val="24"/>
        </w:rPr>
        <w:t xml:space="preserve">, por </w:t>
      </w:r>
      <w:r w:rsidRPr="006A2FF8">
        <w:rPr>
          <w:rFonts w:eastAsiaTheme="minorEastAsia" w:cstheme="minorHAnsi"/>
          <w:b/>
          <w:kern w:val="24"/>
        </w:rPr>
        <w:t>su orientación sexual (44,4%)</w:t>
      </w:r>
      <w:r w:rsidRPr="00C86B00">
        <w:rPr>
          <w:rFonts w:eastAsiaTheme="minorEastAsia" w:cstheme="minorHAnsi"/>
          <w:kern w:val="24"/>
        </w:rPr>
        <w:t xml:space="preserve"> y por las </w:t>
      </w:r>
      <w:r w:rsidRPr="006A2FF8">
        <w:rPr>
          <w:rFonts w:eastAsiaTheme="minorEastAsia" w:cstheme="minorHAnsi"/>
          <w:b/>
          <w:kern w:val="24"/>
        </w:rPr>
        <w:t>creencias religiosas (38%),</w:t>
      </w:r>
      <w:r w:rsidRPr="00C86B00">
        <w:rPr>
          <w:rFonts w:eastAsiaTheme="minorEastAsia" w:cstheme="minorHAnsi"/>
          <w:kern w:val="24"/>
        </w:rPr>
        <w:t xml:space="preserve"> principalmente. Si comparamos ambas percepciones, la autopercepción con la percepción de los otros, coinciden como causas posibles de discriminación el ser migrante, por su aspecto físico y por su nivel de ingresos.</w:t>
      </w:r>
    </w:p>
    <w:p w14:paraId="6225A479" w14:textId="77777777" w:rsidR="00900332" w:rsidRPr="00C86B00" w:rsidRDefault="00900332" w:rsidP="00900332">
      <w:pPr>
        <w:contextualSpacing/>
        <w:rPr>
          <w:rFonts w:eastAsia="Times New Roman" w:cstheme="minorHAnsi"/>
          <w:color w:val="A6B727"/>
          <w:lang w:eastAsia="es-E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16ADB" wp14:editId="511D1C50">
                <wp:simplePos x="0" y="0"/>
                <wp:positionH relativeFrom="margin">
                  <wp:align>left</wp:align>
                </wp:positionH>
                <wp:positionV relativeFrom="paragraph">
                  <wp:posOffset>100329</wp:posOffset>
                </wp:positionV>
                <wp:extent cx="5400040" cy="1396365"/>
                <wp:effectExtent l="0" t="0" r="10160" b="13335"/>
                <wp:wrapNone/>
                <wp:docPr id="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1396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vertOverflow="clip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89036" id="Rectángulo 1" o:spid="_x0000_s1026" style="position:absolute;margin-left:0;margin-top:7.9pt;width:425.2pt;height:109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" filled="f" strokecolor="red" strokeweight="1pt">
                <v:stroke dashstyle="dash"/>
                <w10:wrap anchorx="margin"/>
              </v:rect>
            </w:pict>
          </mc:Fallback>
        </mc:AlternateContent>
      </w:r>
      <w:r w:rsidRPr="00C86B00">
        <w:rPr>
          <w:rFonts w:eastAsia="Times New Roman" w:cstheme="minorHAnsi"/>
          <w:noProof/>
          <w:color w:val="A6B727"/>
          <w:lang w:val="en-GB" w:eastAsia="en-GB"/>
        </w:rPr>
        <w:drawing>
          <wp:inline distT="0" distB="0" distL="0" distR="0" wp14:anchorId="64D41136" wp14:editId="46A5A3C5">
            <wp:extent cx="4413250" cy="2768600"/>
            <wp:effectExtent l="0" t="0" r="6350" b="127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9239B1C" w14:textId="77777777" w:rsidR="00900332" w:rsidRPr="00045503" w:rsidRDefault="00900332" w:rsidP="00900332">
      <w:pPr>
        <w:jc w:val="both"/>
        <w:rPr>
          <w:b/>
          <w:bCs/>
          <w:sz w:val="18"/>
          <w:szCs w:val="18"/>
        </w:rPr>
      </w:pPr>
      <w:r w:rsidRPr="00045503">
        <w:rPr>
          <w:b/>
          <w:bCs/>
          <w:sz w:val="18"/>
          <w:szCs w:val="18"/>
        </w:rPr>
        <w:t>Gráfico 8. Percepción de vulneración de derechos humanos en el entorno social cercano:</w:t>
      </w:r>
    </w:p>
    <w:p w14:paraId="13B3B394" w14:textId="77777777" w:rsidR="00045503" w:rsidRDefault="00045503" w:rsidP="00045503">
      <w:pPr>
        <w:jc w:val="both"/>
        <w:rPr>
          <w:rFonts w:cstheme="minorHAnsi"/>
        </w:rPr>
      </w:pPr>
    </w:p>
    <w:p w14:paraId="14739141" w14:textId="2ABF9B40" w:rsidR="00045503" w:rsidRPr="007533B2" w:rsidRDefault="00900332" w:rsidP="00045503">
      <w:pPr>
        <w:jc w:val="both"/>
        <w:rPr>
          <w:rFonts w:cstheme="minorHAnsi"/>
        </w:rPr>
      </w:pPr>
      <w:r w:rsidRPr="00C86B00">
        <w:rPr>
          <w:rFonts w:cstheme="minorHAnsi"/>
        </w:rPr>
        <w:t xml:space="preserve">Por último, se les solicita a las personas </w:t>
      </w:r>
      <w:r>
        <w:rPr>
          <w:rFonts w:cstheme="minorHAnsi"/>
        </w:rPr>
        <w:t xml:space="preserve">en situación de </w:t>
      </w:r>
      <w:r w:rsidRPr="00C86B00">
        <w:rPr>
          <w:rFonts w:cstheme="minorHAnsi"/>
        </w:rPr>
        <w:t xml:space="preserve">sin hogar </w:t>
      </w:r>
      <w:r w:rsidRPr="008C1BEC">
        <w:rPr>
          <w:rFonts w:cstheme="minorHAnsi"/>
          <w:b/>
        </w:rPr>
        <w:t>una priorización de los derechos humanos,</w:t>
      </w:r>
      <w:r w:rsidRPr="00C86B00">
        <w:rPr>
          <w:rFonts w:cstheme="minorHAnsi"/>
        </w:rPr>
        <w:t xml:space="preserve"> que han de ser abordados desde la Administración Estatal, que nos permita incidir sobre la Est</w:t>
      </w:r>
      <w:r>
        <w:rPr>
          <w:rFonts w:cstheme="minorHAnsi"/>
        </w:rPr>
        <w:t xml:space="preserve">rategia de Personas sin Hogar. </w:t>
      </w:r>
      <w:r w:rsidRPr="00C86B00">
        <w:rPr>
          <w:rFonts w:cstheme="minorHAnsi"/>
        </w:rPr>
        <w:t>Recogiendo, precisamente, aquellos derechos humanos que más valoran para mejorar sus condiciones de vida y prevenir situaciones de discriminación son los que, en principio, les permitiría cumplir con el derecho a gozar de una vida en condiciones dignas.</w:t>
      </w:r>
    </w:p>
    <w:p w14:paraId="30981BC4" w14:textId="77777777" w:rsidR="00045503" w:rsidRDefault="00045503" w:rsidP="00045503">
      <w:pPr>
        <w:contextualSpacing/>
        <w:jc w:val="center"/>
        <w:rPr>
          <w:rFonts w:ascii="Calibri" w:eastAsia="Times New Roman" w:hAnsi="Calibri" w:cs="Calibri"/>
          <w:b/>
          <w:lang w:eastAsia="es-ES"/>
        </w:rPr>
      </w:pPr>
      <w:r w:rsidRPr="00725A3E">
        <w:rPr>
          <w:noProof/>
          <w:lang w:val="en-GB" w:eastAsia="en-GB"/>
        </w:rPr>
        <w:drawing>
          <wp:inline distT="0" distB="0" distL="0" distR="0" wp14:anchorId="0D1D3F1E" wp14:editId="66532BC2">
            <wp:extent cx="3733800" cy="215668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3100" cy="216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25EB" w14:textId="0F990D51" w:rsidR="00045503" w:rsidRDefault="00045503" w:rsidP="00045503">
      <w:pPr>
        <w:jc w:val="center"/>
        <w:rPr>
          <w:b/>
          <w:bCs/>
          <w:sz w:val="18"/>
          <w:szCs w:val="18"/>
        </w:rPr>
      </w:pPr>
      <w:r w:rsidRPr="00045503">
        <w:rPr>
          <w:b/>
          <w:bCs/>
          <w:sz w:val="18"/>
          <w:szCs w:val="18"/>
        </w:rPr>
        <w:t>Gráfico 9. Priorización de Derechos Humanos más urgentes a trabajar desde la Administración Estatal.</w:t>
      </w:r>
    </w:p>
    <w:p w14:paraId="7DA0A554" w14:textId="77777777" w:rsidR="00045503" w:rsidRPr="00045503" w:rsidRDefault="00045503" w:rsidP="00045503">
      <w:pPr>
        <w:jc w:val="center"/>
        <w:rPr>
          <w:b/>
          <w:bCs/>
          <w:sz w:val="18"/>
          <w:szCs w:val="18"/>
        </w:rPr>
      </w:pPr>
    </w:p>
    <w:p w14:paraId="1B5F13C4" w14:textId="0B3E2E69" w:rsidR="00045503" w:rsidRPr="00725A3E" w:rsidRDefault="00045503" w:rsidP="00045503">
      <w:pPr>
        <w:jc w:val="both"/>
        <w:rPr>
          <w:b/>
          <w:bCs/>
        </w:rPr>
      </w:pPr>
      <w:r>
        <w:rPr>
          <w:b/>
          <w:bCs/>
        </w:rPr>
        <w:t>Tendencias globales</w:t>
      </w:r>
    </w:p>
    <w:p w14:paraId="29860C0A" w14:textId="77777777" w:rsidR="00045503" w:rsidRPr="00C86B00" w:rsidRDefault="00045503" w:rsidP="00045503">
      <w:pPr>
        <w:jc w:val="both"/>
        <w:rPr>
          <w:rFonts w:ascii="Calibri" w:eastAsia="Times New Roman" w:hAnsi="Calibri" w:cs="Calibri"/>
          <w:lang w:eastAsia="es-ES"/>
        </w:rPr>
      </w:pPr>
      <w:r w:rsidRPr="00C86B00">
        <w:rPr>
          <w:rFonts w:ascii="Calibri" w:eastAsia="Times New Roman" w:hAnsi="Calibri" w:cs="Calibri"/>
          <w:lang w:eastAsia="es-ES"/>
        </w:rPr>
        <w:t xml:space="preserve">Por tanto, se puede decir que, comparando las respuestas dadas por las personas afectadas sin hogar respecto a qué derechos humanos ha percibido como vulnerados, cuáles son vulnerados en los demás y qué priorizar: </w:t>
      </w:r>
    </w:p>
    <w:p w14:paraId="16889A33" w14:textId="77777777" w:rsidR="00045503" w:rsidRPr="00C86B00" w:rsidRDefault="00045503" w:rsidP="00045503">
      <w:pPr>
        <w:numPr>
          <w:ilvl w:val="0"/>
          <w:numId w:val="36"/>
        </w:numPr>
        <w:ind w:left="1080"/>
        <w:contextualSpacing/>
        <w:jc w:val="both"/>
        <w:rPr>
          <w:rFonts w:ascii="Calibri" w:eastAsia="Times New Roman" w:hAnsi="Calibri" w:cs="Calibri"/>
          <w:lang w:eastAsia="es-ES"/>
        </w:rPr>
      </w:pPr>
      <w:r w:rsidRPr="00C86B00">
        <w:rPr>
          <w:rFonts w:ascii="Calibri" w:eastAsiaTheme="minorEastAsia" w:hAnsi="Calibri" w:cs="Calibri"/>
          <w:kern w:val="24"/>
          <w:lang w:eastAsia="es-ES"/>
        </w:rPr>
        <w:t xml:space="preserve">Los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 xml:space="preserve">tipos de discriminación 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que perciben como sentidos que, a su vez, observan en su entorno respecto a otras personas son: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>Nivel de ingresos, por sus rasgos o aspectos físicos y por ser migrantes,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 principalmente.</w:t>
      </w:r>
    </w:p>
    <w:p w14:paraId="119063B5" w14:textId="77777777" w:rsidR="00045503" w:rsidRPr="00C86B00" w:rsidRDefault="00045503" w:rsidP="00045503">
      <w:pPr>
        <w:ind w:left="1080"/>
        <w:contextualSpacing/>
        <w:jc w:val="both"/>
        <w:rPr>
          <w:rFonts w:ascii="Calibri" w:eastAsia="Times New Roman" w:hAnsi="Calibri" w:cs="Calibri"/>
          <w:lang w:eastAsia="es-ES"/>
        </w:rPr>
      </w:pPr>
    </w:p>
    <w:p w14:paraId="6B4DCDAD" w14:textId="77777777" w:rsidR="00045503" w:rsidRPr="00C86B00" w:rsidRDefault="00045503" w:rsidP="00045503">
      <w:pPr>
        <w:numPr>
          <w:ilvl w:val="0"/>
          <w:numId w:val="36"/>
        </w:numPr>
        <w:ind w:left="1080"/>
        <w:contextualSpacing/>
        <w:jc w:val="both"/>
        <w:rPr>
          <w:rFonts w:ascii="Calibri" w:eastAsia="Times New Roman" w:hAnsi="Calibri" w:cs="Calibri"/>
          <w:lang w:eastAsia="es-ES"/>
        </w:rPr>
      </w:pPr>
      <w:r w:rsidRPr="00C86B00">
        <w:rPr>
          <w:rFonts w:ascii="Calibri" w:eastAsiaTheme="minorEastAsia" w:hAnsi="Calibri" w:cs="Calibri"/>
          <w:kern w:val="24"/>
          <w:lang w:eastAsia="es-ES"/>
        </w:rPr>
        <w:t xml:space="preserve">Entre los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 xml:space="preserve">principales derechos humanos afectados 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se observa la importancia de la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>vivienda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, como principal situación negativa que enfrentan, seguido de la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>necesidad de ingresos a través de poder ejercer el derecho al trabajo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. Ambos derechos, a su vez, están relacionados con la importancia de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>gozar de un nivel de vida adecuado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. No deja de ser relevante, también,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>el derecho a la salud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. </w:t>
      </w:r>
    </w:p>
    <w:p w14:paraId="22D84529" w14:textId="77777777" w:rsidR="00045503" w:rsidRPr="00C86B00" w:rsidRDefault="00045503" w:rsidP="00045503">
      <w:pPr>
        <w:contextualSpacing/>
        <w:jc w:val="both"/>
        <w:rPr>
          <w:rFonts w:ascii="Calibri" w:eastAsia="Times New Roman" w:hAnsi="Calibri" w:cs="Calibri"/>
          <w:lang w:eastAsia="es-ES"/>
        </w:rPr>
      </w:pPr>
    </w:p>
    <w:p w14:paraId="5DE1EB2B" w14:textId="77777777" w:rsidR="00045503" w:rsidRPr="00C86B00" w:rsidRDefault="00045503" w:rsidP="00045503">
      <w:pPr>
        <w:numPr>
          <w:ilvl w:val="0"/>
          <w:numId w:val="36"/>
        </w:numPr>
        <w:ind w:left="1080"/>
        <w:contextualSpacing/>
        <w:jc w:val="both"/>
        <w:rPr>
          <w:rFonts w:ascii="Calibri" w:eastAsia="Times New Roman" w:hAnsi="Calibri" w:cs="Calibri"/>
          <w:lang w:eastAsia="es-ES"/>
        </w:rPr>
      </w:pPr>
      <w:r w:rsidRPr="00C86B00">
        <w:rPr>
          <w:rFonts w:ascii="Calibri" w:eastAsiaTheme="minorEastAsia" w:hAnsi="Calibri" w:cs="Calibri"/>
          <w:kern w:val="24"/>
          <w:lang w:eastAsia="es-ES"/>
        </w:rPr>
        <w:t xml:space="preserve">Son precisamente, los derechos humanos, anteriormente citados, que se ven afectados, los que </w:t>
      </w:r>
      <w:r w:rsidRPr="00C86B00">
        <w:rPr>
          <w:rFonts w:ascii="Calibri" w:eastAsiaTheme="minorEastAsia" w:hAnsi="Calibri" w:cs="Calibri"/>
          <w:b/>
          <w:bCs/>
          <w:kern w:val="24"/>
          <w:lang w:eastAsia="es-ES"/>
        </w:rPr>
        <w:t xml:space="preserve">aparecen con mayor fuerza como causas prioritarias que la Administración estatal debería abordar </w:t>
      </w:r>
      <w:r w:rsidRPr="00C86B00">
        <w:rPr>
          <w:rFonts w:ascii="Calibri" w:eastAsiaTheme="minorEastAsia" w:hAnsi="Calibri" w:cs="Calibri"/>
          <w:kern w:val="24"/>
          <w:lang w:eastAsia="es-ES"/>
        </w:rPr>
        <w:t xml:space="preserve">para prevenir la posible vulnerabilidad de los mismos y, por tanto, la mejora de sus condiciones de vida. </w:t>
      </w:r>
    </w:p>
    <w:p w14:paraId="3F07B015" w14:textId="77777777" w:rsidR="00045503" w:rsidRPr="00C86B00" w:rsidRDefault="00045503" w:rsidP="00045503">
      <w:pPr>
        <w:contextualSpacing/>
        <w:jc w:val="both"/>
        <w:rPr>
          <w:rFonts w:ascii="Calibri" w:eastAsia="Times New Roman" w:hAnsi="Calibri" w:cs="Calibri"/>
          <w:lang w:eastAsia="es-ES"/>
        </w:rPr>
      </w:pPr>
    </w:p>
    <w:p w14:paraId="465D8752" w14:textId="482C3680" w:rsidR="00045503" w:rsidRPr="00C86B00" w:rsidRDefault="00045503" w:rsidP="00045503">
      <w:pPr>
        <w:jc w:val="right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10 mayo 2021</w:t>
      </w:r>
    </w:p>
    <w:p w14:paraId="635DB933" w14:textId="77777777" w:rsidR="00900332" w:rsidRPr="007533B2" w:rsidRDefault="00900332" w:rsidP="00900332">
      <w:pPr>
        <w:rPr>
          <w:rFonts w:cstheme="minorHAnsi"/>
        </w:rPr>
      </w:pPr>
    </w:p>
    <w:p w14:paraId="521CA2AC" w14:textId="1D02DA5D" w:rsidR="00EB56DD" w:rsidRPr="00EB3E92" w:rsidRDefault="00EB56DD" w:rsidP="00447147">
      <w:pPr>
        <w:spacing w:after="0" w:line="240" w:lineRule="auto"/>
        <w:jc w:val="both"/>
        <w:rPr>
          <w:rFonts w:ascii="Gill Sans MT" w:hAnsi="Gill Sans MT"/>
        </w:rPr>
      </w:pPr>
    </w:p>
    <w:sectPr w:rsidR="00EB56DD" w:rsidRPr="00EB3E92" w:rsidSect="00447857">
      <w:headerReference w:type="default" r:id="rId17"/>
      <w:footerReference w:type="defaul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09DF" w14:textId="77777777" w:rsidR="00F71BCB" w:rsidRDefault="00F71BCB" w:rsidP="00E337B7">
      <w:pPr>
        <w:spacing w:after="0" w:line="240" w:lineRule="auto"/>
      </w:pPr>
      <w:r>
        <w:separator/>
      </w:r>
    </w:p>
  </w:endnote>
  <w:endnote w:type="continuationSeparator" w:id="0">
    <w:p w14:paraId="7DFC59A9" w14:textId="77777777" w:rsidR="00F71BCB" w:rsidRDefault="00F71BCB" w:rsidP="00E3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146367"/>
      <w:docPartObj>
        <w:docPartGallery w:val="Page Numbers (Bottom of Page)"/>
        <w:docPartUnique/>
      </w:docPartObj>
    </w:sdtPr>
    <w:sdtEndPr/>
    <w:sdtContent>
      <w:p w14:paraId="6C8DC3CA" w14:textId="6781695F" w:rsidR="00130CAB" w:rsidRDefault="00130C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AA9">
          <w:rPr>
            <w:noProof/>
          </w:rPr>
          <w:t>1</w:t>
        </w:r>
        <w:r>
          <w:fldChar w:fldCharType="end"/>
        </w:r>
      </w:p>
    </w:sdtContent>
  </w:sdt>
  <w:p w14:paraId="3A9B6B27" w14:textId="77777777" w:rsidR="00130CAB" w:rsidRDefault="00130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4114" w14:textId="77777777" w:rsidR="00F71BCB" w:rsidRDefault="00F71BCB" w:rsidP="00E337B7">
      <w:pPr>
        <w:spacing w:after="0" w:line="240" w:lineRule="auto"/>
      </w:pPr>
      <w:r>
        <w:separator/>
      </w:r>
    </w:p>
  </w:footnote>
  <w:footnote w:type="continuationSeparator" w:id="0">
    <w:p w14:paraId="32252222" w14:textId="77777777" w:rsidR="00F71BCB" w:rsidRDefault="00F71BCB" w:rsidP="00E3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F8B4" w14:textId="300FB390" w:rsidR="00130CAB" w:rsidRDefault="00130CAB" w:rsidP="00F7631C">
    <w:pPr>
      <w:pStyle w:val="Header"/>
      <w:jc w:val="center"/>
      <w:rPr>
        <w:b/>
        <w:sz w:val="18"/>
        <w:szCs w:val="18"/>
      </w:rPr>
    </w:pPr>
    <w:r>
      <w:rPr>
        <w:noProof/>
        <w:lang w:val="en-GB" w:eastAsia="en-GB"/>
      </w:rPr>
      <w:drawing>
        <wp:inline distT="0" distB="0" distL="0" distR="0" wp14:anchorId="7F1C8789" wp14:editId="41E6A9B4">
          <wp:extent cx="721412" cy="521021"/>
          <wp:effectExtent l="0" t="0" r="254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424" cy="54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</w:t>
    </w:r>
  </w:p>
  <w:p w14:paraId="65685D3F" w14:textId="77777777" w:rsidR="008154CA" w:rsidRPr="003032A8" w:rsidRDefault="008154CA" w:rsidP="00F7631C">
    <w:pPr>
      <w:pStyle w:val="Header"/>
      <w:jc w:val="center"/>
      <w:rPr>
        <w:b/>
        <w:sz w:val="20"/>
        <w:szCs w:val="20"/>
      </w:rPr>
    </w:pPr>
  </w:p>
  <w:p w14:paraId="4030D14A" w14:textId="4AB4B8E1" w:rsidR="00EB56DD" w:rsidRDefault="00EB56DD" w:rsidP="008154CA">
    <w:pPr>
      <w:pStyle w:val="Header"/>
      <w:jc w:val="center"/>
      <w:rPr>
        <w:b/>
        <w:color w:val="00B0F0"/>
        <w:sz w:val="20"/>
        <w:szCs w:val="20"/>
      </w:rPr>
    </w:pPr>
    <w:r w:rsidRPr="00EB56DD">
      <w:rPr>
        <w:b/>
        <w:color w:val="00B0F0"/>
        <w:sz w:val="20"/>
        <w:szCs w:val="20"/>
      </w:rPr>
      <w:t xml:space="preserve">Aporte Informe DISCRIMINACIÓN </w:t>
    </w:r>
    <w:r>
      <w:rPr>
        <w:b/>
        <w:color w:val="00B0F0"/>
        <w:sz w:val="20"/>
        <w:szCs w:val="20"/>
      </w:rPr>
      <w:t xml:space="preserve">EN EL </w:t>
    </w:r>
    <w:r w:rsidRPr="00EB56DD">
      <w:rPr>
        <w:b/>
        <w:color w:val="00B0F0"/>
        <w:sz w:val="20"/>
        <w:szCs w:val="20"/>
      </w:rPr>
      <w:t xml:space="preserve">ACCESO </w:t>
    </w:r>
    <w:r>
      <w:rPr>
        <w:b/>
        <w:color w:val="00B0F0"/>
        <w:sz w:val="20"/>
        <w:szCs w:val="20"/>
      </w:rPr>
      <w:t xml:space="preserve">A UNA </w:t>
    </w:r>
    <w:r w:rsidRPr="00EB56DD">
      <w:rPr>
        <w:b/>
        <w:color w:val="00B0F0"/>
        <w:sz w:val="20"/>
        <w:szCs w:val="20"/>
      </w:rPr>
      <w:t>VIVIENDA</w:t>
    </w:r>
    <w:r>
      <w:rPr>
        <w:b/>
        <w:color w:val="00B0F0"/>
        <w:sz w:val="20"/>
        <w:szCs w:val="20"/>
      </w:rPr>
      <w:t xml:space="preserve"> ADECUADA</w:t>
    </w:r>
    <w:r w:rsidRPr="00EB56DD">
      <w:rPr>
        <w:b/>
        <w:color w:val="00B0F0"/>
        <w:sz w:val="20"/>
        <w:szCs w:val="20"/>
      </w:rPr>
      <w:t xml:space="preserve"> 2021</w:t>
    </w:r>
    <w:r w:rsidR="00130CAB" w:rsidRPr="00EB56DD">
      <w:rPr>
        <w:b/>
        <w:color w:val="00B0F0"/>
        <w:sz w:val="20"/>
        <w:szCs w:val="20"/>
      </w:rPr>
      <w:t xml:space="preserve"> </w:t>
    </w:r>
  </w:p>
  <w:p w14:paraId="20D17701" w14:textId="01D0BEB5" w:rsidR="00130CAB" w:rsidRPr="003032A8" w:rsidRDefault="00130CAB" w:rsidP="008154CA">
    <w:pPr>
      <w:pStyle w:val="Header"/>
      <w:jc w:val="center"/>
      <w:rPr>
        <w:b/>
        <w:sz w:val="20"/>
        <w:szCs w:val="20"/>
      </w:rPr>
    </w:pPr>
    <w:r w:rsidRPr="003032A8">
      <w:rPr>
        <w:b/>
        <w:sz w:val="20"/>
        <w:szCs w:val="20"/>
      </w:rPr>
      <w:t xml:space="preserve">Relatoría </w:t>
    </w:r>
    <w:r w:rsidR="003032A8">
      <w:rPr>
        <w:b/>
        <w:sz w:val="20"/>
        <w:szCs w:val="20"/>
      </w:rPr>
      <w:t xml:space="preserve">Especial </w:t>
    </w:r>
    <w:r w:rsidRPr="003032A8">
      <w:rPr>
        <w:b/>
        <w:sz w:val="20"/>
        <w:szCs w:val="20"/>
      </w:rPr>
      <w:t>Vivienda Adecuada de Naciones Unidas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5DE"/>
    <w:multiLevelType w:val="hybridMultilevel"/>
    <w:tmpl w:val="E9CE10E2"/>
    <w:lvl w:ilvl="0" w:tplc="B9BC0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51B4"/>
    <w:multiLevelType w:val="hybridMultilevel"/>
    <w:tmpl w:val="07CE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F24"/>
    <w:multiLevelType w:val="hybridMultilevel"/>
    <w:tmpl w:val="B3DEE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350"/>
    <w:multiLevelType w:val="hybridMultilevel"/>
    <w:tmpl w:val="1D92E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E83"/>
    <w:multiLevelType w:val="hybridMultilevel"/>
    <w:tmpl w:val="D8FA6F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37FD8"/>
    <w:multiLevelType w:val="hybridMultilevel"/>
    <w:tmpl w:val="BDD0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2F4D"/>
    <w:multiLevelType w:val="hybridMultilevel"/>
    <w:tmpl w:val="A9606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C328F"/>
    <w:multiLevelType w:val="hybridMultilevel"/>
    <w:tmpl w:val="CF92A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2860"/>
    <w:multiLevelType w:val="hybridMultilevel"/>
    <w:tmpl w:val="A6EC1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126D1"/>
    <w:multiLevelType w:val="hybridMultilevel"/>
    <w:tmpl w:val="C45E0184"/>
    <w:lvl w:ilvl="0" w:tplc="993C05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1EAA"/>
    <w:multiLevelType w:val="hybridMultilevel"/>
    <w:tmpl w:val="34AC04A8"/>
    <w:lvl w:ilvl="0" w:tplc="E408A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C7E65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71A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696E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BFA9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31ACF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BEC9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5D61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1088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 w15:restartNumberingAfterBreak="0">
    <w:nsid w:val="28FD3F5A"/>
    <w:multiLevelType w:val="hybridMultilevel"/>
    <w:tmpl w:val="B16AE548"/>
    <w:lvl w:ilvl="0" w:tplc="49A22512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85E56"/>
    <w:multiLevelType w:val="hybridMultilevel"/>
    <w:tmpl w:val="9B904C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13239"/>
    <w:multiLevelType w:val="hybridMultilevel"/>
    <w:tmpl w:val="7BACF8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A0881"/>
    <w:multiLevelType w:val="hybridMultilevel"/>
    <w:tmpl w:val="F9D05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E51"/>
    <w:multiLevelType w:val="hybridMultilevel"/>
    <w:tmpl w:val="478C362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D97"/>
    <w:multiLevelType w:val="hybridMultilevel"/>
    <w:tmpl w:val="F22AD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F76D5"/>
    <w:multiLevelType w:val="hybridMultilevel"/>
    <w:tmpl w:val="B5A61F50"/>
    <w:lvl w:ilvl="0" w:tplc="D966DE3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1850"/>
    <w:multiLevelType w:val="hybridMultilevel"/>
    <w:tmpl w:val="D57A66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4039A"/>
    <w:multiLevelType w:val="hybridMultilevel"/>
    <w:tmpl w:val="B53E8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139F1"/>
    <w:multiLevelType w:val="hybridMultilevel"/>
    <w:tmpl w:val="2C6EF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9766A"/>
    <w:multiLevelType w:val="hybridMultilevel"/>
    <w:tmpl w:val="96C0C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F0F6A"/>
    <w:multiLevelType w:val="hybridMultilevel"/>
    <w:tmpl w:val="ABCE8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B24"/>
    <w:multiLevelType w:val="hybridMultilevel"/>
    <w:tmpl w:val="72523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A06C2"/>
    <w:multiLevelType w:val="hybridMultilevel"/>
    <w:tmpl w:val="F0F81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A27C5"/>
    <w:multiLevelType w:val="multilevel"/>
    <w:tmpl w:val="AF1415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3B4B6C"/>
    <w:multiLevelType w:val="hybridMultilevel"/>
    <w:tmpl w:val="D012BED2"/>
    <w:lvl w:ilvl="0" w:tplc="92D6A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0705"/>
    <w:multiLevelType w:val="hybridMultilevel"/>
    <w:tmpl w:val="711E2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50FAD"/>
    <w:multiLevelType w:val="hybridMultilevel"/>
    <w:tmpl w:val="2E20D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C526E"/>
    <w:multiLevelType w:val="hybridMultilevel"/>
    <w:tmpl w:val="478C362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631C9"/>
    <w:multiLevelType w:val="hybridMultilevel"/>
    <w:tmpl w:val="69B82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2357"/>
    <w:multiLevelType w:val="hybridMultilevel"/>
    <w:tmpl w:val="312EF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22B7B"/>
    <w:multiLevelType w:val="hybridMultilevel"/>
    <w:tmpl w:val="6E400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26556"/>
    <w:multiLevelType w:val="hybridMultilevel"/>
    <w:tmpl w:val="BAA4B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E337E"/>
    <w:multiLevelType w:val="hybridMultilevel"/>
    <w:tmpl w:val="07B299D4"/>
    <w:lvl w:ilvl="0" w:tplc="7BFE2770">
      <w:numFmt w:val="bullet"/>
      <w:lvlText w:val="•"/>
      <w:lvlJc w:val="left"/>
      <w:pPr>
        <w:ind w:left="1419" w:hanging="71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FA53312"/>
    <w:multiLevelType w:val="hybridMultilevel"/>
    <w:tmpl w:val="46185AE0"/>
    <w:lvl w:ilvl="0" w:tplc="9B92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17"/>
  </w:num>
  <w:num w:numId="4">
    <w:abstractNumId w:val="34"/>
  </w:num>
  <w:num w:numId="5">
    <w:abstractNumId w:val="26"/>
  </w:num>
  <w:num w:numId="6">
    <w:abstractNumId w:val="30"/>
  </w:num>
  <w:num w:numId="7">
    <w:abstractNumId w:val="15"/>
  </w:num>
  <w:num w:numId="8">
    <w:abstractNumId w:val="5"/>
  </w:num>
  <w:num w:numId="9">
    <w:abstractNumId w:val="24"/>
  </w:num>
  <w:num w:numId="10">
    <w:abstractNumId w:val="25"/>
  </w:num>
  <w:num w:numId="11">
    <w:abstractNumId w:val="13"/>
  </w:num>
  <w:num w:numId="12">
    <w:abstractNumId w:val="18"/>
  </w:num>
  <w:num w:numId="13">
    <w:abstractNumId w:val="35"/>
  </w:num>
  <w:num w:numId="14">
    <w:abstractNumId w:val="7"/>
  </w:num>
  <w:num w:numId="15">
    <w:abstractNumId w:val="3"/>
  </w:num>
  <w:num w:numId="16">
    <w:abstractNumId w:val="33"/>
  </w:num>
  <w:num w:numId="17">
    <w:abstractNumId w:val="1"/>
  </w:num>
  <w:num w:numId="18">
    <w:abstractNumId w:val="14"/>
  </w:num>
  <w:num w:numId="19">
    <w:abstractNumId w:val="8"/>
  </w:num>
  <w:num w:numId="20">
    <w:abstractNumId w:val="16"/>
  </w:num>
  <w:num w:numId="21">
    <w:abstractNumId w:val="20"/>
  </w:num>
  <w:num w:numId="22">
    <w:abstractNumId w:val="23"/>
  </w:num>
  <w:num w:numId="23">
    <w:abstractNumId w:val="32"/>
  </w:num>
  <w:num w:numId="24">
    <w:abstractNumId w:val="6"/>
  </w:num>
  <w:num w:numId="25">
    <w:abstractNumId w:val="27"/>
  </w:num>
  <w:num w:numId="26">
    <w:abstractNumId w:val="21"/>
  </w:num>
  <w:num w:numId="27">
    <w:abstractNumId w:val="2"/>
  </w:num>
  <w:num w:numId="28">
    <w:abstractNumId w:val="31"/>
  </w:num>
  <w:num w:numId="29">
    <w:abstractNumId w:val="9"/>
  </w:num>
  <w:num w:numId="30">
    <w:abstractNumId w:val="0"/>
  </w:num>
  <w:num w:numId="31">
    <w:abstractNumId w:val="11"/>
  </w:num>
  <w:num w:numId="32">
    <w:abstractNumId w:val="4"/>
  </w:num>
  <w:num w:numId="33">
    <w:abstractNumId w:val="12"/>
  </w:num>
  <w:num w:numId="34">
    <w:abstractNumId w:val="19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2E"/>
    <w:rsid w:val="00002317"/>
    <w:rsid w:val="0000524C"/>
    <w:rsid w:val="0002166B"/>
    <w:rsid w:val="00025545"/>
    <w:rsid w:val="000433EC"/>
    <w:rsid w:val="00045503"/>
    <w:rsid w:val="000536A3"/>
    <w:rsid w:val="000558F0"/>
    <w:rsid w:val="00065C53"/>
    <w:rsid w:val="00082E13"/>
    <w:rsid w:val="00097351"/>
    <w:rsid w:val="000A0102"/>
    <w:rsid w:val="000B6054"/>
    <w:rsid w:val="000E2B5B"/>
    <w:rsid w:val="000E314B"/>
    <w:rsid w:val="000F165D"/>
    <w:rsid w:val="00104225"/>
    <w:rsid w:val="00120D71"/>
    <w:rsid w:val="001240FE"/>
    <w:rsid w:val="00130CAB"/>
    <w:rsid w:val="00132A1F"/>
    <w:rsid w:val="00136C9A"/>
    <w:rsid w:val="00150D89"/>
    <w:rsid w:val="00151F03"/>
    <w:rsid w:val="00153455"/>
    <w:rsid w:val="00170413"/>
    <w:rsid w:val="001850E0"/>
    <w:rsid w:val="00190C67"/>
    <w:rsid w:val="00195402"/>
    <w:rsid w:val="001A5218"/>
    <w:rsid w:val="001C56C5"/>
    <w:rsid w:val="001C6085"/>
    <w:rsid w:val="00203D91"/>
    <w:rsid w:val="002058EE"/>
    <w:rsid w:val="0020776D"/>
    <w:rsid w:val="002237EE"/>
    <w:rsid w:val="00237630"/>
    <w:rsid w:val="002434F9"/>
    <w:rsid w:val="00286408"/>
    <w:rsid w:val="002B3497"/>
    <w:rsid w:val="002B5CD7"/>
    <w:rsid w:val="002D12BB"/>
    <w:rsid w:val="002D14C6"/>
    <w:rsid w:val="002E0B7C"/>
    <w:rsid w:val="002E178D"/>
    <w:rsid w:val="002E3703"/>
    <w:rsid w:val="003032A8"/>
    <w:rsid w:val="00303F38"/>
    <w:rsid w:val="00335E1E"/>
    <w:rsid w:val="00345157"/>
    <w:rsid w:val="00354FF4"/>
    <w:rsid w:val="003777E0"/>
    <w:rsid w:val="00387563"/>
    <w:rsid w:val="003C69CA"/>
    <w:rsid w:val="003E5BE5"/>
    <w:rsid w:val="003F52C7"/>
    <w:rsid w:val="004172A2"/>
    <w:rsid w:val="00435128"/>
    <w:rsid w:val="00435A3E"/>
    <w:rsid w:val="00447147"/>
    <w:rsid w:val="00447857"/>
    <w:rsid w:val="004525FE"/>
    <w:rsid w:val="00465C68"/>
    <w:rsid w:val="0048463D"/>
    <w:rsid w:val="004A5948"/>
    <w:rsid w:val="004C1489"/>
    <w:rsid w:val="004C2317"/>
    <w:rsid w:val="004C4EC3"/>
    <w:rsid w:val="004D1559"/>
    <w:rsid w:val="005163E1"/>
    <w:rsid w:val="00521187"/>
    <w:rsid w:val="00545AEF"/>
    <w:rsid w:val="00562E8D"/>
    <w:rsid w:val="00564986"/>
    <w:rsid w:val="00585CD3"/>
    <w:rsid w:val="005B3477"/>
    <w:rsid w:val="005D7A00"/>
    <w:rsid w:val="005E080E"/>
    <w:rsid w:val="005F1EFA"/>
    <w:rsid w:val="005F41EF"/>
    <w:rsid w:val="005F4EFB"/>
    <w:rsid w:val="005F7BF7"/>
    <w:rsid w:val="006224B9"/>
    <w:rsid w:val="00625AB9"/>
    <w:rsid w:val="006512B1"/>
    <w:rsid w:val="00654E7A"/>
    <w:rsid w:val="00657037"/>
    <w:rsid w:val="00673649"/>
    <w:rsid w:val="006738AF"/>
    <w:rsid w:val="006752B6"/>
    <w:rsid w:val="00676763"/>
    <w:rsid w:val="00681315"/>
    <w:rsid w:val="00687BFD"/>
    <w:rsid w:val="00691EEE"/>
    <w:rsid w:val="006A1E8C"/>
    <w:rsid w:val="006A319E"/>
    <w:rsid w:val="006D2D94"/>
    <w:rsid w:val="006F1DA7"/>
    <w:rsid w:val="006F23CF"/>
    <w:rsid w:val="007016D8"/>
    <w:rsid w:val="00716979"/>
    <w:rsid w:val="007264E9"/>
    <w:rsid w:val="007345EE"/>
    <w:rsid w:val="00736D77"/>
    <w:rsid w:val="0074369B"/>
    <w:rsid w:val="00755C13"/>
    <w:rsid w:val="007626A3"/>
    <w:rsid w:val="00783298"/>
    <w:rsid w:val="00784913"/>
    <w:rsid w:val="007B2F96"/>
    <w:rsid w:val="007B76F7"/>
    <w:rsid w:val="007C5FC7"/>
    <w:rsid w:val="007C724B"/>
    <w:rsid w:val="00813EBD"/>
    <w:rsid w:val="008154CA"/>
    <w:rsid w:val="00837093"/>
    <w:rsid w:val="008518CE"/>
    <w:rsid w:val="008557C3"/>
    <w:rsid w:val="00862D4C"/>
    <w:rsid w:val="00875702"/>
    <w:rsid w:val="008C0059"/>
    <w:rsid w:val="008C7FDF"/>
    <w:rsid w:val="008D218C"/>
    <w:rsid w:val="008D3543"/>
    <w:rsid w:val="008E1496"/>
    <w:rsid w:val="008F18F2"/>
    <w:rsid w:val="008F2FE2"/>
    <w:rsid w:val="00900332"/>
    <w:rsid w:val="00906141"/>
    <w:rsid w:val="00913130"/>
    <w:rsid w:val="009173A5"/>
    <w:rsid w:val="009203FA"/>
    <w:rsid w:val="00937761"/>
    <w:rsid w:val="009416FC"/>
    <w:rsid w:val="00942CF0"/>
    <w:rsid w:val="00971FD9"/>
    <w:rsid w:val="00976118"/>
    <w:rsid w:val="00990F4D"/>
    <w:rsid w:val="0099456F"/>
    <w:rsid w:val="009952D9"/>
    <w:rsid w:val="00995999"/>
    <w:rsid w:val="00997040"/>
    <w:rsid w:val="009D0829"/>
    <w:rsid w:val="009D0B79"/>
    <w:rsid w:val="009D2A31"/>
    <w:rsid w:val="009F0C89"/>
    <w:rsid w:val="009F47C9"/>
    <w:rsid w:val="00A10E05"/>
    <w:rsid w:val="00A13E55"/>
    <w:rsid w:val="00A15D50"/>
    <w:rsid w:val="00A22A98"/>
    <w:rsid w:val="00A33734"/>
    <w:rsid w:val="00A36FED"/>
    <w:rsid w:val="00A432F9"/>
    <w:rsid w:val="00A55FDF"/>
    <w:rsid w:val="00A67556"/>
    <w:rsid w:val="00A67F26"/>
    <w:rsid w:val="00AB4BEF"/>
    <w:rsid w:val="00AB6D87"/>
    <w:rsid w:val="00AC0D72"/>
    <w:rsid w:val="00AE3F49"/>
    <w:rsid w:val="00AE4AA9"/>
    <w:rsid w:val="00AE4C59"/>
    <w:rsid w:val="00AF64E8"/>
    <w:rsid w:val="00AF79A8"/>
    <w:rsid w:val="00B10E29"/>
    <w:rsid w:val="00B24830"/>
    <w:rsid w:val="00B4250F"/>
    <w:rsid w:val="00B43962"/>
    <w:rsid w:val="00B50E82"/>
    <w:rsid w:val="00B527C4"/>
    <w:rsid w:val="00B84413"/>
    <w:rsid w:val="00BA0CC9"/>
    <w:rsid w:val="00BD703C"/>
    <w:rsid w:val="00BE3350"/>
    <w:rsid w:val="00BF5357"/>
    <w:rsid w:val="00C30A12"/>
    <w:rsid w:val="00C454F6"/>
    <w:rsid w:val="00C54D98"/>
    <w:rsid w:val="00C73D90"/>
    <w:rsid w:val="00C76731"/>
    <w:rsid w:val="00C80E4D"/>
    <w:rsid w:val="00C835C6"/>
    <w:rsid w:val="00C85C8A"/>
    <w:rsid w:val="00CD3C74"/>
    <w:rsid w:val="00D05305"/>
    <w:rsid w:val="00D05382"/>
    <w:rsid w:val="00D13C8E"/>
    <w:rsid w:val="00D15364"/>
    <w:rsid w:val="00D553DE"/>
    <w:rsid w:val="00D615D8"/>
    <w:rsid w:val="00D829D9"/>
    <w:rsid w:val="00D8422D"/>
    <w:rsid w:val="00D961DB"/>
    <w:rsid w:val="00D973FF"/>
    <w:rsid w:val="00DA3C29"/>
    <w:rsid w:val="00DA4CE3"/>
    <w:rsid w:val="00DB4980"/>
    <w:rsid w:val="00DC0E8E"/>
    <w:rsid w:val="00DC4DEE"/>
    <w:rsid w:val="00DC5C47"/>
    <w:rsid w:val="00DF7C46"/>
    <w:rsid w:val="00E01D69"/>
    <w:rsid w:val="00E12FB7"/>
    <w:rsid w:val="00E17966"/>
    <w:rsid w:val="00E23AF1"/>
    <w:rsid w:val="00E337B7"/>
    <w:rsid w:val="00E44B4D"/>
    <w:rsid w:val="00E46BE5"/>
    <w:rsid w:val="00E7586A"/>
    <w:rsid w:val="00E828C8"/>
    <w:rsid w:val="00E9101B"/>
    <w:rsid w:val="00EB0A22"/>
    <w:rsid w:val="00EB3E92"/>
    <w:rsid w:val="00EB56DD"/>
    <w:rsid w:val="00EC0226"/>
    <w:rsid w:val="00ED3E02"/>
    <w:rsid w:val="00EF5C8F"/>
    <w:rsid w:val="00F20AA4"/>
    <w:rsid w:val="00F22B61"/>
    <w:rsid w:val="00F23454"/>
    <w:rsid w:val="00F33DED"/>
    <w:rsid w:val="00F3472E"/>
    <w:rsid w:val="00F50754"/>
    <w:rsid w:val="00F51992"/>
    <w:rsid w:val="00F629C8"/>
    <w:rsid w:val="00F62A48"/>
    <w:rsid w:val="00F7135C"/>
    <w:rsid w:val="00F71BCB"/>
    <w:rsid w:val="00F7631C"/>
    <w:rsid w:val="00F97EAC"/>
    <w:rsid w:val="00FA4F73"/>
    <w:rsid w:val="00FB5375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78B1"/>
  <w15:chartTrackingRefBased/>
  <w15:docId w15:val="{7F469C02-C6A0-4146-B336-8C88B05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966"/>
  </w:style>
  <w:style w:type="paragraph" w:styleId="Heading1">
    <w:name w:val="heading 1"/>
    <w:basedOn w:val="Normal"/>
    <w:next w:val="Normal"/>
    <w:link w:val="Heading1Char"/>
    <w:uiPriority w:val="9"/>
    <w:qFormat/>
    <w:rsid w:val="00FB5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337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37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7B7"/>
    <w:rPr>
      <w:vertAlign w:val="superscript"/>
    </w:rPr>
  </w:style>
  <w:style w:type="table" w:styleId="ListTable3-Accent1">
    <w:name w:val="List Table 3 Accent 1"/>
    <w:basedOn w:val="TableNormal"/>
    <w:uiPriority w:val="48"/>
    <w:rsid w:val="009D2A3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E080E"/>
    <w:pPr>
      <w:ind w:left="720"/>
      <w:contextualSpacing/>
    </w:pPr>
  </w:style>
  <w:style w:type="table" w:styleId="TableGrid">
    <w:name w:val="Table Grid"/>
    <w:basedOn w:val="TableNormal"/>
    <w:uiPriority w:val="39"/>
    <w:rsid w:val="005E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B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4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C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D3"/>
  </w:style>
  <w:style w:type="paragraph" w:styleId="Footer">
    <w:name w:val="footer"/>
    <w:basedOn w:val="Normal"/>
    <w:link w:val="FooterChar"/>
    <w:uiPriority w:val="99"/>
    <w:unhideWhenUsed/>
    <w:rsid w:val="0058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D3"/>
  </w:style>
  <w:style w:type="table" w:customStyle="1" w:styleId="Tabladelista3-nfasis11">
    <w:name w:val="Tabla de lista 3 - Énfasis 11"/>
    <w:basedOn w:val="TableNormal"/>
    <w:next w:val="ListTable3-Accent1"/>
    <w:uiPriority w:val="48"/>
    <w:rsid w:val="00F713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B605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FB5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5">
    <w:name w:val="Pa5"/>
    <w:basedOn w:val="Normal"/>
    <w:next w:val="Normal"/>
    <w:uiPriority w:val="99"/>
    <w:rsid w:val="00435A3E"/>
    <w:pPr>
      <w:autoSpaceDE w:val="0"/>
      <w:autoSpaceDN w:val="0"/>
      <w:adjustRightInd w:val="0"/>
      <w:spacing w:after="0" w:line="221" w:lineRule="atLeast"/>
    </w:pPr>
    <w:rPr>
      <w:rFonts w:ascii="GillSans" w:hAnsi="GillSans"/>
      <w:sz w:val="24"/>
      <w:szCs w:val="24"/>
    </w:rPr>
  </w:style>
  <w:style w:type="character" w:styleId="Strong">
    <w:name w:val="Strong"/>
    <w:basedOn w:val="DefaultParagraphFont"/>
    <w:uiPriority w:val="22"/>
    <w:qFormat/>
    <w:rsid w:val="00136C9A"/>
    <w:rPr>
      <w:b/>
      <w:bCs/>
    </w:rPr>
  </w:style>
  <w:style w:type="paragraph" w:customStyle="1" w:styleId="Default">
    <w:name w:val="Default"/>
    <w:rsid w:val="00755C1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85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Sheet1!$B$12:$B$27</c:f>
              <c:strCache>
                <c:ptCount val="16"/>
                <c:pt idx="0">
                  <c:v>Por ser menor de 18 años</c:v>
                </c:pt>
                <c:pt idx="1">
                  <c:v>Por ser gitano/a</c:v>
                </c:pt>
                <c:pt idx="2">
                  <c:v>Por su orientacion sexual</c:v>
                </c:pt>
                <c:pt idx="3">
                  <c:v>Por su identidad de género</c:v>
                </c:pt>
                <c:pt idx="4">
                  <c:v>Por su sexo</c:v>
                </c:pt>
                <c:pt idx="5">
                  <c:v>Por su discapacidad</c:v>
                </c:pt>
                <c:pt idx="6">
                  <c:v>Por ser persona mayor</c:v>
                </c:pt>
                <c:pt idx="7">
                  <c:v>Por las creencias religiosas</c:v>
                </c:pt>
                <c:pt idx="8">
                  <c:v>Por su color de piel</c:v>
                </c:pt>
                <c:pt idx="9">
                  <c:v>Por su grado de educación</c:v>
                </c:pt>
                <c:pt idx="10">
                  <c:v>Por el idioma o lengua que habla</c:v>
                </c:pt>
                <c:pt idx="11">
                  <c:v>Por sus costumbres</c:v>
                </c:pt>
                <c:pt idx="12">
                  <c:v>Otro</c:v>
                </c:pt>
                <c:pt idx="13">
                  <c:v>Por sus rasgos o aspecto físico</c:v>
                </c:pt>
                <c:pt idx="14">
                  <c:v>Por ser migrante</c:v>
                </c:pt>
                <c:pt idx="15">
                  <c:v>Por su nivel de ingresos/dinero/condicion</c:v>
                </c:pt>
              </c:strCache>
            </c:strRef>
          </c:cat>
          <c:val>
            <c:numRef>
              <c:f>Sheet1!$E$12:$E$27</c:f>
              <c:numCache>
                <c:formatCode>###0.0%</c:formatCode>
                <c:ptCount val="16"/>
                <c:pt idx="0">
                  <c:v>3.4525277435265102E-2</c:v>
                </c:pt>
                <c:pt idx="1">
                  <c:v>4.8088779284833544E-2</c:v>
                </c:pt>
                <c:pt idx="2">
                  <c:v>5.4254007398273733E-2</c:v>
                </c:pt>
                <c:pt idx="3">
                  <c:v>5.4254007398273733E-2</c:v>
                </c:pt>
                <c:pt idx="4">
                  <c:v>8.0147965474722568E-2</c:v>
                </c:pt>
                <c:pt idx="5">
                  <c:v>0.14796547472256474</c:v>
                </c:pt>
                <c:pt idx="6">
                  <c:v>0.15906288532675708</c:v>
                </c:pt>
                <c:pt idx="7">
                  <c:v>0.19235511713933418</c:v>
                </c:pt>
                <c:pt idx="8">
                  <c:v>0.1935881627620222</c:v>
                </c:pt>
                <c:pt idx="9">
                  <c:v>0.20098643649815043</c:v>
                </c:pt>
                <c:pt idx="10">
                  <c:v>0.2219482120838471</c:v>
                </c:pt>
                <c:pt idx="11">
                  <c:v>0.23674475955610358</c:v>
                </c:pt>
                <c:pt idx="12">
                  <c:v>0.24660912453760792</c:v>
                </c:pt>
                <c:pt idx="13">
                  <c:v>0.30579531442663377</c:v>
                </c:pt>
                <c:pt idx="14">
                  <c:v>0.37114673242909985</c:v>
                </c:pt>
                <c:pt idx="15">
                  <c:v>0.49321824907521583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90-4DB9-A3B4-4A9C12BF2E0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95409167"/>
        <c:axId val="1299863327"/>
      </c:barChart>
      <c:catAx>
        <c:axId val="12954091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863327"/>
        <c:crosses val="autoZero"/>
        <c:auto val="1"/>
        <c:lblAlgn val="ctr"/>
        <c:lblOffset val="100"/>
        <c:noMultiLvlLbl val="0"/>
      </c:catAx>
      <c:valAx>
        <c:axId val="1299863327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54091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rgbClr val="A5A5A5">
            <a:lumMod val="5000"/>
            <a:lumOff val="95000"/>
          </a:srgbClr>
        </a:gs>
        <a:gs pos="74000">
          <a:srgbClr val="A5A5A5">
            <a:lumMod val="45000"/>
            <a:lumOff val="55000"/>
          </a:srgbClr>
        </a:gs>
        <a:gs pos="83000">
          <a:srgbClr val="A5A5A5">
            <a:lumMod val="45000"/>
            <a:lumOff val="55000"/>
          </a:srgbClr>
        </a:gs>
        <a:gs pos="100000">
          <a:srgbClr val="A5A5A5">
            <a:lumMod val="30000"/>
            <a:lumOff val="70000"/>
          </a:srgbClr>
        </a:gs>
      </a:gsLst>
      <a:lin ang="54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Sheet1!$B$43:$B$63</c:f>
              <c:strCache>
                <c:ptCount val="21"/>
                <c:pt idx="0">
                  <c:v>Derecho a reunirse y asociarse</c:v>
                </c:pt>
                <c:pt idx="1">
                  <c:v>Derecho a la propiedad individual y colectiva.</c:v>
                </c:pt>
                <c:pt idx="2">
                  <c:v>Derecho a buscar asilo</c:v>
                </c:pt>
                <c:pt idx="3">
                  <c:v>Derecho a disfrutar de un orden social e internacional</c:v>
                </c:pt>
                <c:pt idx="4">
                  <c:v>Derecho a formar parte de la vida cultural de la comunidad</c:v>
                </c:pt>
                <c:pt idx="5">
                  <c:v>Derecho a una nacionalidad</c:v>
                </c:pt>
                <c:pt idx="6">
                  <c:v>Derecho al descanso</c:v>
                </c:pt>
                <c:pt idx="7">
                  <c:v>Derecho a la educación</c:v>
                </c:pt>
                <c:pt idx="8">
                  <c:v>Derecho a la seguridad social</c:v>
                </c:pt>
                <c:pt idx="9">
                  <c:v>Derecho a ser escuchado públicamente y por un tribunal independiente e imparcial</c:v>
                </c:pt>
                <c:pt idx="10">
                  <c:v>1Derecho a la libertad de pensamiento, conciencia y religión</c:v>
                </c:pt>
                <c:pt idx="11">
                  <c:v>Derecho a la libertad de opinión y expresión</c:v>
                </c:pt>
                <c:pt idx="12">
                  <c:v>Derecho a la privacidad</c:v>
                </c:pt>
                <c:pt idx="13">
                  <c:v>Derecho a circular libremente</c:v>
                </c:pt>
                <c:pt idx="14">
                  <c:v>Derecho a la protección</c:v>
                </c:pt>
                <c:pt idx="15">
                  <c:v>Derecho a la salud</c:v>
                </c:pt>
                <c:pt idx="16">
                  <c:v>Derecho a la vida, la libertad y la seguridad</c:v>
                </c:pt>
                <c:pt idx="17">
                  <c:v>Derecho al trabajo con condiciones equitativas</c:v>
                </c:pt>
                <c:pt idx="18">
                  <c:v>Derecho a gozar de un nivel de vida adecuado</c:v>
                </c:pt>
                <c:pt idx="19">
                  <c:v>Derecho al trabajo</c:v>
                </c:pt>
                <c:pt idx="20">
                  <c:v>Derecho a la vivienda</c:v>
                </c:pt>
              </c:strCache>
            </c:strRef>
          </c:cat>
          <c:val>
            <c:numRef>
              <c:f>Sheet1!$E$43:$E$63</c:f>
              <c:numCache>
                <c:formatCode>###0.0%</c:formatCode>
                <c:ptCount val="21"/>
                <c:pt idx="0">
                  <c:v>0.14462299134734241</c:v>
                </c:pt>
                <c:pt idx="1">
                  <c:v>0.15203955500618047</c:v>
                </c:pt>
                <c:pt idx="2">
                  <c:v>0.15822002472187885</c:v>
                </c:pt>
                <c:pt idx="3">
                  <c:v>0.18046971569839307</c:v>
                </c:pt>
                <c:pt idx="4">
                  <c:v>0.18417799752781211</c:v>
                </c:pt>
                <c:pt idx="5">
                  <c:v>0.21508034610630408</c:v>
                </c:pt>
                <c:pt idx="6">
                  <c:v>0.22126081582200247</c:v>
                </c:pt>
                <c:pt idx="7">
                  <c:v>0.2348578491965389</c:v>
                </c:pt>
                <c:pt idx="8">
                  <c:v>0.2373300370828183</c:v>
                </c:pt>
                <c:pt idx="9">
                  <c:v>0.25339925834363414</c:v>
                </c:pt>
                <c:pt idx="10">
                  <c:v>0.26205191594561189</c:v>
                </c:pt>
                <c:pt idx="11">
                  <c:v>0.27317676143386899</c:v>
                </c:pt>
                <c:pt idx="12">
                  <c:v>0.27812113720642767</c:v>
                </c:pt>
                <c:pt idx="13">
                  <c:v>0.28182941903584674</c:v>
                </c:pt>
                <c:pt idx="14">
                  <c:v>0.29048207663782449</c:v>
                </c:pt>
                <c:pt idx="15">
                  <c:v>0.35105067985166871</c:v>
                </c:pt>
                <c:pt idx="16">
                  <c:v>0.39060568603213847</c:v>
                </c:pt>
                <c:pt idx="17">
                  <c:v>0.40543881334981458</c:v>
                </c:pt>
                <c:pt idx="18">
                  <c:v>0.47218788627935721</c:v>
                </c:pt>
                <c:pt idx="19">
                  <c:v>0.71693448702101359</c:v>
                </c:pt>
                <c:pt idx="20">
                  <c:v>0.74165636588380712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7D-4656-AE69-712952FA15C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16273551"/>
        <c:axId val="1516278959"/>
      </c:barChart>
      <c:valAx>
        <c:axId val="1516278959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6273551"/>
        <c:crosses val="autoZero"/>
        <c:crossBetween val="between"/>
      </c:valAx>
      <c:catAx>
        <c:axId val="15162735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62789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rgbClr val="A5A5A5">
            <a:lumMod val="5000"/>
            <a:lumOff val="95000"/>
          </a:srgbClr>
        </a:gs>
        <a:gs pos="74000">
          <a:srgbClr val="A5A5A5">
            <a:lumMod val="45000"/>
            <a:lumOff val="55000"/>
          </a:srgbClr>
        </a:gs>
        <a:gs pos="83000">
          <a:srgbClr val="A5A5A5">
            <a:lumMod val="45000"/>
            <a:lumOff val="55000"/>
          </a:srgbClr>
        </a:gs>
        <a:gs pos="100000">
          <a:srgbClr val="A5A5A5">
            <a:lumMod val="30000"/>
            <a:lumOff val="70000"/>
          </a:srgbClr>
        </a:gs>
      </a:gsLst>
      <a:lin ang="54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Sheet1!$G$76:$G$90</c:f>
              <c:strCache>
                <c:ptCount val="15"/>
                <c:pt idx="0">
                  <c:v>Por ser menor de 18 años</c:v>
                </c:pt>
                <c:pt idx="1">
                  <c:v>Por su sexo</c:v>
                </c:pt>
                <c:pt idx="2">
                  <c:v>Por ser persona mayor</c:v>
                </c:pt>
                <c:pt idx="3">
                  <c:v>Por su identidad de género</c:v>
                </c:pt>
                <c:pt idx="4">
                  <c:v>Por sus costumbres</c:v>
                </c:pt>
                <c:pt idx="5">
                  <c:v>Por su grado de educación</c:v>
                </c:pt>
                <c:pt idx="6">
                  <c:v>Por ser gitano/a</c:v>
                </c:pt>
                <c:pt idx="7">
                  <c:v>Por el idioma o lengua que habla</c:v>
                </c:pt>
                <c:pt idx="8">
                  <c:v>Por su discapacidad</c:v>
                </c:pt>
                <c:pt idx="9">
                  <c:v>Por las creencias religiosas</c:v>
                </c:pt>
                <c:pt idx="10">
                  <c:v>Por su orientacion sexual</c:v>
                </c:pt>
                <c:pt idx="11">
                  <c:v>Por sus rasgos o aspecto físico</c:v>
                </c:pt>
                <c:pt idx="12">
                  <c:v>Por su nivel de ingresos/dinero/condicion</c:v>
                </c:pt>
                <c:pt idx="13">
                  <c:v>Por su color de piel</c:v>
                </c:pt>
                <c:pt idx="14">
                  <c:v>Por ser migrante</c:v>
                </c:pt>
              </c:strCache>
            </c:strRef>
          </c:cat>
          <c:val>
            <c:numRef>
              <c:f>Sheet1!$J$76:$J$90</c:f>
              <c:numCache>
                <c:formatCode>###0.0%</c:formatCode>
                <c:ptCount val="15"/>
                <c:pt idx="0">
                  <c:v>3.8869257950530034E-2</c:v>
                </c:pt>
                <c:pt idx="1">
                  <c:v>0.24381625441696117</c:v>
                </c:pt>
                <c:pt idx="2">
                  <c:v>0.25088339222614842</c:v>
                </c:pt>
                <c:pt idx="3">
                  <c:v>0.25677267373380447</c:v>
                </c:pt>
                <c:pt idx="4">
                  <c:v>0.29681978798586572</c:v>
                </c:pt>
                <c:pt idx="5">
                  <c:v>0.31213191990577149</c:v>
                </c:pt>
                <c:pt idx="6">
                  <c:v>0.35924617196702002</c:v>
                </c:pt>
                <c:pt idx="7">
                  <c:v>0.37102473498233218</c:v>
                </c:pt>
                <c:pt idx="8">
                  <c:v>0.37691401648998818</c:v>
                </c:pt>
                <c:pt idx="9">
                  <c:v>0.38044758539458184</c:v>
                </c:pt>
                <c:pt idx="10">
                  <c:v>0.44405182567726731</c:v>
                </c:pt>
                <c:pt idx="11">
                  <c:v>0.52061248527679627</c:v>
                </c:pt>
                <c:pt idx="12">
                  <c:v>0.61601884570082455</c:v>
                </c:pt>
                <c:pt idx="13">
                  <c:v>0.70200235571260305</c:v>
                </c:pt>
                <c:pt idx="14">
                  <c:v>0.70671378091872794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8-409B-93C9-2D974C08E1F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31765695"/>
        <c:axId val="1231768607"/>
      </c:barChart>
      <c:catAx>
        <c:axId val="1231765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1768607"/>
        <c:crosses val="autoZero"/>
        <c:auto val="1"/>
        <c:lblAlgn val="ctr"/>
        <c:lblOffset val="100"/>
        <c:noMultiLvlLbl val="0"/>
      </c:catAx>
      <c:valAx>
        <c:axId val="1231768607"/>
        <c:scaling>
          <c:orientation val="minMax"/>
          <c:max val="0.71000000000000008"/>
          <c:min val="0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1765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rgbClr val="A5A5A5">
            <a:lumMod val="5000"/>
            <a:lumOff val="95000"/>
          </a:srgbClr>
        </a:gs>
        <a:gs pos="74000">
          <a:srgbClr val="A5A5A5">
            <a:lumMod val="45000"/>
            <a:lumOff val="55000"/>
          </a:srgbClr>
        </a:gs>
        <a:gs pos="83000">
          <a:srgbClr val="A5A5A5">
            <a:lumMod val="45000"/>
            <a:lumOff val="55000"/>
          </a:srgbClr>
        </a:gs>
        <a:gs pos="100000">
          <a:srgbClr val="A5A5A5">
            <a:lumMod val="30000"/>
            <a:lumOff val="70000"/>
          </a:srgbClr>
        </a:gs>
      </a:gsLst>
      <a:lin ang="54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6C1C-1D08-47DF-98FC-CAF3E00B9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639A3-2DA4-4FAA-98B3-188A1A89C28F}"/>
</file>

<file path=customXml/itemProps3.xml><?xml version="1.0" encoding="utf-8"?>
<ds:datastoreItem xmlns:ds="http://schemas.openxmlformats.org/officeDocument/2006/customXml" ds:itemID="{E62482B6-CB11-4C02-BDB5-B5759C366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FA1496-182B-441C-88B3-F0ED421D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FLORES MARTOS</dc:creator>
  <cp:keywords/>
  <dc:description/>
  <cp:lastModifiedBy>GARDE Pascal</cp:lastModifiedBy>
  <cp:revision>2</cp:revision>
  <cp:lastPrinted>2020-06-10T09:35:00Z</cp:lastPrinted>
  <dcterms:created xsi:type="dcterms:W3CDTF">2021-05-10T16:06:00Z</dcterms:created>
  <dcterms:modified xsi:type="dcterms:W3CDTF">2021-05-10T16:06:00Z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