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0758" w:rsidRDefault="003B0758">
      <w:pPr>
        <w:jc w:val="center"/>
        <w:rPr>
          <w:rFonts w:ascii="Times New Roman" w:hAnsi="Times New Roman" w:cs="Times New Roman"/>
          <w:b/>
          <w:bCs/>
          <w:sz w:val="32"/>
          <w:szCs w:val="32"/>
        </w:rPr>
      </w:pPr>
      <w:bookmarkStart w:id="0" w:name="_GoBack"/>
      <w:bookmarkEnd w:id="0"/>
    </w:p>
    <w:p w:rsidR="003B0758" w:rsidRDefault="0006652A">
      <w:pPr>
        <w:jc w:val="center"/>
        <w:rPr>
          <w:rFonts w:ascii="Times New Roman" w:hAnsi="Times New Roman" w:cs="Times New Roman"/>
          <w:b/>
          <w:bCs/>
          <w:sz w:val="24"/>
          <w:szCs w:val="24"/>
        </w:rPr>
      </w:pPr>
      <w:r>
        <w:rPr>
          <w:rFonts w:ascii="Times New Roman" w:hAnsi="Times New Roman" w:cs="Times New Roman"/>
          <w:b/>
          <w:bCs/>
          <w:sz w:val="24"/>
          <w:szCs w:val="24"/>
        </w:rPr>
        <w:t>RECOMMANDATIONS DE L’OBSERVATOIRE DES DROITS DES CITOYENS ITINERANTS (ODCI)</w:t>
      </w:r>
    </w:p>
    <w:p w:rsidR="003B0758" w:rsidRDefault="0006652A">
      <w:pPr>
        <w:jc w:val="center"/>
        <w:rPr>
          <w:rFonts w:ascii="Times New Roman" w:hAnsi="Times New Roman" w:cs="Times New Roman"/>
          <w:b/>
          <w:bCs/>
          <w:sz w:val="24"/>
          <w:szCs w:val="24"/>
        </w:rPr>
      </w:pPr>
      <w:r>
        <w:rPr>
          <w:rFonts w:ascii="Times New Roman" w:hAnsi="Times New Roman" w:cs="Times New Roman"/>
          <w:b/>
          <w:bCs/>
          <w:sz w:val="24"/>
          <w:szCs w:val="24"/>
        </w:rPr>
        <w:t>Garantir une meilleure effectivité des droits des citoyens itinérants</w:t>
      </w:r>
    </w:p>
    <w:p w:rsidR="003B0758" w:rsidRDefault="0006652A">
      <w:pPr>
        <w:jc w:val="center"/>
        <w:rPr>
          <w:rFonts w:ascii="Times New Roman" w:hAnsi="Times New Roman" w:cs="Times New Roman"/>
          <w:b/>
          <w:bCs/>
          <w:i/>
          <w:iCs/>
          <w:sz w:val="28"/>
          <w:szCs w:val="28"/>
        </w:rPr>
      </w:pPr>
      <w:r>
        <w:rPr>
          <w:i/>
          <w:iCs/>
        </w:rPr>
        <w:t xml:space="preserve">Ce document a été validé en octobre 2019. Il pourra être amendé à l'avenir en fonction de </w:t>
      </w:r>
      <w:r>
        <w:rPr>
          <w:i/>
          <w:iCs/>
        </w:rPr>
        <w:t>l'évolution législative et de la situation des droits des citoyens itinérants en France.</w:t>
      </w:r>
    </w:p>
    <w:bookmarkStart w:id="1" w:name="_Toc23250592" w:displacedByCustomXml="next"/>
    <w:sdt>
      <w:sdtPr>
        <w:rPr>
          <w:rFonts w:asciiTheme="minorHAnsi" w:eastAsiaTheme="minorHAnsi" w:hAnsiTheme="minorHAnsi" w:cstheme="minorBidi"/>
          <w:color w:val="auto"/>
          <w:sz w:val="22"/>
          <w:szCs w:val="22"/>
          <w:lang w:eastAsia="en-US"/>
        </w:rPr>
        <w:id w:val="-1099258797"/>
        <w:docPartObj>
          <w:docPartGallery w:val="Table of Contents"/>
          <w:docPartUnique/>
        </w:docPartObj>
      </w:sdtPr>
      <w:sdtEndPr/>
      <w:sdtContent>
        <w:p w:rsidR="003B0758" w:rsidRDefault="0006652A">
          <w:pPr>
            <w:pStyle w:val="En-ttedetabledesmatires"/>
          </w:pPr>
          <w:r>
            <w:t>Table des matières</w:t>
          </w:r>
          <w:bookmarkEnd w:id="1"/>
        </w:p>
        <w:p w:rsidR="003B0758" w:rsidRDefault="0006652A">
          <w:pPr>
            <w:pStyle w:val="TM1"/>
            <w:tabs>
              <w:tab w:val="right" w:leader="dot" w:pos="9060"/>
            </w:tabs>
            <w:rPr>
              <w:rFonts w:eastAsiaTheme="minorEastAsia"/>
              <w:lang w:eastAsia="fr-FR"/>
            </w:rPr>
          </w:pPr>
          <w:r>
            <w:fldChar w:fldCharType="begin"/>
          </w:r>
          <w:r>
            <w:rPr>
              <w:rStyle w:val="Sautdindex"/>
              <w:webHidden/>
            </w:rPr>
            <w:instrText>TOC \z \o "1-3" \u \h</w:instrText>
          </w:r>
          <w:r>
            <w:rPr>
              <w:rStyle w:val="Sautdindex"/>
            </w:rPr>
            <w:fldChar w:fldCharType="separate"/>
          </w:r>
          <w:hyperlink w:anchor="_Toc23250592">
            <w:r>
              <w:rPr>
                <w:rStyle w:val="Sautdindex"/>
                <w:webHidden/>
              </w:rPr>
              <w:t>Table des matières</w:t>
            </w:r>
            <w:r>
              <w:rPr>
                <w:webHidden/>
              </w:rPr>
              <w:fldChar w:fldCharType="begin"/>
            </w:r>
            <w:r>
              <w:rPr>
                <w:webHidden/>
              </w:rPr>
              <w:instrText>PAGEREF _Toc23250592 \h</w:instrText>
            </w:r>
            <w:r>
              <w:rPr>
                <w:webHidden/>
              </w:rPr>
            </w:r>
            <w:r>
              <w:rPr>
                <w:webHidden/>
              </w:rPr>
              <w:fldChar w:fldCharType="separate"/>
            </w:r>
            <w:r>
              <w:rPr>
                <w:rStyle w:val="Sautdindex"/>
              </w:rPr>
              <w:tab/>
              <w:t>1</w:t>
            </w:r>
            <w:r>
              <w:rPr>
                <w:webHidden/>
              </w:rPr>
              <w:fldChar w:fldCharType="end"/>
            </w:r>
          </w:hyperlink>
        </w:p>
        <w:p w:rsidR="003B0758" w:rsidRDefault="0006652A">
          <w:pPr>
            <w:pStyle w:val="TM1"/>
            <w:tabs>
              <w:tab w:val="right" w:leader="dot" w:pos="9060"/>
            </w:tabs>
            <w:rPr>
              <w:rFonts w:eastAsiaTheme="minorEastAsia"/>
              <w:lang w:eastAsia="fr-FR"/>
            </w:rPr>
          </w:pPr>
          <w:hyperlink w:anchor="_Toc23250593">
            <w:r>
              <w:rPr>
                <w:rStyle w:val="Sautdindex"/>
                <w:b/>
                <w:bCs/>
                <w:i/>
                <w:iCs/>
                <w:webHidden/>
              </w:rPr>
              <w:t>Avant-propos</w:t>
            </w:r>
            <w:r>
              <w:rPr>
                <w:webHidden/>
              </w:rPr>
              <w:fldChar w:fldCharType="begin"/>
            </w:r>
            <w:r>
              <w:rPr>
                <w:webHidden/>
              </w:rPr>
              <w:instrText>PAGEREF _Toc23250593 \h</w:instrText>
            </w:r>
            <w:r>
              <w:rPr>
                <w:webHidden/>
              </w:rPr>
            </w:r>
            <w:r>
              <w:rPr>
                <w:webHidden/>
              </w:rPr>
              <w:fldChar w:fldCharType="separate"/>
            </w:r>
            <w:r>
              <w:rPr>
                <w:rStyle w:val="Sautdindex"/>
              </w:rPr>
              <w:tab/>
              <w:t>2</w:t>
            </w:r>
            <w:r>
              <w:rPr>
                <w:webHidden/>
              </w:rPr>
              <w:fldChar w:fldCharType="end"/>
            </w:r>
          </w:hyperlink>
        </w:p>
        <w:p w:rsidR="003B0758" w:rsidRDefault="0006652A">
          <w:pPr>
            <w:pStyle w:val="TM1"/>
            <w:tabs>
              <w:tab w:val="left" w:pos="440"/>
              <w:tab w:val="right" w:leader="dot" w:pos="9060"/>
            </w:tabs>
            <w:rPr>
              <w:rFonts w:eastAsiaTheme="minorEastAsia"/>
              <w:lang w:eastAsia="fr-FR"/>
            </w:rPr>
          </w:pPr>
          <w:hyperlink w:anchor="_Toc23250594">
            <w:r>
              <w:rPr>
                <w:rStyle w:val="Sautdindex"/>
                <w:rFonts w:ascii="Wingdings" w:hAnsi="Wingdings" w:cs="Wingdings"/>
                <w:bCs/>
                <w:webHidden/>
              </w:rPr>
              <w:t></w:t>
            </w:r>
            <w:r>
              <w:rPr>
                <w:rStyle w:val="Sautdindex"/>
                <w:rFonts w:eastAsiaTheme="minorEastAsia"/>
                <w:lang w:eastAsia="fr-FR"/>
              </w:rPr>
              <w:tab/>
            </w:r>
            <w:r>
              <w:rPr>
                <w:rStyle w:val="Sautdindex"/>
                <w:b/>
                <w:bCs/>
              </w:rPr>
              <w:t>Recommandation n°1 : Adopter des mesures visant à faciliter l</w:t>
            </w:r>
            <w:r>
              <w:rPr>
                <w:rStyle w:val="Sautdindex"/>
                <w:b/>
                <w:bCs/>
              </w:rPr>
              <w:t>e mode de vie itinérant</w:t>
            </w:r>
            <w:r>
              <w:rPr>
                <w:webHidden/>
              </w:rPr>
              <w:fldChar w:fldCharType="begin"/>
            </w:r>
            <w:r>
              <w:rPr>
                <w:webHidden/>
              </w:rPr>
              <w:instrText>PAGEREF _Toc23250594 \h</w:instrText>
            </w:r>
            <w:r>
              <w:rPr>
                <w:webHidden/>
              </w:rPr>
            </w:r>
            <w:r>
              <w:rPr>
                <w:webHidden/>
              </w:rPr>
              <w:fldChar w:fldCharType="separate"/>
            </w:r>
            <w:r>
              <w:rPr>
                <w:rStyle w:val="Sautdindex"/>
              </w:rPr>
              <w:tab/>
              <w:t>3</w:t>
            </w:r>
            <w:r>
              <w:rPr>
                <w:webHidden/>
              </w:rPr>
              <w:fldChar w:fldCharType="end"/>
            </w:r>
          </w:hyperlink>
        </w:p>
        <w:p w:rsidR="003B0758" w:rsidRDefault="0006652A">
          <w:pPr>
            <w:pStyle w:val="TM2"/>
            <w:tabs>
              <w:tab w:val="left" w:pos="880"/>
              <w:tab w:val="right" w:leader="dot" w:pos="9060"/>
            </w:tabs>
            <w:rPr>
              <w:rFonts w:eastAsiaTheme="minorEastAsia"/>
              <w:lang w:eastAsia="fr-FR"/>
            </w:rPr>
          </w:pPr>
          <w:hyperlink w:anchor="_Toc23250595">
            <w:r>
              <w:rPr>
                <w:rStyle w:val="Sautdindex"/>
                <w:webHidden/>
              </w:rPr>
              <w:t>1.1.</w:t>
            </w:r>
            <w:r>
              <w:rPr>
                <w:rStyle w:val="Sautdindex"/>
                <w:rFonts w:eastAsiaTheme="minorEastAsia"/>
                <w:lang w:eastAsia="fr-FR"/>
              </w:rPr>
              <w:tab/>
            </w:r>
            <w:r>
              <w:rPr>
                <w:rStyle w:val="Sautdindex"/>
              </w:rPr>
              <w:t>Abroger les dispositions de la loi Besson qui imposent et limitent l’habitat des personnes itinérantes à des zones désignées par l’Etat</w:t>
            </w:r>
            <w:r>
              <w:rPr>
                <w:webHidden/>
              </w:rPr>
              <w:fldChar w:fldCharType="begin"/>
            </w:r>
            <w:r>
              <w:rPr>
                <w:webHidden/>
              </w:rPr>
              <w:instrText>PAGEREF _Toc23250</w:instrText>
            </w:r>
            <w:r>
              <w:rPr>
                <w:webHidden/>
              </w:rPr>
              <w:instrText>595 \h</w:instrText>
            </w:r>
            <w:r>
              <w:rPr>
                <w:webHidden/>
              </w:rPr>
            </w:r>
            <w:r>
              <w:rPr>
                <w:webHidden/>
              </w:rPr>
              <w:fldChar w:fldCharType="separate"/>
            </w:r>
            <w:r>
              <w:rPr>
                <w:rStyle w:val="Sautdindex"/>
              </w:rPr>
              <w:tab/>
              <w:t>3</w:t>
            </w:r>
            <w:r>
              <w:rPr>
                <w:webHidden/>
              </w:rPr>
              <w:fldChar w:fldCharType="end"/>
            </w:r>
          </w:hyperlink>
        </w:p>
        <w:p w:rsidR="003B0758" w:rsidRDefault="0006652A">
          <w:pPr>
            <w:pStyle w:val="TM2"/>
            <w:tabs>
              <w:tab w:val="left" w:pos="880"/>
              <w:tab w:val="right" w:leader="dot" w:pos="9060"/>
            </w:tabs>
            <w:rPr>
              <w:rFonts w:eastAsiaTheme="minorEastAsia"/>
              <w:lang w:eastAsia="fr-FR"/>
            </w:rPr>
          </w:pPr>
          <w:hyperlink w:anchor="_Toc23250596">
            <w:r>
              <w:rPr>
                <w:rStyle w:val="Sautdindex"/>
                <w:webHidden/>
              </w:rPr>
              <w:t>1.2.</w:t>
            </w:r>
            <w:r>
              <w:rPr>
                <w:rStyle w:val="Sautdindex"/>
                <w:rFonts w:eastAsiaTheme="minorEastAsia"/>
                <w:lang w:eastAsia="fr-FR"/>
              </w:rPr>
              <w:tab/>
            </w:r>
            <w:r>
              <w:rPr>
                <w:rStyle w:val="Sautdindex"/>
              </w:rPr>
              <w:t>Assouplir le droit de l’urbanisme</w:t>
            </w:r>
            <w:r>
              <w:rPr>
                <w:webHidden/>
              </w:rPr>
              <w:fldChar w:fldCharType="begin"/>
            </w:r>
            <w:r>
              <w:rPr>
                <w:webHidden/>
              </w:rPr>
              <w:instrText>PAGEREF _Toc23250596 \h</w:instrText>
            </w:r>
            <w:r>
              <w:rPr>
                <w:webHidden/>
              </w:rPr>
            </w:r>
            <w:r>
              <w:rPr>
                <w:webHidden/>
              </w:rPr>
              <w:fldChar w:fldCharType="separate"/>
            </w:r>
            <w:r>
              <w:rPr>
                <w:rStyle w:val="Sautdindex"/>
              </w:rPr>
              <w:tab/>
              <w:t>3</w:t>
            </w:r>
            <w:r>
              <w:rPr>
                <w:webHidden/>
              </w:rPr>
              <w:fldChar w:fldCharType="end"/>
            </w:r>
          </w:hyperlink>
        </w:p>
        <w:p w:rsidR="003B0758" w:rsidRDefault="0006652A">
          <w:pPr>
            <w:pStyle w:val="TM2"/>
            <w:tabs>
              <w:tab w:val="left" w:pos="880"/>
              <w:tab w:val="right" w:leader="dot" w:pos="9060"/>
            </w:tabs>
            <w:rPr>
              <w:rFonts w:eastAsiaTheme="minorEastAsia"/>
              <w:lang w:eastAsia="fr-FR"/>
            </w:rPr>
          </w:pPr>
          <w:hyperlink w:anchor="_Toc23250597">
            <w:r>
              <w:rPr>
                <w:rStyle w:val="Sautdindex"/>
                <w:webHidden/>
              </w:rPr>
              <w:t>1.3.</w:t>
            </w:r>
            <w:r>
              <w:rPr>
                <w:rStyle w:val="Sautdindex"/>
                <w:rFonts w:eastAsiaTheme="minorEastAsia"/>
                <w:lang w:eastAsia="fr-FR"/>
              </w:rPr>
              <w:tab/>
            </w:r>
            <w:r>
              <w:rPr>
                <w:rStyle w:val="Sautdindex"/>
              </w:rPr>
              <w:t>Intégrer les modes de vie des Voyageurs dans les politiques d’urbanisme</w:t>
            </w:r>
            <w:r>
              <w:rPr>
                <w:webHidden/>
              </w:rPr>
              <w:fldChar w:fldCharType="begin"/>
            </w:r>
            <w:r>
              <w:rPr>
                <w:webHidden/>
              </w:rPr>
              <w:instrText>PAGEREF _Toc23250597 \h</w:instrText>
            </w:r>
            <w:r>
              <w:rPr>
                <w:webHidden/>
              </w:rPr>
            </w:r>
            <w:r>
              <w:rPr>
                <w:webHidden/>
              </w:rPr>
              <w:fldChar w:fldCharType="separate"/>
            </w:r>
            <w:r>
              <w:rPr>
                <w:rStyle w:val="Sautdindex"/>
              </w:rPr>
              <w:tab/>
              <w:t>4</w:t>
            </w:r>
            <w:r>
              <w:rPr>
                <w:webHidden/>
              </w:rPr>
              <w:fldChar w:fldCharType="end"/>
            </w:r>
          </w:hyperlink>
        </w:p>
        <w:p w:rsidR="003B0758" w:rsidRDefault="0006652A">
          <w:pPr>
            <w:pStyle w:val="TM1"/>
            <w:tabs>
              <w:tab w:val="left" w:pos="440"/>
              <w:tab w:val="right" w:leader="dot" w:pos="9060"/>
            </w:tabs>
            <w:rPr>
              <w:rFonts w:eastAsiaTheme="minorEastAsia"/>
              <w:lang w:eastAsia="fr-FR"/>
            </w:rPr>
          </w:pPr>
          <w:hyperlink w:anchor="_Toc23250598">
            <w:r>
              <w:rPr>
                <w:rStyle w:val="Sautdindex"/>
                <w:rFonts w:ascii="Wingdings" w:hAnsi="Wingdings" w:cs="Wingdings"/>
                <w:bCs/>
                <w:webHidden/>
              </w:rPr>
              <w:t></w:t>
            </w:r>
            <w:r>
              <w:rPr>
                <w:rStyle w:val="Sautdindex"/>
                <w:rFonts w:eastAsiaTheme="minorEastAsia"/>
                <w:lang w:eastAsia="fr-FR"/>
              </w:rPr>
              <w:tab/>
            </w:r>
            <w:r>
              <w:rPr>
                <w:rStyle w:val="Sautdindex"/>
                <w:b/>
                <w:bCs/>
              </w:rPr>
              <w:t>Recommandation n°2 : Garantir</w:t>
            </w:r>
            <w:r>
              <w:rPr>
                <w:rStyle w:val="Sautdindex"/>
                <w:b/>
                <w:bCs/>
              </w:rPr>
              <w:t xml:space="preserve"> un droit au logement aux habitants de résidences mobiles</w:t>
            </w:r>
            <w:r>
              <w:rPr>
                <w:webHidden/>
              </w:rPr>
              <w:fldChar w:fldCharType="begin"/>
            </w:r>
            <w:r>
              <w:rPr>
                <w:webHidden/>
              </w:rPr>
              <w:instrText>PAGEREF _Toc23250598 \h</w:instrText>
            </w:r>
            <w:r>
              <w:rPr>
                <w:webHidden/>
              </w:rPr>
            </w:r>
            <w:r>
              <w:rPr>
                <w:webHidden/>
              </w:rPr>
              <w:fldChar w:fldCharType="separate"/>
            </w:r>
            <w:r>
              <w:rPr>
                <w:rStyle w:val="Sautdindex"/>
              </w:rPr>
              <w:tab/>
              <w:t>5</w:t>
            </w:r>
            <w:r>
              <w:rPr>
                <w:webHidden/>
              </w:rPr>
              <w:fldChar w:fldCharType="end"/>
            </w:r>
          </w:hyperlink>
        </w:p>
        <w:p w:rsidR="003B0758" w:rsidRDefault="0006652A">
          <w:pPr>
            <w:pStyle w:val="TM2"/>
            <w:tabs>
              <w:tab w:val="right" w:leader="dot" w:pos="9060"/>
            </w:tabs>
            <w:rPr>
              <w:rFonts w:eastAsiaTheme="minorEastAsia"/>
              <w:lang w:eastAsia="fr-FR"/>
            </w:rPr>
          </w:pPr>
          <w:hyperlink w:anchor="_Toc23250599">
            <w:r>
              <w:rPr>
                <w:rStyle w:val="Sautdindex"/>
                <w:bCs/>
                <w:webHidden/>
              </w:rPr>
              <w:t xml:space="preserve">2.1. </w:t>
            </w:r>
            <w:r>
              <w:rPr>
                <w:rStyle w:val="Sautdindex"/>
              </w:rPr>
              <w:t xml:space="preserve">Le statut de la caravane en droit : reconnaître la caravane comme </w:t>
            </w:r>
            <w:r>
              <w:rPr>
                <w:rStyle w:val="Sautdindex"/>
              </w:rPr>
              <w:t>constituant un logement pour les citoyens itinérants</w:t>
            </w:r>
            <w:r>
              <w:rPr>
                <w:webHidden/>
              </w:rPr>
              <w:fldChar w:fldCharType="begin"/>
            </w:r>
            <w:r>
              <w:rPr>
                <w:webHidden/>
              </w:rPr>
              <w:instrText>PAGEREF _Toc23250599 \h</w:instrText>
            </w:r>
            <w:r>
              <w:rPr>
                <w:webHidden/>
              </w:rPr>
            </w:r>
            <w:r>
              <w:rPr>
                <w:webHidden/>
              </w:rPr>
              <w:fldChar w:fldCharType="separate"/>
            </w:r>
            <w:r>
              <w:rPr>
                <w:rStyle w:val="Sautdindex"/>
              </w:rPr>
              <w:tab/>
              <w:t>5</w:t>
            </w:r>
            <w:r>
              <w:rPr>
                <w:webHidden/>
              </w:rPr>
              <w:fldChar w:fldCharType="end"/>
            </w:r>
          </w:hyperlink>
        </w:p>
        <w:p w:rsidR="003B0758" w:rsidRDefault="0006652A">
          <w:pPr>
            <w:pStyle w:val="TM2"/>
            <w:tabs>
              <w:tab w:val="right" w:leader="dot" w:pos="9060"/>
            </w:tabs>
            <w:rPr>
              <w:rFonts w:eastAsiaTheme="minorEastAsia"/>
              <w:lang w:eastAsia="fr-FR"/>
            </w:rPr>
          </w:pPr>
          <w:hyperlink w:anchor="_Toc23250600">
            <w:r>
              <w:rPr>
                <w:rStyle w:val="Sautdindex"/>
                <w:webHidden/>
              </w:rPr>
              <w:t>2.2. Le droit d’accès à l’eau et à l’électricité</w:t>
            </w:r>
            <w:r>
              <w:rPr>
                <w:webHidden/>
              </w:rPr>
              <w:fldChar w:fldCharType="begin"/>
            </w:r>
            <w:r>
              <w:rPr>
                <w:webHidden/>
              </w:rPr>
              <w:instrText>PAGEREF _Toc23250600 \h</w:instrText>
            </w:r>
            <w:r>
              <w:rPr>
                <w:webHidden/>
              </w:rPr>
            </w:r>
            <w:r>
              <w:rPr>
                <w:webHidden/>
              </w:rPr>
              <w:fldChar w:fldCharType="separate"/>
            </w:r>
            <w:r>
              <w:rPr>
                <w:rStyle w:val="Sautdindex"/>
              </w:rPr>
              <w:tab/>
              <w:t>5</w:t>
            </w:r>
            <w:r>
              <w:rPr>
                <w:webHidden/>
              </w:rPr>
              <w:fldChar w:fldCharType="end"/>
            </w:r>
          </w:hyperlink>
        </w:p>
        <w:p w:rsidR="003B0758" w:rsidRDefault="0006652A">
          <w:pPr>
            <w:pStyle w:val="TM2"/>
            <w:tabs>
              <w:tab w:val="right" w:leader="dot" w:pos="9060"/>
            </w:tabs>
            <w:rPr>
              <w:rFonts w:eastAsiaTheme="minorEastAsia"/>
              <w:lang w:eastAsia="fr-FR"/>
            </w:rPr>
          </w:pPr>
          <w:hyperlink w:anchor="_Toc23250601">
            <w:r>
              <w:rPr>
                <w:rStyle w:val="Sautdindex"/>
                <w:webHidden/>
              </w:rPr>
              <w:t>2.3. Intégrer les résidences mobiles dans la réglementation ayant trait aux normes de décence minimales</w:t>
            </w:r>
            <w:r>
              <w:rPr>
                <w:webHidden/>
              </w:rPr>
              <w:fldChar w:fldCharType="begin"/>
            </w:r>
            <w:r>
              <w:rPr>
                <w:webHidden/>
              </w:rPr>
              <w:instrText>PAGEREF _Toc23250601 \h</w:instrText>
            </w:r>
            <w:r>
              <w:rPr>
                <w:webHidden/>
              </w:rPr>
            </w:r>
            <w:r>
              <w:rPr>
                <w:webHidden/>
              </w:rPr>
              <w:fldChar w:fldCharType="separate"/>
            </w:r>
            <w:r>
              <w:rPr>
                <w:rStyle w:val="Sautdindex"/>
              </w:rPr>
              <w:tab/>
              <w:t>6</w:t>
            </w:r>
            <w:r>
              <w:rPr>
                <w:webHidden/>
              </w:rPr>
              <w:fldChar w:fldCharType="end"/>
            </w:r>
          </w:hyperlink>
        </w:p>
        <w:p w:rsidR="003B0758" w:rsidRDefault="0006652A">
          <w:pPr>
            <w:pStyle w:val="TM2"/>
            <w:tabs>
              <w:tab w:val="right" w:leader="dot" w:pos="9060"/>
            </w:tabs>
            <w:rPr>
              <w:rFonts w:eastAsiaTheme="minorEastAsia"/>
              <w:lang w:eastAsia="fr-FR"/>
            </w:rPr>
          </w:pPr>
          <w:hyperlink w:anchor="_Toc23250602">
            <w:r>
              <w:rPr>
                <w:rStyle w:val="Sautdindex"/>
                <w:webHidden/>
              </w:rPr>
              <w:t>2.4. As</w:t>
            </w:r>
            <w:r>
              <w:rPr>
                <w:rStyle w:val="Sautdindex"/>
                <w:webHidden/>
              </w:rPr>
              <w:t>surer un droit au logement opposable et un droit au relogement dans le respect du mode de vie itinérant</w:t>
            </w:r>
            <w:r>
              <w:rPr>
                <w:webHidden/>
              </w:rPr>
              <w:fldChar w:fldCharType="begin"/>
            </w:r>
            <w:r>
              <w:rPr>
                <w:webHidden/>
              </w:rPr>
              <w:instrText>PAGEREF _Toc23250602 \h</w:instrText>
            </w:r>
            <w:r>
              <w:rPr>
                <w:webHidden/>
              </w:rPr>
            </w:r>
            <w:r>
              <w:rPr>
                <w:webHidden/>
              </w:rPr>
              <w:fldChar w:fldCharType="separate"/>
            </w:r>
            <w:r>
              <w:rPr>
                <w:rStyle w:val="Sautdindex"/>
              </w:rPr>
              <w:tab/>
              <w:t>7</w:t>
            </w:r>
            <w:r>
              <w:rPr>
                <w:webHidden/>
              </w:rPr>
              <w:fldChar w:fldCharType="end"/>
            </w:r>
          </w:hyperlink>
        </w:p>
        <w:p w:rsidR="003B0758" w:rsidRDefault="0006652A">
          <w:pPr>
            <w:pStyle w:val="TM2"/>
            <w:tabs>
              <w:tab w:val="right" w:leader="dot" w:pos="9060"/>
            </w:tabs>
            <w:rPr>
              <w:rFonts w:eastAsiaTheme="minorEastAsia"/>
              <w:lang w:eastAsia="fr-FR"/>
            </w:rPr>
          </w:pPr>
          <w:hyperlink w:anchor="_Toc23250603">
            <w:r>
              <w:rPr>
                <w:rStyle w:val="Sautdindex"/>
                <w:webHidden/>
              </w:rPr>
              <w:t>2.5. Introduire un dispos</w:t>
            </w:r>
            <w:r>
              <w:rPr>
                <w:rStyle w:val="Sautdindex"/>
                <w:webHidden/>
              </w:rPr>
              <w:t>itif de protection contre les expulsions</w:t>
            </w:r>
            <w:r>
              <w:rPr>
                <w:webHidden/>
              </w:rPr>
              <w:fldChar w:fldCharType="begin"/>
            </w:r>
            <w:r>
              <w:rPr>
                <w:webHidden/>
              </w:rPr>
              <w:instrText>PAGEREF _Toc23250603 \h</w:instrText>
            </w:r>
            <w:r>
              <w:rPr>
                <w:webHidden/>
              </w:rPr>
            </w:r>
            <w:r>
              <w:rPr>
                <w:webHidden/>
              </w:rPr>
              <w:fldChar w:fldCharType="separate"/>
            </w:r>
            <w:r>
              <w:rPr>
                <w:rStyle w:val="Sautdindex"/>
              </w:rPr>
              <w:tab/>
              <w:t>8</w:t>
            </w:r>
            <w:r>
              <w:rPr>
                <w:webHidden/>
              </w:rPr>
              <w:fldChar w:fldCharType="end"/>
            </w:r>
          </w:hyperlink>
        </w:p>
        <w:p w:rsidR="003B0758" w:rsidRDefault="0006652A">
          <w:pPr>
            <w:pStyle w:val="TM1"/>
            <w:tabs>
              <w:tab w:val="left" w:pos="440"/>
              <w:tab w:val="right" w:leader="dot" w:pos="9060"/>
            </w:tabs>
            <w:rPr>
              <w:rFonts w:eastAsiaTheme="minorEastAsia"/>
              <w:lang w:eastAsia="fr-FR"/>
            </w:rPr>
          </w:pPr>
          <w:hyperlink w:anchor="_Toc23250604">
            <w:r>
              <w:rPr>
                <w:rStyle w:val="Sautdindex"/>
                <w:rFonts w:ascii="Wingdings" w:hAnsi="Wingdings" w:cs="Wingdings"/>
                <w:bCs/>
                <w:webHidden/>
              </w:rPr>
              <w:t></w:t>
            </w:r>
            <w:r>
              <w:rPr>
                <w:rStyle w:val="Sautdindex"/>
                <w:rFonts w:eastAsiaTheme="minorEastAsia"/>
                <w:lang w:eastAsia="fr-FR"/>
              </w:rPr>
              <w:tab/>
            </w:r>
            <w:r>
              <w:rPr>
                <w:rStyle w:val="Sautdindex"/>
                <w:b/>
                <w:bCs/>
              </w:rPr>
              <w:t>Recommandation n°3 : En finir avec la « criminalisation » des citoyens itinérants</w:t>
            </w:r>
            <w:r>
              <w:rPr>
                <w:webHidden/>
              </w:rPr>
              <w:fldChar w:fldCharType="begin"/>
            </w:r>
            <w:r>
              <w:rPr>
                <w:webHidden/>
              </w:rPr>
              <w:instrText>PAGERE</w:instrText>
            </w:r>
            <w:r>
              <w:rPr>
                <w:webHidden/>
              </w:rPr>
              <w:instrText>F _Toc23250604 \h</w:instrText>
            </w:r>
            <w:r>
              <w:rPr>
                <w:webHidden/>
              </w:rPr>
            </w:r>
            <w:r>
              <w:rPr>
                <w:webHidden/>
              </w:rPr>
              <w:fldChar w:fldCharType="separate"/>
            </w:r>
            <w:r>
              <w:rPr>
                <w:rStyle w:val="Sautdindex"/>
              </w:rPr>
              <w:tab/>
              <w:t>9</w:t>
            </w:r>
            <w:r>
              <w:rPr>
                <w:webHidden/>
              </w:rPr>
              <w:fldChar w:fldCharType="end"/>
            </w:r>
          </w:hyperlink>
        </w:p>
        <w:p w:rsidR="003B0758" w:rsidRDefault="0006652A">
          <w:pPr>
            <w:pStyle w:val="TM2"/>
            <w:tabs>
              <w:tab w:val="right" w:leader="dot" w:pos="9060"/>
            </w:tabs>
            <w:rPr>
              <w:rFonts w:eastAsiaTheme="minorEastAsia"/>
              <w:lang w:eastAsia="fr-FR"/>
            </w:rPr>
          </w:pPr>
          <w:hyperlink w:anchor="_Toc23250605">
            <w:r>
              <w:rPr>
                <w:rStyle w:val="Sautdindex"/>
                <w:webHidden/>
              </w:rPr>
              <w:t>3.1. Abroger le délit de stationnement illicite en réunion</w:t>
            </w:r>
            <w:r>
              <w:rPr>
                <w:webHidden/>
              </w:rPr>
              <w:fldChar w:fldCharType="begin"/>
            </w:r>
            <w:r>
              <w:rPr>
                <w:webHidden/>
              </w:rPr>
              <w:instrText>PAGEREF _Toc23250605 \h</w:instrText>
            </w:r>
            <w:r>
              <w:rPr>
                <w:webHidden/>
              </w:rPr>
            </w:r>
            <w:r>
              <w:rPr>
                <w:webHidden/>
              </w:rPr>
              <w:fldChar w:fldCharType="separate"/>
            </w:r>
            <w:r>
              <w:rPr>
                <w:rStyle w:val="Sautdindex"/>
              </w:rPr>
              <w:tab/>
              <w:t>9</w:t>
            </w:r>
            <w:r>
              <w:rPr>
                <w:webHidden/>
              </w:rPr>
              <w:fldChar w:fldCharType="end"/>
            </w:r>
          </w:hyperlink>
        </w:p>
        <w:p w:rsidR="003B0758" w:rsidRDefault="0006652A">
          <w:pPr>
            <w:pStyle w:val="TM2"/>
            <w:tabs>
              <w:tab w:val="right" w:leader="dot" w:pos="9060"/>
            </w:tabs>
            <w:rPr>
              <w:rFonts w:eastAsiaTheme="minorEastAsia"/>
              <w:lang w:eastAsia="fr-FR"/>
            </w:rPr>
          </w:pPr>
          <w:hyperlink w:anchor="_Toc23250606">
            <w:r>
              <w:rPr>
                <w:rStyle w:val="Sautdindex"/>
                <w:webHidden/>
              </w:rPr>
              <w:t>3.2. Mettre fin à un système de contrôle et de surveillance</w:t>
            </w:r>
            <w:r>
              <w:rPr>
                <w:webHidden/>
              </w:rPr>
              <w:fldChar w:fldCharType="begin"/>
            </w:r>
            <w:r>
              <w:rPr>
                <w:webHidden/>
              </w:rPr>
              <w:instrText>PAGEREF _Toc23250606 \h</w:instrText>
            </w:r>
            <w:r>
              <w:rPr>
                <w:webHidden/>
              </w:rPr>
            </w:r>
            <w:r>
              <w:rPr>
                <w:webHidden/>
              </w:rPr>
              <w:fldChar w:fldCharType="separate"/>
            </w:r>
            <w:r>
              <w:rPr>
                <w:rStyle w:val="Sautdindex"/>
              </w:rPr>
              <w:tab/>
              <w:t>9</w:t>
            </w:r>
            <w:r>
              <w:rPr>
                <w:webHidden/>
              </w:rPr>
              <w:fldChar w:fldCharType="end"/>
            </w:r>
          </w:hyperlink>
        </w:p>
        <w:p w:rsidR="003B0758" w:rsidRDefault="0006652A">
          <w:pPr>
            <w:pStyle w:val="TM2"/>
            <w:tabs>
              <w:tab w:val="right" w:leader="dot" w:pos="9060"/>
            </w:tabs>
            <w:rPr>
              <w:rFonts w:eastAsiaTheme="minorEastAsia"/>
              <w:lang w:eastAsia="fr-FR"/>
            </w:rPr>
          </w:pPr>
          <w:hyperlink w:anchor="_Toc23250607">
            <w:r>
              <w:rPr>
                <w:rStyle w:val="Sautdindex"/>
                <w:webHidden/>
              </w:rPr>
              <w:t>3.3. Cesser les contrôles au faciès</w:t>
            </w:r>
            <w:r>
              <w:rPr>
                <w:webHidden/>
              </w:rPr>
              <w:fldChar w:fldCharType="begin"/>
            </w:r>
            <w:r>
              <w:rPr>
                <w:webHidden/>
              </w:rPr>
              <w:instrText>PAGEREF _Toc23250607 \h</w:instrText>
            </w:r>
            <w:r>
              <w:rPr>
                <w:webHidden/>
              </w:rPr>
            </w:r>
            <w:r>
              <w:rPr>
                <w:webHidden/>
              </w:rPr>
              <w:fldChar w:fldCharType="separate"/>
            </w:r>
            <w:r>
              <w:rPr>
                <w:rStyle w:val="Sautdindex"/>
              </w:rPr>
              <w:tab/>
              <w:t>10</w:t>
            </w:r>
            <w:r>
              <w:rPr>
                <w:webHidden/>
              </w:rPr>
              <w:fldChar w:fldCharType="end"/>
            </w:r>
          </w:hyperlink>
        </w:p>
        <w:p w:rsidR="003B0758" w:rsidRDefault="0006652A">
          <w:pPr>
            <w:pStyle w:val="TM2"/>
            <w:tabs>
              <w:tab w:val="right" w:leader="dot" w:pos="9060"/>
            </w:tabs>
            <w:rPr>
              <w:rFonts w:eastAsiaTheme="minorEastAsia"/>
              <w:lang w:eastAsia="fr-FR"/>
            </w:rPr>
          </w:pPr>
          <w:hyperlink w:anchor="_Toc23250608">
            <w:r>
              <w:rPr>
                <w:rStyle w:val="Sautdindex"/>
                <w:webHidden/>
              </w:rPr>
              <w:t>3.4. Vers une meilleure vigilance face aux discours de haine</w:t>
            </w:r>
            <w:r>
              <w:rPr>
                <w:webHidden/>
              </w:rPr>
              <w:fldChar w:fldCharType="begin"/>
            </w:r>
            <w:r>
              <w:rPr>
                <w:webHidden/>
              </w:rPr>
              <w:instrText>PAG</w:instrText>
            </w:r>
            <w:r>
              <w:rPr>
                <w:webHidden/>
              </w:rPr>
              <w:instrText>EREF _Toc23250608 \h</w:instrText>
            </w:r>
            <w:r>
              <w:rPr>
                <w:webHidden/>
              </w:rPr>
            </w:r>
            <w:r>
              <w:rPr>
                <w:webHidden/>
              </w:rPr>
              <w:fldChar w:fldCharType="separate"/>
            </w:r>
            <w:r>
              <w:rPr>
                <w:rStyle w:val="Sautdindex"/>
              </w:rPr>
              <w:tab/>
              <w:t>10</w:t>
            </w:r>
            <w:r>
              <w:rPr>
                <w:webHidden/>
              </w:rPr>
              <w:fldChar w:fldCharType="end"/>
            </w:r>
          </w:hyperlink>
        </w:p>
        <w:p w:rsidR="003B0758" w:rsidRDefault="0006652A">
          <w:pPr>
            <w:pStyle w:val="TM1"/>
            <w:tabs>
              <w:tab w:val="left" w:pos="440"/>
              <w:tab w:val="right" w:leader="dot" w:pos="9060"/>
            </w:tabs>
            <w:rPr>
              <w:rFonts w:eastAsiaTheme="minorEastAsia"/>
              <w:lang w:eastAsia="fr-FR"/>
            </w:rPr>
          </w:pPr>
          <w:hyperlink w:anchor="_Toc23250609">
            <w:r>
              <w:rPr>
                <w:rStyle w:val="Sautdindex"/>
                <w:rFonts w:ascii="Wingdings" w:hAnsi="Wingdings" w:cs="Wingdings"/>
                <w:bCs/>
                <w:webHidden/>
              </w:rPr>
              <w:t></w:t>
            </w:r>
            <w:r>
              <w:rPr>
                <w:rStyle w:val="Sautdindex"/>
                <w:rFonts w:eastAsiaTheme="minorEastAsia"/>
                <w:lang w:eastAsia="fr-FR"/>
              </w:rPr>
              <w:tab/>
            </w:r>
            <w:r>
              <w:rPr>
                <w:rStyle w:val="Sautdindex"/>
                <w:b/>
                <w:bCs/>
              </w:rPr>
              <w:t>Recommandation n°4 : Assurer un meilleur accès au droit commun (droits économiques, sociaux et culturels)</w:t>
            </w:r>
            <w:r>
              <w:rPr>
                <w:webHidden/>
              </w:rPr>
              <w:fldChar w:fldCharType="begin"/>
            </w:r>
            <w:r>
              <w:rPr>
                <w:webHidden/>
              </w:rPr>
              <w:instrText>PAGEREF _Toc23250609 \h</w:instrText>
            </w:r>
            <w:r>
              <w:rPr>
                <w:webHidden/>
              </w:rPr>
            </w:r>
            <w:r>
              <w:rPr>
                <w:webHidden/>
              </w:rPr>
              <w:fldChar w:fldCharType="separate"/>
            </w:r>
            <w:r>
              <w:rPr>
                <w:rStyle w:val="Sautdindex"/>
              </w:rPr>
              <w:tab/>
            </w:r>
            <w:r>
              <w:rPr>
                <w:rStyle w:val="Sautdindex"/>
              </w:rPr>
              <w:t>10</w:t>
            </w:r>
            <w:r>
              <w:rPr>
                <w:webHidden/>
              </w:rPr>
              <w:fldChar w:fldCharType="end"/>
            </w:r>
          </w:hyperlink>
        </w:p>
        <w:p w:rsidR="003B0758" w:rsidRDefault="0006652A">
          <w:pPr>
            <w:pStyle w:val="TM2"/>
            <w:tabs>
              <w:tab w:val="right" w:leader="dot" w:pos="9060"/>
            </w:tabs>
            <w:rPr>
              <w:rFonts w:eastAsiaTheme="minorEastAsia"/>
              <w:lang w:eastAsia="fr-FR"/>
            </w:rPr>
          </w:pPr>
          <w:hyperlink w:anchor="_Toc23250610">
            <w:r>
              <w:rPr>
                <w:rStyle w:val="Sautdindex"/>
                <w:webHidden/>
              </w:rPr>
              <w:t>4.1. Rendre effectif le droit à la domiciliation</w:t>
            </w:r>
            <w:r>
              <w:rPr>
                <w:webHidden/>
              </w:rPr>
              <w:fldChar w:fldCharType="begin"/>
            </w:r>
            <w:r>
              <w:rPr>
                <w:webHidden/>
              </w:rPr>
              <w:instrText>PAGEREF _Toc23250610 \h</w:instrText>
            </w:r>
            <w:r>
              <w:rPr>
                <w:webHidden/>
              </w:rPr>
            </w:r>
            <w:r>
              <w:rPr>
                <w:webHidden/>
              </w:rPr>
              <w:fldChar w:fldCharType="separate"/>
            </w:r>
            <w:r>
              <w:rPr>
                <w:rStyle w:val="Sautdindex"/>
              </w:rPr>
              <w:tab/>
              <w:t>10</w:t>
            </w:r>
            <w:r>
              <w:rPr>
                <w:webHidden/>
              </w:rPr>
              <w:fldChar w:fldCharType="end"/>
            </w:r>
          </w:hyperlink>
        </w:p>
        <w:p w:rsidR="003B0758" w:rsidRDefault="0006652A">
          <w:pPr>
            <w:pStyle w:val="TM2"/>
            <w:tabs>
              <w:tab w:val="right" w:leader="dot" w:pos="9060"/>
            </w:tabs>
            <w:rPr>
              <w:rFonts w:eastAsiaTheme="minorEastAsia"/>
              <w:lang w:eastAsia="fr-FR"/>
            </w:rPr>
          </w:pPr>
          <w:hyperlink w:anchor="_Toc23250611">
            <w:r>
              <w:rPr>
                <w:rStyle w:val="Sautdindex"/>
                <w:webHidden/>
              </w:rPr>
              <w:t>4.2. Garantir le droit à la scolarisation</w:t>
            </w:r>
            <w:r>
              <w:rPr>
                <w:webHidden/>
              </w:rPr>
              <w:fldChar w:fldCharType="begin"/>
            </w:r>
            <w:r>
              <w:rPr>
                <w:webHidden/>
              </w:rPr>
              <w:instrText>PAGEREF _Toc23250611 \h</w:instrText>
            </w:r>
            <w:r>
              <w:rPr>
                <w:webHidden/>
              </w:rPr>
            </w:r>
            <w:r>
              <w:rPr>
                <w:webHidden/>
              </w:rPr>
              <w:fldChar w:fldCharType="separate"/>
            </w:r>
            <w:r>
              <w:rPr>
                <w:rStyle w:val="Sautdindex"/>
              </w:rPr>
              <w:tab/>
              <w:t>11</w:t>
            </w:r>
            <w:r>
              <w:rPr>
                <w:webHidden/>
              </w:rPr>
              <w:fldChar w:fldCharType="end"/>
            </w:r>
          </w:hyperlink>
        </w:p>
        <w:p w:rsidR="003B0758" w:rsidRDefault="0006652A">
          <w:pPr>
            <w:pStyle w:val="TM2"/>
            <w:tabs>
              <w:tab w:val="right" w:leader="dot" w:pos="9060"/>
            </w:tabs>
            <w:rPr>
              <w:rFonts w:eastAsiaTheme="minorEastAsia"/>
              <w:lang w:eastAsia="fr-FR"/>
            </w:rPr>
          </w:pPr>
          <w:hyperlink w:anchor="_Toc23250612">
            <w:r>
              <w:rPr>
                <w:rStyle w:val="Sautdindex"/>
                <w:webHidden/>
              </w:rPr>
              <w:t>4.3.  Garantir le droit à la santé</w:t>
            </w:r>
            <w:r>
              <w:rPr>
                <w:webHidden/>
              </w:rPr>
              <w:fldChar w:fldCharType="begin"/>
            </w:r>
            <w:r>
              <w:rPr>
                <w:webHidden/>
              </w:rPr>
              <w:instrText>PAGEREF _Toc23250612 \h</w:instrText>
            </w:r>
            <w:r>
              <w:rPr>
                <w:webHidden/>
              </w:rPr>
            </w:r>
            <w:r>
              <w:rPr>
                <w:webHidden/>
              </w:rPr>
              <w:fldChar w:fldCharType="separate"/>
            </w:r>
            <w:r>
              <w:rPr>
                <w:rStyle w:val="Sautdindex"/>
              </w:rPr>
              <w:tab/>
              <w:t>12</w:t>
            </w:r>
            <w:r>
              <w:rPr>
                <w:webHidden/>
              </w:rPr>
              <w:fldChar w:fldCharType="end"/>
            </w:r>
          </w:hyperlink>
        </w:p>
        <w:p w:rsidR="003B0758" w:rsidRDefault="0006652A">
          <w:pPr>
            <w:pStyle w:val="TM2"/>
            <w:tabs>
              <w:tab w:val="right" w:leader="dot" w:pos="9060"/>
            </w:tabs>
            <w:rPr>
              <w:rFonts w:eastAsiaTheme="minorEastAsia"/>
              <w:lang w:eastAsia="fr-FR"/>
            </w:rPr>
          </w:pPr>
          <w:hyperlink w:anchor="_Toc23250613">
            <w:r>
              <w:rPr>
                <w:rStyle w:val="Sautdindex"/>
                <w:webHidden/>
              </w:rPr>
              <w:t>4.5. Prendre en compte et promouvoir les droits culturels</w:t>
            </w:r>
            <w:r>
              <w:rPr>
                <w:webHidden/>
              </w:rPr>
              <w:fldChar w:fldCharType="begin"/>
            </w:r>
            <w:r>
              <w:rPr>
                <w:webHidden/>
              </w:rPr>
              <w:instrText>PAGEREF _Toc23250613 \h</w:instrText>
            </w:r>
            <w:r>
              <w:rPr>
                <w:webHidden/>
              </w:rPr>
            </w:r>
            <w:r>
              <w:rPr>
                <w:webHidden/>
              </w:rPr>
              <w:fldChar w:fldCharType="separate"/>
            </w:r>
            <w:r>
              <w:rPr>
                <w:rStyle w:val="Sautdindex"/>
              </w:rPr>
              <w:tab/>
              <w:t>12</w:t>
            </w:r>
            <w:r>
              <w:rPr>
                <w:webHidden/>
              </w:rPr>
              <w:fldChar w:fldCharType="end"/>
            </w:r>
          </w:hyperlink>
        </w:p>
        <w:p w:rsidR="003B0758" w:rsidRDefault="0006652A">
          <w:pPr>
            <w:pStyle w:val="TM1"/>
            <w:tabs>
              <w:tab w:val="left" w:pos="440"/>
              <w:tab w:val="right" w:leader="dot" w:pos="9060"/>
            </w:tabs>
            <w:rPr>
              <w:rFonts w:eastAsiaTheme="minorEastAsia"/>
              <w:lang w:eastAsia="fr-FR"/>
            </w:rPr>
          </w:pPr>
          <w:hyperlink w:anchor="_Toc23250614">
            <w:r>
              <w:rPr>
                <w:rStyle w:val="Sautdindex"/>
                <w:rFonts w:ascii="Wingdings" w:hAnsi="Wingdings" w:cs="Wingdings"/>
                <w:bCs/>
                <w:webHidden/>
              </w:rPr>
              <w:t></w:t>
            </w:r>
            <w:r>
              <w:rPr>
                <w:rStyle w:val="Sautdindex"/>
                <w:rFonts w:eastAsiaTheme="minorEastAsia"/>
                <w:lang w:eastAsia="fr-FR"/>
              </w:rPr>
              <w:tab/>
            </w:r>
            <w:r>
              <w:rPr>
                <w:rStyle w:val="Sautdindex"/>
                <w:b/>
                <w:bCs/>
              </w:rPr>
              <w:t>Recommandation n°5 : Rendre effectif le droit de participation des citoyens itinérants</w:t>
            </w:r>
            <w:r>
              <w:rPr>
                <w:webHidden/>
              </w:rPr>
              <w:fldChar w:fldCharType="begin"/>
            </w:r>
            <w:r>
              <w:rPr>
                <w:webHidden/>
              </w:rPr>
              <w:instrText>PAGEREF _Toc23250614 \h</w:instrText>
            </w:r>
            <w:r>
              <w:rPr>
                <w:webHidden/>
              </w:rPr>
            </w:r>
            <w:r>
              <w:rPr>
                <w:webHidden/>
              </w:rPr>
              <w:fldChar w:fldCharType="separate"/>
            </w:r>
            <w:r>
              <w:rPr>
                <w:rStyle w:val="Sautdindex"/>
              </w:rPr>
              <w:tab/>
              <w:t>13</w:t>
            </w:r>
            <w:r>
              <w:rPr>
                <w:webHidden/>
              </w:rPr>
              <w:fldChar w:fldCharType="end"/>
            </w:r>
          </w:hyperlink>
        </w:p>
        <w:p w:rsidR="003B0758" w:rsidRDefault="0006652A">
          <w:pPr>
            <w:pStyle w:val="TM1"/>
            <w:tabs>
              <w:tab w:val="right" w:leader="dot" w:pos="9060"/>
            </w:tabs>
            <w:rPr>
              <w:rFonts w:eastAsiaTheme="minorEastAsia"/>
              <w:lang w:eastAsia="fr-FR"/>
            </w:rPr>
          </w:pPr>
          <w:hyperlink w:anchor="_Toc23250615">
            <w:r>
              <w:rPr>
                <w:rStyle w:val="Sautdindex"/>
                <w:b/>
                <w:bCs/>
                <w:i/>
                <w:iCs/>
                <w:webHidden/>
              </w:rPr>
              <w:t>Conclusion</w:t>
            </w:r>
            <w:r>
              <w:rPr>
                <w:webHidden/>
              </w:rPr>
              <w:fldChar w:fldCharType="begin"/>
            </w:r>
            <w:r>
              <w:rPr>
                <w:webHidden/>
              </w:rPr>
              <w:instrText>P</w:instrText>
            </w:r>
            <w:r>
              <w:rPr>
                <w:webHidden/>
              </w:rPr>
              <w:instrText>AGEREF _Toc23250615 \h</w:instrText>
            </w:r>
            <w:r>
              <w:rPr>
                <w:webHidden/>
              </w:rPr>
            </w:r>
            <w:r>
              <w:rPr>
                <w:webHidden/>
              </w:rPr>
              <w:fldChar w:fldCharType="separate"/>
            </w:r>
            <w:r>
              <w:rPr>
                <w:rStyle w:val="Sautdindex"/>
              </w:rPr>
              <w:tab/>
              <w:t>14</w:t>
            </w:r>
            <w:r>
              <w:rPr>
                <w:webHidden/>
              </w:rPr>
              <w:fldChar w:fldCharType="end"/>
            </w:r>
          </w:hyperlink>
        </w:p>
        <w:p w:rsidR="003B0758" w:rsidRDefault="0006652A">
          <w:r>
            <w:fldChar w:fldCharType="end"/>
          </w:r>
        </w:p>
      </w:sdtContent>
    </w:sdt>
    <w:p w:rsidR="003B0758" w:rsidRDefault="003B0758">
      <w:pPr>
        <w:pStyle w:val="Titre1"/>
        <w:rPr>
          <w:b/>
          <w:bCs/>
          <w:i/>
          <w:iCs/>
          <w:sz w:val="28"/>
          <w:szCs w:val="28"/>
          <w:u w:val="single"/>
        </w:rPr>
      </w:pPr>
    </w:p>
    <w:p w:rsidR="003B0758" w:rsidRDefault="0006652A">
      <w:pPr>
        <w:pStyle w:val="Titre1"/>
        <w:rPr>
          <w:b/>
          <w:bCs/>
          <w:i/>
          <w:iCs/>
          <w:sz w:val="28"/>
          <w:szCs w:val="28"/>
          <w:u w:val="single"/>
        </w:rPr>
      </w:pPr>
      <w:bookmarkStart w:id="2" w:name="_Toc23250593"/>
      <w:r>
        <w:rPr>
          <w:b/>
          <w:bCs/>
          <w:i/>
          <w:iCs/>
          <w:sz w:val="28"/>
          <w:szCs w:val="28"/>
          <w:u w:val="single"/>
        </w:rPr>
        <w:t>Avant-propos</w:t>
      </w:r>
      <w:bookmarkEnd w:id="2"/>
    </w:p>
    <w:p w:rsidR="003B0758" w:rsidRDefault="003B0758"/>
    <w:p w:rsidR="003B0758" w:rsidRDefault="0006652A">
      <w:pPr>
        <w:spacing w:line="276" w:lineRule="auto"/>
        <w:jc w:val="both"/>
        <w:rPr>
          <w:rFonts w:ascii="Times New Roman" w:hAnsi="Times New Roman" w:cs="Times New Roman"/>
          <w:sz w:val="24"/>
          <w:szCs w:val="24"/>
          <w:lang w:eastAsia="ja-JP"/>
        </w:rPr>
      </w:pPr>
      <w:r>
        <w:rPr>
          <w:rFonts w:ascii="Times New Roman" w:hAnsi="Times New Roman" w:cs="Times New Roman"/>
          <w:sz w:val="24"/>
          <w:szCs w:val="24"/>
        </w:rPr>
        <w:t xml:space="preserve">L’Observatoire des droits des citoyens itinérants (ODCI) a été </w:t>
      </w:r>
      <w:r>
        <w:rPr>
          <w:rFonts w:ascii="Times New Roman" w:hAnsi="Times New Roman" w:cs="Times New Roman"/>
          <w:sz w:val="24"/>
          <w:szCs w:val="24"/>
          <w:lang w:val="fr-CA"/>
        </w:rPr>
        <w:t xml:space="preserve">créé en 2017 par </w:t>
      </w:r>
      <w:r>
        <w:rPr>
          <w:rFonts w:ascii="Times New Roman" w:hAnsi="Times New Roman" w:cs="Times New Roman"/>
          <w:sz w:val="24"/>
          <w:szCs w:val="24"/>
          <w:lang w:eastAsia="ja-JP"/>
        </w:rPr>
        <w:t xml:space="preserve">VoxPublic, Open society justice initiative (OSJI), </w:t>
      </w:r>
      <w:r>
        <w:rPr>
          <w:rFonts w:ascii="Times New Roman" w:hAnsi="Times New Roman" w:cs="Times New Roman"/>
          <w:sz w:val="24"/>
          <w:szCs w:val="24"/>
        </w:rPr>
        <w:t>European center for Leadership and Entrepreneurship Education (</w:t>
      </w:r>
      <w:r>
        <w:rPr>
          <w:rFonts w:ascii="Times New Roman" w:hAnsi="Times New Roman" w:cs="Times New Roman"/>
          <w:sz w:val="24"/>
          <w:szCs w:val="24"/>
          <w:lang w:eastAsia="ja-JP"/>
        </w:rPr>
        <w:t xml:space="preserve">ECLEE) et en étroite collaboration avec le Collectif national des associations de citoyens itinérants (CNACI) pour défendre et promouvoir les </w:t>
      </w:r>
      <w:r>
        <w:rPr>
          <w:rFonts w:ascii="Times New Roman" w:hAnsi="Times New Roman" w:cs="Times New Roman"/>
          <w:sz w:val="24"/>
          <w:szCs w:val="24"/>
          <w:lang w:eastAsia="ja-JP"/>
        </w:rPr>
        <w:t>droits des citoyens itinérants</w:t>
      </w:r>
      <w:r>
        <w:rPr>
          <w:rStyle w:val="Ancredenotedebasdepage"/>
          <w:rFonts w:ascii="Times New Roman" w:hAnsi="Times New Roman" w:cs="Times New Roman"/>
          <w:sz w:val="24"/>
          <w:szCs w:val="24"/>
          <w:lang w:eastAsia="ja-JP"/>
        </w:rPr>
        <w:footnoteReference w:id="1"/>
      </w:r>
      <w:r>
        <w:rPr>
          <w:rFonts w:ascii="Times New Roman" w:hAnsi="Times New Roman" w:cs="Times New Roman"/>
          <w:sz w:val="24"/>
          <w:szCs w:val="24"/>
          <w:lang w:eastAsia="ja-JP"/>
        </w:rPr>
        <w:t xml:space="preserve"> en France.</w:t>
      </w:r>
    </w:p>
    <w:p w:rsidR="003B0758" w:rsidRDefault="0006652A">
      <w:pPr>
        <w:spacing w:line="276" w:lineRule="auto"/>
        <w:jc w:val="both"/>
        <w:rPr>
          <w:rFonts w:ascii="Times New Roman" w:hAnsi="Times New Roman" w:cs="Times New Roman"/>
          <w:sz w:val="24"/>
          <w:szCs w:val="24"/>
          <w:lang w:val="fr-CA"/>
        </w:rPr>
      </w:pPr>
      <w:r>
        <w:rPr>
          <w:rFonts w:ascii="Times New Roman" w:hAnsi="Times New Roman" w:cs="Times New Roman"/>
          <w:sz w:val="24"/>
          <w:szCs w:val="24"/>
          <w:lang w:val="fr-CA"/>
        </w:rPr>
        <w:t>L’ODCI est né du constat que les citoyens itinérants ne bénéficient pas d’un traitement égal en termes d’</w:t>
      </w:r>
      <w:r>
        <w:rPr>
          <w:rFonts w:ascii="Times New Roman" w:hAnsi="Times New Roman" w:cs="Times New Roman"/>
          <w:b/>
          <w:bCs/>
          <w:sz w:val="24"/>
          <w:szCs w:val="24"/>
          <w:lang w:val="fr-CA"/>
        </w:rPr>
        <w:t>accès aux droits fondamentaux</w:t>
      </w:r>
      <w:r>
        <w:rPr>
          <w:rFonts w:ascii="Times New Roman" w:hAnsi="Times New Roman" w:cs="Times New Roman"/>
          <w:sz w:val="24"/>
          <w:szCs w:val="24"/>
          <w:lang w:val="fr-CA"/>
        </w:rPr>
        <w:t xml:space="preserve">. </w:t>
      </w:r>
      <w:r>
        <w:rPr>
          <w:rFonts w:ascii="Times New Roman" w:hAnsi="Times New Roman" w:cs="Times New Roman"/>
          <w:sz w:val="24"/>
          <w:szCs w:val="24"/>
        </w:rPr>
        <w:t>En effet, l’</w:t>
      </w:r>
      <w:r>
        <w:rPr>
          <w:rFonts w:ascii="Times New Roman" w:hAnsi="Times New Roman" w:cs="Times New Roman"/>
          <w:b/>
          <w:bCs/>
          <w:sz w:val="24"/>
          <w:szCs w:val="24"/>
        </w:rPr>
        <w:t xml:space="preserve">absence de prise en compte de la spécificité du mode de vie </w:t>
      </w:r>
      <w:r>
        <w:rPr>
          <w:rFonts w:ascii="Times New Roman" w:hAnsi="Times New Roman" w:cs="Times New Roman"/>
          <w:sz w:val="24"/>
          <w:szCs w:val="24"/>
        </w:rPr>
        <w:t>des c</w:t>
      </w:r>
      <w:r>
        <w:rPr>
          <w:rFonts w:ascii="Times New Roman" w:hAnsi="Times New Roman" w:cs="Times New Roman"/>
          <w:sz w:val="24"/>
          <w:szCs w:val="24"/>
        </w:rPr>
        <w:t xml:space="preserve">itoyens itinérants par les lois et politiques françaises engendre un certain nombre de </w:t>
      </w:r>
      <w:r>
        <w:rPr>
          <w:rFonts w:ascii="Times New Roman" w:hAnsi="Times New Roman" w:cs="Times New Roman"/>
          <w:b/>
          <w:bCs/>
          <w:sz w:val="24"/>
          <w:szCs w:val="24"/>
        </w:rPr>
        <w:t>pratiques discriminatoires</w:t>
      </w:r>
      <w:r>
        <w:rPr>
          <w:rFonts w:ascii="Times New Roman" w:hAnsi="Times New Roman" w:cs="Times New Roman"/>
          <w:sz w:val="24"/>
          <w:szCs w:val="24"/>
        </w:rPr>
        <w:t xml:space="preserve"> et une multitude de violations de leurs droits fondamentaux.  </w:t>
      </w:r>
    </w:p>
    <w:p w:rsidR="003B0758" w:rsidRDefault="0006652A">
      <w:pPr>
        <w:spacing w:line="276" w:lineRule="auto"/>
        <w:jc w:val="both"/>
        <w:rPr>
          <w:rFonts w:ascii="Times New Roman" w:hAnsi="Times New Roman" w:cs="Times New Roman"/>
          <w:bCs/>
          <w:color w:val="1D2129"/>
          <w:sz w:val="24"/>
          <w:szCs w:val="24"/>
        </w:rPr>
      </w:pPr>
      <w:r>
        <w:rPr>
          <w:rFonts w:ascii="Times New Roman" w:hAnsi="Times New Roman" w:cs="Times New Roman"/>
          <w:sz w:val="24"/>
          <w:szCs w:val="24"/>
        </w:rPr>
        <w:t xml:space="preserve">La France est pourtant liée par des obligations ayant trait à la protection des groupes perçus comme vulnérables en raison de leur statut minoritaire. La France est notamment tenue de se conformer aux dispositions formulées par le Conseil européen lors du </w:t>
      </w:r>
      <w:r>
        <w:rPr>
          <w:rFonts w:ascii="Times New Roman" w:hAnsi="Times New Roman" w:cs="Times New Roman"/>
          <w:sz w:val="24"/>
          <w:szCs w:val="24"/>
        </w:rPr>
        <w:t xml:space="preserve">sommet de Copenhague en 1993 qui imposent, entre autres, la mise en place d’institutions garantissant le </w:t>
      </w:r>
      <w:r>
        <w:rPr>
          <w:rFonts w:ascii="Times New Roman" w:hAnsi="Times New Roman" w:cs="Times New Roman"/>
          <w:b/>
          <w:bCs/>
          <w:sz w:val="24"/>
          <w:szCs w:val="24"/>
        </w:rPr>
        <w:t>respect des minorités et leur protection</w:t>
      </w:r>
      <w:r>
        <w:rPr>
          <w:rFonts w:ascii="Times New Roman" w:hAnsi="Times New Roman" w:cs="Times New Roman"/>
          <w:sz w:val="24"/>
          <w:szCs w:val="24"/>
        </w:rPr>
        <w:t xml:space="preserve">. </w:t>
      </w:r>
      <w:r>
        <w:rPr>
          <w:rFonts w:ascii="Times New Roman" w:hAnsi="Times New Roman" w:cs="Times New Roman"/>
          <w:bCs/>
          <w:color w:val="1D2129"/>
          <w:sz w:val="24"/>
          <w:szCs w:val="24"/>
        </w:rPr>
        <w:t>Dans le même sens, la jurisprudence européenne met en exergue la nécessité pour les Etats parties à la Conven</w:t>
      </w:r>
      <w:r>
        <w:rPr>
          <w:rFonts w:ascii="Times New Roman" w:hAnsi="Times New Roman" w:cs="Times New Roman"/>
          <w:bCs/>
          <w:color w:val="1D2129"/>
          <w:sz w:val="24"/>
          <w:szCs w:val="24"/>
        </w:rPr>
        <w:t xml:space="preserve">tion européenne des droits de l’Homme, dont la France, d’accorder une </w:t>
      </w:r>
      <w:r>
        <w:rPr>
          <w:rFonts w:ascii="Times New Roman" w:hAnsi="Times New Roman" w:cs="Times New Roman"/>
          <w:b/>
          <w:color w:val="1D2129"/>
          <w:sz w:val="24"/>
          <w:szCs w:val="24"/>
        </w:rPr>
        <w:t>attention spéciale aux besoins et au mode de vie particulier des Voyageurs</w:t>
      </w:r>
      <w:r>
        <w:rPr>
          <w:rFonts w:ascii="Times New Roman" w:hAnsi="Times New Roman" w:cs="Times New Roman"/>
          <w:bCs/>
          <w:color w:val="1D2129"/>
          <w:sz w:val="24"/>
          <w:szCs w:val="24"/>
        </w:rPr>
        <w:t xml:space="preserve"> du fait de leur vulnérabilité en ce qu’ils constituent une minorité</w:t>
      </w:r>
      <w:r>
        <w:rPr>
          <w:rStyle w:val="Ancredenotedebasdepage"/>
          <w:rFonts w:ascii="Times New Roman" w:hAnsi="Times New Roman" w:cs="Times New Roman"/>
          <w:bCs/>
          <w:color w:val="1D2129"/>
          <w:sz w:val="24"/>
          <w:szCs w:val="24"/>
        </w:rPr>
        <w:footnoteReference w:id="2"/>
      </w:r>
      <w:r>
        <w:rPr>
          <w:rFonts w:ascii="Times New Roman" w:hAnsi="Times New Roman" w:cs="Times New Roman"/>
          <w:bCs/>
          <w:color w:val="1D2129"/>
          <w:sz w:val="24"/>
          <w:szCs w:val="24"/>
        </w:rPr>
        <w:t xml:space="preserve">.  </w:t>
      </w:r>
    </w:p>
    <w:p w:rsidR="003B0758" w:rsidRDefault="0006652A">
      <w:pPr>
        <w:spacing w:line="276" w:lineRule="auto"/>
        <w:jc w:val="both"/>
        <w:rPr>
          <w:rFonts w:ascii="Times New Roman" w:hAnsi="Times New Roman" w:cs="Times New Roman"/>
          <w:b/>
          <w:color w:val="1D2129"/>
          <w:sz w:val="24"/>
          <w:szCs w:val="24"/>
        </w:rPr>
      </w:pPr>
      <w:r>
        <w:rPr>
          <w:rFonts w:ascii="Times New Roman" w:hAnsi="Times New Roman" w:cs="Times New Roman"/>
          <w:color w:val="1D2129"/>
          <w:sz w:val="24"/>
          <w:szCs w:val="24"/>
        </w:rPr>
        <w:t>C’est ainsi que l’ODCI veille, par le b</w:t>
      </w:r>
      <w:r>
        <w:rPr>
          <w:rFonts w:ascii="Times New Roman" w:hAnsi="Times New Roman" w:cs="Times New Roman"/>
          <w:color w:val="1D2129"/>
          <w:sz w:val="24"/>
          <w:szCs w:val="24"/>
        </w:rPr>
        <w:t xml:space="preserve">iais d’actions de plaidoyer, de communication et de soutien au contentieux, à rappeler les obligations susmentionnées. L’ODCI souligne notamment la nécessité de créer les </w:t>
      </w:r>
      <w:r>
        <w:rPr>
          <w:rFonts w:ascii="Times New Roman" w:hAnsi="Times New Roman" w:cs="Times New Roman"/>
          <w:b/>
          <w:color w:val="1D2129"/>
          <w:sz w:val="24"/>
          <w:szCs w:val="24"/>
        </w:rPr>
        <w:t>conditions garantissant</w:t>
      </w:r>
      <w:r>
        <w:rPr>
          <w:rFonts w:ascii="Times New Roman" w:hAnsi="Times New Roman" w:cs="Times New Roman"/>
          <w:color w:val="1D2129"/>
          <w:sz w:val="24"/>
          <w:szCs w:val="24"/>
        </w:rPr>
        <w:t xml:space="preserve"> que les citoyens itinérants puissent continuer, pleinement et</w:t>
      </w:r>
      <w:r>
        <w:rPr>
          <w:rFonts w:ascii="Times New Roman" w:hAnsi="Times New Roman" w:cs="Times New Roman"/>
          <w:color w:val="1D2129"/>
          <w:sz w:val="24"/>
          <w:szCs w:val="24"/>
        </w:rPr>
        <w:t xml:space="preserve"> sans contraintes, de vivre leur </w:t>
      </w:r>
      <w:r>
        <w:rPr>
          <w:rFonts w:ascii="Times New Roman" w:hAnsi="Times New Roman" w:cs="Times New Roman"/>
          <w:b/>
          <w:color w:val="1D2129"/>
          <w:sz w:val="24"/>
          <w:szCs w:val="24"/>
        </w:rPr>
        <w:t xml:space="preserve">mode de vie </w:t>
      </w:r>
      <w:r>
        <w:rPr>
          <w:rFonts w:ascii="Times New Roman" w:hAnsi="Times New Roman" w:cs="Times New Roman"/>
          <w:color w:val="1D2129"/>
          <w:sz w:val="24"/>
          <w:szCs w:val="24"/>
        </w:rPr>
        <w:t xml:space="preserve">en conformité avec les </w:t>
      </w:r>
      <w:r>
        <w:rPr>
          <w:rFonts w:ascii="Times New Roman" w:hAnsi="Times New Roman" w:cs="Times New Roman"/>
          <w:b/>
          <w:color w:val="1D2129"/>
          <w:sz w:val="24"/>
          <w:szCs w:val="24"/>
        </w:rPr>
        <w:t>principes d’égalité</w:t>
      </w:r>
      <w:r>
        <w:rPr>
          <w:rFonts w:ascii="Times New Roman" w:hAnsi="Times New Roman" w:cs="Times New Roman"/>
          <w:color w:val="1D2129"/>
          <w:sz w:val="24"/>
          <w:szCs w:val="24"/>
        </w:rPr>
        <w:t xml:space="preserve"> et de </w:t>
      </w:r>
      <w:r>
        <w:rPr>
          <w:rFonts w:ascii="Times New Roman" w:hAnsi="Times New Roman" w:cs="Times New Roman"/>
          <w:b/>
          <w:color w:val="1D2129"/>
          <w:sz w:val="24"/>
          <w:szCs w:val="24"/>
        </w:rPr>
        <w:t xml:space="preserve">non-discrimination. </w:t>
      </w:r>
    </w:p>
    <w:p w:rsidR="003B0758" w:rsidRDefault="0006652A">
      <w:pPr>
        <w:spacing w:line="276" w:lineRule="auto"/>
        <w:jc w:val="both"/>
        <w:rPr>
          <w:rFonts w:ascii="Times New Roman" w:hAnsi="Times New Roman" w:cs="Times New Roman"/>
          <w:bCs/>
          <w:color w:val="1D2129"/>
          <w:sz w:val="24"/>
          <w:szCs w:val="24"/>
        </w:rPr>
      </w:pPr>
      <w:r>
        <w:rPr>
          <w:rFonts w:ascii="Times New Roman" w:hAnsi="Times New Roman" w:cs="Times New Roman"/>
          <w:bCs/>
          <w:color w:val="1D2129"/>
          <w:sz w:val="24"/>
          <w:szCs w:val="24"/>
        </w:rPr>
        <w:t xml:space="preserve">Dans l’objectif de favoriser la mise en œuvre de ces conditions, l’ODCI préconise un certain nombre de mesures exposées ci-dessous. </w:t>
      </w:r>
    </w:p>
    <w:p w:rsidR="003B0758" w:rsidRDefault="003B0758">
      <w:pPr>
        <w:spacing w:line="276" w:lineRule="auto"/>
        <w:jc w:val="both"/>
        <w:rPr>
          <w:rFonts w:ascii="Times New Roman" w:hAnsi="Times New Roman" w:cs="Times New Roman"/>
          <w:bCs/>
          <w:color w:val="1D2129"/>
          <w:sz w:val="24"/>
          <w:szCs w:val="24"/>
        </w:rPr>
      </w:pPr>
    </w:p>
    <w:p w:rsidR="003B0758" w:rsidRDefault="003B0758">
      <w:pPr>
        <w:spacing w:line="276" w:lineRule="auto"/>
        <w:jc w:val="both"/>
        <w:rPr>
          <w:rFonts w:ascii="Times New Roman" w:hAnsi="Times New Roman" w:cs="Times New Roman"/>
          <w:bCs/>
          <w:color w:val="1D2129"/>
          <w:sz w:val="24"/>
          <w:szCs w:val="24"/>
        </w:rPr>
      </w:pPr>
    </w:p>
    <w:p w:rsidR="003B0758" w:rsidRDefault="003B0758">
      <w:pPr>
        <w:pStyle w:val="Titre1"/>
        <w:jc w:val="both"/>
        <w:rPr>
          <w:b/>
          <w:bCs/>
          <w:sz w:val="28"/>
          <w:szCs w:val="28"/>
        </w:rPr>
      </w:pPr>
    </w:p>
    <w:p w:rsidR="003B0758" w:rsidRDefault="0006652A">
      <w:pPr>
        <w:pStyle w:val="Titre1"/>
        <w:numPr>
          <w:ilvl w:val="0"/>
          <w:numId w:val="1"/>
        </w:numPr>
        <w:jc w:val="both"/>
        <w:rPr>
          <w:b/>
          <w:bCs/>
          <w:sz w:val="28"/>
          <w:szCs w:val="28"/>
        </w:rPr>
      </w:pPr>
      <w:bookmarkStart w:id="3" w:name="_Toc23250594"/>
      <w:r>
        <w:rPr>
          <w:b/>
          <w:bCs/>
          <w:sz w:val="28"/>
          <w:szCs w:val="28"/>
          <w:u w:val="single"/>
        </w:rPr>
        <w:t>Recom</w:t>
      </w:r>
      <w:r>
        <w:rPr>
          <w:b/>
          <w:bCs/>
          <w:sz w:val="28"/>
          <w:szCs w:val="28"/>
          <w:u w:val="single"/>
        </w:rPr>
        <w:t>mandation n°1</w:t>
      </w:r>
      <w:r>
        <w:rPr>
          <w:b/>
          <w:bCs/>
          <w:sz w:val="28"/>
          <w:szCs w:val="28"/>
        </w:rPr>
        <w:t> : Adopter des mesures visant à faciliter le mode de vie itinérant</w:t>
      </w:r>
      <w:bookmarkEnd w:id="3"/>
    </w:p>
    <w:p w:rsidR="003B0758" w:rsidRDefault="003B0758">
      <w:pPr>
        <w:pStyle w:val="Paragraphedeliste"/>
        <w:spacing w:line="276" w:lineRule="auto"/>
        <w:rPr>
          <w:rFonts w:ascii="Times New Roman" w:hAnsi="Times New Roman" w:cs="Times New Roman"/>
          <w:b/>
          <w:bCs/>
          <w:color w:val="4472C4" w:themeColor="accent1"/>
          <w:sz w:val="24"/>
          <w:szCs w:val="24"/>
          <w:u w:val="single"/>
        </w:rPr>
      </w:pPr>
    </w:p>
    <w:p w:rsidR="003B0758" w:rsidRDefault="0006652A">
      <w:pPr>
        <w:pStyle w:val="Titre2"/>
        <w:numPr>
          <w:ilvl w:val="1"/>
          <w:numId w:val="2"/>
        </w:numPr>
      </w:pPr>
      <w:r>
        <w:t>Abroger les dispositions de la loi Besson</w:t>
      </w:r>
      <w:r>
        <w:rPr>
          <w:rStyle w:val="Ancredenotedebasdepage"/>
        </w:rPr>
        <w:footnoteReference w:id="3"/>
      </w:r>
      <w:r>
        <w:t xml:space="preserve"> qui imposent et limitent l’habitat des personnes itinérantes à des zones désignées par l’Eta</w:t>
      </w:r>
      <w:bookmarkStart w:id="4" w:name="_Toc23250595"/>
      <w:bookmarkEnd w:id="4"/>
      <w:r>
        <w:t>t</w:t>
      </w:r>
    </w:p>
    <w:p w:rsidR="003B0758" w:rsidRDefault="003B0758"/>
    <w:p w:rsidR="003B0758" w:rsidRDefault="0006652A">
      <w:pPr>
        <w:widowControl w:val="0"/>
        <w:spacing w:after="0" w:line="276"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La </w:t>
      </w:r>
      <w:r>
        <w:rPr>
          <w:rFonts w:ascii="Times New Roman" w:hAnsi="Times New Roman" w:cs="Times New Roman"/>
          <w:b/>
          <w:sz w:val="24"/>
          <w:szCs w:val="24"/>
        </w:rPr>
        <w:t>majeure partie du territoire français demeure inaccessible</w:t>
      </w:r>
      <w:r>
        <w:rPr>
          <w:rFonts w:ascii="Times New Roman" w:hAnsi="Times New Roman" w:cs="Times New Roman"/>
          <w:sz w:val="24"/>
          <w:szCs w:val="24"/>
        </w:rPr>
        <w:t xml:space="preserve"> aux citoyens itinérants dans la mesure où la loi Besson permet de mettre en œuvre une </w:t>
      </w:r>
      <w:r>
        <w:rPr>
          <w:rFonts w:ascii="Times New Roman" w:hAnsi="Times New Roman" w:cs="Times New Roman"/>
          <w:b/>
          <w:bCs/>
          <w:sz w:val="24"/>
          <w:szCs w:val="24"/>
        </w:rPr>
        <w:t>politique sé</w:t>
      </w:r>
      <w:r>
        <w:rPr>
          <w:rFonts w:ascii="Times New Roman" w:hAnsi="Times New Roman" w:cs="Times New Roman"/>
          <w:b/>
          <w:bCs/>
          <w:sz w:val="24"/>
          <w:szCs w:val="24"/>
        </w:rPr>
        <w:t>grégationniste</w:t>
      </w:r>
      <w:r>
        <w:rPr>
          <w:rFonts w:ascii="Times New Roman" w:hAnsi="Times New Roman" w:cs="Times New Roman"/>
          <w:sz w:val="24"/>
          <w:szCs w:val="24"/>
        </w:rPr>
        <w:t xml:space="preserve">, avec le « cantonnement » de Voyageurs à des zones désignées et rendant leur installation en dehors de ces zones illégale. </w:t>
      </w:r>
      <w:r>
        <w:rPr>
          <w:rFonts w:ascii="Times New Roman" w:eastAsia="Calibri" w:hAnsi="Times New Roman" w:cs="Times New Roman"/>
          <w:sz w:val="24"/>
          <w:szCs w:val="24"/>
        </w:rPr>
        <w:t xml:space="preserve">Le </w:t>
      </w:r>
      <w:r>
        <w:rPr>
          <w:rFonts w:ascii="Times New Roman" w:eastAsia="Calibri" w:hAnsi="Times New Roman" w:cs="Times New Roman"/>
          <w:b/>
          <w:bCs/>
          <w:sz w:val="24"/>
          <w:szCs w:val="24"/>
        </w:rPr>
        <w:t>régime d’exception</w:t>
      </w:r>
      <w:r>
        <w:rPr>
          <w:rFonts w:ascii="Times New Roman" w:eastAsia="Calibri" w:hAnsi="Times New Roman" w:cs="Times New Roman"/>
          <w:sz w:val="24"/>
          <w:szCs w:val="24"/>
        </w:rPr>
        <w:t xml:space="preserve"> instauré par le biais de la loi Besson </w:t>
      </w:r>
      <w:r>
        <w:rPr>
          <w:rFonts w:ascii="Times New Roman" w:eastAsia="Calibri" w:hAnsi="Times New Roman" w:cs="Times New Roman"/>
          <w:b/>
          <w:bCs/>
          <w:sz w:val="24"/>
          <w:szCs w:val="24"/>
        </w:rPr>
        <w:t>prive les citoyens itinérants du choix d’élire leur propr</w:t>
      </w:r>
      <w:r>
        <w:rPr>
          <w:rFonts w:ascii="Times New Roman" w:eastAsia="Calibri" w:hAnsi="Times New Roman" w:cs="Times New Roman"/>
          <w:b/>
          <w:bCs/>
          <w:sz w:val="24"/>
          <w:szCs w:val="24"/>
        </w:rPr>
        <w:t>e lieu de résidence</w:t>
      </w:r>
      <w:r>
        <w:rPr>
          <w:rFonts w:ascii="Times New Roman" w:eastAsia="Calibri" w:hAnsi="Times New Roman" w:cs="Times New Roman"/>
          <w:sz w:val="24"/>
          <w:szCs w:val="24"/>
        </w:rPr>
        <w:t>, ce qui porte atteinte à leur liberté d’aller et venir et au principe de non-discrimination</w:t>
      </w:r>
      <w:r>
        <w:rPr>
          <w:rStyle w:val="Ancredenotedebasdepage"/>
          <w:rFonts w:ascii="Times New Roman" w:eastAsia="Calibri" w:hAnsi="Times New Roman" w:cs="Times New Roman"/>
          <w:sz w:val="24"/>
          <w:szCs w:val="24"/>
        </w:rPr>
        <w:footnoteReference w:id="4"/>
      </w:r>
      <w:r>
        <w:rPr>
          <w:rFonts w:ascii="Times New Roman" w:eastAsia="Calibri" w:hAnsi="Times New Roman" w:cs="Times New Roman"/>
          <w:sz w:val="24"/>
          <w:szCs w:val="24"/>
        </w:rPr>
        <w:t xml:space="preserve">. </w:t>
      </w:r>
    </w:p>
    <w:p w:rsidR="003B0758" w:rsidRDefault="003B0758">
      <w:pPr>
        <w:widowControl w:val="0"/>
        <w:spacing w:after="0" w:line="276" w:lineRule="auto"/>
        <w:jc w:val="both"/>
        <w:rPr>
          <w:rFonts w:ascii="Times New Roman" w:hAnsi="Times New Roman" w:cs="Times New Roman"/>
          <w:sz w:val="24"/>
          <w:szCs w:val="24"/>
        </w:rPr>
      </w:pPr>
    </w:p>
    <w:p w:rsidR="003B0758" w:rsidRDefault="0006652A">
      <w:pPr>
        <w:widowControl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L’ODCI appelle d’une part à l’amendement des dispositions de l’article 1</w:t>
      </w:r>
      <w:r>
        <w:rPr>
          <w:rFonts w:ascii="Times New Roman" w:hAnsi="Times New Roman" w:cs="Times New Roman"/>
          <w:sz w:val="24"/>
          <w:szCs w:val="24"/>
          <w:vertAlign w:val="superscript"/>
        </w:rPr>
        <w:t>er</w:t>
      </w:r>
      <w:r>
        <w:rPr>
          <w:rFonts w:ascii="Times New Roman" w:hAnsi="Times New Roman" w:cs="Times New Roman"/>
          <w:sz w:val="24"/>
          <w:szCs w:val="24"/>
        </w:rPr>
        <w:t xml:space="preserve"> de la loi Besson qui instaurent un schéma restrictif au sein duquel le dispositif d’accueil des « Gens du voyage » se limite à un habitat en aire d’accueil, sur terrain locatif familial et en aire de grand passage et de grand rassemblement. D’autre part, </w:t>
      </w:r>
      <w:r>
        <w:rPr>
          <w:rFonts w:ascii="Times New Roman" w:hAnsi="Times New Roman" w:cs="Times New Roman"/>
          <w:sz w:val="24"/>
          <w:szCs w:val="24"/>
        </w:rPr>
        <w:t xml:space="preserve">l’ODCI préconise l’abrogation de l’article 9 de la loi qui permet aux communes qui </w:t>
      </w:r>
      <w:r>
        <w:rPr>
          <w:rFonts w:ascii="Times New Roman" w:eastAsia="Calibri" w:hAnsi="Times New Roman" w:cs="Times New Roman"/>
          <w:sz w:val="24"/>
          <w:szCs w:val="24"/>
        </w:rPr>
        <w:t xml:space="preserve">remplissent leurs obligations en matière d’accueil des « Gens du voyage » de prendre un arrêté interdisant le stationnement de résidences mobiles en dehors des aires et des </w:t>
      </w:r>
      <w:r>
        <w:rPr>
          <w:rFonts w:ascii="Times New Roman" w:eastAsia="Calibri" w:hAnsi="Times New Roman" w:cs="Times New Roman"/>
          <w:sz w:val="24"/>
          <w:szCs w:val="24"/>
        </w:rPr>
        <w:t>terrains familiaux locatifs sous certaines conditions</w:t>
      </w:r>
      <w:r>
        <w:rPr>
          <w:rStyle w:val="Ancredenotedebasdepage"/>
          <w:rFonts w:ascii="Times New Roman" w:eastAsia="Calibri" w:hAnsi="Times New Roman" w:cs="Times New Roman"/>
          <w:sz w:val="24"/>
          <w:szCs w:val="24"/>
        </w:rPr>
        <w:footnoteReference w:id="5"/>
      </w:r>
      <w:r>
        <w:rPr>
          <w:rFonts w:ascii="Times New Roman" w:eastAsia="Calibri" w:hAnsi="Times New Roman" w:cs="Times New Roman"/>
          <w:sz w:val="24"/>
          <w:szCs w:val="24"/>
        </w:rPr>
        <w:t xml:space="preserve">. </w:t>
      </w:r>
    </w:p>
    <w:p w:rsidR="003B0758" w:rsidRDefault="0006652A">
      <w:pPr>
        <w:tabs>
          <w:tab w:val="left" w:pos="8321"/>
        </w:tabs>
        <w:spacing w:line="276" w:lineRule="auto"/>
        <w:jc w:val="both"/>
        <w:rPr>
          <w:rFonts w:ascii="Times New Roman" w:hAnsi="Times New Roman" w:cs="Times New Roman"/>
          <w:sz w:val="24"/>
          <w:szCs w:val="24"/>
        </w:rPr>
      </w:pPr>
      <w:r>
        <w:rPr>
          <w:rFonts w:ascii="Times New Roman" w:hAnsi="Times New Roman" w:cs="Times New Roman"/>
          <w:sz w:val="24"/>
          <w:szCs w:val="24"/>
        </w:rPr>
        <w:tab/>
      </w:r>
    </w:p>
    <w:p w:rsidR="003B0758" w:rsidRDefault="0006652A">
      <w:pPr>
        <w:pStyle w:val="Titre2"/>
        <w:numPr>
          <w:ilvl w:val="1"/>
          <w:numId w:val="2"/>
        </w:numPr>
      </w:pPr>
      <w:bookmarkStart w:id="5" w:name="_Toc23250596"/>
      <w:r>
        <w:t>Assouplir le droit de l’urbanisme</w:t>
      </w:r>
      <w:bookmarkEnd w:id="5"/>
    </w:p>
    <w:p w:rsidR="003B0758" w:rsidRDefault="003B0758">
      <w:pPr>
        <w:spacing w:after="0" w:line="276" w:lineRule="auto"/>
        <w:jc w:val="both"/>
        <w:rPr>
          <w:rFonts w:ascii="Times New Roman" w:hAnsi="Times New Roman" w:cs="Times New Roman"/>
          <w:b/>
          <w:color w:val="ED7D31" w:themeColor="accent2"/>
          <w:sz w:val="24"/>
          <w:szCs w:val="24"/>
        </w:rPr>
      </w:pPr>
    </w:p>
    <w:p w:rsidR="003B0758" w:rsidRDefault="0006652A">
      <w:p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Lorsque les citoyens itinérants choisissent un mode d’habitat en dehors du schéma d’accueil des « Gens du voyage » tel qu’exposé au point ci-dessus, ils sont très</w:t>
      </w:r>
      <w:r>
        <w:rPr>
          <w:rFonts w:ascii="Times New Roman" w:hAnsi="Times New Roman" w:cs="Times New Roman"/>
          <w:bCs/>
          <w:sz w:val="24"/>
          <w:szCs w:val="24"/>
        </w:rPr>
        <w:t xml:space="preserve"> souvent confrontés à de </w:t>
      </w:r>
      <w:r>
        <w:rPr>
          <w:rFonts w:ascii="Times New Roman" w:hAnsi="Times New Roman" w:cs="Times New Roman"/>
          <w:b/>
          <w:sz w:val="24"/>
          <w:szCs w:val="24"/>
        </w:rPr>
        <w:t>nombreux obstacles ayant trait au droit de l’urbanisme</w:t>
      </w:r>
      <w:r>
        <w:rPr>
          <w:rFonts w:ascii="Times New Roman" w:hAnsi="Times New Roman" w:cs="Times New Roman"/>
          <w:bCs/>
          <w:sz w:val="24"/>
          <w:szCs w:val="24"/>
        </w:rPr>
        <w:t xml:space="preserve">. </w:t>
      </w:r>
    </w:p>
    <w:p w:rsidR="003B0758" w:rsidRDefault="003B0758">
      <w:pPr>
        <w:spacing w:after="0" w:line="276" w:lineRule="auto"/>
        <w:jc w:val="both"/>
        <w:rPr>
          <w:rFonts w:ascii="Times New Roman" w:hAnsi="Times New Roman" w:cs="Times New Roman"/>
          <w:b/>
          <w:sz w:val="24"/>
          <w:szCs w:val="24"/>
        </w:rPr>
      </w:pPr>
    </w:p>
    <w:p w:rsidR="003B0758" w:rsidRDefault="0006652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La loi dispose que doivent être soumis à </w:t>
      </w:r>
      <w:r>
        <w:rPr>
          <w:rFonts w:ascii="Times New Roman" w:eastAsia="Times New Roman" w:hAnsi="Times New Roman" w:cs="Times New Roman"/>
          <w:color w:val="000000"/>
          <w:sz w:val="24"/>
          <w:szCs w:val="24"/>
        </w:rPr>
        <w:t xml:space="preserve">permis d'aménager ou à déclaration préalable, les résidences mobiles faisant office d’habitat permanent des « Gens du </w:t>
      </w:r>
      <w:r>
        <w:rPr>
          <w:rFonts w:ascii="Times New Roman" w:eastAsia="Times New Roman" w:hAnsi="Times New Roman" w:cs="Times New Roman"/>
          <w:color w:val="000000"/>
          <w:sz w:val="24"/>
          <w:szCs w:val="24"/>
        </w:rPr>
        <w:t xml:space="preserve">voyage » et les terrains </w:t>
      </w:r>
      <w:r>
        <w:rPr>
          <w:rFonts w:ascii="Times New Roman" w:eastAsia="Times New Roman" w:hAnsi="Times New Roman" w:cs="Times New Roman"/>
          <w:color w:val="000000"/>
          <w:sz w:val="24"/>
          <w:szCs w:val="24"/>
        </w:rPr>
        <w:lastRenderedPageBreak/>
        <w:t>d’implantation doivent être situés dans des secteurs constructibles</w:t>
      </w:r>
      <w:r>
        <w:rPr>
          <w:rStyle w:val="Ancredenotedebasdepage"/>
          <w:rFonts w:ascii="Times New Roman" w:eastAsia="Times New Roman" w:hAnsi="Times New Roman" w:cs="Times New Roman"/>
          <w:color w:val="000000"/>
          <w:sz w:val="24"/>
          <w:szCs w:val="24"/>
        </w:rPr>
        <w:footnoteReference w:id="6"/>
      </w:r>
      <w:r>
        <w:rPr>
          <w:rFonts w:ascii="Times New Roman" w:eastAsia="Times New Roman" w:hAnsi="Times New Roman" w:cs="Times New Roman"/>
          <w:color w:val="000000"/>
          <w:sz w:val="24"/>
          <w:szCs w:val="24"/>
        </w:rPr>
        <w:t>.</w:t>
      </w:r>
      <w:r>
        <w:rPr>
          <w:rFonts w:ascii="Times New Roman" w:hAnsi="Times New Roman" w:cs="Times New Roman"/>
          <w:sz w:val="24"/>
          <w:szCs w:val="24"/>
        </w:rPr>
        <w:t xml:space="preserve"> Peuvent être autorisés, à titre exceptionnel</w:t>
      </w:r>
      <w:r>
        <w:rPr>
          <w:rStyle w:val="Ancredenotedebasdepage"/>
          <w:rFonts w:ascii="Times New Roman" w:hAnsi="Times New Roman" w:cs="Times New Roman"/>
          <w:sz w:val="24"/>
          <w:szCs w:val="24"/>
        </w:rPr>
        <w:footnoteReference w:id="7"/>
      </w:r>
      <w:r>
        <w:rPr>
          <w:rFonts w:ascii="Times New Roman" w:hAnsi="Times New Roman" w:cs="Times New Roman"/>
          <w:sz w:val="24"/>
          <w:szCs w:val="24"/>
        </w:rPr>
        <w:t>,la création de terrains locatifs familiaux ainsi que des aires d’accueil sur des zones naturelles, agricoles ou for</w:t>
      </w:r>
      <w:r>
        <w:rPr>
          <w:rFonts w:ascii="Times New Roman" w:hAnsi="Times New Roman" w:cs="Times New Roman"/>
          <w:sz w:val="24"/>
          <w:szCs w:val="24"/>
        </w:rPr>
        <w:t>estières et /ou inondables</w:t>
      </w:r>
      <w:r>
        <w:rPr>
          <w:rStyle w:val="Ancredenotedebasdepage"/>
          <w:rFonts w:ascii="Times New Roman" w:hAnsi="Times New Roman" w:cs="Times New Roman"/>
          <w:sz w:val="24"/>
          <w:szCs w:val="24"/>
        </w:rPr>
        <w:footnoteReference w:id="8"/>
      </w:r>
      <w:r>
        <w:rPr>
          <w:rFonts w:ascii="Times New Roman" w:hAnsi="Times New Roman" w:cs="Times New Roman"/>
          <w:sz w:val="24"/>
          <w:szCs w:val="24"/>
        </w:rPr>
        <w:t xml:space="preserve">. </w:t>
      </w:r>
    </w:p>
    <w:p w:rsidR="003B0758" w:rsidRDefault="003B0758">
      <w:pPr>
        <w:spacing w:after="0" w:line="276" w:lineRule="auto"/>
        <w:jc w:val="both"/>
        <w:rPr>
          <w:rFonts w:ascii="Times New Roman" w:hAnsi="Times New Roman" w:cs="Times New Roman"/>
          <w:sz w:val="24"/>
          <w:szCs w:val="24"/>
        </w:rPr>
      </w:pPr>
    </w:p>
    <w:p w:rsidR="003B0758" w:rsidRDefault="0006652A">
      <w:pPr>
        <w:spacing w:after="0" w:line="276" w:lineRule="auto"/>
        <w:jc w:val="both"/>
        <w:rPr>
          <w:rFonts w:ascii="Times New Roman" w:hAnsi="Times New Roman" w:cs="Times New Roman"/>
          <w:i/>
          <w:sz w:val="24"/>
          <w:szCs w:val="24"/>
        </w:rPr>
      </w:pPr>
      <w:r>
        <w:rPr>
          <w:rFonts w:ascii="Times New Roman" w:hAnsi="Times New Roman" w:cs="Times New Roman"/>
          <w:sz w:val="24"/>
          <w:szCs w:val="24"/>
        </w:rPr>
        <w:t xml:space="preserve">D’une part, l’ODCI recommande la </w:t>
      </w:r>
      <w:r>
        <w:rPr>
          <w:rFonts w:ascii="Times New Roman" w:hAnsi="Times New Roman" w:cs="Times New Roman"/>
          <w:b/>
          <w:bCs/>
          <w:sz w:val="24"/>
          <w:szCs w:val="24"/>
        </w:rPr>
        <w:t xml:space="preserve">suppression du caractère exceptionnel de ces autorisations </w:t>
      </w:r>
      <w:r>
        <w:rPr>
          <w:rFonts w:ascii="Times New Roman" w:hAnsi="Times New Roman" w:cs="Times New Roman"/>
          <w:sz w:val="24"/>
          <w:szCs w:val="24"/>
        </w:rPr>
        <w:t>puisqu’en pratique, de nombreux terrains classés en zone agricole ne font l’objet d’aucune utilisation agricole depuis des années, et</w:t>
      </w:r>
      <w:r>
        <w:rPr>
          <w:rFonts w:ascii="Times New Roman" w:hAnsi="Times New Roman" w:cs="Times New Roman"/>
          <w:sz w:val="24"/>
          <w:szCs w:val="24"/>
        </w:rPr>
        <w:t xml:space="preserve"> d’autre part, si ces terrains classés peuvent être utilisés pour la construction par l’Etat d’aires d’accueil et de terrains locatifs familiaux, il devrait en être de même en ce qui concerne l’usage de ces terrains à titre privé. Par ailleurs, en cas de r</w:t>
      </w:r>
      <w:r>
        <w:rPr>
          <w:rFonts w:ascii="Times New Roman" w:hAnsi="Times New Roman" w:cs="Times New Roman"/>
          <w:sz w:val="24"/>
          <w:szCs w:val="24"/>
        </w:rPr>
        <w:t xml:space="preserve">ejet d’une demande de certificat d’urbanisme, l’ODCI recommande que la décision soit motivée. </w:t>
      </w:r>
    </w:p>
    <w:p w:rsidR="003B0758" w:rsidRDefault="003B0758">
      <w:pPr>
        <w:spacing w:after="0" w:line="276" w:lineRule="auto"/>
        <w:jc w:val="both"/>
        <w:rPr>
          <w:rFonts w:ascii="Times New Roman" w:hAnsi="Times New Roman" w:cs="Times New Roman"/>
          <w:i/>
          <w:sz w:val="24"/>
          <w:szCs w:val="24"/>
        </w:rPr>
      </w:pPr>
    </w:p>
    <w:p w:rsidR="003B0758" w:rsidRDefault="0006652A">
      <w:pPr>
        <w:pStyle w:val="Titre2"/>
        <w:numPr>
          <w:ilvl w:val="1"/>
          <w:numId w:val="2"/>
        </w:numPr>
      </w:pPr>
      <w:bookmarkStart w:id="6" w:name="_Toc23250597"/>
      <w:r>
        <w:rPr>
          <w:sz w:val="28"/>
          <w:szCs w:val="28"/>
        </w:rPr>
        <w:t>I</w:t>
      </w:r>
      <w:r>
        <w:t>ntégrer les modes de vie des Voyageurs dans les politiques d’urbanisme</w:t>
      </w:r>
      <w:bookmarkEnd w:id="6"/>
    </w:p>
    <w:p w:rsidR="003B0758" w:rsidRDefault="0006652A">
      <w:pPr>
        <w:spacing w:before="180" w:after="180" w:line="276" w:lineRule="auto"/>
        <w:jc w:val="both"/>
        <w:rPr>
          <w:rFonts w:ascii="Times New Roman" w:hAnsi="Times New Roman" w:cs="Times New Roman"/>
          <w:b/>
          <w:sz w:val="24"/>
          <w:szCs w:val="24"/>
        </w:rPr>
      </w:pPr>
      <w:r>
        <w:rPr>
          <w:rFonts w:ascii="Times New Roman" w:eastAsia="+mn-ea" w:hAnsi="Times New Roman" w:cs="Times New Roman"/>
          <w:bCs/>
          <w:iCs/>
          <w:sz w:val="24"/>
          <w:szCs w:val="24"/>
        </w:rPr>
        <w:t>Le mode d'habitat des Voyageurs doit être pris en compte par les politiques et les dispo</w:t>
      </w:r>
      <w:r>
        <w:rPr>
          <w:rFonts w:ascii="Times New Roman" w:eastAsia="+mn-ea" w:hAnsi="Times New Roman" w:cs="Times New Roman"/>
          <w:bCs/>
          <w:iCs/>
          <w:sz w:val="24"/>
          <w:szCs w:val="24"/>
        </w:rPr>
        <w:t>sitifs d'urbanisme</w:t>
      </w:r>
      <w:r>
        <w:rPr>
          <w:rStyle w:val="Ancredenotedebasdepage"/>
          <w:rFonts w:ascii="Times New Roman" w:eastAsia="+mn-ea" w:hAnsi="Times New Roman" w:cs="Times New Roman"/>
          <w:bCs/>
          <w:iCs/>
          <w:sz w:val="24"/>
          <w:szCs w:val="24"/>
        </w:rPr>
        <w:footnoteReference w:id="9"/>
      </w:r>
      <w:r>
        <w:rPr>
          <w:rFonts w:ascii="Times New Roman" w:eastAsia="+mn-ea" w:hAnsi="Times New Roman" w:cs="Times New Roman"/>
          <w:sz w:val="24"/>
          <w:szCs w:val="24"/>
        </w:rPr>
        <w:t xml:space="preserve">. </w:t>
      </w:r>
      <w:r>
        <w:rPr>
          <w:rFonts w:ascii="Times New Roman" w:hAnsi="Times New Roman" w:cs="Times New Roman"/>
          <w:sz w:val="24"/>
          <w:szCs w:val="24"/>
        </w:rPr>
        <w:t xml:space="preserve">Dans chaque département, une </w:t>
      </w:r>
      <w:r>
        <w:rPr>
          <w:rFonts w:ascii="Times New Roman" w:hAnsi="Times New Roman" w:cs="Times New Roman"/>
          <w:b/>
          <w:bCs/>
          <w:sz w:val="24"/>
          <w:szCs w:val="24"/>
        </w:rPr>
        <w:t>évaluation préalable des besoins</w:t>
      </w:r>
      <w:r>
        <w:rPr>
          <w:rFonts w:ascii="Times New Roman" w:hAnsi="Times New Roman" w:cs="Times New Roman"/>
          <w:sz w:val="24"/>
          <w:szCs w:val="24"/>
        </w:rPr>
        <w:t xml:space="preserve"> et de l’offre existante, </w:t>
      </w:r>
      <w:r>
        <w:rPr>
          <w:rFonts w:ascii="Times New Roman" w:hAnsi="Times New Roman" w:cs="Times New Roman"/>
          <w:i/>
          <w:sz w:val="24"/>
          <w:szCs w:val="24"/>
        </w:rPr>
        <w:t xml:space="preserve">“notamment de la fréquence et de la durée des séjours des gens du voyage, de l’évolution de leurs modes de vie et de leur ancrage doit être </w:t>
      </w:r>
      <w:r>
        <w:rPr>
          <w:rFonts w:ascii="Times New Roman" w:hAnsi="Times New Roman" w:cs="Times New Roman"/>
          <w:i/>
          <w:sz w:val="24"/>
          <w:szCs w:val="24"/>
        </w:rPr>
        <w:t>réalisé</w:t>
      </w:r>
      <w:r>
        <w:rPr>
          <w:rFonts w:ascii="Times New Roman" w:hAnsi="Times New Roman" w:cs="Times New Roman"/>
          <w:sz w:val="24"/>
          <w:szCs w:val="24"/>
        </w:rPr>
        <w:t>”</w:t>
      </w:r>
      <w:r>
        <w:rPr>
          <w:rStyle w:val="Ancredenotedebasdepage"/>
          <w:rFonts w:ascii="Times New Roman" w:hAnsi="Times New Roman" w:cs="Times New Roman"/>
          <w:sz w:val="24"/>
          <w:szCs w:val="24"/>
        </w:rPr>
        <w:footnoteReference w:id="10"/>
      </w:r>
      <w:r>
        <w:rPr>
          <w:rFonts w:ascii="Times New Roman" w:hAnsi="Times New Roman" w:cs="Times New Roman"/>
          <w:sz w:val="24"/>
          <w:szCs w:val="24"/>
        </w:rPr>
        <w:t xml:space="preserve">. Par ailleurs, le code de l'urbanisme fixe les principes généraux de la mixité sociale et d’un </w:t>
      </w:r>
      <w:r>
        <w:rPr>
          <w:rFonts w:ascii="Times New Roman" w:hAnsi="Times New Roman" w:cs="Times New Roman"/>
          <w:b/>
          <w:bCs/>
          <w:sz w:val="24"/>
          <w:szCs w:val="24"/>
        </w:rPr>
        <w:t>habitat non discriminatoire</w:t>
      </w:r>
      <w:r>
        <w:rPr>
          <w:rFonts w:ascii="Times New Roman" w:hAnsi="Times New Roman" w:cs="Times New Roman"/>
          <w:sz w:val="24"/>
          <w:szCs w:val="24"/>
        </w:rPr>
        <w:t xml:space="preserve"> à prendre en compte dans les documents d’urbanisme</w:t>
      </w:r>
      <w:r>
        <w:rPr>
          <w:rStyle w:val="Ancredenotedebasdepage"/>
          <w:rFonts w:ascii="Times New Roman" w:hAnsi="Times New Roman" w:cs="Times New Roman"/>
          <w:sz w:val="24"/>
          <w:szCs w:val="24"/>
        </w:rPr>
        <w:footnoteReference w:id="11"/>
      </w:r>
      <w:r>
        <w:rPr>
          <w:rFonts w:ascii="Times New Roman" w:hAnsi="Times New Roman" w:cs="Times New Roman"/>
          <w:sz w:val="24"/>
          <w:szCs w:val="24"/>
        </w:rPr>
        <w:t xml:space="preserve">. Enfin, </w:t>
      </w:r>
      <w:r>
        <w:rPr>
          <w:rFonts w:ascii="Times New Roman" w:hAnsi="Times New Roman" w:cs="Times New Roman"/>
          <w:sz w:val="24"/>
          <w:szCs w:val="24"/>
          <w:lang w:eastAsia="ja-JP"/>
        </w:rPr>
        <w:t>la Charte d’objectifs Culture Gens du voyage et Tsiganes de Fra</w:t>
      </w:r>
      <w:r>
        <w:rPr>
          <w:rFonts w:ascii="Times New Roman" w:hAnsi="Times New Roman" w:cs="Times New Roman"/>
          <w:sz w:val="24"/>
          <w:szCs w:val="24"/>
          <w:lang w:eastAsia="ja-JP"/>
        </w:rPr>
        <w:t>nce</w:t>
      </w:r>
      <w:r>
        <w:rPr>
          <w:rStyle w:val="Ancredenotedebasdepage"/>
          <w:rFonts w:ascii="Times New Roman" w:hAnsi="Times New Roman" w:cs="Times New Roman"/>
          <w:sz w:val="24"/>
          <w:szCs w:val="24"/>
          <w:lang w:eastAsia="ja-JP"/>
        </w:rPr>
        <w:footnoteReference w:id="12"/>
      </w:r>
      <w:r>
        <w:rPr>
          <w:rFonts w:ascii="Times New Roman" w:hAnsi="Times New Roman" w:cs="Times New Roman"/>
          <w:sz w:val="24"/>
          <w:szCs w:val="24"/>
          <w:lang w:eastAsia="ja-JP"/>
        </w:rPr>
        <w:t xml:space="preserve"> stipule que </w:t>
      </w:r>
      <w:r>
        <w:rPr>
          <w:rFonts w:ascii="Times New Roman" w:hAnsi="Times New Roman" w:cs="Times New Roman"/>
          <w:i/>
          <w:iCs/>
          <w:sz w:val="24"/>
          <w:szCs w:val="24"/>
          <w:lang w:eastAsia="ja-JP"/>
        </w:rPr>
        <w:t xml:space="preserve">« Les acteurs institutionnels doivent, dans le respect de la diversité sur leurs territoires, </w:t>
      </w:r>
      <w:r>
        <w:rPr>
          <w:rFonts w:ascii="Times New Roman" w:hAnsi="Times New Roman" w:cs="Times New Roman"/>
          <w:b/>
          <w:bCs/>
          <w:i/>
          <w:iCs/>
          <w:sz w:val="24"/>
          <w:szCs w:val="24"/>
          <w:lang w:eastAsia="ja-JP"/>
        </w:rPr>
        <w:t>prendre résolument en compte les dimensions inhérentes à la vie sociale et professionnelle des familles du Voyage dans le cadre de ces politiques</w:t>
      </w:r>
      <w:r>
        <w:rPr>
          <w:rFonts w:ascii="Times New Roman" w:hAnsi="Times New Roman" w:cs="Times New Roman"/>
          <w:b/>
          <w:bCs/>
          <w:i/>
          <w:iCs/>
          <w:sz w:val="24"/>
          <w:szCs w:val="24"/>
          <w:lang w:eastAsia="ja-JP"/>
        </w:rPr>
        <w:t xml:space="preserve"> qu’elle développe</w:t>
      </w:r>
      <w:r>
        <w:rPr>
          <w:rStyle w:val="Ancredenotedebasdepage"/>
          <w:rFonts w:ascii="Times New Roman" w:hAnsi="Times New Roman" w:cs="Times New Roman"/>
          <w:b/>
          <w:bCs/>
          <w:i/>
          <w:iCs/>
          <w:sz w:val="24"/>
          <w:szCs w:val="24"/>
          <w:lang w:eastAsia="ja-JP"/>
        </w:rPr>
        <w:footnoteReference w:id="13"/>
      </w:r>
      <w:r>
        <w:rPr>
          <w:rFonts w:ascii="Times New Roman" w:hAnsi="Times New Roman" w:cs="Times New Roman"/>
          <w:i/>
          <w:iCs/>
          <w:sz w:val="24"/>
          <w:szCs w:val="24"/>
          <w:lang w:eastAsia="ja-JP"/>
        </w:rPr>
        <w:t> »</w:t>
      </w:r>
      <w:r>
        <w:rPr>
          <w:rFonts w:ascii="Times New Roman" w:hAnsi="Times New Roman" w:cs="Times New Roman"/>
          <w:sz w:val="24"/>
          <w:szCs w:val="24"/>
          <w:lang w:eastAsia="ja-JP"/>
        </w:rPr>
        <w:t>.</w:t>
      </w:r>
    </w:p>
    <w:p w:rsidR="003B0758" w:rsidRDefault="0006652A">
      <w:pPr>
        <w:spacing w:before="180" w:after="180" w:line="276" w:lineRule="auto"/>
        <w:jc w:val="both"/>
        <w:rPr>
          <w:rFonts w:ascii="Times New Roman" w:hAnsi="Times New Roman" w:cs="Times New Roman"/>
          <w:sz w:val="24"/>
          <w:szCs w:val="24"/>
        </w:rPr>
      </w:pPr>
      <w:r>
        <w:rPr>
          <w:rFonts w:ascii="Times New Roman" w:eastAsia="+mn-ea" w:hAnsi="Times New Roman" w:cs="Times New Roman"/>
          <w:bCs/>
          <w:iCs/>
          <w:sz w:val="24"/>
          <w:szCs w:val="24"/>
        </w:rPr>
        <w:t xml:space="preserve">Dans les faits, peu de communes prennent en compte ces dispositions lors de l’élaboration de leur plan local d’urbanisme (PLU). L’ODCI recommande donc </w:t>
      </w:r>
      <w:r>
        <w:rPr>
          <w:rFonts w:ascii="Times New Roman" w:hAnsi="Times New Roman" w:cs="Times New Roman"/>
          <w:sz w:val="24"/>
          <w:szCs w:val="24"/>
        </w:rPr>
        <w:t>l’application effective de ces dispositions afin que les</w:t>
      </w:r>
      <w:r>
        <w:rPr>
          <w:rFonts w:ascii="Times New Roman" w:hAnsi="Times New Roman" w:cs="Times New Roman"/>
          <w:b/>
          <w:bCs/>
          <w:sz w:val="24"/>
          <w:szCs w:val="24"/>
        </w:rPr>
        <w:t xml:space="preserve"> différents modes d’habitat</w:t>
      </w:r>
      <w:r>
        <w:rPr>
          <w:rFonts w:ascii="Times New Roman" w:hAnsi="Times New Roman" w:cs="Times New Roman"/>
          <w:sz w:val="24"/>
          <w:szCs w:val="24"/>
        </w:rPr>
        <w:t xml:space="preserve">, conformément au respect des droits des </w:t>
      </w:r>
      <w:r>
        <w:rPr>
          <w:rFonts w:ascii="Times New Roman" w:hAnsi="Times New Roman" w:cs="Times New Roman"/>
          <w:sz w:val="24"/>
          <w:szCs w:val="24"/>
        </w:rPr>
        <w:lastRenderedPageBreak/>
        <w:t>citoyens itinérants, soient</w:t>
      </w:r>
      <w:r>
        <w:rPr>
          <w:rFonts w:ascii="Times New Roman" w:hAnsi="Times New Roman" w:cs="Times New Roman"/>
          <w:b/>
          <w:bCs/>
          <w:sz w:val="24"/>
          <w:szCs w:val="24"/>
        </w:rPr>
        <w:t xml:space="preserve"> pris en compte dans les PLU. </w:t>
      </w:r>
      <w:r>
        <w:rPr>
          <w:rFonts w:ascii="Times New Roman" w:hAnsi="Times New Roman" w:cs="Times New Roman"/>
          <w:sz w:val="24"/>
          <w:szCs w:val="24"/>
        </w:rPr>
        <w:t>Afin de satisfaire à l’hétérogénéité des besoins des citoyens itinérants en termes d’habitat, l’ODCI préconise que soit menée, avec</w:t>
      </w:r>
      <w:r>
        <w:rPr>
          <w:rFonts w:ascii="Times New Roman" w:hAnsi="Times New Roman" w:cs="Times New Roman"/>
          <w:sz w:val="24"/>
          <w:szCs w:val="24"/>
        </w:rPr>
        <w:t xml:space="preserve"> les principaux concernés, une réelle réflexion sur la </w:t>
      </w:r>
      <w:r>
        <w:rPr>
          <w:rFonts w:ascii="Times New Roman" w:hAnsi="Times New Roman" w:cs="Times New Roman"/>
          <w:b/>
          <w:bCs/>
          <w:sz w:val="24"/>
          <w:szCs w:val="24"/>
        </w:rPr>
        <w:t>création de nouveaux dispositifs venant s’ajouter aux schémas existants</w:t>
      </w:r>
      <w:r>
        <w:rPr>
          <w:rFonts w:ascii="Times New Roman" w:hAnsi="Times New Roman" w:cs="Times New Roman"/>
          <w:sz w:val="24"/>
          <w:szCs w:val="24"/>
        </w:rPr>
        <w:t xml:space="preserve"> (aires d’accueil, terrains familiaux locatifs et aires de grand passage). L’ODCI recommande à cet effet de s’inspirer des modèles</w:t>
      </w:r>
      <w:r>
        <w:rPr>
          <w:rFonts w:ascii="Times New Roman" w:hAnsi="Times New Roman" w:cs="Times New Roman"/>
          <w:sz w:val="24"/>
          <w:szCs w:val="24"/>
        </w:rPr>
        <w:t xml:space="preserve"> existants dans l'habitat classique, tels que les possibilités de location – achat. Toujours dans l’optique de satisfaire à la diversité des besoins, pour les personnes itinérantes, des systèmes de mises à disposition de terrains dans des communes ou EPCI </w:t>
      </w:r>
      <w:r>
        <w:rPr>
          <w:rFonts w:ascii="Times New Roman" w:hAnsi="Times New Roman" w:cs="Times New Roman"/>
          <w:sz w:val="24"/>
          <w:szCs w:val="24"/>
        </w:rPr>
        <w:t xml:space="preserve">données, avec possibilité de rotation en fonction des territoires et des besoins pendant une période de l’année donnée, pourraient être envisagés.  Un nombre plus important de terrains sera autant bénéfique aux municipalités qu’aux usagers. Il évitera les </w:t>
      </w:r>
      <w:r>
        <w:rPr>
          <w:rFonts w:ascii="Times New Roman" w:hAnsi="Times New Roman" w:cs="Times New Roman"/>
          <w:sz w:val="24"/>
          <w:szCs w:val="24"/>
        </w:rPr>
        <w:t xml:space="preserve">stationnements considérés comme « sauvages » et illégaux, des conflits de voisinage et autres tensions quand les terrains accueillent un trop grand nombre de personnes.  </w:t>
      </w:r>
    </w:p>
    <w:p w:rsidR="003B0758" w:rsidRDefault="003B0758">
      <w:pPr>
        <w:spacing w:before="180" w:after="180" w:line="276" w:lineRule="auto"/>
        <w:jc w:val="both"/>
        <w:rPr>
          <w:rFonts w:ascii="Times New Roman" w:hAnsi="Times New Roman" w:cs="Times New Roman"/>
          <w:sz w:val="24"/>
          <w:szCs w:val="24"/>
        </w:rPr>
      </w:pPr>
    </w:p>
    <w:p w:rsidR="003B0758" w:rsidRDefault="0006652A">
      <w:pPr>
        <w:pStyle w:val="Titre1"/>
        <w:numPr>
          <w:ilvl w:val="0"/>
          <w:numId w:val="1"/>
        </w:numPr>
        <w:jc w:val="both"/>
        <w:rPr>
          <w:b/>
          <w:bCs/>
          <w:sz w:val="28"/>
          <w:szCs w:val="28"/>
        </w:rPr>
      </w:pPr>
      <w:bookmarkStart w:id="7" w:name="_Toc23250598"/>
      <w:r>
        <w:rPr>
          <w:b/>
          <w:bCs/>
          <w:sz w:val="28"/>
          <w:szCs w:val="28"/>
          <w:u w:val="single"/>
        </w:rPr>
        <w:t>Recommandation n°2</w:t>
      </w:r>
      <w:r>
        <w:rPr>
          <w:b/>
          <w:bCs/>
          <w:sz w:val="28"/>
          <w:szCs w:val="28"/>
        </w:rPr>
        <w:t> : Garantir un droit au logement aux habitants de résidences mobil</w:t>
      </w:r>
      <w:r>
        <w:rPr>
          <w:b/>
          <w:bCs/>
          <w:sz w:val="28"/>
          <w:szCs w:val="28"/>
        </w:rPr>
        <w:t>es</w:t>
      </w:r>
      <w:bookmarkEnd w:id="7"/>
    </w:p>
    <w:p w:rsidR="003B0758" w:rsidRDefault="003B0758"/>
    <w:p w:rsidR="003B0758" w:rsidRDefault="0006652A">
      <w:pPr>
        <w:pStyle w:val="Titre2"/>
      </w:pPr>
      <w:bookmarkStart w:id="8" w:name="_Toc23250599"/>
      <w:r>
        <w:rPr>
          <w:bCs/>
        </w:rPr>
        <w:t xml:space="preserve">2.1. </w:t>
      </w:r>
      <w:r>
        <w:t>Le statut de la caravane en droit : reconnaître la caravane comme constituant un logement pour les citoyens itinérants</w:t>
      </w:r>
      <w:bookmarkEnd w:id="8"/>
    </w:p>
    <w:p w:rsidR="003B0758" w:rsidRDefault="003B0758"/>
    <w:p w:rsidR="003B0758" w:rsidRDefault="0006652A">
      <w:pPr>
        <w:spacing w:line="276" w:lineRule="auto"/>
        <w:jc w:val="both"/>
        <w:rPr>
          <w:rFonts w:ascii="Times New Roman" w:hAnsi="Times New Roman" w:cs="Times New Roman"/>
          <w:sz w:val="24"/>
          <w:szCs w:val="24"/>
        </w:rPr>
      </w:pPr>
      <w:r>
        <w:rPr>
          <w:rFonts w:ascii="Times New Roman" w:hAnsi="Times New Roman" w:cs="Times New Roman"/>
          <w:sz w:val="24"/>
          <w:szCs w:val="24"/>
        </w:rPr>
        <w:t>Le droit au logement est un droit fondamental</w:t>
      </w:r>
      <w:r>
        <w:rPr>
          <w:rStyle w:val="Ancredenotedebasdepage"/>
          <w:rFonts w:ascii="Times New Roman" w:hAnsi="Times New Roman" w:cs="Times New Roman"/>
          <w:sz w:val="24"/>
          <w:szCs w:val="24"/>
        </w:rPr>
        <w:footnoteReference w:id="14"/>
      </w:r>
      <w:r>
        <w:rPr>
          <w:rFonts w:ascii="Times New Roman" w:hAnsi="Times New Roman" w:cs="Times New Roman"/>
          <w:sz w:val="24"/>
          <w:szCs w:val="24"/>
        </w:rPr>
        <w:t>. Or, les citoyens itinérants se retrouvent exclus du bénéfice de ce droit dès lo</w:t>
      </w:r>
      <w:r>
        <w:rPr>
          <w:rFonts w:ascii="Times New Roman" w:hAnsi="Times New Roman" w:cs="Times New Roman"/>
          <w:sz w:val="24"/>
          <w:szCs w:val="24"/>
        </w:rPr>
        <w:t xml:space="preserve">rs qu’ils adoptent un mode de vie itinérant. En effet, dans le cadre législatif français, la caravane est assimilée à une </w:t>
      </w:r>
      <w:r>
        <w:rPr>
          <w:rFonts w:ascii="Times New Roman" w:hAnsi="Times New Roman" w:cs="Times New Roman"/>
          <w:b/>
          <w:bCs/>
          <w:sz w:val="24"/>
          <w:szCs w:val="24"/>
        </w:rPr>
        <w:t>résidence mobile</w:t>
      </w:r>
      <w:r>
        <w:rPr>
          <w:rFonts w:ascii="Times New Roman" w:hAnsi="Times New Roman" w:cs="Times New Roman"/>
          <w:b/>
          <w:bCs/>
          <w:i/>
          <w:sz w:val="24"/>
          <w:szCs w:val="24"/>
        </w:rPr>
        <w:t xml:space="preserve"> « constituant l’habitat permanent des gens du voyage »</w:t>
      </w:r>
      <w:r>
        <w:rPr>
          <w:rStyle w:val="Ancredenotedebasdepage"/>
          <w:rFonts w:ascii="Times New Roman" w:hAnsi="Times New Roman" w:cs="Times New Roman"/>
          <w:b/>
          <w:bCs/>
          <w:i/>
          <w:sz w:val="24"/>
          <w:szCs w:val="24"/>
        </w:rPr>
        <w:footnoteReference w:id="15"/>
      </w:r>
      <w:r>
        <w:rPr>
          <w:rFonts w:ascii="Times New Roman" w:hAnsi="Times New Roman" w:cs="Times New Roman"/>
          <w:sz w:val="24"/>
          <w:szCs w:val="24"/>
        </w:rPr>
        <w:t>, ce qui exclue de fait les citoyens itinérants de tout un pan</w:t>
      </w:r>
      <w:r>
        <w:rPr>
          <w:rFonts w:ascii="Times New Roman" w:hAnsi="Times New Roman" w:cs="Times New Roman"/>
          <w:sz w:val="24"/>
          <w:szCs w:val="24"/>
        </w:rPr>
        <w:t xml:space="preserve">el de droits, tels que le droit à l’aide personnalisée au logement (APL), le droit à une assurance habitation, l’accès à un compte et à un prêt bancaire. </w:t>
      </w:r>
    </w:p>
    <w:p w:rsidR="003B0758" w:rsidRDefault="0006652A">
      <w:pPr>
        <w:spacing w:line="276" w:lineRule="auto"/>
        <w:jc w:val="both"/>
        <w:rPr>
          <w:rFonts w:ascii="Times New Roman" w:hAnsi="Times New Roman" w:cs="Times New Roman"/>
          <w:color w:val="1D2129"/>
          <w:sz w:val="24"/>
          <w:szCs w:val="24"/>
        </w:rPr>
      </w:pPr>
      <w:r>
        <w:rPr>
          <w:rFonts w:ascii="Times New Roman" w:hAnsi="Times New Roman" w:cs="Times New Roman"/>
          <w:color w:val="1D2129"/>
          <w:sz w:val="24"/>
          <w:szCs w:val="24"/>
        </w:rPr>
        <w:t xml:space="preserve">L’ODCI préconise la </w:t>
      </w:r>
      <w:r>
        <w:rPr>
          <w:rFonts w:ascii="Times New Roman" w:hAnsi="Times New Roman" w:cs="Times New Roman"/>
          <w:b/>
          <w:bCs/>
          <w:color w:val="1D2129"/>
          <w:sz w:val="24"/>
          <w:szCs w:val="24"/>
        </w:rPr>
        <w:t xml:space="preserve">reconnaissance de la caravane </w:t>
      </w:r>
      <w:r>
        <w:rPr>
          <w:rFonts w:ascii="Times New Roman" w:hAnsi="Times New Roman" w:cs="Times New Roman"/>
          <w:b/>
          <w:color w:val="1D2129"/>
          <w:sz w:val="24"/>
          <w:szCs w:val="24"/>
        </w:rPr>
        <w:t xml:space="preserve">comme une forme de logement </w:t>
      </w:r>
      <w:r>
        <w:rPr>
          <w:rFonts w:ascii="Times New Roman" w:hAnsi="Times New Roman" w:cs="Times New Roman"/>
          <w:bCs/>
          <w:color w:val="1D2129"/>
          <w:sz w:val="24"/>
          <w:szCs w:val="24"/>
        </w:rPr>
        <w:t xml:space="preserve">dès lors que </w:t>
      </w:r>
      <w:r>
        <w:rPr>
          <w:rFonts w:ascii="Times New Roman" w:hAnsi="Times New Roman" w:cs="Times New Roman"/>
          <w:bCs/>
          <w:color w:val="1D2129"/>
          <w:sz w:val="24"/>
          <w:szCs w:val="24"/>
        </w:rPr>
        <w:t>celui-ci est choisi,</w:t>
      </w:r>
      <w:r>
        <w:rPr>
          <w:rFonts w:ascii="Times New Roman" w:hAnsi="Times New Roman" w:cs="Times New Roman"/>
          <w:b/>
          <w:color w:val="1D2129"/>
          <w:sz w:val="24"/>
          <w:szCs w:val="24"/>
        </w:rPr>
        <w:t xml:space="preserve"> </w:t>
      </w:r>
      <w:r>
        <w:rPr>
          <w:rFonts w:ascii="Times New Roman" w:hAnsi="Times New Roman" w:cs="Times New Roman"/>
          <w:color w:val="1D2129"/>
          <w:sz w:val="24"/>
          <w:szCs w:val="24"/>
        </w:rPr>
        <w:t xml:space="preserve">afin que les citoyens itinérants puissent </w:t>
      </w:r>
      <w:r>
        <w:rPr>
          <w:rFonts w:ascii="Times New Roman" w:hAnsi="Times New Roman" w:cs="Times New Roman"/>
          <w:b/>
          <w:bCs/>
          <w:color w:val="1D2129"/>
          <w:sz w:val="24"/>
          <w:szCs w:val="24"/>
        </w:rPr>
        <w:t xml:space="preserve">accéder à différentes formes </w:t>
      </w:r>
      <w:r>
        <w:rPr>
          <w:rFonts w:ascii="Times New Roman" w:hAnsi="Times New Roman" w:cs="Times New Roman"/>
          <w:b/>
          <w:color w:val="1D2129"/>
          <w:sz w:val="24"/>
          <w:szCs w:val="24"/>
        </w:rPr>
        <w:t>d’aides et de droits liés au logement</w:t>
      </w:r>
      <w:r>
        <w:rPr>
          <w:rFonts w:ascii="Times New Roman" w:hAnsi="Times New Roman" w:cs="Times New Roman"/>
          <w:color w:val="1D2129"/>
          <w:sz w:val="24"/>
          <w:szCs w:val="24"/>
        </w:rPr>
        <w:t xml:space="preserve">.  </w:t>
      </w:r>
    </w:p>
    <w:p w:rsidR="003B0758" w:rsidRDefault="003B0758">
      <w:pPr>
        <w:spacing w:line="276" w:lineRule="auto"/>
        <w:jc w:val="both"/>
        <w:rPr>
          <w:rFonts w:ascii="Times New Roman" w:hAnsi="Times New Roman" w:cs="Times New Roman"/>
          <w:color w:val="1D2129"/>
          <w:sz w:val="24"/>
          <w:szCs w:val="24"/>
        </w:rPr>
      </w:pPr>
    </w:p>
    <w:p w:rsidR="003B0758" w:rsidRDefault="0006652A">
      <w:pPr>
        <w:pStyle w:val="Titre2"/>
      </w:pPr>
      <w:bookmarkStart w:id="9" w:name="_Toc23250600"/>
      <w:r>
        <w:t>2.2. Le droit d’accès à l’eau et à l’électricité</w:t>
      </w:r>
      <w:bookmarkEnd w:id="9"/>
    </w:p>
    <w:p w:rsidR="003B0758" w:rsidRDefault="003B0758"/>
    <w:p w:rsidR="003B0758" w:rsidRDefault="0006652A">
      <w:pPr>
        <w:spacing w:line="276" w:lineRule="auto"/>
        <w:jc w:val="both"/>
        <w:rPr>
          <w:rFonts w:ascii="Times New Roman" w:hAnsi="Times New Roman" w:cs="Times New Roman"/>
          <w:iCs/>
          <w:sz w:val="24"/>
          <w:szCs w:val="24"/>
        </w:rPr>
      </w:pPr>
      <w:r>
        <w:rPr>
          <w:rFonts w:ascii="Times New Roman" w:hAnsi="Times New Roman" w:cs="Times New Roman"/>
          <w:sz w:val="24"/>
          <w:szCs w:val="24"/>
        </w:rPr>
        <w:lastRenderedPageBreak/>
        <w:t>Le droit à l’eau est un droit fondamental</w:t>
      </w:r>
      <w:r>
        <w:rPr>
          <w:rStyle w:val="Ancredenotedebasdepage"/>
          <w:rFonts w:ascii="Times New Roman" w:hAnsi="Times New Roman" w:cs="Times New Roman"/>
          <w:sz w:val="24"/>
          <w:szCs w:val="24"/>
        </w:rPr>
        <w:footnoteReference w:id="16"/>
      </w:r>
      <w:r>
        <w:rPr>
          <w:rFonts w:ascii="Times New Roman" w:hAnsi="Times New Roman" w:cs="Times New Roman"/>
          <w:sz w:val="24"/>
          <w:szCs w:val="24"/>
        </w:rPr>
        <w:t xml:space="preserve">. En ce sens, </w:t>
      </w:r>
      <w:r>
        <w:rPr>
          <w:rFonts w:ascii="Times New Roman" w:hAnsi="Times New Roman" w:cs="Times New Roman"/>
          <w:sz w:val="24"/>
          <w:szCs w:val="24"/>
        </w:rPr>
        <w:t>l’Organisation des Nations-Unies (ONU) a indiqué que « </w:t>
      </w:r>
      <w:r>
        <w:rPr>
          <w:rFonts w:ascii="Times New Roman" w:hAnsi="Times New Roman" w:cs="Times New Roman"/>
          <w:i/>
          <w:sz w:val="24"/>
          <w:szCs w:val="24"/>
        </w:rPr>
        <w:t>[l]e droit à l’eau est indispensable pour mener une vie digne. Il est une condition préalable à la réalisation des autres droits de l’homme »</w:t>
      </w:r>
      <w:r>
        <w:rPr>
          <w:rStyle w:val="Ancredenotedebasdepage"/>
          <w:rFonts w:ascii="Times New Roman" w:hAnsi="Times New Roman" w:cs="Times New Roman"/>
          <w:i/>
          <w:sz w:val="24"/>
          <w:szCs w:val="24"/>
        </w:rPr>
        <w:footnoteReference w:id="17"/>
      </w:r>
      <w:r>
        <w:rPr>
          <w:rFonts w:ascii="Times New Roman" w:hAnsi="Times New Roman" w:cs="Times New Roman"/>
          <w:iCs/>
          <w:sz w:val="24"/>
          <w:szCs w:val="24"/>
        </w:rPr>
        <w:t>. Quant au droit à l’électricité, l’article 212-1 du code d</w:t>
      </w:r>
      <w:r>
        <w:rPr>
          <w:rFonts w:ascii="Times New Roman" w:hAnsi="Times New Roman" w:cs="Times New Roman"/>
          <w:iCs/>
          <w:sz w:val="24"/>
          <w:szCs w:val="24"/>
        </w:rPr>
        <w:t>e l’énergie consacre le droit à l’électricité pour tous. Or, dans les faits, le droit d’accès à l’eau et à l’électricité est conditionné à la légalité de l’occupation du terrain et bon nombre de citoyens itinérants sont donc privés de ce droit.</w:t>
      </w:r>
    </w:p>
    <w:p w:rsidR="003B0758" w:rsidRDefault="0006652A">
      <w:pPr>
        <w:spacing w:line="276" w:lineRule="auto"/>
        <w:jc w:val="both"/>
        <w:rPr>
          <w:rFonts w:ascii="Times New Roman" w:hAnsi="Times New Roman" w:cs="Times New Roman"/>
          <w:iCs/>
          <w:sz w:val="24"/>
          <w:szCs w:val="24"/>
        </w:rPr>
      </w:pPr>
      <w:r>
        <w:rPr>
          <w:rFonts w:ascii="Times New Roman" w:hAnsi="Times New Roman" w:cs="Times New Roman"/>
          <w:iCs/>
          <w:sz w:val="24"/>
          <w:szCs w:val="24"/>
        </w:rPr>
        <w:t>L’ODCI reco</w:t>
      </w:r>
      <w:r>
        <w:rPr>
          <w:rFonts w:ascii="Times New Roman" w:hAnsi="Times New Roman" w:cs="Times New Roman"/>
          <w:iCs/>
          <w:sz w:val="24"/>
          <w:szCs w:val="24"/>
        </w:rPr>
        <w:t>mmande que le droit à l’eau et à l’électricité soit mis en œuvre de manière inconditionnelle. Ce droit ne peut être octroyé sous réserve de certains critères– ici le critère de la légalité de l’occupation, d’autant qu’une privation d’eau et d’électricité p</w:t>
      </w:r>
      <w:r>
        <w:rPr>
          <w:rFonts w:ascii="Times New Roman" w:hAnsi="Times New Roman" w:cs="Times New Roman"/>
          <w:iCs/>
          <w:sz w:val="24"/>
          <w:szCs w:val="24"/>
        </w:rPr>
        <w:t xml:space="preserve">ar les pouvoirs publics </w:t>
      </w:r>
      <w:r>
        <w:rPr>
          <w:rFonts w:ascii="Times New Roman" w:eastAsiaTheme="minorEastAsia" w:hAnsi="Times New Roman" w:cs="Times New Roman"/>
          <w:sz w:val="24"/>
          <w:szCs w:val="24"/>
          <w:lang w:eastAsia="fr-FR"/>
        </w:rPr>
        <w:t>présente le caractère d’une ingérence d’une autorité publique dans le droit au respect de la vie privée et familiale des personnes concernées</w:t>
      </w:r>
      <w:r>
        <w:rPr>
          <w:rStyle w:val="Ancredenotedebasdepage"/>
          <w:rFonts w:ascii="Times New Roman" w:eastAsiaTheme="minorEastAsia" w:hAnsi="Times New Roman" w:cs="Times New Roman"/>
          <w:sz w:val="24"/>
          <w:szCs w:val="24"/>
          <w:lang w:eastAsia="fr-FR"/>
        </w:rPr>
        <w:footnoteReference w:id="18"/>
      </w:r>
      <w:r>
        <w:rPr>
          <w:rFonts w:ascii="Times New Roman" w:eastAsiaTheme="minorEastAsia" w:hAnsi="Times New Roman" w:cs="Times New Roman"/>
          <w:sz w:val="24"/>
          <w:szCs w:val="24"/>
          <w:lang w:eastAsia="fr-FR"/>
        </w:rPr>
        <w:t xml:space="preserve">. </w:t>
      </w:r>
    </w:p>
    <w:p w:rsidR="003B0758" w:rsidRDefault="003B0758">
      <w:pPr>
        <w:spacing w:line="276" w:lineRule="auto"/>
        <w:jc w:val="both"/>
        <w:rPr>
          <w:rFonts w:ascii="Times New Roman" w:hAnsi="Times New Roman" w:cs="Times New Roman"/>
          <w:iCs/>
          <w:sz w:val="24"/>
          <w:szCs w:val="24"/>
        </w:rPr>
      </w:pPr>
    </w:p>
    <w:p w:rsidR="003B0758" w:rsidRDefault="0006652A">
      <w:pPr>
        <w:pStyle w:val="Titre2"/>
      </w:pPr>
      <w:bookmarkStart w:id="10" w:name="_Toc23250601"/>
      <w:r>
        <w:t xml:space="preserve">2.3. Intégrer les résidences mobiles dans la réglementation ayant trait aux </w:t>
      </w:r>
      <w:r>
        <w:t>normes de décence minimales</w:t>
      </w:r>
      <w:bookmarkEnd w:id="10"/>
    </w:p>
    <w:p w:rsidR="003B0758" w:rsidRDefault="003B0758">
      <w:pPr>
        <w:spacing w:line="276" w:lineRule="auto"/>
        <w:jc w:val="both"/>
      </w:pPr>
    </w:p>
    <w:p w:rsidR="003B0758" w:rsidRDefault="0006652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L’accueil des « Gens du voyage » se fait régulièrement dans des </w:t>
      </w:r>
      <w:r>
        <w:rPr>
          <w:rFonts w:ascii="Times New Roman" w:hAnsi="Times New Roman" w:cs="Times New Roman"/>
          <w:b/>
          <w:bCs/>
          <w:sz w:val="24"/>
          <w:szCs w:val="24"/>
        </w:rPr>
        <w:t>lieux impropres à l’habitation humaine</w:t>
      </w:r>
      <w:r>
        <w:rPr>
          <w:rFonts w:ascii="Times New Roman" w:hAnsi="Times New Roman" w:cs="Times New Roman"/>
          <w:sz w:val="24"/>
          <w:szCs w:val="24"/>
        </w:rPr>
        <w:t xml:space="preserve"> et </w:t>
      </w:r>
      <w:r>
        <w:rPr>
          <w:rFonts w:ascii="Times New Roman" w:hAnsi="Times New Roman" w:cs="Times New Roman"/>
          <w:b/>
          <w:bCs/>
          <w:sz w:val="24"/>
          <w:szCs w:val="24"/>
        </w:rPr>
        <w:t>éloignés des infrastructures publiques</w:t>
      </w:r>
      <w:r>
        <w:rPr>
          <w:rFonts w:ascii="Times New Roman" w:hAnsi="Times New Roman" w:cs="Times New Roman"/>
          <w:sz w:val="24"/>
          <w:szCs w:val="24"/>
        </w:rPr>
        <w:t xml:space="preserve">. </w:t>
      </w:r>
    </w:p>
    <w:p w:rsidR="003B0758" w:rsidRDefault="0006652A">
      <w:pPr>
        <w:spacing w:line="276" w:lineRule="auto"/>
        <w:jc w:val="both"/>
        <w:rPr>
          <w:rFonts w:ascii="Times New Roman" w:hAnsi="Times New Roman" w:cs="Times New Roman"/>
          <w:sz w:val="24"/>
          <w:szCs w:val="24"/>
        </w:rPr>
      </w:pPr>
      <w:r>
        <w:rPr>
          <w:rFonts w:ascii="Times New Roman" w:hAnsi="Times New Roman" w:cs="Times New Roman"/>
          <w:sz w:val="24"/>
          <w:szCs w:val="24"/>
        </w:rPr>
        <w:t>En ce qui concerne la localisation des terrains retenus, l’ODCI demande à ce que</w:t>
      </w:r>
      <w:r>
        <w:rPr>
          <w:rFonts w:ascii="Times New Roman" w:hAnsi="Times New Roman" w:cs="Times New Roman"/>
          <w:sz w:val="24"/>
          <w:szCs w:val="24"/>
        </w:rPr>
        <w:t xml:space="preserve"> l'article 1er-II de la loi Besson soient appliqué, à savoir l’obligation de prise en compte de la compatibilité de la zone à construire avec des</w:t>
      </w:r>
      <w:r>
        <w:rPr>
          <w:rFonts w:ascii="Times New Roman" w:hAnsi="Times New Roman" w:cs="Times New Roman"/>
          <w:b/>
          <w:bCs/>
          <w:sz w:val="24"/>
          <w:szCs w:val="24"/>
        </w:rPr>
        <w:t xml:space="preserve"> possibilités effectives de scolarisation des enfants, d'accès aux soins et d'exercice des activités économique</w:t>
      </w:r>
      <w:r>
        <w:rPr>
          <w:rFonts w:ascii="Times New Roman" w:hAnsi="Times New Roman" w:cs="Times New Roman"/>
          <w:b/>
          <w:bCs/>
          <w:sz w:val="24"/>
          <w:szCs w:val="24"/>
        </w:rPr>
        <w:t>s</w:t>
      </w:r>
      <w:r>
        <w:rPr>
          <w:rFonts w:ascii="Times New Roman" w:hAnsi="Times New Roman" w:cs="Times New Roman"/>
          <w:sz w:val="24"/>
          <w:szCs w:val="24"/>
        </w:rPr>
        <w:t xml:space="preserve">. Les terrains concernés doivent également être suffisamment desservis par les réseaux de transport.  </w:t>
      </w:r>
    </w:p>
    <w:p w:rsidR="003B0758" w:rsidRDefault="0006652A">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Concernant la sécurité et la santé des occupants, l’ODCI souligne que les terrains choisis pour l’aménagement des aires d’accueil et terrains familiaux </w:t>
      </w:r>
      <w:r>
        <w:rPr>
          <w:rFonts w:ascii="Times New Roman" w:hAnsi="Times New Roman" w:cs="Times New Roman"/>
          <w:sz w:val="24"/>
          <w:szCs w:val="24"/>
        </w:rPr>
        <w:t>locatifs ne doivent en aucun cas se trouver dans des zones portant atteinte à la</w:t>
      </w:r>
      <w:r>
        <w:rPr>
          <w:rFonts w:ascii="Times New Roman" w:hAnsi="Times New Roman" w:cs="Times New Roman"/>
          <w:b/>
          <w:bCs/>
          <w:sz w:val="24"/>
          <w:szCs w:val="24"/>
        </w:rPr>
        <w:t xml:space="preserve"> dignité</w:t>
      </w:r>
      <w:r>
        <w:rPr>
          <w:rFonts w:ascii="Times New Roman" w:hAnsi="Times New Roman" w:cs="Times New Roman"/>
          <w:sz w:val="24"/>
          <w:szCs w:val="24"/>
        </w:rPr>
        <w:t>, à la</w:t>
      </w:r>
      <w:r>
        <w:rPr>
          <w:rFonts w:ascii="Times New Roman" w:hAnsi="Times New Roman" w:cs="Times New Roman"/>
          <w:b/>
          <w:bCs/>
          <w:sz w:val="24"/>
          <w:szCs w:val="24"/>
        </w:rPr>
        <w:t xml:space="preserve"> santé </w:t>
      </w:r>
      <w:r>
        <w:rPr>
          <w:rFonts w:ascii="Times New Roman" w:hAnsi="Times New Roman" w:cs="Times New Roman"/>
          <w:sz w:val="24"/>
          <w:szCs w:val="24"/>
        </w:rPr>
        <w:t>et à la</w:t>
      </w:r>
      <w:r>
        <w:rPr>
          <w:rFonts w:ascii="Times New Roman" w:hAnsi="Times New Roman" w:cs="Times New Roman"/>
          <w:b/>
          <w:bCs/>
          <w:sz w:val="24"/>
          <w:szCs w:val="24"/>
        </w:rPr>
        <w:t xml:space="preserve"> sécurité </w:t>
      </w:r>
      <w:r>
        <w:rPr>
          <w:rFonts w:ascii="Times New Roman" w:hAnsi="Times New Roman" w:cs="Times New Roman"/>
          <w:sz w:val="24"/>
          <w:szCs w:val="24"/>
        </w:rPr>
        <w:t>de ses habitants (telles que des zones où s’exerce une pollution sonore, visuelle, atmosphérique, sanitaire ; des zones situées au bord d’</w:t>
      </w:r>
      <w:r>
        <w:rPr>
          <w:rFonts w:ascii="Times New Roman" w:hAnsi="Times New Roman" w:cs="Times New Roman"/>
          <w:sz w:val="24"/>
          <w:szCs w:val="24"/>
        </w:rPr>
        <w:t xml:space="preserve">une quatre voies, de  voies ferrées, d’une déchetterie, de sites de production / distribution de produits dangereux, etc.). </w:t>
      </w:r>
    </w:p>
    <w:p w:rsidR="003B0758" w:rsidRDefault="003B0758">
      <w:pPr>
        <w:spacing w:line="276" w:lineRule="auto"/>
        <w:ind w:left="720"/>
        <w:contextualSpacing/>
        <w:jc w:val="both"/>
        <w:rPr>
          <w:rFonts w:ascii="Times New Roman" w:hAnsi="Times New Roman" w:cs="Times New Roman"/>
          <w:color w:val="00B050"/>
          <w:sz w:val="24"/>
          <w:szCs w:val="24"/>
        </w:rPr>
      </w:pPr>
    </w:p>
    <w:p w:rsidR="003B0758" w:rsidRDefault="0006652A">
      <w:pPr>
        <w:spacing w:line="276" w:lineRule="auto"/>
        <w:jc w:val="both"/>
        <w:rPr>
          <w:rFonts w:ascii="Times New Roman" w:hAnsi="Times New Roman" w:cs="Times New Roman"/>
          <w:sz w:val="24"/>
          <w:szCs w:val="24"/>
        </w:rPr>
      </w:pPr>
      <w:r>
        <w:rPr>
          <w:rFonts w:ascii="Times New Roman" w:hAnsi="Times New Roman" w:cs="Times New Roman"/>
          <w:sz w:val="24"/>
          <w:szCs w:val="24"/>
        </w:rPr>
        <w:t>Au sujet des conditions d’habitation, à savoir l’aménagement et les installations des aires d’accueil et terrains familiaux, l’ODC</w:t>
      </w:r>
      <w:r>
        <w:rPr>
          <w:rFonts w:ascii="Times New Roman" w:hAnsi="Times New Roman" w:cs="Times New Roman"/>
          <w:sz w:val="24"/>
          <w:szCs w:val="24"/>
        </w:rPr>
        <w:t>I souligne que le décret</w:t>
      </w:r>
      <w:r>
        <w:rPr>
          <w:rFonts w:ascii="Times New Roman" w:hAnsi="Times New Roman" w:cs="Times New Roman"/>
          <w:bCs/>
          <w:color w:val="000000"/>
          <w:sz w:val="24"/>
          <w:szCs w:val="24"/>
        </w:rPr>
        <w:t xml:space="preserve"> n°2002-120 du 30 janvier 2002 </w:t>
      </w:r>
      <w:r>
        <w:rPr>
          <w:rFonts w:ascii="Times New Roman" w:hAnsi="Times New Roman" w:cs="Times New Roman"/>
          <w:bCs/>
          <w:color w:val="000000"/>
          <w:sz w:val="24"/>
          <w:szCs w:val="24"/>
        </w:rPr>
        <w:lastRenderedPageBreak/>
        <w:t xml:space="preserve">relatif aux caractéristiques du logement décent pris pour l'application de l'article 187 de la loi n° 2000-1208 du 13 décembre 2000 apporte des précisions claires quant aux </w:t>
      </w:r>
      <w:r>
        <w:rPr>
          <w:rFonts w:ascii="Times New Roman" w:hAnsi="Times New Roman" w:cs="Times New Roman"/>
          <w:b/>
          <w:color w:val="000000"/>
          <w:sz w:val="24"/>
          <w:szCs w:val="24"/>
        </w:rPr>
        <w:t xml:space="preserve">normes minimales de décence </w:t>
      </w:r>
      <w:r>
        <w:rPr>
          <w:rFonts w:ascii="Times New Roman" w:hAnsi="Times New Roman" w:cs="Times New Roman"/>
          <w:bCs/>
          <w:color w:val="000000"/>
          <w:sz w:val="24"/>
          <w:szCs w:val="24"/>
        </w:rPr>
        <w:t>que doit comporter un logement. L’ODCI recommande que le schéma d’accueil des « Gens du voyage » prenne systématiquement en compte les normes telles qu’édictées dans ce décret afin que les terrains et aires soient aménagées en conformité avec ces normes mi</w:t>
      </w:r>
      <w:r>
        <w:rPr>
          <w:rFonts w:ascii="Times New Roman" w:hAnsi="Times New Roman" w:cs="Times New Roman"/>
          <w:bCs/>
          <w:color w:val="000000"/>
          <w:sz w:val="24"/>
          <w:szCs w:val="24"/>
        </w:rPr>
        <w:t xml:space="preserve">nimales. </w:t>
      </w:r>
    </w:p>
    <w:p w:rsidR="003B0758" w:rsidRDefault="003B0758">
      <w:pPr>
        <w:spacing w:line="276" w:lineRule="auto"/>
        <w:jc w:val="both"/>
        <w:rPr>
          <w:rFonts w:ascii="Times New Roman" w:hAnsi="Times New Roman" w:cs="Times New Roman"/>
          <w:sz w:val="24"/>
          <w:szCs w:val="24"/>
        </w:rPr>
      </w:pPr>
    </w:p>
    <w:p w:rsidR="003B0758" w:rsidRDefault="0006652A">
      <w:pPr>
        <w:pStyle w:val="Titre2"/>
      </w:pPr>
      <w:bookmarkStart w:id="11" w:name="_Toc23250602"/>
      <w:r>
        <w:t>2.4. Assurer un droit au logement opposable et un droit au relogement dans le respect du mode de vie itinérant</w:t>
      </w:r>
      <w:bookmarkEnd w:id="11"/>
    </w:p>
    <w:p w:rsidR="003B0758" w:rsidRDefault="003B0758"/>
    <w:p w:rsidR="003B0758" w:rsidRDefault="0006652A">
      <w:pPr>
        <w:spacing w:line="276" w:lineRule="auto"/>
        <w:jc w:val="both"/>
        <w:rPr>
          <w:rFonts w:ascii="Times New Roman" w:hAnsi="Times New Roman" w:cs="Times New Roman"/>
          <w:iCs/>
          <w:sz w:val="24"/>
          <w:szCs w:val="24"/>
        </w:rPr>
      </w:pPr>
      <w:r>
        <w:rPr>
          <w:rFonts w:ascii="Times New Roman" w:hAnsi="Times New Roman" w:cs="Times New Roman"/>
          <w:iCs/>
          <w:sz w:val="24"/>
          <w:szCs w:val="24"/>
        </w:rPr>
        <w:t>Il faut constater qu’en raison des manquements des communes / établissements publics de coopération intercommunale (EPCI) à leurs obl</w:t>
      </w:r>
      <w:r>
        <w:rPr>
          <w:rFonts w:ascii="Times New Roman" w:hAnsi="Times New Roman" w:cs="Times New Roman"/>
          <w:iCs/>
          <w:sz w:val="24"/>
          <w:szCs w:val="24"/>
        </w:rPr>
        <w:t>igations inscrites dans le cadre du schéma départemental d’accueil des « Gens du voyage », les aires d’accueil ne sont actuellement pas en capacité de faire face aux besoins. Il en est de même pour les terrains familiaux locatifs, trop peu nombreux. Le déf</w:t>
      </w:r>
      <w:r>
        <w:rPr>
          <w:rFonts w:ascii="Times New Roman" w:hAnsi="Times New Roman" w:cs="Times New Roman"/>
          <w:iCs/>
          <w:sz w:val="24"/>
          <w:szCs w:val="24"/>
        </w:rPr>
        <w:t xml:space="preserve">aut d’offres par rapport à la demande s’est aggravé suite à la politique de regroupement de petites communes en EPCI dans la mesure où ce dispositif permet à certaines communes de se décharger de toute responsabilité en matière d’accueil des Voyageurs. </w:t>
      </w:r>
    </w:p>
    <w:p w:rsidR="003B0758" w:rsidRDefault="0006652A">
      <w:pPr>
        <w:spacing w:line="276" w:lineRule="auto"/>
        <w:jc w:val="both"/>
        <w:rPr>
          <w:rFonts w:ascii="Times New Roman" w:hAnsi="Times New Roman" w:cs="Times New Roman"/>
          <w:iCs/>
          <w:sz w:val="24"/>
          <w:szCs w:val="24"/>
        </w:rPr>
      </w:pPr>
      <w:r>
        <w:rPr>
          <w:rFonts w:ascii="Times New Roman" w:hAnsi="Times New Roman" w:cs="Times New Roman"/>
          <w:iCs/>
          <w:sz w:val="24"/>
          <w:szCs w:val="24"/>
        </w:rPr>
        <w:t>Pa</w:t>
      </w:r>
      <w:r>
        <w:rPr>
          <w:rFonts w:ascii="Times New Roman" w:hAnsi="Times New Roman" w:cs="Times New Roman"/>
          <w:iCs/>
          <w:sz w:val="24"/>
          <w:szCs w:val="24"/>
        </w:rPr>
        <w:t>r ailleurs, lorsqu’un Voyageur dispose d’une place en aire d’accueil ou bénéficie d’un terrain locatif familial, l’Etat impose une durée de séjour qui ne peut être dépassée. Or, retrouver une place ou un terrain est extrêmement compliqué. L’occupation de c</w:t>
      </w:r>
      <w:r>
        <w:rPr>
          <w:rFonts w:ascii="Times New Roman" w:hAnsi="Times New Roman" w:cs="Times New Roman"/>
          <w:iCs/>
          <w:sz w:val="24"/>
          <w:szCs w:val="24"/>
        </w:rPr>
        <w:t xml:space="preserve">ertains terrains est tolérée suite à un accord tacite de la mairie, mais le risque de changement de politique de la ville ne confère aux habitants aucune sécurité en termes de droit d’occupation. </w:t>
      </w:r>
      <w:r>
        <w:rPr>
          <w:rFonts w:ascii="Times New Roman" w:hAnsi="Times New Roman" w:cs="Times New Roman"/>
          <w:sz w:val="24"/>
          <w:szCs w:val="24"/>
        </w:rPr>
        <w:t>L’occupation d’un terrain avec une résidence mobile en toute</w:t>
      </w:r>
      <w:r>
        <w:rPr>
          <w:rFonts w:ascii="Times New Roman" w:hAnsi="Times New Roman" w:cs="Times New Roman"/>
          <w:sz w:val="24"/>
          <w:szCs w:val="24"/>
        </w:rPr>
        <w:t xml:space="preserve"> légalité s’avère donc très souvent compliquée, rendant les conditions de vie des Voyageurs précaires et instables. Cet état de fait a pour conséquence de maintenir les citoyens itinérants dans une </w:t>
      </w:r>
      <w:r>
        <w:rPr>
          <w:rFonts w:ascii="Times New Roman" w:hAnsi="Times New Roman" w:cs="Times New Roman"/>
          <w:b/>
          <w:bCs/>
          <w:sz w:val="24"/>
          <w:szCs w:val="24"/>
        </w:rPr>
        <w:t>situation de vulnérabilité</w:t>
      </w:r>
      <w:r>
        <w:rPr>
          <w:rFonts w:ascii="Times New Roman" w:hAnsi="Times New Roman" w:cs="Times New Roman"/>
          <w:sz w:val="24"/>
          <w:szCs w:val="24"/>
        </w:rPr>
        <w:t xml:space="preserve"> et de </w:t>
      </w:r>
      <w:r>
        <w:rPr>
          <w:rFonts w:ascii="Times New Roman" w:hAnsi="Times New Roman" w:cs="Times New Roman"/>
          <w:b/>
          <w:bCs/>
          <w:sz w:val="24"/>
          <w:szCs w:val="24"/>
        </w:rPr>
        <w:t xml:space="preserve">risque </w:t>
      </w:r>
      <w:r>
        <w:rPr>
          <w:rFonts w:ascii="Times New Roman" w:hAnsi="Times New Roman" w:cs="Times New Roman"/>
          <w:b/>
          <w:bCs/>
          <w:sz w:val="24"/>
          <w:szCs w:val="24"/>
        </w:rPr>
        <w:t>d’expulsion permanent</w:t>
      </w:r>
      <w:r>
        <w:rPr>
          <w:rFonts w:ascii="Times New Roman" w:hAnsi="Times New Roman" w:cs="Times New Roman"/>
          <w:sz w:val="24"/>
          <w:szCs w:val="24"/>
        </w:rPr>
        <w:t xml:space="preserve">.  </w:t>
      </w:r>
    </w:p>
    <w:p w:rsidR="003B0758" w:rsidRDefault="0006652A">
      <w:pPr>
        <w:spacing w:line="276" w:lineRule="auto"/>
        <w:jc w:val="both"/>
        <w:rPr>
          <w:rFonts w:ascii="Times New Roman" w:hAnsi="Times New Roman" w:cs="Times New Roman"/>
          <w:sz w:val="24"/>
          <w:szCs w:val="24"/>
        </w:rPr>
      </w:pPr>
      <w:r>
        <w:rPr>
          <w:rFonts w:ascii="Times New Roman" w:hAnsi="Times New Roman" w:cs="Times New Roman"/>
          <w:sz w:val="24"/>
          <w:szCs w:val="24"/>
        </w:rPr>
        <w:t>L’ODCI appelle donc l’Etat à faire appliquer le droit au logement opposable</w:t>
      </w:r>
      <w:r>
        <w:rPr>
          <w:rStyle w:val="Ancredenotedebasdepage"/>
          <w:rFonts w:ascii="Times New Roman" w:hAnsi="Times New Roman" w:cs="Times New Roman"/>
          <w:sz w:val="24"/>
          <w:szCs w:val="24"/>
        </w:rPr>
        <w:footnoteReference w:id="19"/>
      </w:r>
      <w:r>
        <w:rPr>
          <w:rFonts w:ascii="Times New Roman" w:hAnsi="Times New Roman" w:cs="Times New Roman"/>
          <w:sz w:val="24"/>
          <w:szCs w:val="24"/>
        </w:rPr>
        <w:t xml:space="preserve"> aux personnes occupant des résidences mobiles. Si un citoyen itinérant se retrouve sans terrain, et donc sans lieu d’habitation licite, en raison des manq</w:t>
      </w:r>
      <w:r>
        <w:rPr>
          <w:rFonts w:ascii="Times New Roman" w:hAnsi="Times New Roman" w:cs="Times New Roman"/>
          <w:sz w:val="24"/>
          <w:szCs w:val="24"/>
        </w:rPr>
        <w:t xml:space="preserve">uements de la commune ou de l’EPCI, il incombe aux services étatiques de remédier à ces manquements en faisant valoir le </w:t>
      </w:r>
      <w:r>
        <w:rPr>
          <w:rFonts w:ascii="Times New Roman" w:hAnsi="Times New Roman" w:cs="Times New Roman"/>
          <w:b/>
          <w:bCs/>
          <w:sz w:val="24"/>
          <w:szCs w:val="24"/>
        </w:rPr>
        <w:t xml:space="preserve">droit au logement opposable, </w:t>
      </w:r>
      <w:r>
        <w:rPr>
          <w:rFonts w:ascii="Times New Roman" w:hAnsi="Times New Roman" w:cs="Times New Roman"/>
          <w:sz w:val="24"/>
          <w:szCs w:val="24"/>
        </w:rPr>
        <w:t xml:space="preserve">en adaptant la procédure aux citoyens itinérants, avec la </w:t>
      </w:r>
      <w:r>
        <w:rPr>
          <w:rFonts w:ascii="Times New Roman" w:hAnsi="Times New Roman" w:cs="Times New Roman"/>
          <w:b/>
          <w:bCs/>
          <w:sz w:val="24"/>
          <w:szCs w:val="24"/>
        </w:rPr>
        <w:t xml:space="preserve">proposition d’un terrain approprié </w:t>
      </w:r>
      <w:r>
        <w:rPr>
          <w:rFonts w:ascii="Times New Roman" w:hAnsi="Times New Roman" w:cs="Times New Roman"/>
          <w:sz w:val="24"/>
          <w:szCs w:val="24"/>
        </w:rPr>
        <w:t>pouvant accue</w:t>
      </w:r>
      <w:r>
        <w:rPr>
          <w:rFonts w:ascii="Times New Roman" w:hAnsi="Times New Roman" w:cs="Times New Roman"/>
          <w:sz w:val="24"/>
          <w:szCs w:val="24"/>
        </w:rPr>
        <w:t xml:space="preserve">illir la résidence mobile et ses occupants pour une période donnée. </w:t>
      </w:r>
    </w:p>
    <w:p w:rsidR="003B0758" w:rsidRDefault="0006652A">
      <w:pPr>
        <w:spacing w:line="276" w:lineRule="auto"/>
        <w:jc w:val="both"/>
        <w:rPr>
          <w:rFonts w:ascii="Times New Roman" w:hAnsi="Times New Roman" w:cs="Times New Roman"/>
          <w:bCs/>
          <w:sz w:val="24"/>
          <w:szCs w:val="24"/>
        </w:rPr>
      </w:pPr>
      <w:r>
        <w:rPr>
          <w:rFonts w:ascii="Times New Roman" w:hAnsi="Times New Roman" w:cs="Times New Roman"/>
          <w:sz w:val="24"/>
          <w:szCs w:val="24"/>
        </w:rPr>
        <w:t xml:space="preserve">Il en est de même pour le droit au relogement. Toute décision d’expulsion doit donner lieu à une </w:t>
      </w:r>
      <w:r>
        <w:rPr>
          <w:rFonts w:ascii="Times New Roman" w:hAnsi="Times New Roman" w:cs="Times New Roman"/>
          <w:b/>
          <w:sz w:val="24"/>
          <w:szCs w:val="24"/>
        </w:rPr>
        <w:t xml:space="preserve">solution de relogement respectueuse du mode de vie des citoyens itinérants </w:t>
      </w:r>
      <w:r>
        <w:rPr>
          <w:rFonts w:ascii="Times New Roman" w:hAnsi="Times New Roman" w:cs="Times New Roman"/>
          <w:bCs/>
          <w:sz w:val="24"/>
          <w:szCs w:val="24"/>
        </w:rPr>
        <w:t>à défaut de por</w:t>
      </w:r>
      <w:r>
        <w:rPr>
          <w:rFonts w:ascii="Times New Roman" w:hAnsi="Times New Roman" w:cs="Times New Roman"/>
          <w:bCs/>
          <w:sz w:val="24"/>
          <w:szCs w:val="24"/>
        </w:rPr>
        <w:t xml:space="preserve">ter atteinte au droit au respect de la vie privée et familiale de l’intéressé.e. </w:t>
      </w:r>
    </w:p>
    <w:p w:rsidR="003B0758" w:rsidRDefault="003B0758">
      <w:pPr>
        <w:pStyle w:val="Titre2"/>
      </w:pPr>
    </w:p>
    <w:p w:rsidR="003B0758" w:rsidRDefault="0006652A">
      <w:pPr>
        <w:pStyle w:val="Titre2"/>
      </w:pPr>
      <w:bookmarkStart w:id="12" w:name="_Toc23250603"/>
      <w:r>
        <w:t>2.5. Introduire un dispositif de protection contre les expulsions</w:t>
      </w:r>
      <w:bookmarkEnd w:id="12"/>
    </w:p>
    <w:p w:rsidR="003B0758" w:rsidRDefault="003B0758">
      <w:pPr>
        <w:spacing w:line="276" w:lineRule="auto"/>
        <w:jc w:val="both"/>
      </w:pPr>
    </w:p>
    <w:p w:rsidR="003B0758" w:rsidRDefault="0006652A">
      <w:pPr>
        <w:spacing w:line="276" w:lineRule="auto"/>
        <w:jc w:val="both"/>
        <w:rPr>
          <w:rFonts w:ascii="Times New Roman" w:hAnsi="Times New Roman" w:cs="Times New Roman"/>
          <w:sz w:val="24"/>
          <w:szCs w:val="24"/>
        </w:rPr>
      </w:pPr>
      <w:bookmarkStart w:id="13" w:name="__DdeLink__3091_2965160065"/>
      <w:r>
        <w:rPr>
          <w:rFonts w:ascii="Times New Roman" w:hAnsi="Times New Roman" w:cs="Times New Roman"/>
          <w:sz w:val="24"/>
          <w:szCs w:val="24"/>
        </w:rPr>
        <w:t xml:space="preserve">L’article 9, I° de la loi Besson permet aux communes qui </w:t>
      </w:r>
      <w:r>
        <w:rPr>
          <w:rFonts w:ascii="Times New Roman" w:eastAsia="Calibri" w:hAnsi="Times New Roman" w:cs="Times New Roman"/>
          <w:sz w:val="24"/>
          <w:szCs w:val="24"/>
        </w:rPr>
        <w:t>remplissent leurs obligations en matière d’accuei</w:t>
      </w:r>
      <w:r>
        <w:rPr>
          <w:rFonts w:ascii="Times New Roman" w:eastAsia="Calibri" w:hAnsi="Times New Roman" w:cs="Times New Roman"/>
          <w:sz w:val="24"/>
          <w:szCs w:val="24"/>
        </w:rPr>
        <w:t>l des Gens du voyage de prendre un arrêté interdisant le stationnement de résidences mobiles en dehors des aires d'accueil et des terrains familiaux locatifs sous certaines conditions. Dans le prolongement du I°, le II° de l’article 9 ainsi que l’article 9</w:t>
      </w:r>
      <w:r>
        <w:rPr>
          <w:rFonts w:ascii="Times New Roman" w:eastAsia="Calibri" w:hAnsi="Times New Roman" w:cs="Times New Roman"/>
          <w:sz w:val="24"/>
          <w:szCs w:val="24"/>
        </w:rPr>
        <w:t>-1 instaurent une procédure de mise en demeure lorsqu’il est considéré que le stationnement porte atteinte à la salubrité, la sécurité et à la tranquillité publiques.</w:t>
      </w:r>
      <w:bookmarkEnd w:id="13"/>
      <w:r>
        <w:rPr>
          <w:rFonts w:ascii="Times New Roman" w:eastAsia="Calibri" w:hAnsi="Times New Roman" w:cs="Times New Roman"/>
          <w:sz w:val="24"/>
          <w:szCs w:val="24"/>
        </w:rPr>
        <w:t xml:space="preserve"> Ces notions sont généralement interprétées de manière large et échappent souvent au contr</w:t>
      </w:r>
      <w:r>
        <w:rPr>
          <w:rFonts w:ascii="Times New Roman" w:eastAsia="Calibri" w:hAnsi="Times New Roman" w:cs="Times New Roman"/>
          <w:sz w:val="24"/>
          <w:szCs w:val="24"/>
        </w:rPr>
        <w:t>ôle du juge dans la mesure où le délai de recours demeure très court</w:t>
      </w:r>
      <w:r>
        <w:rPr>
          <w:rStyle w:val="Ancredenotedebasdepage"/>
          <w:rFonts w:ascii="Times New Roman" w:eastAsia="Calibri" w:hAnsi="Times New Roman" w:cs="Times New Roman"/>
          <w:sz w:val="24"/>
          <w:szCs w:val="24"/>
        </w:rPr>
        <w:footnoteReference w:id="20"/>
      </w:r>
      <w:r>
        <w:rPr>
          <w:rFonts w:ascii="Times New Roman" w:eastAsia="Calibri" w:hAnsi="Times New Roman" w:cs="Times New Roman"/>
          <w:sz w:val="24"/>
          <w:szCs w:val="24"/>
        </w:rPr>
        <w:t xml:space="preserve">, portant ainsi atteinte au droit au recours effectif. Par ailleurs, la mise en demeure reste applicable lorsque la résidence mobile se retrouve, dans un délai de sept jours à compter de </w:t>
      </w:r>
      <w:r>
        <w:rPr>
          <w:rFonts w:ascii="Times New Roman" w:eastAsia="Calibri" w:hAnsi="Times New Roman" w:cs="Times New Roman"/>
          <w:sz w:val="24"/>
          <w:szCs w:val="24"/>
        </w:rPr>
        <w:t xml:space="preserve">sa notification, </w:t>
      </w:r>
      <w:r>
        <w:rPr>
          <w:rFonts w:ascii="Times New Roman" w:eastAsia="Calibri" w:hAnsi="Times New Roman" w:cs="Times New Roman"/>
          <w:i/>
          <w:iCs/>
          <w:sz w:val="24"/>
          <w:szCs w:val="24"/>
        </w:rPr>
        <w:t>« en situation de stationnement illicite sur le territoire de la commune ou de tout ou partie du territoire de l’intercommunalité concernée en violation du même arrêté »</w:t>
      </w:r>
      <w:r>
        <w:rPr>
          <w:rFonts w:ascii="Times New Roman" w:eastAsia="Calibri" w:hAnsi="Times New Roman" w:cs="Times New Roman"/>
          <w:sz w:val="24"/>
          <w:szCs w:val="24"/>
        </w:rPr>
        <w:t>. Il s’ensuit que l’interdiction de stationnement pendant une durée de</w:t>
      </w:r>
      <w:r>
        <w:rPr>
          <w:rFonts w:ascii="Times New Roman" w:eastAsia="Calibri" w:hAnsi="Times New Roman" w:cs="Times New Roman"/>
          <w:sz w:val="24"/>
          <w:szCs w:val="24"/>
        </w:rPr>
        <w:t xml:space="preserve"> sept jours peut s’appliquer à tout le territoire d’une intercommunalité, portant ainsi non seulement atteinte à la liberté de circulation qui englobe la liberté de stationnement, mais également au droit au respect de la vie privée et familiale, au droit à</w:t>
      </w:r>
      <w:r>
        <w:rPr>
          <w:rFonts w:ascii="Times New Roman" w:eastAsia="Calibri" w:hAnsi="Times New Roman" w:cs="Times New Roman"/>
          <w:sz w:val="24"/>
          <w:szCs w:val="24"/>
        </w:rPr>
        <w:t xml:space="preserve"> la scolarisation, à la santé, à la formation et à l’emploi, dépendant de la situation de la personne sous le coup d’une telle mesure. </w:t>
      </w:r>
    </w:p>
    <w:p w:rsidR="003B0758" w:rsidRDefault="0006652A">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L’ODCI appelle à l’abrogation de ces dispositions. A défaut d’une abrogation, l’ODCI recommande l’introduction de garant</w:t>
      </w:r>
      <w:r>
        <w:rPr>
          <w:rFonts w:ascii="Times New Roman" w:eastAsia="Calibri" w:hAnsi="Times New Roman" w:cs="Times New Roman"/>
          <w:sz w:val="24"/>
          <w:szCs w:val="24"/>
        </w:rPr>
        <w:t xml:space="preserve">ies supplémentaires. D’une part, </w:t>
      </w:r>
      <w:r>
        <w:rPr>
          <w:rFonts w:ascii="Times New Roman" w:eastAsia="Calibri" w:hAnsi="Times New Roman" w:cs="Times New Roman"/>
          <w:b/>
          <w:bCs/>
          <w:sz w:val="24"/>
          <w:szCs w:val="24"/>
        </w:rPr>
        <w:t>l’atteinte à la salubrité, la sécurité et à la tranquillité publiques doit être pleinement caractérisée</w:t>
      </w:r>
      <w:r>
        <w:rPr>
          <w:rFonts w:ascii="Times New Roman" w:eastAsia="Calibri" w:hAnsi="Times New Roman" w:cs="Times New Roman"/>
          <w:sz w:val="24"/>
          <w:szCs w:val="24"/>
        </w:rPr>
        <w:t>, avec des arrêtés de mise en demeure motivés en fait et en droit. Cela implique que préalablement à l’édiction d’une mi</w:t>
      </w:r>
      <w:r>
        <w:rPr>
          <w:rFonts w:ascii="Times New Roman" w:eastAsia="Calibri" w:hAnsi="Times New Roman" w:cs="Times New Roman"/>
          <w:sz w:val="24"/>
          <w:szCs w:val="24"/>
        </w:rPr>
        <w:t xml:space="preserve">se en demeure, l’administration doit procéder à un </w:t>
      </w:r>
      <w:r>
        <w:rPr>
          <w:rFonts w:ascii="Times New Roman" w:eastAsia="Calibri" w:hAnsi="Times New Roman" w:cs="Times New Roman"/>
          <w:b/>
          <w:bCs/>
          <w:sz w:val="24"/>
          <w:szCs w:val="24"/>
        </w:rPr>
        <w:t>examen personnalisé de la situation de la personne</w:t>
      </w:r>
      <w:r>
        <w:rPr>
          <w:rFonts w:ascii="Times New Roman" w:eastAsia="Calibri" w:hAnsi="Times New Roman" w:cs="Times New Roman"/>
          <w:sz w:val="24"/>
          <w:szCs w:val="24"/>
        </w:rPr>
        <w:t xml:space="preserve"> frappée par un tel arrêté ainsi qu’à un </w:t>
      </w:r>
      <w:r>
        <w:rPr>
          <w:rFonts w:ascii="Times New Roman" w:eastAsia="Calibri" w:hAnsi="Times New Roman" w:cs="Times New Roman"/>
          <w:b/>
          <w:bCs/>
          <w:sz w:val="24"/>
          <w:szCs w:val="24"/>
        </w:rPr>
        <w:t>examen de proportionnalité</w:t>
      </w:r>
      <w:r>
        <w:rPr>
          <w:rFonts w:ascii="Times New Roman" w:eastAsia="Calibri" w:hAnsi="Times New Roman" w:cs="Times New Roman"/>
          <w:sz w:val="24"/>
          <w:szCs w:val="24"/>
        </w:rPr>
        <w:t xml:space="preserve"> au regard du respect de la vie privée et familiale de l’intéressé. D’autre part, l’édiction d’un arrêté municipal portant interdiction de stationnement de résidences mobiles ne devrait pouvoir être édicté qu’en cas de </w:t>
      </w:r>
      <w:r>
        <w:rPr>
          <w:rFonts w:ascii="Times New Roman" w:eastAsia="Calibri" w:hAnsi="Times New Roman" w:cs="Times New Roman"/>
          <w:b/>
          <w:bCs/>
          <w:sz w:val="24"/>
          <w:szCs w:val="24"/>
        </w:rPr>
        <w:t>garanties supplémentaires</w:t>
      </w:r>
      <w:r>
        <w:rPr>
          <w:rFonts w:ascii="Times New Roman" w:eastAsia="Calibri" w:hAnsi="Times New Roman" w:cs="Times New Roman"/>
          <w:sz w:val="24"/>
          <w:szCs w:val="24"/>
        </w:rPr>
        <w:t xml:space="preserve"> introduites</w:t>
      </w:r>
      <w:r>
        <w:rPr>
          <w:rFonts w:ascii="Times New Roman" w:eastAsia="Calibri" w:hAnsi="Times New Roman" w:cs="Times New Roman"/>
          <w:sz w:val="24"/>
          <w:szCs w:val="24"/>
        </w:rPr>
        <w:t xml:space="preserve"> par la loi, telles que la </w:t>
      </w:r>
      <w:r>
        <w:rPr>
          <w:rFonts w:ascii="Times New Roman" w:eastAsia="Calibri" w:hAnsi="Times New Roman" w:cs="Times New Roman"/>
          <w:b/>
          <w:bCs/>
          <w:sz w:val="24"/>
          <w:szCs w:val="24"/>
        </w:rPr>
        <w:t>mise en œuvre effective de mesures en matière d’accueil des Voyageurs par la commune</w:t>
      </w:r>
      <w:r>
        <w:rPr>
          <w:rFonts w:ascii="Times New Roman" w:eastAsia="Calibri" w:hAnsi="Times New Roman" w:cs="Times New Roman"/>
          <w:sz w:val="24"/>
          <w:szCs w:val="24"/>
        </w:rPr>
        <w:t xml:space="preserve"> (ex. : le fait qu’une commune dispose d’un emplacement pour la construction d’une aire d’accueil ne devrait aucunement suffire à déclencher la p</w:t>
      </w:r>
      <w:r>
        <w:rPr>
          <w:rFonts w:ascii="Times New Roman" w:eastAsia="Calibri" w:hAnsi="Times New Roman" w:cs="Times New Roman"/>
          <w:sz w:val="24"/>
          <w:szCs w:val="24"/>
        </w:rPr>
        <w:t xml:space="preserve">rocédure de mise en demeure). Par ailleurs, la procédure d’expulsion doit incorporer des </w:t>
      </w:r>
      <w:r>
        <w:rPr>
          <w:rFonts w:ascii="Times New Roman" w:eastAsia="Calibri" w:hAnsi="Times New Roman" w:cs="Times New Roman"/>
          <w:b/>
          <w:bCs/>
          <w:sz w:val="24"/>
          <w:szCs w:val="24"/>
        </w:rPr>
        <w:t>droits plus protecteurs pour les personnes visées par des mesures d’expulsion</w:t>
      </w:r>
      <w:r>
        <w:rPr>
          <w:rFonts w:ascii="Times New Roman" w:eastAsia="Calibri" w:hAnsi="Times New Roman" w:cs="Times New Roman"/>
          <w:sz w:val="24"/>
          <w:szCs w:val="24"/>
        </w:rPr>
        <w:t>, et plus particulièrement un délai de recours plus long</w:t>
      </w:r>
      <w:r>
        <w:rPr>
          <w:rStyle w:val="Ancredenotedebasdepage"/>
          <w:rFonts w:ascii="Times New Roman" w:eastAsia="Calibri" w:hAnsi="Times New Roman" w:cs="Times New Roman"/>
          <w:sz w:val="24"/>
          <w:szCs w:val="24"/>
        </w:rPr>
        <w:footnoteReference w:id="21"/>
      </w:r>
      <w:r>
        <w:rPr>
          <w:rFonts w:ascii="Times New Roman" w:eastAsia="Calibri" w:hAnsi="Times New Roman" w:cs="Times New Roman"/>
          <w:sz w:val="24"/>
          <w:szCs w:val="24"/>
        </w:rPr>
        <w:t>, un accès à l’aide juridictionne</w:t>
      </w:r>
      <w:r>
        <w:rPr>
          <w:rFonts w:ascii="Times New Roman" w:eastAsia="Calibri" w:hAnsi="Times New Roman" w:cs="Times New Roman"/>
          <w:sz w:val="24"/>
          <w:szCs w:val="24"/>
        </w:rPr>
        <w:t xml:space="preserve">lle facilité et, comme mentionné dans le point 2.4, la </w:t>
      </w:r>
      <w:r>
        <w:rPr>
          <w:rFonts w:ascii="Times New Roman" w:eastAsia="Calibri" w:hAnsi="Times New Roman" w:cs="Times New Roman"/>
          <w:b/>
          <w:bCs/>
          <w:sz w:val="24"/>
          <w:szCs w:val="24"/>
        </w:rPr>
        <w:t xml:space="preserve">mise en place d’une </w:t>
      </w:r>
      <w:r>
        <w:rPr>
          <w:rFonts w:ascii="Times New Roman" w:eastAsia="Calibri" w:hAnsi="Times New Roman" w:cs="Times New Roman"/>
          <w:b/>
          <w:bCs/>
          <w:sz w:val="24"/>
          <w:szCs w:val="24"/>
        </w:rPr>
        <w:lastRenderedPageBreak/>
        <w:t>procédure de relogement respectueuse du mode de vie de l’intéressé.e</w:t>
      </w:r>
      <w:r>
        <w:rPr>
          <w:rFonts w:ascii="Times New Roman" w:eastAsia="Calibri" w:hAnsi="Times New Roman" w:cs="Times New Roman"/>
          <w:sz w:val="24"/>
          <w:szCs w:val="24"/>
        </w:rPr>
        <w:t xml:space="preserve">.  Enfin, l’ODCI recommande l’application du la trêve hivernale aux citoyens itinérants. </w:t>
      </w:r>
    </w:p>
    <w:p w:rsidR="003B0758" w:rsidRDefault="003B0758">
      <w:pPr>
        <w:spacing w:line="276" w:lineRule="auto"/>
        <w:jc w:val="both"/>
        <w:rPr>
          <w:rFonts w:ascii="Times New Roman" w:eastAsia="Calibri" w:hAnsi="Times New Roman" w:cs="Times New Roman"/>
          <w:sz w:val="24"/>
          <w:szCs w:val="24"/>
        </w:rPr>
      </w:pPr>
    </w:p>
    <w:p w:rsidR="003B0758" w:rsidRDefault="0006652A">
      <w:pPr>
        <w:pStyle w:val="Titre1"/>
        <w:numPr>
          <w:ilvl w:val="0"/>
          <w:numId w:val="1"/>
        </w:numPr>
        <w:rPr>
          <w:b/>
          <w:bCs/>
          <w:sz w:val="28"/>
          <w:szCs w:val="28"/>
        </w:rPr>
      </w:pPr>
      <w:bookmarkStart w:id="14" w:name="_Toc23250604"/>
      <w:r>
        <w:rPr>
          <w:b/>
          <w:bCs/>
          <w:sz w:val="28"/>
          <w:szCs w:val="28"/>
          <w:u w:val="single"/>
        </w:rPr>
        <w:t>Recommandation n°3</w:t>
      </w:r>
      <w:bookmarkStart w:id="15" w:name="_Hlk15542665"/>
      <w:bookmarkEnd w:id="15"/>
      <w:r>
        <w:rPr>
          <w:b/>
          <w:bCs/>
          <w:sz w:val="28"/>
          <w:szCs w:val="28"/>
        </w:rPr>
        <w:t> : En finir avec la « criminalisation » des citoyens itinérants</w:t>
      </w:r>
      <w:bookmarkEnd w:id="14"/>
    </w:p>
    <w:p w:rsidR="003B0758" w:rsidRDefault="003B0758">
      <w:pPr>
        <w:spacing w:line="276" w:lineRule="auto"/>
        <w:rPr>
          <w:rFonts w:ascii="Times New Roman" w:hAnsi="Times New Roman" w:cs="Times New Roman"/>
          <w:b/>
          <w:bCs/>
          <w:color w:val="ED7D31" w:themeColor="accent2"/>
          <w:sz w:val="24"/>
          <w:szCs w:val="24"/>
        </w:rPr>
      </w:pPr>
    </w:p>
    <w:p w:rsidR="003B0758" w:rsidRDefault="0006652A">
      <w:pPr>
        <w:pStyle w:val="Titre2"/>
      </w:pPr>
      <w:bookmarkStart w:id="16" w:name="_Toc23250605"/>
      <w:r>
        <w:t>3.1. Abroger le délit de stationnement illicite en réunion</w:t>
      </w:r>
      <w:bookmarkEnd w:id="16"/>
    </w:p>
    <w:p w:rsidR="003B0758" w:rsidRDefault="003B0758"/>
    <w:p w:rsidR="003B0758" w:rsidRDefault="0006652A">
      <w:pPr>
        <w:spacing w:line="276" w:lineRule="auto"/>
        <w:jc w:val="both"/>
      </w:pPr>
      <w:r>
        <w:rPr>
          <w:rFonts w:ascii="Times New Roman" w:hAnsi="Times New Roman" w:cs="Times New Roman"/>
          <w:sz w:val="24"/>
          <w:szCs w:val="24"/>
        </w:rPr>
        <w:t xml:space="preserve">La loi </w:t>
      </w:r>
      <w:r>
        <w:rPr>
          <w:rStyle w:val="ilfuvd"/>
          <w:rFonts w:ascii="Times New Roman" w:hAnsi="Times New Roman" w:cs="Times New Roman"/>
          <w:sz w:val="24"/>
          <w:szCs w:val="24"/>
        </w:rPr>
        <w:t xml:space="preserve">n° </w:t>
      </w:r>
      <w:r>
        <w:rPr>
          <w:rStyle w:val="ilfuvd"/>
          <w:rFonts w:ascii="Times New Roman" w:hAnsi="Times New Roman" w:cs="Times New Roman"/>
          <w:bCs/>
          <w:sz w:val="24"/>
          <w:szCs w:val="24"/>
        </w:rPr>
        <w:t>2018</w:t>
      </w:r>
      <w:r>
        <w:rPr>
          <w:rStyle w:val="ilfuvd"/>
          <w:rFonts w:ascii="Times New Roman" w:hAnsi="Times New Roman" w:cs="Times New Roman"/>
          <w:sz w:val="24"/>
          <w:szCs w:val="24"/>
        </w:rPr>
        <w:t xml:space="preserve">-957 relative « à l'accueil des </w:t>
      </w:r>
      <w:r>
        <w:rPr>
          <w:rStyle w:val="ilfuvd"/>
          <w:rFonts w:ascii="Times New Roman" w:hAnsi="Times New Roman" w:cs="Times New Roman"/>
          <w:bCs/>
          <w:sz w:val="24"/>
          <w:szCs w:val="24"/>
        </w:rPr>
        <w:t>Gens du voyage</w:t>
      </w:r>
      <w:r>
        <w:rPr>
          <w:rStyle w:val="ilfuvd"/>
          <w:rFonts w:ascii="Times New Roman" w:hAnsi="Times New Roman" w:cs="Times New Roman"/>
          <w:sz w:val="24"/>
          <w:szCs w:val="24"/>
        </w:rPr>
        <w:t xml:space="preserve"> et à la lutte contre les installations illicites » i</w:t>
      </w:r>
      <w:r>
        <w:rPr>
          <w:rStyle w:val="ilfuvd"/>
          <w:rFonts w:ascii="Times New Roman" w:hAnsi="Times New Roman" w:cs="Times New Roman"/>
          <w:sz w:val="24"/>
          <w:szCs w:val="24"/>
        </w:rPr>
        <w:t>nstaure</w:t>
      </w:r>
      <w:r>
        <w:rPr>
          <w:rFonts w:ascii="Times New Roman" w:hAnsi="Times New Roman" w:cs="Times New Roman"/>
          <w:sz w:val="24"/>
          <w:szCs w:val="24"/>
        </w:rPr>
        <w:t xml:space="preserve"> le doublement de la peine encourue pour les Voyageurs poursuivis pour le délit d’installation illicite en réunion, avec le passage d’une peine de six mois d’emprisonnement et de 3750 euros d’amende à un an d’emprisonnement et 7 500 euros d’amende</w:t>
      </w:r>
      <w:r>
        <w:rPr>
          <w:rStyle w:val="Ancredenotedebasdepage"/>
          <w:rFonts w:ascii="Times New Roman" w:hAnsi="Times New Roman" w:cs="Times New Roman"/>
          <w:sz w:val="24"/>
          <w:szCs w:val="24"/>
        </w:rPr>
        <w:footnoteReference w:id="22"/>
      </w:r>
      <w:r>
        <w:rPr>
          <w:rFonts w:ascii="Times New Roman" w:hAnsi="Times New Roman" w:cs="Times New Roman"/>
          <w:sz w:val="24"/>
          <w:szCs w:val="24"/>
        </w:rPr>
        <w:t>.</w:t>
      </w:r>
      <w:r>
        <w:rPr>
          <w:rFonts w:ascii="Times New Roman" w:hAnsi="Times New Roman" w:cs="Times New Roman"/>
          <w:sz w:val="24"/>
          <w:szCs w:val="24"/>
        </w:rPr>
        <w:t xml:space="preserve"> </w:t>
      </w:r>
    </w:p>
    <w:p w:rsidR="003B0758" w:rsidRDefault="0006652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Ces </w:t>
      </w:r>
      <w:r>
        <w:rPr>
          <w:rFonts w:ascii="Times New Roman" w:hAnsi="Times New Roman" w:cs="Times New Roman"/>
          <w:b/>
          <w:bCs/>
          <w:sz w:val="24"/>
          <w:szCs w:val="24"/>
        </w:rPr>
        <w:t>dispositions ont pour effet de criminaliser encore davantage une population déjà stigmatisée et ce, alors même que l’Etat ne se conforme pas à ses obligations</w:t>
      </w:r>
      <w:r>
        <w:rPr>
          <w:rFonts w:ascii="Times New Roman" w:hAnsi="Times New Roman" w:cs="Times New Roman"/>
          <w:sz w:val="24"/>
          <w:szCs w:val="24"/>
        </w:rPr>
        <w:t xml:space="preserve"> en matière d’accueil des Voyageurs, ce qui engendre des situations d’installations illicites. L’ODCI recommande donc l’abrogation du délit d’installation illicite en réunion. </w:t>
      </w:r>
    </w:p>
    <w:p w:rsidR="003B0758" w:rsidRDefault="003B0758"/>
    <w:p w:rsidR="003B0758" w:rsidRDefault="0006652A">
      <w:pPr>
        <w:pStyle w:val="Titre2"/>
      </w:pPr>
      <w:bookmarkStart w:id="17" w:name="_Toc23250606"/>
      <w:r>
        <w:t>3.2. Mettre fin à un système de contrôle et de surveillance</w:t>
      </w:r>
      <w:bookmarkEnd w:id="17"/>
    </w:p>
    <w:p w:rsidR="003B0758" w:rsidRDefault="003B0758">
      <w:pPr>
        <w:spacing w:line="276" w:lineRule="auto"/>
        <w:jc w:val="both"/>
      </w:pPr>
    </w:p>
    <w:p w:rsidR="003B0758" w:rsidRDefault="0006652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L’ODCI considère </w:t>
      </w:r>
      <w:r>
        <w:rPr>
          <w:rFonts w:ascii="Times New Roman" w:hAnsi="Times New Roman" w:cs="Times New Roman"/>
          <w:sz w:val="24"/>
          <w:szCs w:val="24"/>
        </w:rPr>
        <w:t xml:space="preserve">que l’aire d’accueil, pierre angulaire d’un régime d’exception instauré par la loi Besson, </w:t>
      </w:r>
      <w:r>
        <w:rPr>
          <w:rFonts w:ascii="Times New Roman" w:hAnsi="Times New Roman" w:cs="Times New Roman"/>
          <w:b/>
          <w:bCs/>
          <w:sz w:val="24"/>
          <w:szCs w:val="24"/>
        </w:rPr>
        <w:t>s’apparente à un lieu de vie du type « camp »</w:t>
      </w:r>
      <w:r>
        <w:rPr>
          <w:rFonts w:ascii="Times New Roman" w:hAnsi="Times New Roman" w:cs="Times New Roman"/>
          <w:sz w:val="24"/>
          <w:szCs w:val="24"/>
        </w:rPr>
        <w:t xml:space="preserve">. Il s’agit d’un </w:t>
      </w:r>
      <w:r>
        <w:rPr>
          <w:rFonts w:ascii="Times New Roman" w:hAnsi="Times New Roman" w:cs="Times New Roman"/>
          <w:b/>
          <w:bCs/>
          <w:sz w:val="24"/>
          <w:szCs w:val="24"/>
        </w:rPr>
        <w:t>lieu d’exception</w:t>
      </w:r>
      <w:r>
        <w:rPr>
          <w:rFonts w:ascii="Times New Roman" w:hAnsi="Times New Roman" w:cs="Times New Roman"/>
          <w:sz w:val="24"/>
          <w:szCs w:val="24"/>
        </w:rPr>
        <w:t xml:space="preserve">, </w:t>
      </w:r>
      <w:r>
        <w:rPr>
          <w:rFonts w:ascii="Times New Roman" w:hAnsi="Times New Roman" w:cs="Times New Roman"/>
          <w:b/>
          <w:bCs/>
          <w:sz w:val="24"/>
          <w:szCs w:val="24"/>
        </w:rPr>
        <w:t>en marge de la société, régi par un système de surveillance et une série d’interdicti</w:t>
      </w:r>
      <w:r>
        <w:rPr>
          <w:rFonts w:ascii="Times New Roman" w:hAnsi="Times New Roman" w:cs="Times New Roman"/>
          <w:b/>
          <w:bCs/>
          <w:sz w:val="24"/>
          <w:szCs w:val="24"/>
        </w:rPr>
        <w:t>ons et de sanctions</w:t>
      </w:r>
      <w:r>
        <w:rPr>
          <w:rFonts w:ascii="Times New Roman" w:hAnsi="Times New Roman" w:cs="Times New Roman"/>
          <w:sz w:val="24"/>
          <w:szCs w:val="24"/>
        </w:rPr>
        <w:t xml:space="preserve">. Il n’est pas sans rappeler que les modes de vie en camp ont été historiquement conçus pour mettre de côté et contrôler des populations considérées comme marginales et donc indésirables. </w:t>
      </w:r>
    </w:p>
    <w:p w:rsidR="003B0758" w:rsidRDefault="0006652A">
      <w:pPr>
        <w:spacing w:line="276" w:lineRule="auto"/>
        <w:jc w:val="both"/>
        <w:rPr>
          <w:rFonts w:ascii="Times New Roman" w:hAnsi="Times New Roman" w:cs="Times New Roman"/>
          <w:sz w:val="24"/>
          <w:szCs w:val="24"/>
        </w:rPr>
      </w:pPr>
      <w:r>
        <w:rPr>
          <w:rFonts w:ascii="Times New Roman" w:hAnsi="Times New Roman" w:cs="Times New Roman"/>
          <w:sz w:val="24"/>
          <w:szCs w:val="24"/>
        </w:rPr>
        <w:t>L’ODCI appelle par conséquent l’Etat à mettre fi</w:t>
      </w:r>
      <w:r>
        <w:rPr>
          <w:rFonts w:ascii="Times New Roman" w:hAnsi="Times New Roman" w:cs="Times New Roman"/>
          <w:sz w:val="24"/>
          <w:szCs w:val="24"/>
        </w:rPr>
        <w:t>n au système de surveillance qui prédomine sur ces lieux de vie. L’</w:t>
      </w:r>
      <w:r>
        <w:rPr>
          <w:rFonts w:ascii="Times New Roman" w:hAnsi="Times New Roman" w:cs="Times New Roman"/>
          <w:b/>
          <w:bCs/>
          <w:sz w:val="24"/>
          <w:szCs w:val="24"/>
        </w:rPr>
        <w:t>accès</w:t>
      </w:r>
      <w:r>
        <w:rPr>
          <w:rFonts w:ascii="Times New Roman" w:hAnsi="Times New Roman" w:cs="Times New Roman"/>
          <w:sz w:val="24"/>
          <w:szCs w:val="24"/>
        </w:rPr>
        <w:t xml:space="preserve"> à l’aire d’accueil doit être </w:t>
      </w:r>
      <w:r>
        <w:rPr>
          <w:rFonts w:ascii="Times New Roman" w:hAnsi="Times New Roman" w:cs="Times New Roman"/>
          <w:b/>
          <w:bCs/>
          <w:sz w:val="24"/>
          <w:szCs w:val="24"/>
        </w:rPr>
        <w:t>libre et exempt de tout contrôle</w:t>
      </w:r>
      <w:r>
        <w:rPr>
          <w:rFonts w:ascii="Times New Roman" w:hAnsi="Times New Roman" w:cs="Times New Roman"/>
          <w:sz w:val="24"/>
          <w:szCs w:val="24"/>
        </w:rPr>
        <w:t xml:space="preserve"> par les autorités municipales et/ou par les organismes à qui leur gestion est déléguée. De la même façon, les formes de s</w:t>
      </w:r>
      <w:r>
        <w:rPr>
          <w:rFonts w:ascii="Times New Roman" w:hAnsi="Times New Roman" w:cs="Times New Roman"/>
          <w:sz w:val="24"/>
          <w:szCs w:val="24"/>
        </w:rPr>
        <w:t>urveillance, telles que l’installation de caméras de surveillance ou le recueil des données des plaques d’immatriculation sans l’accord préalable des personnes concernées, n’ont pas leur place au sein de ces lieux de vie. Quant aux règlements intérieurs de</w:t>
      </w:r>
      <w:r>
        <w:rPr>
          <w:rFonts w:ascii="Times New Roman" w:hAnsi="Times New Roman" w:cs="Times New Roman"/>
          <w:sz w:val="24"/>
          <w:szCs w:val="24"/>
        </w:rPr>
        <w:t xml:space="preserve">s aires d’accueil, ils doivent faire l’objet d’une refonte et d’une harmonisation afin </w:t>
      </w:r>
      <w:r>
        <w:rPr>
          <w:rFonts w:ascii="Times New Roman" w:hAnsi="Times New Roman" w:cs="Times New Roman"/>
          <w:b/>
          <w:bCs/>
          <w:sz w:val="24"/>
          <w:szCs w:val="24"/>
        </w:rPr>
        <w:t>de supprimer toute disposition disproportionnée et attentatoire aux droits</w:t>
      </w:r>
      <w:r>
        <w:rPr>
          <w:rFonts w:ascii="Times New Roman" w:hAnsi="Times New Roman" w:cs="Times New Roman"/>
          <w:sz w:val="24"/>
          <w:szCs w:val="24"/>
        </w:rPr>
        <w:t xml:space="preserve"> des intéressé.es. Les dispositions ayant trait aux sanctions, allant de l’exclusion à l’interd</w:t>
      </w:r>
      <w:r>
        <w:rPr>
          <w:rFonts w:ascii="Times New Roman" w:hAnsi="Times New Roman" w:cs="Times New Roman"/>
          <w:sz w:val="24"/>
          <w:szCs w:val="24"/>
        </w:rPr>
        <w:t xml:space="preserve">iction de séjour par exemple, doivent être fondées sur des critères objectifs inscrits au sein du règlement. Des </w:t>
      </w:r>
      <w:r>
        <w:rPr>
          <w:rFonts w:ascii="Times New Roman" w:hAnsi="Times New Roman" w:cs="Times New Roman"/>
          <w:sz w:val="24"/>
          <w:szCs w:val="24"/>
        </w:rPr>
        <w:lastRenderedPageBreak/>
        <w:t xml:space="preserve">modalités de recours, dans des délais raisonnables, contre de telles sanctions doivent également figurer au règlement.  </w:t>
      </w:r>
    </w:p>
    <w:p w:rsidR="003B0758" w:rsidRDefault="003B0758"/>
    <w:p w:rsidR="003B0758" w:rsidRDefault="0006652A">
      <w:pPr>
        <w:pStyle w:val="Titre2"/>
      </w:pPr>
      <w:bookmarkStart w:id="18" w:name="_Toc23250607"/>
      <w:r>
        <w:t>3.3. Cesser les contr</w:t>
      </w:r>
      <w:r>
        <w:t>ôles au faciès</w:t>
      </w:r>
      <w:bookmarkEnd w:id="18"/>
    </w:p>
    <w:p w:rsidR="003B0758" w:rsidRDefault="003B0758"/>
    <w:p w:rsidR="003B0758" w:rsidRDefault="0006652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Malgré l’absence de chiffres sur la question, l’ODCI constate que les citoyens itinérants sont soumis à des contrôles d’identité dans des proportions bien plus élevées que ceux réalisés parmi le restant de la population. </w:t>
      </w:r>
    </w:p>
    <w:p w:rsidR="003B0758" w:rsidRDefault="0006652A">
      <w:pPr>
        <w:spacing w:line="276" w:lineRule="auto"/>
        <w:jc w:val="both"/>
        <w:rPr>
          <w:rFonts w:ascii="Times New Roman" w:hAnsi="Times New Roman" w:cs="Times New Roman"/>
          <w:sz w:val="24"/>
          <w:szCs w:val="24"/>
        </w:rPr>
      </w:pPr>
      <w:r>
        <w:rPr>
          <w:rFonts w:ascii="Times New Roman" w:hAnsi="Times New Roman" w:cs="Times New Roman"/>
          <w:sz w:val="24"/>
          <w:szCs w:val="24"/>
        </w:rPr>
        <w:t>Aucun élément ne s</w:t>
      </w:r>
      <w:r>
        <w:rPr>
          <w:rFonts w:ascii="Times New Roman" w:hAnsi="Times New Roman" w:cs="Times New Roman"/>
          <w:sz w:val="24"/>
          <w:szCs w:val="24"/>
        </w:rPr>
        <w:t xml:space="preserve">aurait justifier ce fort taux de contrôles d’identité dès lors que dans de nombreux cas, ceux et celles qui en sont victimes, sont </w:t>
      </w:r>
      <w:r>
        <w:rPr>
          <w:rFonts w:ascii="Times New Roman" w:hAnsi="Times New Roman" w:cs="Times New Roman"/>
          <w:b/>
          <w:bCs/>
          <w:sz w:val="24"/>
          <w:szCs w:val="24"/>
        </w:rPr>
        <w:t>contrôlés en l’absence de critères objectifs qui pourraient les justifier</w:t>
      </w:r>
      <w:r>
        <w:rPr>
          <w:rFonts w:ascii="Times New Roman" w:hAnsi="Times New Roman" w:cs="Times New Roman"/>
          <w:sz w:val="24"/>
          <w:szCs w:val="24"/>
        </w:rPr>
        <w:t xml:space="preserve">. </w:t>
      </w:r>
    </w:p>
    <w:p w:rsidR="003B0758" w:rsidRDefault="0006652A">
      <w:pPr>
        <w:spacing w:line="276" w:lineRule="auto"/>
        <w:jc w:val="both"/>
        <w:rPr>
          <w:rFonts w:ascii="Times New Roman" w:hAnsi="Times New Roman" w:cs="Times New Roman"/>
          <w:sz w:val="24"/>
          <w:szCs w:val="24"/>
        </w:rPr>
      </w:pPr>
      <w:r>
        <w:rPr>
          <w:rFonts w:ascii="Times New Roman" w:hAnsi="Times New Roman" w:cs="Times New Roman"/>
          <w:sz w:val="24"/>
          <w:szCs w:val="24"/>
        </w:rPr>
        <w:t>Un bon nombre de ces contrôles d’identité s’assim</w:t>
      </w:r>
      <w:r>
        <w:rPr>
          <w:rFonts w:ascii="Times New Roman" w:hAnsi="Times New Roman" w:cs="Times New Roman"/>
          <w:sz w:val="24"/>
          <w:szCs w:val="24"/>
        </w:rPr>
        <w:t>ile dès lors à des contrôles au faciès, fondés sur l’apparence, l’appartenance supposée à une ethnie ou le lieu de résidence, et portent de fait atteinte au principe de non-discrimination, à la liberté de circulation, au droit à la vie privée et enfin, à l</w:t>
      </w:r>
      <w:r>
        <w:rPr>
          <w:rFonts w:ascii="Times New Roman" w:hAnsi="Times New Roman" w:cs="Times New Roman"/>
          <w:sz w:val="24"/>
          <w:szCs w:val="24"/>
        </w:rPr>
        <w:t xml:space="preserve">a protection contre l’arbitraire. </w:t>
      </w:r>
    </w:p>
    <w:p w:rsidR="003B0758" w:rsidRDefault="0006652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L’ODCI appelle donc à la mise en place de mesures pouvant mettre fin aux contrôles au faciès.   </w:t>
      </w:r>
    </w:p>
    <w:p w:rsidR="003B0758" w:rsidRDefault="003B0758">
      <w:pPr>
        <w:spacing w:line="276" w:lineRule="auto"/>
        <w:jc w:val="both"/>
        <w:rPr>
          <w:rFonts w:ascii="Times New Roman" w:hAnsi="Times New Roman" w:cs="Times New Roman"/>
          <w:sz w:val="24"/>
          <w:szCs w:val="24"/>
        </w:rPr>
      </w:pPr>
    </w:p>
    <w:p w:rsidR="003B0758" w:rsidRDefault="0006652A">
      <w:pPr>
        <w:pStyle w:val="Titre2"/>
      </w:pPr>
      <w:bookmarkStart w:id="19" w:name="_Toc23250608"/>
      <w:r>
        <w:t>3.4. Vers une meilleure vigilance face aux discours de haine</w:t>
      </w:r>
      <w:bookmarkEnd w:id="19"/>
    </w:p>
    <w:p w:rsidR="003B0758" w:rsidRDefault="003B0758"/>
    <w:p w:rsidR="003B0758" w:rsidRDefault="0006652A">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Sans nier le fait que la liberté d’expression est une liberté</w:t>
      </w:r>
      <w:r>
        <w:rPr>
          <w:rFonts w:ascii="Times New Roman" w:hAnsi="Times New Roman" w:cs="Times New Roman"/>
          <w:bCs/>
          <w:sz w:val="24"/>
          <w:szCs w:val="24"/>
        </w:rPr>
        <w:t xml:space="preserve"> fondamentale qui se doit d’être protégée par nos institutions, l’ODCI appelle à une vigilance accrue concernant les propos racistes et les discours de haine ciblant les citoyens itinérants. Trop nombreux sont les responsables politiques qui prononcent des</w:t>
      </w:r>
      <w:r>
        <w:rPr>
          <w:rFonts w:ascii="Times New Roman" w:hAnsi="Times New Roman" w:cs="Times New Roman"/>
          <w:bCs/>
          <w:sz w:val="24"/>
          <w:szCs w:val="24"/>
        </w:rPr>
        <w:t xml:space="preserve"> mots stigmatisants, voire racistes, concernant les Voyageurs, engendrant ainsi une banalisation des discours de haine. </w:t>
      </w:r>
    </w:p>
    <w:p w:rsidR="003B0758" w:rsidRDefault="0006652A">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Ce type de propos, constitutif d’un délit, doit être condamné du débat public et doit systématiquement être relevé s’il justifie un dép</w:t>
      </w:r>
      <w:r>
        <w:rPr>
          <w:rFonts w:ascii="Times New Roman" w:hAnsi="Times New Roman" w:cs="Times New Roman"/>
          <w:bCs/>
          <w:sz w:val="24"/>
          <w:szCs w:val="24"/>
        </w:rPr>
        <w:t xml:space="preserve">ôt de plainte. </w:t>
      </w:r>
    </w:p>
    <w:p w:rsidR="003B0758" w:rsidRDefault="003B0758">
      <w:pPr>
        <w:spacing w:line="276" w:lineRule="auto"/>
        <w:jc w:val="both"/>
        <w:rPr>
          <w:rFonts w:ascii="Times New Roman" w:hAnsi="Times New Roman" w:cs="Times New Roman"/>
          <w:bCs/>
          <w:sz w:val="24"/>
          <w:szCs w:val="24"/>
        </w:rPr>
      </w:pPr>
    </w:p>
    <w:p w:rsidR="003B0758" w:rsidRDefault="0006652A">
      <w:pPr>
        <w:pStyle w:val="Titre1"/>
        <w:numPr>
          <w:ilvl w:val="0"/>
          <w:numId w:val="1"/>
        </w:numPr>
        <w:rPr>
          <w:b/>
          <w:bCs/>
          <w:sz w:val="28"/>
          <w:szCs w:val="28"/>
        </w:rPr>
      </w:pPr>
      <w:bookmarkStart w:id="20" w:name="_Toc23250609"/>
      <w:r>
        <w:rPr>
          <w:b/>
          <w:bCs/>
          <w:sz w:val="28"/>
          <w:szCs w:val="28"/>
          <w:u w:val="single"/>
        </w:rPr>
        <w:t>Recommandation n°4</w:t>
      </w:r>
      <w:r>
        <w:rPr>
          <w:b/>
          <w:bCs/>
          <w:sz w:val="28"/>
          <w:szCs w:val="28"/>
        </w:rPr>
        <w:t> : Assurer un meilleur accès au droit commun (droits économiques, sociaux et culturels)</w:t>
      </w:r>
      <w:bookmarkEnd w:id="20"/>
    </w:p>
    <w:p w:rsidR="003B0758" w:rsidRDefault="003B0758"/>
    <w:p w:rsidR="003B0758" w:rsidRDefault="0006652A">
      <w:pPr>
        <w:pStyle w:val="Titre2"/>
      </w:pPr>
      <w:bookmarkStart w:id="21" w:name="_Toc23250610"/>
      <w:r>
        <w:t>4.1. Rendre effectif le droit à la domiciliation</w:t>
      </w:r>
      <w:bookmarkEnd w:id="21"/>
    </w:p>
    <w:p w:rsidR="003B0758" w:rsidRDefault="003B0758"/>
    <w:p w:rsidR="003B0758" w:rsidRDefault="0006652A">
      <w:pPr>
        <w:spacing w:line="259" w:lineRule="auto"/>
        <w:jc w:val="both"/>
        <w:rPr>
          <w:rFonts w:ascii="Times New Roman" w:hAnsi="Times New Roman" w:cs="Times New Roman"/>
          <w:sz w:val="24"/>
          <w:szCs w:val="24"/>
        </w:rPr>
      </w:pPr>
      <w:r>
        <w:rPr>
          <w:rFonts w:ascii="Times New Roman" w:hAnsi="Times New Roman" w:cs="Times New Roman"/>
          <w:sz w:val="24"/>
          <w:szCs w:val="24"/>
        </w:rPr>
        <w:lastRenderedPageBreak/>
        <w:t>Le droit à la domiciliation</w:t>
      </w:r>
      <w:r>
        <w:rPr>
          <w:rStyle w:val="Ancredenotedebasdepage"/>
          <w:rFonts w:ascii="Times New Roman" w:hAnsi="Times New Roman" w:cs="Times New Roman"/>
          <w:sz w:val="24"/>
          <w:szCs w:val="24"/>
        </w:rPr>
        <w:footnoteReference w:id="23"/>
      </w:r>
      <w:r>
        <w:rPr>
          <w:rFonts w:ascii="Times New Roman" w:hAnsi="Times New Roman" w:cs="Times New Roman"/>
          <w:sz w:val="24"/>
          <w:szCs w:val="24"/>
        </w:rPr>
        <w:t xml:space="preserve">conditionne toute démarche d’insertion. Il </w:t>
      </w:r>
      <w:r>
        <w:rPr>
          <w:rFonts w:ascii="Times New Roman" w:hAnsi="Times New Roman" w:cs="Times New Roman"/>
          <w:sz w:val="24"/>
          <w:szCs w:val="24"/>
        </w:rPr>
        <w:t>importe donc que les centres communaux d’action sociale (CCAS) et les centres intercommunaux d’action sociale (CIAS) instruisent de manière inconditionnelle toute demande de domiciliation, et ce, dans des délais raisonnables. L’article 194 de la loi n°2017</w:t>
      </w:r>
      <w:r>
        <w:rPr>
          <w:rFonts w:ascii="Times New Roman" w:hAnsi="Times New Roman" w:cs="Times New Roman"/>
          <w:sz w:val="24"/>
          <w:szCs w:val="24"/>
        </w:rPr>
        <w:t>-86 du 27 janvier 2017 relative à l’égalité et à la citoyenneté, en abolissant le principe de rattachement à une commune en application de la loi du 3 janvier 1969, indique que toute personne précédemment rattachée à une commune doit se voir délivrer de pl</w:t>
      </w:r>
      <w:r>
        <w:rPr>
          <w:rFonts w:ascii="Times New Roman" w:hAnsi="Times New Roman" w:cs="Times New Roman"/>
          <w:sz w:val="24"/>
          <w:szCs w:val="24"/>
        </w:rPr>
        <w:t>ein droit une domiciliation d’un CCAS ou d’un CIAS. Il est par ailleurs nécessaire que les CCAS et CIAS rappellent aux usagers la possibilité de les contacter par voie téléphonique plutôt que de s’y déplacer dans le trimestre afin de maintenir la domicilia</w:t>
      </w:r>
      <w:r>
        <w:rPr>
          <w:rFonts w:ascii="Times New Roman" w:hAnsi="Times New Roman" w:cs="Times New Roman"/>
          <w:sz w:val="24"/>
          <w:szCs w:val="24"/>
        </w:rPr>
        <w:t>tion.</w:t>
      </w:r>
    </w:p>
    <w:p w:rsidR="003B0758" w:rsidRDefault="003B0758">
      <w:pPr>
        <w:spacing w:line="259" w:lineRule="auto"/>
        <w:jc w:val="both"/>
        <w:rPr>
          <w:sz w:val="24"/>
          <w:szCs w:val="24"/>
        </w:rPr>
      </w:pPr>
    </w:p>
    <w:p w:rsidR="003B0758" w:rsidRDefault="0006652A">
      <w:pPr>
        <w:pStyle w:val="Titre2"/>
      </w:pPr>
      <w:bookmarkStart w:id="22" w:name="_Toc23250611"/>
      <w:r>
        <w:t>4.2. Garantir le droit à la scolarisation</w:t>
      </w:r>
      <w:bookmarkEnd w:id="22"/>
    </w:p>
    <w:p w:rsidR="003B0758" w:rsidRDefault="003B0758"/>
    <w:p w:rsidR="003B0758" w:rsidRDefault="0006652A">
      <w:pPr>
        <w:spacing w:line="276" w:lineRule="auto"/>
        <w:jc w:val="both"/>
        <w:rPr>
          <w:rFonts w:ascii="Times New Roman" w:hAnsi="Times New Roman" w:cs="Times New Roman"/>
          <w:sz w:val="24"/>
          <w:szCs w:val="24"/>
        </w:rPr>
      </w:pPr>
      <w:r>
        <w:rPr>
          <w:rFonts w:ascii="Times New Roman" w:hAnsi="Times New Roman" w:cs="Times New Roman"/>
          <w:sz w:val="24"/>
          <w:szCs w:val="24"/>
        </w:rPr>
        <w:t>Le droit à la scolarisation ou à l’éducation</w:t>
      </w:r>
      <w:r>
        <w:rPr>
          <w:rStyle w:val="Ancredenotedebasdepage"/>
          <w:rFonts w:ascii="Times New Roman" w:hAnsi="Times New Roman" w:cs="Times New Roman"/>
          <w:sz w:val="24"/>
          <w:szCs w:val="24"/>
        </w:rPr>
        <w:footnoteReference w:id="24"/>
      </w:r>
      <w:r>
        <w:rPr>
          <w:rFonts w:ascii="Times New Roman" w:hAnsi="Times New Roman" w:cs="Times New Roman"/>
          <w:sz w:val="24"/>
          <w:szCs w:val="24"/>
        </w:rPr>
        <w:t xml:space="preserve"> est un droit fondamental qui se doit d’être respecté quel que soit le mode de vie de l’enfant qui demande à exercer ce droit. A ce titre, la circulaire n° 2016-058 du 13 avril 2016 concernant l’accompagnement à la scolarisation des élèves à besoins éducat</w:t>
      </w:r>
      <w:r>
        <w:rPr>
          <w:rFonts w:ascii="Times New Roman" w:hAnsi="Times New Roman" w:cs="Times New Roman"/>
          <w:sz w:val="24"/>
          <w:szCs w:val="24"/>
        </w:rPr>
        <w:t xml:space="preserve">ifs particuliers indique que l’école doit être inclusive et favoriser une meilleure continuité des apprentissages pour les enfants issus de familles itinérantes. </w:t>
      </w:r>
    </w:p>
    <w:p w:rsidR="003B0758" w:rsidRDefault="0006652A">
      <w:pPr>
        <w:spacing w:line="276" w:lineRule="auto"/>
        <w:jc w:val="both"/>
        <w:rPr>
          <w:rFonts w:ascii="Times New Roman" w:hAnsi="Times New Roman" w:cs="Times New Roman"/>
          <w:sz w:val="24"/>
          <w:szCs w:val="24"/>
        </w:rPr>
      </w:pPr>
      <w:r>
        <w:rPr>
          <w:rFonts w:ascii="Times New Roman" w:hAnsi="Times New Roman" w:cs="Times New Roman"/>
          <w:sz w:val="24"/>
          <w:szCs w:val="24"/>
        </w:rPr>
        <w:t>Dans les faits, les familles itinérantes rencontrent de nombreuses entraves au droit à la sco</w:t>
      </w:r>
      <w:r>
        <w:rPr>
          <w:rFonts w:ascii="Times New Roman" w:hAnsi="Times New Roman" w:cs="Times New Roman"/>
          <w:sz w:val="24"/>
          <w:szCs w:val="24"/>
        </w:rPr>
        <w:t xml:space="preserve">larisation. En premier lieu, l’accès aux écoles s’avère être difficile en raison de l’éloignement des aires d’accueil des écoles et des réseaux de transport (cf. point 2.2). En deuxième lieu, les demandes de scolarisation sont fréquemment rejetées par les </w:t>
      </w:r>
      <w:r>
        <w:rPr>
          <w:rFonts w:ascii="Times New Roman" w:hAnsi="Times New Roman" w:cs="Times New Roman"/>
          <w:sz w:val="24"/>
          <w:szCs w:val="24"/>
        </w:rPr>
        <w:t>mairies pour divers motifs (temps d’inscription trop court, manque de place, respect de la carte scolaire, documents administratifs manquants tels qu’une domiciliation, etc.). Enfin, les enfants peuvent aussi être confrontés à des préjugés dans le cadre de</w:t>
      </w:r>
      <w:r>
        <w:rPr>
          <w:rFonts w:ascii="Times New Roman" w:hAnsi="Times New Roman" w:cs="Times New Roman"/>
          <w:sz w:val="24"/>
          <w:szCs w:val="24"/>
        </w:rPr>
        <w:t xml:space="preserve"> leur scolarité, ce qui ne facilite pas leur intégration et donc les apprentissages. </w:t>
      </w:r>
    </w:p>
    <w:p w:rsidR="003B0758" w:rsidRDefault="0006652A">
      <w:pPr>
        <w:spacing w:line="259" w:lineRule="auto"/>
        <w:jc w:val="both"/>
        <w:rPr>
          <w:rFonts w:ascii="Times New Roman" w:hAnsi="Times New Roman" w:cs="Times New Roman"/>
          <w:sz w:val="24"/>
          <w:szCs w:val="24"/>
        </w:rPr>
      </w:pPr>
      <w:r>
        <w:rPr>
          <w:rFonts w:ascii="Times New Roman" w:hAnsi="Times New Roman" w:cs="Times New Roman"/>
          <w:sz w:val="24"/>
          <w:szCs w:val="24"/>
        </w:rPr>
        <w:t xml:space="preserve">L’ODCI recommande que les </w:t>
      </w:r>
      <w:r>
        <w:rPr>
          <w:rFonts w:ascii="Times New Roman" w:hAnsi="Times New Roman" w:cs="Times New Roman"/>
          <w:b/>
          <w:bCs/>
          <w:sz w:val="24"/>
          <w:szCs w:val="24"/>
        </w:rPr>
        <w:t>lieux de vie</w:t>
      </w:r>
      <w:r>
        <w:rPr>
          <w:rFonts w:ascii="Times New Roman" w:hAnsi="Times New Roman" w:cs="Times New Roman"/>
          <w:sz w:val="24"/>
          <w:szCs w:val="24"/>
        </w:rPr>
        <w:t xml:space="preserve"> aménagés pour les citoyens itinérants soient implantés </w:t>
      </w:r>
      <w:r>
        <w:rPr>
          <w:rFonts w:ascii="Times New Roman" w:hAnsi="Times New Roman" w:cs="Times New Roman"/>
          <w:b/>
          <w:bCs/>
          <w:sz w:val="24"/>
          <w:szCs w:val="24"/>
        </w:rPr>
        <w:t>à proximité des écoles</w:t>
      </w:r>
      <w:r>
        <w:rPr>
          <w:rFonts w:ascii="Times New Roman" w:hAnsi="Times New Roman" w:cs="Times New Roman"/>
          <w:sz w:val="24"/>
          <w:szCs w:val="24"/>
        </w:rPr>
        <w:t xml:space="preserve"> et que les obligations énoncées dans le cadre du droi</w:t>
      </w:r>
      <w:r>
        <w:rPr>
          <w:rFonts w:ascii="Times New Roman" w:hAnsi="Times New Roman" w:cs="Times New Roman"/>
          <w:sz w:val="24"/>
          <w:szCs w:val="24"/>
        </w:rPr>
        <w:t xml:space="preserve">t à la scolarisation soient pleinement respectées, avec un </w:t>
      </w:r>
      <w:r>
        <w:rPr>
          <w:rFonts w:ascii="Times New Roman" w:hAnsi="Times New Roman" w:cs="Times New Roman"/>
          <w:b/>
          <w:bCs/>
          <w:sz w:val="24"/>
          <w:szCs w:val="24"/>
        </w:rPr>
        <w:t>rappel de la législation aux services municipaux</w:t>
      </w:r>
      <w:r>
        <w:rPr>
          <w:rFonts w:ascii="Times New Roman" w:hAnsi="Times New Roman" w:cs="Times New Roman"/>
          <w:sz w:val="24"/>
          <w:szCs w:val="24"/>
        </w:rPr>
        <w:t xml:space="preserve"> qui instruisent les demandes d’inscription scolaire. Enfin, une meilleure prise en charge et un accompagnement précis doivent être réalisés afin de </w:t>
      </w:r>
      <w:r>
        <w:rPr>
          <w:rFonts w:ascii="Times New Roman" w:hAnsi="Times New Roman" w:cs="Times New Roman"/>
          <w:b/>
          <w:bCs/>
          <w:sz w:val="24"/>
          <w:szCs w:val="24"/>
        </w:rPr>
        <w:t>favoriser les apprentissages des enfants Voyageurs</w:t>
      </w:r>
      <w:r>
        <w:rPr>
          <w:rFonts w:ascii="Times New Roman" w:hAnsi="Times New Roman" w:cs="Times New Roman"/>
          <w:sz w:val="24"/>
          <w:szCs w:val="24"/>
        </w:rPr>
        <w:t xml:space="preserve">. Il est également nécessaire de garantir une multiplicité de relais collèges-centres nationaux d’enseignement à distance (CNED). </w:t>
      </w:r>
    </w:p>
    <w:p w:rsidR="003B0758" w:rsidRDefault="003B0758">
      <w:pPr>
        <w:spacing w:line="259" w:lineRule="auto"/>
        <w:jc w:val="both"/>
        <w:rPr>
          <w:rFonts w:ascii="Times New Roman" w:hAnsi="Times New Roman" w:cs="Times New Roman"/>
          <w:b/>
          <w:sz w:val="24"/>
          <w:szCs w:val="24"/>
        </w:rPr>
      </w:pPr>
    </w:p>
    <w:p w:rsidR="003B0758" w:rsidRDefault="0006652A">
      <w:pPr>
        <w:pStyle w:val="Titre2"/>
      </w:pPr>
      <w:bookmarkStart w:id="23" w:name="_Toc23250612"/>
      <w:r>
        <w:lastRenderedPageBreak/>
        <w:t>4.3.  Garantir le droit à la santé</w:t>
      </w:r>
      <w:bookmarkEnd w:id="23"/>
    </w:p>
    <w:p w:rsidR="003B0758" w:rsidRDefault="003B0758"/>
    <w:p w:rsidR="003B0758" w:rsidRDefault="0006652A">
      <w:pPr>
        <w:spacing w:line="276" w:lineRule="auto"/>
        <w:jc w:val="both"/>
        <w:rPr>
          <w:rFonts w:ascii="Times New Roman" w:hAnsi="Times New Roman" w:cs="Times New Roman"/>
          <w:sz w:val="24"/>
          <w:szCs w:val="24"/>
        </w:rPr>
      </w:pPr>
      <w:r>
        <w:rPr>
          <w:rFonts w:ascii="Times New Roman" w:hAnsi="Times New Roman" w:cs="Times New Roman"/>
          <w:sz w:val="24"/>
          <w:szCs w:val="24"/>
        </w:rPr>
        <w:t>Le droit à la santé</w:t>
      </w:r>
      <w:r>
        <w:rPr>
          <w:rStyle w:val="Ancredenotedebasdepage"/>
          <w:rFonts w:ascii="Times New Roman" w:hAnsi="Times New Roman" w:cs="Times New Roman"/>
          <w:sz w:val="24"/>
          <w:szCs w:val="24"/>
        </w:rPr>
        <w:footnoteReference w:id="25"/>
      </w:r>
      <w:r>
        <w:rPr>
          <w:rFonts w:ascii="Times New Roman" w:hAnsi="Times New Roman" w:cs="Times New Roman"/>
          <w:sz w:val="24"/>
          <w:szCs w:val="24"/>
        </w:rPr>
        <w:t xml:space="preserve"> est un droit reco</w:t>
      </w:r>
      <w:r>
        <w:rPr>
          <w:rFonts w:ascii="Times New Roman" w:hAnsi="Times New Roman" w:cs="Times New Roman"/>
          <w:sz w:val="24"/>
          <w:szCs w:val="24"/>
        </w:rPr>
        <w:t>nnu comme fondamental qui doit s’exercer indépendamment de la situation de l’intéressé.e. Or, dans le cas des citoyens itinérants, l’exercice de ce droit fait l’objet de nombreux obstacles en raison des difficultés d’accès. En effet, les difficultés rencon</w:t>
      </w:r>
      <w:r>
        <w:rPr>
          <w:rFonts w:ascii="Times New Roman" w:hAnsi="Times New Roman" w:cs="Times New Roman"/>
          <w:sz w:val="24"/>
          <w:szCs w:val="24"/>
        </w:rPr>
        <w:t>trées au niveau de la domiciliation, condition essentielle à l’obtention d’une assurance maladie (cf. point 4.2), ainsi qu’au niveau de l’emplacement des terrains qui ne favorise que très peu souvent l’accès aux infrastructures publiques de soins (cf. 2.2)</w:t>
      </w:r>
      <w:r>
        <w:rPr>
          <w:rFonts w:ascii="Times New Roman" w:hAnsi="Times New Roman" w:cs="Times New Roman"/>
          <w:sz w:val="24"/>
          <w:szCs w:val="24"/>
        </w:rPr>
        <w:t xml:space="preserve">, présentent des entraves à l’accès au droit à la santé. Par ailleurs, la réforme du système d’Assurance Maladie, avec l’entrée en vigueur en 2006 du dispositif du médecin traitant, est inadapté à un public itinérant.  </w:t>
      </w:r>
    </w:p>
    <w:p w:rsidR="003B0758" w:rsidRDefault="0006652A">
      <w:pPr>
        <w:spacing w:line="276" w:lineRule="auto"/>
        <w:jc w:val="both"/>
        <w:rPr>
          <w:rFonts w:ascii="Times New Roman" w:hAnsi="Times New Roman" w:cs="Times New Roman"/>
          <w:sz w:val="24"/>
          <w:szCs w:val="24"/>
        </w:rPr>
      </w:pPr>
      <w:r>
        <w:rPr>
          <w:rFonts w:ascii="Times New Roman" w:hAnsi="Times New Roman" w:cs="Times New Roman"/>
          <w:sz w:val="24"/>
          <w:szCs w:val="24"/>
        </w:rPr>
        <w:t>L’ODCI recommande dès lors que les p</w:t>
      </w:r>
      <w:r>
        <w:rPr>
          <w:rFonts w:ascii="Times New Roman" w:hAnsi="Times New Roman" w:cs="Times New Roman"/>
          <w:sz w:val="24"/>
          <w:szCs w:val="24"/>
        </w:rPr>
        <w:t>rescriptions des Schémas départementaux d’accueil des « Gens du voyage » en termes d’accès aux soins soient élaborées suite à une évaluation rigoureuse des besoins citoyens itinérants. Celles-ci doivent par la suite être appliquées de manière effective. De</w:t>
      </w:r>
      <w:r>
        <w:rPr>
          <w:rFonts w:ascii="Times New Roman" w:hAnsi="Times New Roman" w:cs="Times New Roman"/>
          <w:sz w:val="24"/>
          <w:szCs w:val="24"/>
        </w:rPr>
        <w:t xml:space="preserve"> plus, l’ODCI préconise l’aménagement de terrains d’accueil aux abords des hôpitaux pour les proches de personnes hospitalisées. Par ailleurs, les citoyens itinérants devraient pouvoir être exemptés des dispositions de la réforme concernant le dispositif d</w:t>
      </w:r>
      <w:r>
        <w:rPr>
          <w:rFonts w:ascii="Times New Roman" w:hAnsi="Times New Roman" w:cs="Times New Roman"/>
          <w:sz w:val="24"/>
          <w:szCs w:val="24"/>
        </w:rPr>
        <w:t xml:space="preserve">e médecin traitant afin que leur mode de vie itinérant puisse leur permettre de consulter plus d’un médecin tout en conservant le bénéfice des modalités de remboursement propres à celles ayant trait au dispositif du médecin traitant. </w:t>
      </w:r>
    </w:p>
    <w:p w:rsidR="003B0758" w:rsidRDefault="003B0758">
      <w:pPr>
        <w:pStyle w:val="Titre2"/>
      </w:pPr>
    </w:p>
    <w:p w:rsidR="003B0758" w:rsidRDefault="0006652A">
      <w:pPr>
        <w:pStyle w:val="Titre2"/>
      </w:pPr>
      <w:bookmarkStart w:id="24" w:name="_Toc23250613"/>
      <w:r>
        <w:t>4.5. Prendre en comp</w:t>
      </w:r>
      <w:r>
        <w:t>te et promouvoir les droits culturels</w:t>
      </w:r>
      <w:bookmarkEnd w:id="24"/>
    </w:p>
    <w:p w:rsidR="003B0758" w:rsidRDefault="003B0758">
      <w:pPr>
        <w:spacing w:line="276" w:lineRule="auto"/>
      </w:pPr>
    </w:p>
    <w:p w:rsidR="003B0758" w:rsidRDefault="0006652A">
      <w:pPr>
        <w:spacing w:line="276" w:lineRule="auto"/>
        <w:jc w:val="both"/>
        <w:rPr>
          <w:rFonts w:ascii="Times New Roman" w:eastAsia="Calibri" w:hAnsi="Times New Roman" w:cs="Times New Roman"/>
          <w:color w:val="222222"/>
          <w:sz w:val="24"/>
          <w:szCs w:val="24"/>
          <w:highlight w:val="white"/>
        </w:rPr>
      </w:pPr>
      <w:r>
        <w:rPr>
          <w:rFonts w:ascii="Times New Roman" w:eastAsia="Calibri" w:hAnsi="Times New Roman" w:cs="Times New Roman"/>
          <w:sz w:val="24"/>
          <w:szCs w:val="24"/>
        </w:rPr>
        <w:t>L</w:t>
      </w:r>
      <w:r>
        <w:rPr>
          <w:rFonts w:ascii="Times New Roman" w:eastAsia="Calibri" w:hAnsi="Times New Roman" w:cs="Times New Roman"/>
          <w:color w:val="222222"/>
          <w:sz w:val="24"/>
          <w:szCs w:val="24"/>
          <w:shd w:val="clear" w:color="auto" w:fill="FFFFFF"/>
        </w:rPr>
        <w:t>a </w:t>
      </w:r>
      <w:bookmarkStart w:id="25" w:name="m_-3882397453774774233__Hlk10064021"/>
      <w:r>
        <w:rPr>
          <w:rFonts w:ascii="Times New Roman" w:eastAsia="Calibri" w:hAnsi="Times New Roman" w:cs="Times New Roman"/>
          <w:color w:val="222222"/>
          <w:sz w:val="24"/>
          <w:szCs w:val="24"/>
          <w:shd w:val="clear" w:color="auto" w:fill="FFFFFF"/>
        </w:rPr>
        <w:t>Convention sur la protection et la promotion de la diversité des expressions culturelles </w:t>
      </w:r>
      <w:bookmarkEnd w:id="25"/>
      <w:r>
        <w:rPr>
          <w:rFonts w:ascii="Times New Roman" w:eastAsia="Calibri" w:hAnsi="Times New Roman" w:cs="Times New Roman"/>
          <w:color w:val="222222"/>
          <w:sz w:val="24"/>
          <w:szCs w:val="24"/>
          <w:shd w:val="clear" w:color="auto" w:fill="FFFFFF"/>
        </w:rPr>
        <w:t>de 2005, ratifiée par la France, dispose en son article 1er que les Etats ont l’obligation de notamment protéger et promouvoi</w:t>
      </w:r>
      <w:r>
        <w:rPr>
          <w:rFonts w:ascii="Times New Roman" w:eastAsia="Calibri" w:hAnsi="Times New Roman" w:cs="Times New Roman"/>
          <w:color w:val="222222"/>
          <w:sz w:val="24"/>
          <w:szCs w:val="24"/>
          <w:shd w:val="clear" w:color="auto" w:fill="FFFFFF"/>
        </w:rPr>
        <w:t>r la diversité des expressions culturelles ; de créer les conditions permettant aux cultures de s’épanouir et interagir librement de manière à s’enrichir mutuellement ; et de reconnaître la nature spécifique des activités, biens et services culturels en ta</w:t>
      </w:r>
      <w:r>
        <w:rPr>
          <w:rFonts w:ascii="Times New Roman" w:eastAsia="Calibri" w:hAnsi="Times New Roman" w:cs="Times New Roman"/>
          <w:color w:val="222222"/>
          <w:sz w:val="24"/>
          <w:szCs w:val="24"/>
          <w:shd w:val="clear" w:color="auto" w:fill="FFFFFF"/>
        </w:rPr>
        <w:t>nt que porteurs d’identité, de valeurs et de sens.</w:t>
      </w:r>
    </w:p>
    <w:p w:rsidR="003B0758" w:rsidRDefault="0006652A">
      <w:pPr>
        <w:spacing w:line="276" w:lineRule="auto"/>
        <w:jc w:val="both"/>
        <w:rPr>
          <w:rFonts w:ascii="Times New Roman" w:eastAsia="Calibri" w:hAnsi="Times New Roman" w:cs="Times New Roman"/>
          <w:sz w:val="24"/>
          <w:szCs w:val="24"/>
          <w:lang w:eastAsia="ja-JP"/>
        </w:rPr>
      </w:pPr>
      <w:r>
        <w:rPr>
          <w:rFonts w:ascii="Times New Roman" w:eastAsia="Calibri" w:hAnsi="Times New Roman" w:cs="Times New Roman"/>
          <w:sz w:val="24"/>
          <w:szCs w:val="24"/>
          <w:lang w:eastAsia="ja-JP"/>
        </w:rPr>
        <w:t>Concernant plus particulièrement les citoyens itinérants, la</w:t>
      </w:r>
      <w:r>
        <w:rPr>
          <w:rFonts w:ascii="Times New Roman" w:eastAsia="Calibri" w:hAnsi="Times New Roman" w:cs="Times New Roman"/>
          <w:b/>
          <w:i/>
          <w:sz w:val="24"/>
          <w:szCs w:val="24"/>
          <w:lang w:eastAsia="ja-JP"/>
        </w:rPr>
        <w:t xml:space="preserve"> </w:t>
      </w:r>
      <w:r>
        <w:rPr>
          <w:rFonts w:ascii="Times New Roman" w:eastAsia="Calibri" w:hAnsi="Times New Roman" w:cs="Times New Roman"/>
          <w:i/>
          <w:sz w:val="24"/>
          <w:szCs w:val="24"/>
          <w:lang w:eastAsia="ja-JP"/>
        </w:rPr>
        <w:t>Charte d’objectifs Culture Gens du voyage et Tsiganes de France</w:t>
      </w:r>
      <w:r>
        <w:rPr>
          <w:rStyle w:val="Ancredenotedebasdepage"/>
          <w:rFonts w:ascii="Times New Roman" w:eastAsia="Calibri" w:hAnsi="Times New Roman" w:cs="Times New Roman"/>
          <w:i/>
          <w:sz w:val="24"/>
          <w:szCs w:val="24"/>
          <w:lang w:eastAsia="ja-JP"/>
        </w:rPr>
        <w:footnoteReference w:id="26"/>
      </w:r>
      <w:r>
        <w:rPr>
          <w:rFonts w:ascii="Times New Roman" w:eastAsia="Calibri" w:hAnsi="Times New Roman" w:cs="Times New Roman"/>
          <w:i/>
          <w:sz w:val="24"/>
          <w:szCs w:val="24"/>
          <w:lang w:eastAsia="ja-JP"/>
        </w:rPr>
        <w:t xml:space="preserve"> </w:t>
      </w:r>
      <w:r>
        <w:rPr>
          <w:rFonts w:ascii="Times New Roman" w:eastAsia="Calibri" w:hAnsi="Times New Roman" w:cs="Times New Roman"/>
          <w:sz w:val="24"/>
          <w:szCs w:val="24"/>
          <w:lang w:eastAsia="ja-JP"/>
        </w:rPr>
        <w:t xml:space="preserve">souligne l’importance de la </w:t>
      </w:r>
      <w:r>
        <w:rPr>
          <w:rFonts w:ascii="Times New Roman" w:eastAsia="Calibri" w:hAnsi="Times New Roman" w:cs="Times New Roman"/>
          <w:b/>
          <w:bCs/>
          <w:sz w:val="24"/>
          <w:szCs w:val="24"/>
          <w:lang w:eastAsia="ja-JP"/>
        </w:rPr>
        <w:t xml:space="preserve">promotion des cultures émanant du monde du voyage </w:t>
      </w:r>
      <w:r>
        <w:rPr>
          <w:rFonts w:ascii="Times New Roman" w:eastAsia="Calibri" w:hAnsi="Times New Roman" w:cs="Times New Roman"/>
          <w:sz w:val="24"/>
          <w:szCs w:val="24"/>
          <w:lang w:eastAsia="ja-JP"/>
        </w:rPr>
        <w:t xml:space="preserve">ainsi que la nécessité de faire </w:t>
      </w:r>
      <w:r>
        <w:rPr>
          <w:rFonts w:ascii="Times New Roman" w:eastAsia="Calibri" w:hAnsi="Times New Roman" w:cs="Times New Roman"/>
          <w:b/>
          <w:bCs/>
          <w:sz w:val="24"/>
          <w:szCs w:val="24"/>
          <w:lang w:eastAsia="ja-JP"/>
        </w:rPr>
        <w:t>changer le regard de la société sur ses minorités culturelles</w:t>
      </w:r>
      <w:r>
        <w:rPr>
          <w:rFonts w:ascii="Times New Roman" w:eastAsia="Calibri" w:hAnsi="Times New Roman" w:cs="Times New Roman"/>
          <w:sz w:val="24"/>
          <w:szCs w:val="24"/>
          <w:lang w:eastAsia="ja-JP"/>
        </w:rPr>
        <w:t xml:space="preserve">. Par ailleurs, la Charte met en exergue le </w:t>
      </w:r>
      <w:r>
        <w:rPr>
          <w:rFonts w:ascii="Times New Roman" w:eastAsia="Calibri" w:hAnsi="Times New Roman" w:cs="Times New Roman"/>
          <w:b/>
          <w:bCs/>
          <w:sz w:val="24"/>
          <w:szCs w:val="24"/>
          <w:lang w:eastAsia="ja-JP"/>
        </w:rPr>
        <w:t xml:space="preserve">rôle du devoir de mémoire </w:t>
      </w:r>
      <w:r>
        <w:rPr>
          <w:rFonts w:ascii="Times New Roman" w:eastAsia="Calibri" w:hAnsi="Times New Roman" w:cs="Times New Roman"/>
          <w:sz w:val="24"/>
          <w:szCs w:val="24"/>
          <w:lang w:eastAsia="ja-JP"/>
        </w:rPr>
        <w:t xml:space="preserve">par la reconnaissance de l’histoire. </w:t>
      </w:r>
    </w:p>
    <w:p w:rsidR="003B0758" w:rsidRDefault="0006652A">
      <w:pPr>
        <w:spacing w:line="276" w:lineRule="auto"/>
        <w:jc w:val="both"/>
        <w:rPr>
          <w:rFonts w:ascii="Times New Roman" w:eastAsia="Calibri" w:hAnsi="Times New Roman" w:cs="Times New Roman"/>
          <w:sz w:val="24"/>
          <w:szCs w:val="24"/>
          <w:lang w:eastAsia="ja-JP"/>
        </w:rPr>
      </w:pPr>
      <w:r>
        <w:rPr>
          <w:rFonts w:ascii="Times New Roman" w:eastAsia="Calibri" w:hAnsi="Times New Roman" w:cs="Times New Roman"/>
          <w:sz w:val="24"/>
          <w:szCs w:val="24"/>
          <w:lang w:eastAsia="ja-JP"/>
        </w:rPr>
        <w:lastRenderedPageBreak/>
        <w:t>Or, a</w:t>
      </w:r>
      <w:r>
        <w:rPr>
          <w:rFonts w:ascii="Times New Roman" w:eastAsia="Calibri" w:hAnsi="Times New Roman" w:cs="Times New Roman"/>
          <w:sz w:val="24"/>
          <w:szCs w:val="24"/>
          <w:lang w:eastAsia="ja-JP"/>
        </w:rPr>
        <w:t>u niveau historique, l’Etat occulte l’histoire contemporaine des persécutions policières subies dans le cadre de la loi du 16 juillet 1912</w:t>
      </w:r>
      <w:r>
        <w:rPr>
          <w:rStyle w:val="Ancredenotedebasdepage"/>
          <w:rFonts w:ascii="Times New Roman" w:eastAsia="Calibri" w:hAnsi="Times New Roman" w:cs="Times New Roman"/>
          <w:sz w:val="24"/>
          <w:szCs w:val="24"/>
          <w:lang w:eastAsia="ja-JP"/>
        </w:rPr>
        <w:footnoteReference w:id="27"/>
      </w:r>
      <w:r>
        <w:rPr>
          <w:rFonts w:ascii="Times New Roman" w:eastAsia="Calibri" w:hAnsi="Times New Roman" w:cs="Times New Roman"/>
          <w:sz w:val="24"/>
          <w:szCs w:val="24"/>
          <w:lang w:eastAsia="ja-JP"/>
        </w:rPr>
        <w:t>. Il en est de même pour les internements arbitraires sans fondement juridique de 1914-1919 visant les nomades alsaci</w:t>
      </w:r>
      <w:r>
        <w:rPr>
          <w:rFonts w:ascii="Times New Roman" w:eastAsia="Calibri" w:hAnsi="Times New Roman" w:cs="Times New Roman"/>
          <w:sz w:val="24"/>
          <w:szCs w:val="24"/>
          <w:lang w:eastAsia="ja-JP"/>
        </w:rPr>
        <w:t xml:space="preserve">ens-lorrains, les assignations à résidence, les internements administratifs, les travaux forcés, les condamnations à mort et les spoliations entre 1939 et 1946. </w:t>
      </w:r>
    </w:p>
    <w:p w:rsidR="003B0758" w:rsidRDefault="0006652A">
      <w:pPr>
        <w:spacing w:line="276" w:lineRule="auto"/>
        <w:jc w:val="both"/>
        <w:rPr>
          <w:rFonts w:ascii="Times New Roman" w:eastAsia="Calibri" w:hAnsi="Times New Roman" w:cs="Times New Roman"/>
          <w:sz w:val="24"/>
          <w:szCs w:val="24"/>
          <w:lang w:eastAsia="ja-JP"/>
        </w:rPr>
      </w:pPr>
      <w:r>
        <w:rPr>
          <w:rFonts w:ascii="Times New Roman" w:eastAsia="Calibri" w:hAnsi="Times New Roman" w:cs="Times New Roman"/>
          <w:sz w:val="24"/>
          <w:szCs w:val="24"/>
          <w:lang w:eastAsia="ja-JP"/>
        </w:rPr>
        <w:t>Au niveau mémoriel, l’Etat n’a de fait entrepris, à ce jour, aucune démarche officielle de dem</w:t>
      </w:r>
      <w:r>
        <w:rPr>
          <w:rFonts w:ascii="Times New Roman" w:eastAsia="Calibri" w:hAnsi="Times New Roman" w:cs="Times New Roman"/>
          <w:sz w:val="24"/>
          <w:szCs w:val="24"/>
          <w:lang w:eastAsia="ja-JP"/>
        </w:rPr>
        <w:t xml:space="preserve">ande de pardon, ni exprimé la volonté d’une reconnaissance par voie législative. La loi Gayssot n’est d’ailleurs pas appliquée en ce qui concerne l’enseignement de l’histoire de l’internement et du génocide par l’Education Nationale. </w:t>
      </w:r>
    </w:p>
    <w:p w:rsidR="003B0758" w:rsidRDefault="0006652A">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Partant de ces consta</w:t>
      </w:r>
      <w:r>
        <w:rPr>
          <w:rFonts w:ascii="Times New Roman" w:eastAsia="Calibri" w:hAnsi="Times New Roman" w:cs="Times New Roman"/>
          <w:sz w:val="24"/>
          <w:szCs w:val="24"/>
        </w:rPr>
        <w:t>ts, l’ODCI recommande la mise en œuvre des</w:t>
      </w:r>
      <w:r>
        <w:rPr>
          <w:rFonts w:ascii="Times New Roman" w:hAnsi="Times New Roman" w:cs="Times New Roman"/>
          <w:sz w:val="24"/>
          <w:szCs w:val="24"/>
        </w:rPr>
        <w:t xml:space="preserve"> d</w:t>
      </w:r>
      <w:r>
        <w:rPr>
          <w:rFonts w:ascii="Times New Roman" w:eastAsia="Calibri" w:hAnsi="Times New Roman" w:cs="Times New Roman"/>
          <w:sz w:val="24"/>
          <w:szCs w:val="24"/>
        </w:rPr>
        <w:t xml:space="preserve">ispositions de la Convention précitée ainsi que les premiers objectifs prioritaires mentionnés dans la </w:t>
      </w:r>
      <w:r>
        <w:rPr>
          <w:rFonts w:ascii="Times New Roman" w:eastAsia="Calibri" w:hAnsi="Times New Roman" w:cs="Times New Roman"/>
          <w:i/>
          <w:sz w:val="24"/>
          <w:szCs w:val="24"/>
        </w:rPr>
        <w:t>Charte d’objectifs Culture Gens du voyage et Tsiganes de France</w:t>
      </w:r>
      <w:r>
        <w:rPr>
          <w:rStyle w:val="Ancredenotedebasdepage"/>
          <w:rFonts w:ascii="Times New Roman" w:eastAsia="Calibri" w:hAnsi="Times New Roman" w:cs="Times New Roman"/>
          <w:i/>
          <w:sz w:val="24"/>
          <w:szCs w:val="24"/>
        </w:rPr>
        <w:footnoteReference w:id="28"/>
      </w:r>
      <w:r>
        <w:rPr>
          <w:rFonts w:ascii="Times New Roman" w:eastAsia="Calibri" w:hAnsi="Times New Roman" w:cs="Times New Roman"/>
          <w:sz w:val="24"/>
          <w:szCs w:val="24"/>
        </w:rPr>
        <w:t xml:space="preserve">. Cela permettra de favoriser </w:t>
      </w:r>
      <w:r>
        <w:rPr>
          <w:rFonts w:ascii="Times New Roman" w:eastAsia="Calibri" w:hAnsi="Times New Roman" w:cs="Times New Roman"/>
          <w:sz w:val="24"/>
          <w:szCs w:val="24"/>
        </w:rPr>
        <w:t>l’expression et la reconnaissance des cultures issues du monde du voyage comme faisant partie intégrante du patrimoine français et de contribuer à renvoyer une image positive des citoyens itinérants en intégrant, par exemple, la culture issue du monde du v</w:t>
      </w:r>
      <w:r>
        <w:rPr>
          <w:rFonts w:ascii="Times New Roman" w:eastAsia="Calibri" w:hAnsi="Times New Roman" w:cs="Times New Roman"/>
          <w:sz w:val="24"/>
          <w:szCs w:val="24"/>
        </w:rPr>
        <w:t>oyage au patrimoine culturel immatériel de l’UNESCO</w:t>
      </w:r>
      <w:r>
        <w:rPr>
          <w:rStyle w:val="Ancredenotedebasdepage"/>
          <w:rFonts w:ascii="Times New Roman" w:eastAsia="Calibri" w:hAnsi="Times New Roman" w:cs="Times New Roman"/>
          <w:sz w:val="24"/>
          <w:szCs w:val="24"/>
        </w:rPr>
        <w:footnoteReference w:id="29"/>
      </w:r>
      <w:r>
        <w:rPr>
          <w:rFonts w:ascii="Times New Roman" w:eastAsia="Calibri" w:hAnsi="Times New Roman" w:cs="Times New Roman"/>
          <w:sz w:val="24"/>
          <w:szCs w:val="24"/>
        </w:rPr>
        <w:t xml:space="preserve">, </w:t>
      </w:r>
    </w:p>
    <w:p w:rsidR="003B0758" w:rsidRDefault="0006652A">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Enfin, L’ODCI soutient et invite à la reconnaissance officielle de la responsabilité de l’Etat français dans les traitements discriminatoires dont ont été victimes les citoyens itinérants. Sur ce derni</w:t>
      </w:r>
      <w:r>
        <w:rPr>
          <w:rFonts w:ascii="Times New Roman" w:eastAsia="Calibri" w:hAnsi="Times New Roman" w:cs="Times New Roman"/>
          <w:sz w:val="24"/>
          <w:szCs w:val="24"/>
        </w:rPr>
        <w:t xml:space="preserve">er point, l’ODCI préconise également l’intégration de l’histoire des citoyens itinérants aux manuels scolaires. </w:t>
      </w:r>
    </w:p>
    <w:p w:rsidR="003B0758" w:rsidRDefault="003B0758">
      <w:pPr>
        <w:spacing w:line="276" w:lineRule="auto"/>
        <w:jc w:val="both"/>
        <w:rPr>
          <w:rFonts w:ascii="Times New Roman" w:hAnsi="Times New Roman" w:cs="Times New Roman"/>
          <w:b/>
          <w:bCs/>
          <w:color w:val="ED7D31" w:themeColor="accent2"/>
          <w:sz w:val="24"/>
          <w:szCs w:val="24"/>
        </w:rPr>
      </w:pPr>
    </w:p>
    <w:p w:rsidR="003B0758" w:rsidRDefault="0006652A">
      <w:pPr>
        <w:pStyle w:val="Titre1"/>
        <w:numPr>
          <w:ilvl w:val="0"/>
          <w:numId w:val="1"/>
        </w:numPr>
        <w:jc w:val="both"/>
        <w:rPr>
          <w:b/>
          <w:bCs/>
          <w:sz w:val="28"/>
          <w:szCs w:val="28"/>
        </w:rPr>
      </w:pPr>
      <w:bookmarkStart w:id="26" w:name="_Toc23250614"/>
      <w:r>
        <w:rPr>
          <w:b/>
          <w:bCs/>
          <w:sz w:val="28"/>
          <w:szCs w:val="28"/>
          <w:u w:val="single"/>
        </w:rPr>
        <w:t>Recommandation n°5</w:t>
      </w:r>
      <w:r>
        <w:rPr>
          <w:b/>
          <w:bCs/>
          <w:sz w:val="28"/>
          <w:szCs w:val="28"/>
        </w:rPr>
        <w:t> : Rendre effectif le droit de participation des citoyens itinérants</w:t>
      </w:r>
      <w:bookmarkEnd w:id="26"/>
      <w:r>
        <w:rPr>
          <w:b/>
          <w:bCs/>
          <w:sz w:val="28"/>
          <w:szCs w:val="28"/>
        </w:rPr>
        <w:t xml:space="preserve">  </w:t>
      </w:r>
    </w:p>
    <w:p w:rsidR="003B0758" w:rsidRDefault="003B0758">
      <w:pPr>
        <w:spacing w:after="0" w:line="276" w:lineRule="auto"/>
        <w:jc w:val="both"/>
        <w:rPr>
          <w:rFonts w:ascii="Times New Roman" w:eastAsia="Times New Roman" w:hAnsi="Times New Roman" w:cs="Times New Roman"/>
          <w:sz w:val="24"/>
          <w:szCs w:val="24"/>
          <w:lang w:eastAsia="fr-FR"/>
        </w:rPr>
      </w:pPr>
    </w:p>
    <w:p w:rsidR="003B0758" w:rsidRDefault="0006652A">
      <w:pPr>
        <w:spacing w:after="0" w:line="276" w:lineRule="auto"/>
        <w:jc w:val="both"/>
        <w:rPr>
          <w:rFonts w:ascii="Times New Roman" w:hAnsi="Times New Roman" w:cs="Times New Roman"/>
          <w:color w:val="1D2129"/>
          <w:sz w:val="24"/>
          <w:szCs w:val="24"/>
        </w:rPr>
      </w:pPr>
      <w:r>
        <w:rPr>
          <w:rFonts w:ascii="Times New Roman" w:eastAsia="Times New Roman" w:hAnsi="Times New Roman" w:cs="Times New Roman"/>
          <w:sz w:val="24"/>
          <w:szCs w:val="24"/>
          <w:lang w:eastAsia="fr-FR"/>
        </w:rPr>
        <w:t xml:space="preserve">La France doit se conformer à ses </w:t>
      </w:r>
      <w:r>
        <w:rPr>
          <w:rFonts w:ascii="Times New Roman" w:eastAsia="Times New Roman" w:hAnsi="Times New Roman" w:cs="Times New Roman"/>
          <w:sz w:val="24"/>
          <w:szCs w:val="24"/>
          <w:lang w:eastAsia="fr-FR"/>
        </w:rPr>
        <w:t>obligations relatives au droit à une participation effective dans la vie publique</w:t>
      </w:r>
      <w:r>
        <w:rPr>
          <w:rStyle w:val="Ancredenotedebasdepage"/>
          <w:rFonts w:ascii="Times New Roman" w:eastAsia="Times New Roman" w:hAnsi="Times New Roman" w:cs="Times New Roman"/>
          <w:sz w:val="24"/>
          <w:szCs w:val="24"/>
          <w:lang w:eastAsia="fr-FR"/>
        </w:rPr>
        <w:footnoteReference w:id="30"/>
      </w:r>
      <w:r>
        <w:rPr>
          <w:rFonts w:ascii="Times New Roman" w:eastAsia="Times New Roman" w:hAnsi="Times New Roman" w:cs="Times New Roman"/>
          <w:sz w:val="24"/>
          <w:szCs w:val="24"/>
          <w:lang w:eastAsia="fr-FR"/>
        </w:rPr>
        <w:t xml:space="preserve"> et doit </w:t>
      </w:r>
      <w:r>
        <w:rPr>
          <w:rFonts w:ascii="Times New Roman" w:hAnsi="Times New Roman" w:cs="Times New Roman"/>
          <w:color w:val="1D2129"/>
          <w:sz w:val="24"/>
          <w:szCs w:val="24"/>
        </w:rPr>
        <w:t xml:space="preserve">mettre en œuvre des </w:t>
      </w:r>
      <w:r>
        <w:rPr>
          <w:rFonts w:ascii="Times New Roman" w:hAnsi="Times New Roman" w:cs="Times New Roman"/>
          <w:b/>
          <w:color w:val="1D2129"/>
          <w:sz w:val="24"/>
          <w:szCs w:val="24"/>
        </w:rPr>
        <w:t>consultations avec les citoyens itinérants</w:t>
      </w:r>
      <w:r>
        <w:rPr>
          <w:rFonts w:ascii="Times New Roman" w:hAnsi="Times New Roman" w:cs="Times New Roman"/>
          <w:color w:val="1D2129"/>
          <w:sz w:val="24"/>
          <w:szCs w:val="24"/>
        </w:rPr>
        <w:t xml:space="preserve"> afin de </w:t>
      </w:r>
      <w:r>
        <w:rPr>
          <w:rFonts w:ascii="Times New Roman" w:hAnsi="Times New Roman" w:cs="Times New Roman"/>
          <w:b/>
          <w:color w:val="1D2129"/>
          <w:sz w:val="24"/>
          <w:szCs w:val="24"/>
        </w:rPr>
        <w:t>développer des réponses appropriées à leurs besoins</w:t>
      </w:r>
      <w:r>
        <w:rPr>
          <w:rFonts w:ascii="Times New Roman" w:eastAsia="Times New Roman" w:hAnsi="Times New Roman" w:cs="Times New Roman"/>
          <w:sz w:val="24"/>
          <w:szCs w:val="24"/>
          <w:lang w:eastAsia="fr-FR"/>
        </w:rPr>
        <w:t xml:space="preserve">. Elle doit </w:t>
      </w:r>
      <w:r>
        <w:rPr>
          <w:rFonts w:ascii="Times New Roman" w:hAnsi="Times New Roman" w:cs="Times New Roman"/>
          <w:color w:val="1D2129"/>
          <w:sz w:val="24"/>
          <w:szCs w:val="24"/>
        </w:rPr>
        <w:t xml:space="preserve">garantir que les </w:t>
      </w:r>
      <w:r>
        <w:rPr>
          <w:rFonts w:ascii="Times New Roman" w:hAnsi="Times New Roman" w:cs="Times New Roman"/>
          <w:b/>
          <w:color w:val="1D2129"/>
          <w:sz w:val="24"/>
          <w:szCs w:val="24"/>
        </w:rPr>
        <w:t>voix diverses des citoyens itinérants soient dûment représentées à tous les niveaux de la vie politique française</w:t>
      </w:r>
      <w:r>
        <w:rPr>
          <w:rFonts w:ascii="Times New Roman" w:hAnsi="Times New Roman" w:cs="Times New Roman"/>
          <w:color w:val="1D2129"/>
          <w:sz w:val="24"/>
          <w:szCs w:val="24"/>
        </w:rPr>
        <w:t>, et que leurs voix aient un réel poids au sein des mécanismes consultatifs départementaux et nationaux.</w:t>
      </w:r>
    </w:p>
    <w:p w:rsidR="003B0758" w:rsidRDefault="003B0758">
      <w:pPr>
        <w:spacing w:after="0" w:line="276" w:lineRule="auto"/>
        <w:jc w:val="both"/>
        <w:rPr>
          <w:rFonts w:ascii="Times New Roman" w:hAnsi="Times New Roman" w:cs="Times New Roman"/>
          <w:color w:val="1D2129"/>
          <w:sz w:val="24"/>
          <w:szCs w:val="24"/>
        </w:rPr>
      </w:pPr>
    </w:p>
    <w:p w:rsidR="003B0758" w:rsidRDefault="0006652A">
      <w:pPr>
        <w:spacing w:after="0" w:line="276" w:lineRule="auto"/>
        <w:jc w:val="both"/>
        <w:rPr>
          <w:rFonts w:ascii="Times New Roman" w:hAnsi="Times New Roman" w:cs="Times New Roman"/>
          <w:color w:val="1D2129"/>
          <w:sz w:val="24"/>
          <w:szCs w:val="24"/>
        </w:rPr>
      </w:pPr>
      <w:r>
        <w:rPr>
          <w:rFonts w:ascii="Times New Roman" w:hAnsi="Times New Roman" w:cs="Times New Roman"/>
          <w:color w:val="1D2129"/>
          <w:sz w:val="24"/>
          <w:szCs w:val="24"/>
        </w:rPr>
        <w:t>A cet effet, il n’es</w:t>
      </w:r>
      <w:r>
        <w:rPr>
          <w:rFonts w:ascii="Times New Roman" w:hAnsi="Times New Roman" w:cs="Times New Roman"/>
          <w:color w:val="1D2129"/>
          <w:sz w:val="24"/>
          <w:szCs w:val="24"/>
        </w:rPr>
        <w:t>t pas sans rappeler qu’historiquement, la France a eu pour habitude de traiter la question de l’itinérance sous le prisme d’une législation d’exception. La loi du 16 juillet 1912 et la loi du 3 janvier 1969 avaient respectivement instauré le carnet anthrop</w:t>
      </w:r>
      <w:r>
        <w:rPr>
          <w:rFonts w:ascii="Times New Roman" w:hAnsi="Times New Roman" w:cs="Times New Roman"/>
          <w:color w:val="1D2129"/>
          <w:sz w:val="24"/>
          <w:szCs w:val="24"/>
        </w:rPr>
        <w:t>ométrique et le carnet de circulation, deux documents d’identité conçus pour identifier les Voyageurs et devant être visés par l’autorité administrative à échéances régulières. Par ailleurs, les droits civiques ne pouvaient être exercés qu’après une périod</w:t>
      </w:r>
      <w:r>
        <w:rPr>
          <w:rFonts w:ascii="Times New Roman" w:hAnsi="Times New Roman" w:cs="Times New Roman"/>
          <w:color w:val="1D2129"/>
          <w:sz w:val="24"/>
          <w:szCs w:val="24"/>
        </w:rPr>
        <w:t>e de rattachement à une commune de trois ans. Ces dispositions, portant gravement atteinte aux droits civiques et politiques des citoyens itinérants n’ont été abolis que très récemment, par le biais de la loi n°2017-86 du 27 janvier 2017 relative à la cito</w:t>
      </w:r>
      <w:r>
        <w:rPr>
          <w:rFonts w:ascii="Times New Roman" w:hAnsi="Times New Roman" w:cs="Times New Roman"/>
          <w:color w:val="1D2129"/>
          <w:sz w:val="24"/>
          <w:szCs w:val="24"/>
        </w:rPr>
        <w:t>yenneté et à l’égalité. Cette histoire, empreinte de discriminations graves, a inévitablement des lourdes conséquences sur d’une part la manière dont les citoyens itinérants appréhendent la vie politique française et, d’autre part, sur la façon dont l’Etat</w:t>
      </w:r>
      <w:r>
        <w:rPr>
          <w:rFonts w:ascii="Times New Roman" w:hAnsi="Times New Roman" w:cs="Times New Roman"/>
          <w:color w:val="1D2129"/>
          <w:sz w:val="24"/>
          <w:szCs w:val="24"/>
        </w:rPr>
        <w:t xml:space="preserve"> et les administrations continuent à infantiliser et discriminer toute une partie de la population en les excluant des débats publics. Il en ressort qu’il est donc d’autant plus indispensable pour l’Etat de briser ce paradigme et de rétablir pleinement les</w:t>
      </w:r>
      <w:r>
        <w:rPr>
          <w:rFonts w:ascii="Times New Roman" w:hAnsi="Times New Roman" w:cs="Times New Roman"/>
          <w:color w:val="1D2129"/>
          <w:sz w:val="24"/>
          <w:szCs w:val="24"/>
        </w:rPr>
        <w:t xml:space="preserve"> citoyens itinérants dans leurs droits civiques et politiques. Cela passe par des politiques publiques visant à inclure les citoyens itinérants dans la politique locale, voire nationale, en prenant en compte leurs voix dans les processus de décision. </w:t>
      </w:r>
    </w:p>
    <w:p w:rsidR="003B0758" w:rsidRDefault="003B0758">
      <w:pPr>
        <w:spacing w:after="0" w:line="276" w:lineRule="auto"/>
        <w:jc w:val="both"/>
        <w:rPr>
          <w:rFonts w:ascii="Times New Roman" w:hAnsi="Times New Roman" w:cs="Times New Roman"/>
          <w:b/>
          <w:sz w:val="24"/>
          <w:szCs w:val="24"/>
        </w:rPr>
      </w:pPr>
    </w:p>
    <w:p w:rsidR="003B0758" w:rsidRDefault="0006652A">
      <w:pPr>
        <w:spacing w:line="276" w:lineRule="auto"/>
        <w:jc w:val="both"/>
        <w:rPr>
          <w:rFonts w:ascii="Times New Roman" w:eastAsia="Times New Roman" w:hAnsi="Times New Roman" w:cs="Times New Roman"/>
          <w:sz w:val="24"/>
          <w:szCs w:val="24"/>
          <w:lang w:eastAsia="fr-FR"/>
        </w:rPr>
      </w:pPr>
      <w:r>
        <w:rPr>
          <w:rFonts w:ascii="Times New Roman" w:hAnsi="Times New Roman" w:cs="Times New Roman"/>
          <w:bCs/>
          <w:sz w:val="24"/>
          <w:szCs w:val="24"/>
        </w:rPr>
        <w:t xml:space="preserve">La </w:t>
      </w:r>
      <w:r>
        <w:rPr>
          <w:rFonts w:ascii="Times New Roman" w:hAnsi="Times New Roman" w:cs="Times New Roman"/>
          <w:bCs/>
          <w:sz w:val="24"/>
          <w:szCs w:val="24"/>
        </w:rPr>
        <w:t>participation des Voyageurs en ce qui concerne l’analyse et l’évaluation de leurs problèmes et besoins, la conception des mesures qui les concernent et leur application, est</w:t>
      </w:r>
      <w:r>
        <w:rPr>
          <w:rFonts w:ascii="Times New Roman" w:eastAsia="Times New Roman" w:hAnsi="Times New Roman" w:cs="Times New Roman"/>
          <w:sz w:val="24"/>
          <w:szCs w:val="24"/>
          <w:lang w:eastAsia="fr-FR"/>
        </w:rPr>
        <w:t xml:space="preserve"> essentielle en ce qu’elle conditionne l’efficacité et l’adéquation des réponses po</w:t>
      </w:r>
      <w:r>
        <w:rPr>
          <w:rFonts w:ascii="Times New Roman" w:eastAsia="Times New Roman" w:hAnsi="Times New Roman" w:cs="Times New Roman"/>
          <w:sz w:val="24"/>
          <w:szCs w:val="24"/>
          <w:lang w:eastAsia="fr-FR"/>
        </w:rPr>
        <w:t>litiques aux besoins des groupes auxquelles elles s’adressent.  </w:t>
      </w:r>
    </w:p>
    <w:p w:rsidR="003B0758" w:rsidRDefault="003B0758">
      <w:pPr>
        <w:spacing w:line="276" w:lineRule="auto"/>
        <w:jc w:val="both"/>
        <w:rPr>
          <w:rFonts w:ascii="Times New Roman" w:hAnsi="Times New Roman" w:cs="Times New Roman"/>
          <w:sz w:val="24"/>
          <w:szCs w:val="24"/>
        </w:rPr>
      </w:pPr>
    </w:p>
    <w:p w:rsidR="003B0758" w:rsidRDefault="0006652A">
      <w:pPr>
        <w:pStyle w:val="Titre1"/>
        <w:rPr>
          <w:b/>
          <w:bCs/>
          <w:i/>
          <w:iCs/>
          <w:sz w:val="28"/>
          <w:szCs w:val="28"/>
          <w:u w:val="single"/>
        </w:rPr>
      </w:pPr>
      <w:bookmarkStart w:id="27" w:name="_Toc23250615"/>
      <w:r>
        <w:rPr>
          <w:b/>
          <w:bCs/>
          <w:i/>
          <w:iCs/>
          <w:sz w:val="28"/>
          <w:szCs w:val="28"/>
          <w:u w:val="single"/>
        </w:rPr>
        <w:t>Conclusion</w:t>
      </w:r>
      <w:bookmarkEnd w:id="27"/>
      <w:r>
        <w:rPr>
          <w:b/>
          <w:bCs/>
          <w:i/>
          <w:iCs/>
          <w:sz w:val="28"/>
          <w:szCs w:val="28"/>
          <w:u w:val="single"/>
        </w:rPr>
        <w:t> </w:t>
      </w:r>
    </w:p>
    <w:p w:rsidR="003B0758" w:rsidRDefault="003B0758"/>
    <w:p w:rsidR="003B0758" w:rsidRDefault="0006652A">
      <w:pPr>
        <w:spacing w:line="276" w:lineRule="auto"/>
        <w:jc w:val="both"/>
        <w:rPr>
          <w:rFonts w:ascii="Times New Roman" w:hAnsi="Times New Roman" w:cs="Times New Roman"/>
          <w:color w:val="1D2129"/>
          <w:sz w:val="24"/>
          <w:szCs w:val="24"/>
        </w:rPr>
      </w:pPr>
      <w:r>
        <w:rPr>
          <w:rFonts w:ascii="Times New Roman" w:hAnsi="Times New Roman" w:cs="Times New Roman"/>
          <w:color w:val="1D2129"/>
          <w:sz w:val="24"/>
          <w:szCs w:val="24"/>
        </w:rPr>
        <w:t xml:space="preserve">L’ODCI recommande que les </w:t>
      </w:r>
      <w:r>
        <w:rPr>
          <w:rFonts w:ascii="Times New Roman" w:hAnsi="Times New Roman" w:cs="Times New Roman"/>
          <w:bCs/>
          <w:color w:val="1D2129"/>
          <w:sz w:val="24"/>
          <w:szCs w:val="24"/>
        </w:rPr>
        <w:t>lois et politiques régulant l’aménagement du territoire et l’accès aux services publics intègrent des</w:t>
      </w:r>
      <w:r>
        <w:rPr>
          <w:rFonts w:ascii="Times New Roman" w:hAnsi="Times New Roman" w:cs="Times New Roman"/>
          <w:b/>
          <w:color w:val="1D2129"/>
          <w:sz w:val="24"/>
          <w:szCs w:val="24"/>
        </w:rPr>
        <w:t xml:space="preserve"> dispositions conformes au mode de vie et aux beso</w:t>
      </w:r>
      <w:r>
        <w:rPr>
          <w:rFonts w:ascii="Times New Roman" w:hAnsi="Times New Roman" w:cs="Times New Roman"/>
          <w:b/>
          <w:color w:val="1D2129"/>
          <w:sz w:val="24"/>
          <w:szCs w:val="24"/>
        </w:rPr>
        <w:t xml:space="preserve">ins particuliers </w:t>
      </w:r>
      <w:r>
        <w:rPr>
          <w:rFonts w:ascii="Times New Roman" w:hAnsi="Times New Roman" w:cs="Times New Roman"/>
          <w:bCs/>
          <w:color w:val="1D2129"/>
          <w:sz w:val="24"/>
          <w:szCs w:val="24"/>
        </w:rPr>
        <w:t>des citoyens itinérants</w:t>
      </w:r>
      <w:r>
        <w:rPr>
          <w:rFonts w:ascii="Times New Roman" w:hAnsi="Times New Roman" w:cs="Times New Roman"/>
          <w:color w:val="1D2129"/>
          <w:sz w:val="24"/>
          <w:szCs w:val="24"/>
        </w:rPr>
        <w:t xml:space="preserve">. </w:t>
      </w:r>
    </w:p>
    <w:p w:rsidR="003B0758" w:rsidRDefault="0006652A">
      <w:pPr>
        <w:spacing w:line="276" w:lineRule="auto"/>
        <w:jc w:val="both"/>
        <w:rPr>
          <w:rFonts w:ascii="Times New Roman" w:hAnsi="Times New Roman" w:cs="Times New Roman"/>
          <w:color w:val="1D2129"/>
          <w:sz w:val="24"/>
          <w:szCs w:val="24"/>
        </w:rPr>
      </w:pPr>
      <w:r>
        <w:rPr>
          <w:rFonts w:ascii="Times New Roman" w:hAnsi="Times New Roman" w:cs="Times New Roman"/>
          <w:color w:val="1D2129"/>
          <w:sz w:val="24"/>
          <w:szCs w:val="24"/>
        </w:rPr>
        <w:t xml:space="preserve">La mise en œuvre de toute mesure affectant les citoyens itinérants doit se conformer au </w:t>
      </w:r>
      <w:r>
        <w:rPr>
          <w:rFonts w:ascii="Times New Roman" w:hAnsi="Times New Roman" w:cs="Times New Roman"/>
          <w:b/>
          <w:bCs/>
          <w:color w:val="1D2129"/>
          <w:sz w:val="24"/>
          <w:szCs w:val="24"/>
        </w:rPr>
        <w:t>principe de la non-discrimination</w:t>
      </w:r>
      <w:r>
        <w:rPr>
          <w:rFonts w:ascii="Times New Roman" w:hAnsi="Times New Roman" w:cs="Times New Roman"/>
          <w:color w:val="1D2129"/>
          <w:sz w:val="24"/>
          <w:szCs w:val="24"/>
        </w:rPr>
        <w:t xml:space="preserve"> en veillant entre autres à assurer le droit à la sécurité, à la dignité, à la liberté d’aller et venir ainsi qu’au droit au respect à une vie privée et familiale.   </w:t>
      </w:r>
    </w:p>
    <w:p w:rsidR="003B0758" w:rsidRDefault="0006652A">
      <w:pPr>
        <w:spacing w:line="276" w:lineRule="auto"/>
        <w:jc w:val="both"/>
        <w:rPr>
          <w:rFonts w:ascii="Times New Roman" w:hAnsi="Times New Roman" w:cs="Times New Roman"/>
          <w:color w:val="1D2129"/>
          <w:sz w:val="24"/>
          <w:szCs w:val="24"/>
        </w:rPr>
      </w:pPr>
      <w:r>
        <w:rPr>
          <w:rFonts w:ascii="Times New Roman" w:hAnsi="Times New Roman" w:cs="Times New Roman"/>
          <w:color w:val="1D2129"/>
          <w:sz w:val="24"/>
          <w:szCs w:val="24"/>
        </w:rPr>
        <w:t xml:space="preserve">La prise en compte des recommandations exposées dans ce document suppose en premier lieu </w:t>
      </w:r>
      <w:r>
        <w:rPr>
          <w:rFonts w:ascii="Times New Roman" w:hAnsi="Times New Roman" w:cs="Times New Roman"/>
          <w:color w:val="1D2129"/>
          <w:sz w:val="24"/>
          <w:szCs w:val="24"/>
        </w:rPr>
        <w:t xml:space="preserve">l’instauration d’un </w:t>
      </w:r>
      <w:r>
        <w:rPr>
          <w:rFonts w:ascii="Times New Roman" w:hAnsi="Times New Roman" w:cs="Times New Roman"/>
          <w:b/>
          <w:bCs/>
          <w:color w:val="1D2129"/>
          <w:sz w:val="24"/>
          <w:szCs w:val="24"/>
        </w:rPr>
        <w:t xml:space="preserve">processus de consultation effective </w:t>
      </w:r>
      <w:r>
        <w:rPr>
          <w:rFonts w:ascii="Times New Roman" w:hAnsi="Times New Roman" w:cs="Times New Roman"/>
          <w:color w:val="1D2129"/>
          <w:sz w:val="24"/>
          <w:szCs w:val="24"/>
        </w:rPr>
        <w:t xml:space="preserve">des citoyens itinérants. </w:t>
      </w:r>
    </w:p>
    <w:p w:rsidR="003B0758" w:rsidRDefault="0006652A">
      <w:pPr>
        <w:spacing w:line="276" w:lineRule="auto"/>
        <w:jc w:val="both"/>
      </w:pPr>
      <w:r>
        <w:rPr>
          <w:rFonts w:ascii="Times New Roman" w:hAnsi="Times New Roman" w:cs="Times New Roman"/>
          <w:color w:val="1D2129"/>
          <w:sz w:val="24"/>
          <w:szCs w:val="24"/>
        </w:rPr>
        <w:t xml:space="preserve">Ces recommandations font écho aux fondements de tout Etat de droit dont les règles sont régies par les principes de </w:t>
      </w:r>
      <w:r>
        <w:rPr>
          <w:rFonts w:ascii="Times New Roman" w:hAnsi="Times New Roman" w:cs="Times New Roman"/>
          <w:b/>
          <w:bCs/>
          <w:color w:val="1D2129"/>
          <w:sz w:val="24"/>
          <w:szCs w:val="24"/>
        </w:rPr>
        <w:t>bonne gouvernance</w:t>
      </w:r>
      <w:r>
        <w:rPr>
          <w:rFonts w:ascii="Times New Roman" w:hAnsi="Times New Roman" w:cs="Times New Roman"/>
          <w:color w:val="1D2129"/>
          <w:sz w:val="24"/>
          <w:szCs w:val="24"/>
        </w:rPr>
        <w:t xml:space="preserve"> et d’</w:t>
      </w:r>
      <w:r>
        <w:rPr>
          <w:rFonts w:ascii="Times New Roman" w:hAnsi="Times New Roman" w:cs="Times New Roman"/>
          <w:b/>
          <w:bCs/>
          <w:color w:val="1D2129"/>
          <w:sz w:val="24"/>
          <w:szCs w:val="24"/>
        </w:rPr>
        <w:t>inclusion</w:t>
      </w:r>
      <w:r>
        <w:rPr>
          <w:rFonts w:ascii="Times New Roman" w:hAnsi="Times New Roman" w:cs="Times New Roman"/>
          <w:color w:val="1D2129"/>
          <w:sz w:val="24"/>
          <w:szCs w:val="24"/>
        </w:rPr>
        <w:t>. L’ODCI appelle donc l’Et</w:t>
      </w:r>
      <w:r>
        <w:rPr>
          <w:rFonts w:ascii="Times New Roman" w:hAnsi="Times New Roman" w:cs="Times New Roman"/>
          <w:color w:val="1D2129"/>
          <w:sz w:val="24"/>
          <w:szCs w:val="24"/>
        </w:rPr>
        <w:t xml:space="preserve">at à prendre en compte ces recommandations afin qu’il se conforme pleinement à ses propres prérogatives. </w:t>
      </w:r>
    </w:p>
    <w:p w:rsidR="003B0758" w:rsidRDefault="0006652A">
      <w:pPr>
        <w:spacing w:line="276" w:lineRule="auto"/>
        <w:jc w:val="both"/>
      </w:pPr>
      <w:r>
        <w:rPr>
          <w:rFonts w:ascii="Times New Roman" w:hAnsi="Times New Roman" w:cs="Times New Roman"/>
          <w:color w:val="1D2129"/>
          <w:sz w:val="24"/>
          <w:szCs w:val="24"/>
        </w:rPr>
        <w:t>Pour clore ce document, en cette période marquée par une double crise sociale et environnementale, dans un contexte de montée des inégalités et de mar</w:t>
      </w:r>
      <w:r>
        <w:rPr>
          <w:rFonts w:ascii="Times New Roman" w:hAnsi="Times New Roman" w:cs="Times New Roman"/>
          <w:color w:val="1D2129"/>
          <w:sz w:val="24"/>
          <w:szCs w:val="24"/>
        </w:rPr>
        <w:t xml:space="preserve">ginalisation de populations vivant dans des environnements dégradés, l’ODCI appelle au développement d’une </w:t>
      </w:r>
      <w:r>
        <w:rPr>
          <w:rFonts w:ascii="Times New Roman" w:hAnsi="Times New Roman" w:cs="Times New Roman"/>
          <w:color w:val="1D2129"/>
          <w:sz w:val="24"/>
          <w:szCs w:val="24"/>
        </w:rPr>
        <w:lastRenderedPageBreak/>
        <w:t xml:space="preserve">réflexion plus globale touchant tant aux questions du logement que du vivre ensemble en France. Un principe premier pourrait être la </w:t>
      </w:r>
      <w:r>
        <w:rPr>
          <w:rFonts w:ascii="Times New Roman" w:hAnsi="Times New Roman" w:cs="Times New Roman"/>
          <w:b/>
          <w:bCs/>
          <w:color w:val="1D2129"/>
          <w:sz w:val="24"/>
          <w:szCs w:val="24"/>
        </w:rPr>
        <w:t>reconnaissance p</w:t>
      </w:r>
      <w:r>
        <w:rPr>
          <w:rFonts w:ascii="Times New Roman" w:hAnsi="Times New Roman" w:cs="Times New Roman"/>
          <w:b/>
          <w:bCs/>
          <w:color w:val="1D2129"/>
          <w:sz w:val="24"/>
          <w:szCs w:val="24"/>
        </w:rPr>
        <w:t>olitique que certains modes de vie s’éloignant des normes établies pourraient inspirer des formes d’habitat plus respectueuses de l’environnement et des droits des personnes</w:t>
      </w:r>
      <w:r>
        <w:rPr>
          <w:rFonts w:ascii="Times New Roman" w:hAnsi="Times New Roman" w:cs="Times New Roman"/>
          <w:color w:val="1D2129"/>
          <w:sz w:val="24"/>
          <w:szCs w:val="24"/>
        </w:rPr>
        <w:t xml:space="preserve">. Briser la législation d’exception qui encadre l’habitat des citoyens itinérants, </w:t>
      </w:r>
      <w:r>
        <w:rPr>
          <w:rFonts w:ascii="Times New Roman" w:hAnsi="Times New Roman" w:cs="Times New Roman"/>
          <w:color w:val="1D2129"/>
          <w:sz w:val="24"/>
          <w:szCs w:val="24"/>
        </w:rPr>
        <w:t xml:space="preserve">serait ainsi l’occasion pour le législateur de repenser en profondeur les normes encadrant l’habitat léger et mobile, et pourrait présenter de nombreux avantages pour la société française dans son ensemble.   </w:t>
      </w:r>
    </w:p>
    <w:p w:rsidR="003B0758" w:rsidRDefault="003B0758">
      <w:pPr>
        <w:spacing w:line="276" w:lineRule="auto"/>
        <w:jc w:val="both"/>
        <w:rPr>
          <w:rFonts w:ascii="Times New Roman" w:hAnsi="Times New Roman" w:cs="Times New Roman"/>
          <w:i/>
          <w:iCs/>
        </w:rPr>
      </w:pPr>
    </w:p>
    <w:p w:rsidR="003B0758" w:rsidRDefault="003B0758">
      <w:pPr>
        <w:spacing w:line="276" w:lineRule="auto"/>
        <w:jc w:val="both"/>
        <w:rPr>
          <w:rFonts w:ascii="Times New Roman" w:hAnsi="Times New Roman" w:cs="Times New Roman"/>
          <w:i/>
          <w:iCs/>
        </w:rPr>
      </w:pPr>
    </w:p>
    <w:p w:rsidR="003B0758" w:rsidRDefault="003B0758">
      <w:pPr>
        <w:spacing w:line="276" w:lineRule="auto"/>
        <w:jc w:val="both"/>
        <w:rPr>
          <w:rFonts w:ascii="Times New Roman" w:hAnsi="Times New Roman" w:cs="Times New Roman"/>
          <w:i/>
          <w:iCs/>
        </w:rPr>
      </w:pPr>
    </w:p>
    <w:p w:rsidR="003B0758" w:rsidRDefault="003B0758">
      <w:pPr>
        <w:spacing w:line="276" w:lineRule="auto"/>
        <w:jc w:val="both"/>
        <w:rPr>
          <w:rFonts w:ascii="Times New Roman" w:hAnsi="Times New Roman" w:cs="Times New Roman"/>
          <w:i/>
          <w:iCs/>
        </w:rPr>
      </w:pPr>
    </w:p>
    <w:p w:rsidR="003B0758" w:rsidRDefault="003B0758">
      <w:pPr>
        <w:spacing w:line="276" w:lineRule="auto"/>
        <w:jc w:val="both"/>
        <w:rPr>
          <w:rFonts w:ascii="Times New Roman" w:hAnsi="Times New Roman" w:cs="Times New Roman"/>
          <w:i/>
          <w:iCs/>
        </w:rPr>
      </w:pPr>
    </w:p>
    <w:p w:rsidR="003B0758" w:rsidRDefault="003B0758">
      <w:pPr>
        <w:spacing w:line="276" w:lineRule="auto"/>
        <w:jc w:val="both"/>
        <w:rPr>
          <w:rFonts w:ascii="Times New Roman" w:hAnsi="Times New Roman" w:cs="Times New Roman"/>
          <w:i/>
          <w:iCs/>
        </w:rPr>
      </w:pPr>
    </w:p>
    <w:p w:rsidR="003B0758" w:rsidRDefault="003B0758"/>
    <w:sectPr w:rsidR="003B0758">
      <w:headerReference w:type="default" r:id="rId8"/>
      <w:pgSz w:w="11906" w:h="16838"/>
      <w:pgMar w:top="1418" w:right="1418" w:bottom="1418" w:left="1418" w:header="709" w:footer="0" w:gutter="0"/>
      <w:cols w:space="720"/>
      <w:formProt w:val="0"/>
      <w:docGrid w:linePitch="360" w:charSpace="1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652A" w:rsidRDefault="0006652A">
      <w:pPr>
        <w:spacing w:after="0" w:line="240" w:lineRule="auto"/>
      </w:pPr>
      <w:r>
        <w:separator/>
      </w:r>
    </w:p>
  </w:endnote>
  <w:endnote w:type="continuationSeparator" w:id="0">
    <w:p w:rsidR="0006652A" w:rsidRDefault="00066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roman"/>
    <w:pitch w:val="variable"/>
  </w:font>
  <w:font w:name="Liberation Sans">
    <w:altName w:val="Arial"/>
    <w:panose1 w:val="020B0604020202020204"/>
    <w:charset w:val="00"/>
    <w:family w:val="roman"/>
    <w:pitch w:val="variable"/>
  </w:font>
  <w:font w:name="Noto Sans CJK SC Regular">
    <w:panose1 w:val="020B0604020202020204"/>
    <w:charset w:val="00"/>
    <w:family w:val="roman"/>
    <w:notTrueType/>
    <w:pitch w:val="default"/>
  </w:font>
  <w:font w:name="FreeSans">
    <w:altName w:val="Cambria"/>
    <w:panose1 w:val="020B0604020202020204"/>
    <w:charset w:val="00"/>
    <w:family w:val="roman"/>
    <w:notTrueType/>
    <w:pitch w:val="default"/>
  </w:font>
  <w:font w:name="+mn-ea">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652A" w:rsidRDefault="0006652A">
      <w:r>
        <w:separator/>
      </w:r>
    </w:p>
  </w:footnote>
  <w:footnote w:type="continuationSeparator" w:id="0">
    <w:p w:rsidR="0006652A" w:rsidRDefault="0006652A">
      <w:r>
        <w:continuationSeparator/>
      </w:r>
    </w:p>
  </w:footnote>
  <w:footnote w:id="1">
    <w:p w:rsidR="003B0758" w:rsidRDefault="0006652A">
      <w:pPr>
        <w:spacing w:line="240" w:lineRule="auto"/>
        <w:jc w:val="both"/>
      </w:pPr>
      <w:r>
        <w:rPr>
          <w:rStyle w:val="Caractresdenotedebasdepage"/>
        </w:rPr>
        <w:footnoteRef/>
      </w:r>
      <w:r>
        <w:rPr>
          <w:rFonts w:ascii="Times New Roman" w:hAnsi="Times New Roman" w:cs="Times New Roman"/>
          <w:sz w:val="20"/>
          <w:szCs w:val="20"/>
          <w:lang w:eastAsia="ja-JP"/>
        </w:rPr>
        <w:t xml:space="preserve"> Les </w:t>
      </w:r>
      <w:r>
        <w:rPr>
          <w:rFonts w:ascii="Times New Roman" w:hAnsi="Times New Roman" w:cs="Times New Roman"/>
          <w:sz w:val="20"/>
          <w:szCs w:val="20"/>
          <w:lang w:eastAsia="ja-JP"/>
        </w:rPr>
        <w:t>termes « citoyens itinérants » ou « Voyageurs », tels que mentionnés au sein de ces recommandations, désignent les individus et groupes qui sont citoyens français, descendants de groupes qui sont depuis longtemps des citoyens français. Les « citoyens itiné</w:t>
      </w:r>
      <w:r>
        <w:rPr>
          <w:rFonts w:ascii="Times New Roman" w:hAnsi="Times New Roman" w:cs="Times New Roman"/>
          <w:sz w:val="20"/>
          <w:szCs w:val="20"/>
          <w:lang w:eastAsia="ja-JP"/>
        </w:rPr>
        <w:t>rants » incluent des personnes de cultures diverses, qui s’identifient souvent comme « Sinti », « Manouche », « Kale », « Gitan », « Rom », « Yenish », « Voyageur », ou autre.</w:t>
      </w:r>
    </w:p>
  </w:footnote>
  <w:footnote w:id="2">
    <w:p w:rsidR="003B0758" w:rsidRDefault="0006652A">
      <w:pPr>
        <w:spacing w:after="0" w:line="216" w:lineRule="auto"/>
        <w:jc w:val="both"/>
        <w:rPr>
          <w:rFonts w:ascii="Times New Roman" w:eastAsia="Times New Roman" w:hAnsi="Times New Roman" w:cs="Times New Roman"/>
          <w:color w:val="9CBEBD"/>
          <w:sz w:val="20"/>
          <w:szCs w:val="20"/>
          <w:lang w:eastAsia="fr-FR"/>
        </w:rPr>
      </w:pPr>
      <w:r>
        <w:rPr>
          <w:rStyle w:val="Caractresdenotedebasdepage"/>
        </w:rPr>
        <w:footnoteRef/>
      </w:r>
      <w:r>
        <w:rPr>
          <w:rFonts w:ascii="Times New Roman" w:hAnsi="Times New Roman" w:cs="Times New Roman"/>
          <w:sz w:val="20"/>
          <w:szCs w:val="20"/>
        </w:rPr>
        <w:t xml:space="preserve"> Voir notamment en ce sens : </w:t>
      </w:r>
      <w:r>
        <w:rPr>
          <w:rFonts w:ascii="Times New Roman" w:eastAsiaTheme="minorEastAsia" w:hAnsi="Times New Roman" w:cs="Times New Roman"/>
          <w:color w:val="000000" w:themeColor="text1"/>
          <w:sz w:val="20"/>
          <w:szCs w:val="20"/>
          <w:lang w:eastAsia="fr-FR"/>
        </w:rPr>
        <w:t xml:space="preserve">Arrêt Winterstein c. France, requête n° 27013/07, 17 octobre 2013 ; Arrêt Connors c. Royaume-Uni, n° 66746/01, 2004 ; Arrêt Chapman, requête n°27238/95, 29 avril 2013. </w:t>
      </w:r>
    </w:p>
    <w:p w:rsidR="003B0758" w:rsidRDefault="003B0758">
      <w:pPr>
        <w:pStyle w:val="Notedebasdepage"/>
      </w:pPr>
    </w:p>
  </w:footnote>
  <w:footnote w:id="3">
    <w:p w:rsidR="003B0758" w:rsidRDefault="0006652A">
      <w:pPr>
        <w:pStyle w:val="Notedebasdepage"/>
        <w:spacing w:line="240" w:lineRule="auto"/>
        <w:jc w:val="both"/>
      </w:pPr>
      <w:r>
        <w:rPr>
          <w:rStyle w:val="Caractresdenotedebasdepage"/>
        </w:rPr>
        <w:footnoteRef/>
      </w:r>
      <w:r>
        <w:rPr>
          <w:rFonts w:ascii="Times New Roman" w:hAnsi="Times New Roman" w:cs="Times New Roman"/>
        </w:rPr>
        <w:t xml:space="preserve"> </w:t>
      </w:r>
      <w:r>
        <w:rPr>
          <w:rFonts w:ascii="Times New Roman" w:hAnsi="Times New Roman" w:cs="Times New Roman"/>
          <w:sz w:val="20"/>
          <w:szCs w:val="20"/>
        </w:rPr>
        <w:t>La loi Besson mentionnée dans les présentes recommandations correspond à la loi n°20</w:t>
      </w:r>
      <w:r>
        <w:rPr>
          <w:rFonts w:ascii="Times New Roman" w:hAnsi="Times New Roman" w:cs="Times New Roman"/>
          <w:sz w:val="20"/>
          <w:szCs w:val="20"/>
        </w:rPr>
        <w:t xml:space="preserve">00-614 du 5 juillet 2000 relative à l’accueil et à l’habitat des gens du voyage. </w:t>
      </w:r>
    </w:p>
  </w:footnote>
  <w:footnote w:id="4">
    <w:p w:rsidR="003B0758" w:rsidRDefault="0006652A">
      <w:pPr>
        <w:pStyle w:val="Notedebasdepage"/>
        <w:spacing w:line="240" w:lineRule="auto"/>
        <w:jc w:val="both"/>
      </w:pPr>
      <w:r>
        <w:rPr>
          <w:rStyle w:val="Caractresdenotedebasdepage"/>
        </w:rPr>
        <w:footnoteRef/>
      </w:r>
      <w:r>
        <w:rPr>
          <w:rFonts w:ascii="Times New Roman" w:hAnsi="Times New Roman" w:cs="Times New Roman"/>
          <w:sz w:val="20"/>
          <w:szCs w:val="20"/>
        </w:rPr>
        <w:t xml:space="preserve"> Le principe de non-discrimination trouve son fondement dans l’article 14 de la Convention européenne des droits de l’Homme (CEDH), l’article 26 du Pacte international relat</w:t>
      </w:r>
      <w:r>
        <w:rPr>
          <w:rFonts w:ascii="Times New Roman" w:hAnsi="Times New Roman" w:cs="Times New Roman"/>
          <w:sz w:val="20"/>
          <w:szCs w:val="20"/>
        </w:rPr>
        <w:t>if aux droits civils et politiques (PIDCP), l’article 21 de la charte des droits fondamentaux de l’Union européenne, l’article 5 de la Convention internationale sur l’élimination de toutes formes de discriminations raciales et l’article 1</w:t>
      </w:r>
      <w:r>
        <w:rPr>
          <w:rFonts w:ascii="Times New Roman" w:hAnsi="Times New Roman" w:cs="Times New Roman"/>
          <w:sz w:val="20"/>
          <w:szCs w:val="20"/>
          <w:vertAlign w:val="superscript"/>
        </w:rPr>
        <w:t>er</w:t>
      </w:r>
      <w:r>
        <w:rPr>
          <w:rFonts w:ascii="Times New Roman" w:hAnsi="Times New Roman" w:cs="Times New Roman"/>
          <w:sz w:val="20"/>
          <w:szCs w:val="20"/>
        </w:rPr>
        <w:t xml:space="preserve"> de la loi n°200</w:t>
      </w:r>
      <w:r>
        <w:rPr>
          <w:rFonts w:ascii="Times New Roman" w:hAnsi="Times New Roman" w:cs="Times New Roman"/>
          <w:sz w:val="20"/>
          <w:szCs w:val="20"/>
        </w:rPr>
        <w:t>8-496 du 27 mai 2008 portant diverses dispositions d’adaptation au droit communautaire dans le domaine de la lutte contre les discriminations. La liberté d’aller et venir quant à elle trouve sa source dans l’article 2 du protocole n°4 de la CEDH et est une</w:t>
      </w:r>
      <w:r>
        <w:rPr>
          <w:rFonts w:ascii="Times New Roman" w:hAnsi="Times New Roman" w:cs="Times New Roman"/>
          <w:sz w:val="20"/>
          <w:szCs w:val="20"/>
        </w:rPr>
        <w:t xml:space="preserve"> liberté à valeur constitutionnelle (voir en ce sens décision du Conseil Constitutionnel n°79-107 DC du 12 juillet 1979). </w:t>
      </w:r>
    </w:p>
  </w:footnote>
  <w:footnote w:id="5">
    <w:p w:rsidR="003B0758" w:rsidRDefault="0006652A">
      <w:pPr>
        <w:pStyle w:val="Notedebasdepage"/>
        <w:spacing w:line="240" w:lineRule="auto"/>
      </w:pPr>
      <w:r>
        <w:rPr>
          <w:rStyle w:val="Caractresdenotedebasdepage"/>
        </w:rPr>
        <w:footnoteRef/>
      </w:r>
      <w:r>
        <w:rPr>
          <w:rFonts w:ascii="Times New Roman" w:hAnsi="Times New Roman" w:cs="Times New Roman"/>
          <w:sz w:val="20"/>
          <w:szCs w:val="20"/>
        </w:rPr>
        <w:t xml:space="preserve"> Les conditions sont énumérées à l’article 9 de la loi Besson. </w:t>
      </w:r>
    </w:p>
  </w:footnote>
  <w:footnote w:id="6">
    <w:p w:rsidR="003B0758" w:rsidRDefault="0006652A">
      <w:pPr>
        <w:pStyle w:val="Notedebasdepage"/>
        <w:jc w:val="both"/>
      </w:pPr>
      <w:r>
        <w:rPr>
          <w:rStyle w:val="Caractresdenotedebasdepage"/>
        </w:rPr>
        <w:footnoteRef/>
      </w:r>
      <w:r>
        <w:rPr>
          <w:rFonts w:ascii="Times New Roman" w:hAnsi="Times New Roman" w:cs="Times New Roman"/>
        </w:rPr>
        <w:t xml:space="preserve"> </w:t>
      </w:r>
      <w:r>
        <w:rPr>
          <w:rFonts w:ascii="Times New Roman" w:eastAsia="Times New Roman" w:hAnsi="Times New Roman" w:cs="Times New Roman"/>
          <w:color w:val="000000"/>
          <w:sz w:val="20"/>
          <w:szCs w:val="20"/>
        </w:rPr>
        <w:t xml:space="preserve">Article L. 441-1 du code de l’urbanisme. </w:t>
      </w:r>
    </w:p>
  </w:footnote>
  <w:footnote w:id="7">
    <w:p w:rsidR="003B0758" w:rsidRDefault="0006652A">
      <w:pPr>
        <w:spacing w:before="180" w:after="0" w:line="240" w:lineRule="auto"/>
        <w:jc w:val="both"/>
        <w:rPr>
          <w:rFonts w:ascii="Times New Roman" w:eastAsia="Times New Roman" w:hAnsi="Times New Roman" w:cs="Times New Roman"/>
          <w:i/>
          <w:color w:val="000000"/>
          <w:sz w:val="20"/>
          <w:szCs w:val="20"/>
        </w:rPr>
      </w:pPr>
      <w:r>
        <w:rPr>
          <w:rStyle w:val="Caractresdenotedebasdepage"/>
        </w:rPr>
        <w:footnoteRef/>
      </w:r>
      <w:r>
        <w:rPr>
          <w:rFonts w:ascii="Times New Roman" w:hAnsi="Times New Roman" w:cs="Times New Roman"/>
          <w:sz w:val="20"/>
          <w:szCs w:val="20"/>
        </w:rPr>
        <w:t xml:space="preserve"> L’article L. 151-13 du</w:t>
      </w:r>
      <w:r>
        <w:rPr>
          <w:rFonts w:ascii="Times New Roman" w:hAnsi="Times New Roman" w:cs="Times New Roman"/>
          <w:sz w:val="20"/>
          <w:szCs w:val="20"/>
        </w:rPr>
        <w:t xml:space="preserve"> code de l’urbanisme précise que </w:t>
      </w:r>
      <w:r>
        <w:rPr>
          <w:rFonts w:ascii="Times New Roman" w:eastAsia="Times New Roman" w:hAnsi="Times New Roman" w:cs="Times New Roman"/>
          <w:color w:val="000000"/>
          <w:sz w:val="20"/>
          <w:szCs w:val="20"/>
        </w:rPr>
        <w:t xml:space="preserve">le caractère exceptionnel </w:t>
      </w:r>
      <w:r>
        <w:rPr>
          <w:rFonts w:ascii="Times New Roman" w:eastAsia="Times New Roman" w:hAnsi="Times New Roman" w:cs="Times New Roman"/>
          <w:i/>
          <w:color w:val="000000"/>
          <w:sz w:val="20"/>
          <w:szCs w:val="20"/>
        </w:rPr>
        <w:t>“s'apprécie, entre autres critères, en fonction des caractéristiques du territoire, du type d'urbanisation du secteur, de la distance entre les constructions ou de la desserte par les réseaux ou pa</w:t>
      </w:r>
      <w:r>
        <w:rPr>
          <w:rFonts w:ascii="Times New Roman" w:eastAsia="Times New Roman" w:hAnsi="Times New Roman" w:cs="Times New Roman"/>
          <w:i/>
          <w:color w:val="000000"/>
          <w:sz w:val="20"/>
          <w:szCs w:val="20"/>
        </w:rPr>
        <w:t>r les équipements collectifs ».</w:t>
      </w:r>
    </w:p>
    <w:p w:rsidR="003B0758" w:rsidRDefault="003B0758">
      <w:pPr>
        <w:spacing w:before="180" w:after="0" w:line="240" w:lineRule="auto"/>
        <w:jc w:val="both"/>
      </w:pPr>
    </w:p>
  </w:footnote>
  <w:footnote w:id="8">
    <w:p w:rsidR="003B0758" w:rsidRDefault="0006652A">
      <w:pPr>
        <w:pStyle w:val="Notedebasdepage"/>
        <w:jc w:val="both"/>
      </w:pPr>
      <w:r>
        <w:rPr>
          <w:rStyle w:val="Caractresdenotedebasdepage"/>
        </w:rPr>
        <w:footnoteRef/>
      </w:r>
      <w:r>
        <w:rPr>
          <w:rFonts w:ascii="Times New Roman" w:hAnsi="Times New Roman" w:cs="Times New Roman"/>
          <w:sz w:val="20"/>
          <w:szCs w:val="20"/>
        </w:rPr>
        <w:t xml:space="preserve"> Article L. 151-13 du code de l’urbanisme.</w:t>
      </w:r>
    </w:p>
  </w:footnote>
  <w:footnote w:id="9">
    <w:p w:rsidR="003B0758" w:rsidRDefault="0006652A">
      <w:pPr>
        <w:pStyle w:val="Notedebasdepage"/>
        <w:jc w:val="both"/>
      </w:pPr>
      <w:r>
        <w:rPr>
          <w:rStyle w:val="Caractresdenotedebasdepage"/>
        </w:rPr>
        <w:footnoteRef/>
      </w:r>
      <w:r>
        <w:rPr>
          <w:rFonts w:ascii="Times New Roman" w:hAnsi="Times New Roman" w:cs="Times New Roman"/>
          <w:sz w:val="20"/>
          <w:szCs w:val="20"/>
        </w:rPr>
        <w:t xml:space="preserve"> </w:t>
      </w:r>
      <w:r>
        <w:rPr>
          <w:rFonts w:ascii="Times New Roman" w:eastAsia="+mn-ea" w:hAnsi="Times New Roman" w:cs="Times New Roman"/>
          <w:sz w:val="20"/>
          <w:szCs w:val="20"/>
        </w:rPr>
        <w:t>Voir l’article 1er de la loi n° 2000-614 du 5 juillet 2000 relative à l'accueil et à l'habitat des gens du voyage.</w:t>
      </w:r>
    </w:p>
  </w:footnote>
  <w:footnote w:id="10">
    <w:p w:rsidR="003B0758" w:rsidRDefault="0006652A">
      <w:pPr>
        <w:pStyle w:val="Notedebasdepage"/>
        <w:jc w:val="both"/>
      </w:pPr>
      <w:r>
        <w:rPr>
          <w:rStyle w:val="Caractresdenotedebasdepage"/>
        </w:rPr>
        <w:footnoteRef/>
      </w:r>
      <w:r>
        <w:rPr>
          <w:rFonts w:ascii="Times New Roman" w:hAnsi="Times New Roman" w:cs="Times New Roman"/>
          <w:sz w:val="20"/>
          <w:szCs w:val="20"/>
        </w:rPr>
        <w:t xml:space="preserve"> </w:t>
      </w:r>
      <w:r>
        <w:rPr>
          <w:rFonts w:ascii="Times New Roman" w:hAnsi="Times New Roman" w:cs="Times New Roman"/>
          <w:i/>
          <w:sz w:val="20"/>
          <w:szCs w:val="20"/>
        </w:rPr>
        <w:t xml:space="preserve">Ibid. </w:t>
      </w:r>
    </w:p>
  </w:footnote>
  <w:footnote w:id="11">
    <w:p w:rsidR="003B0758" w:rsidRDefault="0006652A">
      <w:pPr>
        <w:pStyle w:val="Notedebasdepage"/>
        <w:jc w:val="both"/>
      </w:pPr>
      <w:r>
        <w:rPr>
          <w:rStyle w:val="Caractresdenotedebasdepage"/>
        </w:rPr>
        <w:footnoteRef/>
      </w:r>
      <w:r>
        <w:rPr>
          <w:rFonts w:ascii="Times New Roman" w:hAnsi="Times New Roman" w:cs="Times New Roman"/>
          <w:sz w:val="20"/>
          <w:szCs w:val="20"/>
        </w:rPr>
        <w:t xml:space="preserve"> Voir l’article 101-2, 3° du code de </w:t>
      </w:r>
      <w:r>
        <w:rPr>
          <w:rFonts w:ascii="Times New Roman" w:hAnsi="Times New Roman" w:cs="Times New Roman"/>
          <w:sz w:val="20"/>
          <w:szCs w:val="20"/>
        </w:rPr>
        <w:t>l'urbanisme.</w:t>
      </w:r>
    </w:p>
  </w:footnote>
  <w:footnote w:id="12">
    <w:p w:rsidR="003B0758" w:rsidRDefault="0006652A">
      <w:pPr>
        <w:spacing w:line="276" w:lineRule="auto"/>
        <w:jc w:val="both"/>
      </w:pPr>
      <w:r>
        <w:rPr>
          <w:rStyle w:val="Caractresdenotedebasdepage"/>
        </w:rPr>
        <w:footnoteRef/>
      </w:r>
      <w:r>
        <w:rPr>
          <w:rFonts w:ascii="Times New Roman" w:hAnsi="Times New Roman" w:cs="Times New Roman"/>
          <w:sz w:val="20"/>
          <w:szCs w:val="20"/>
        </w:rPr>
        <w:t xml:space="preserve">  Cette charte a été </w:t>
      </w:r>
      <w:r>
        <w:rPr>
          <w:rFonts w:ascii="Times New Roman" w:hAnsi="Times New Roman" w:cs="Times New Roman"/>
          <w:sz w:val="20"/>
          <w:szCs w:val="20"/>
          <w:lang w:eastAsia="ja-JP"/>
        </w:rPr>
        <w:t>élaborée par la Commission nationale consultative des Gens du voyage le 22 septembre 2016.</w:t>
      </w:r>
    </w:p>
  </w:footnote>
  <w:footnote w:id="13">
    <w:p w:rsidR="003B0758" w:rsidRDefault="0006652A">
      <w:pPr>
        <w:pStyle w:val="Notedebasdepage"/>
      </w:pPr>
      <w:r>
        <w:rPr>
          <w:rStyle w:val="Caractresdenotedebasdepage"/>
        </w:rPr>
        <w:footnoteRef/>
      </w:r>
      <w:r>
        <w:rPr>
          <w:rFonts w:ascii="Times New Roman" w:hAnsi="Times New Roman" w:cs="Times New Roman"/>
          <w:sz w:val="20"/>
          <w:szCs w:val="20"/>
        </w:rPr>
        <w:t xml:space="preserve"> Cette citation provient de la page 4 de la Charte précitée. </w:t>
      </w:r>
    </w:p>
  </w:footnote>
  <w:footnote w:id="14">
    <w:p w:rsidR="003B0758" w:rsidRDefault="0006652A">
      <w:pPr>
        <w:pStyle w:val="Notedebasdepage"/>
        <w:jc w:val="both"/>
      </w:pPr>
      <w:r>
        <w:rPr>
          <w:rStyle w:val="Caractresdenotedebasdepage"/>
        </w:rPr>
        <w:footnoteRef/>
      </w:r>
      <w:r>
        <w:rPr>
          <w:rFonts w:ascii="Times New Roman" w:hAnsi="Times New Roman" w:cs="Times New Roman"/>
          <w:sz w:val="20"/>
          <w:szCs w:val="20"/>
        </w:rPr>
        <w:t xml:space="preserve"> Le droit au logement trouve ses sources au niveau de </w:t>
      </w:r>
      <w:r>
        <w:rPr>
          <w:rFonts w:ascii="Times New Roman" w:eastAsiaTheme="minorEastAsia" w:hAnsi="Times New Roman" w:cs="Times New Roman"/>
          <w:color w:val="000000" w:themeColor="text1"/>
          <w:sz w:val="20"/>
          <w:szCs w:val="20"/>
        </w:rPr>
        <w:t>l’article 25</w:t>
      </w:r>
      <w:r>
        <w:rPr>
          <w:rFonts w:ascii="Times New Roman" w:eastAsiaTheme="minorEastAsia" w:hAnsi="Times New Roman" w:cs="Times New Roman"/>
          <w:color w:val="000000" w:themeColor="text1"/>
          <w:sz w:val="20"/>
          <w:szCs w:val="20"/>
        </w:rPr>
        <w:t>-1 de la Déclaration universelle des droits de l’Homme, de l’article 11 du Pacte international relatif aux droits économiques, sociaux et culturels (voir également en ce sens l’Observation générale n°4 relative au droit au logement suffisant adoptée par le</w:t>
      </w:r>
      <w:r>
        <w:rPr>
          <w:rFonts w:ascii="Times New Roman" w:eastAsiaTheme="minorEastAsia" w:hAnsi="Times New Roman" w:cs="Times New Roman"/>
          <w:color w:val="000000" w:themeColor="text1"/>
          <w:sz w:val="20"/>
          <w:szCs w:val="20"/>
        </w:rPr>
        <w:t xml:space="preserve"> Comité des droits économiques, sociaux et culturels), ainsi que les lois Besson de 1990 et 2000. Par ailleurs, le fait de disposer d’un « Logement décent » est un objectif à valeur constitutionnelle (décision n°94-359 DC du 19 janvier 1995).  </w:t>
      </w:r>
    </w:p>
  </w:footnote>
  <w:footnote w:id="15">
    <w:p w:rsidR="003B0758" w:rsidRDefault="0006652A">
      <w:pPr>
        <w:pStyle w:val="Notedebasdepage"/>
        <w:jc w:val="both"/>
      </w:pPr>
      <w:r>
        <w:rPr>
          <w:rStyle w:val="Caractresdenotedebasdepage"/>
        </w:rPr>
        <w:footnoteRef/>
      </w:r>
      <w:r>
        <w:rPr>
          <w:rFonts w:ascii="Times New Roman" w:hAnsi="Times New Roman" w:cs="Times New Roman"/>
          <w:sz w:val="20"/>
          <w:szCs w:val="20"/>
        </w:rPr>
        <w:t xml:space="preserve"> Voir arti</w:t>
      </w:r>
      <w:r>
        <w:rPr>
          <w:rFonts w:ascii="Times New Roman" w:hAnsi="Times New Roman" w:cs="Times New Roman"/>
          <w:sz w:val="20"/>
          <w:szCs w:val="20"/>
        </w:rPr>
        <w:t>cle R. 421-23 du code de l’urbanisme, article 1</w:t>
      </w:r>
      <w:r>
        <w:rPr>
          <w:rFonts w:ascii="Times New Roman" w:hAnsi="Times New Roman" w:cs="Times New Roman"/>
          <w:sz w:val="20"/>
          <w:szCs w:val="20"/>
          <w:vertAlign w:val="superscript"/>
        </w:rPr>
        <w:t>er</w:t>
      </w:r>
      <w:r>
        <w:rPr>
          <w:rFonts w:ascii="Times New Roman" w:hAnsi="Times New Roman" w:cs="Times New Roman"/>
          <w:sz w:val="20"/>
          <w:szCs w:val="20"/>
        </w:rPr>
        <w:t xml:space="preserve"> de la loi Besson, ainsi que maintes autres dispositions.</w:t>
      </w:r>
    </w:p>
  </w:footnote>
  <w:footnote w:id="16">
    <w:p w:rsidR="003B0758" w:rsidRDefault="0006652A">
      <w:pPr>
        <w:pStyle w:val="Notedebasdepage"/>
      </w:pPr>
      <w:r>
        <w:rPr>
          <w:rStyle w:val="Caractresdenotedebasdepage"/>
        </w:rPr>
        <w:footnoteRef/>
      </w:r>
      <w:r>
        <w:t xml:space="preserve"> </w:t>
      </w:r>
      <w:r>
        <w:rPr>
          <w:rFonts w:ascii="Times New Roman" w:hAnsi="Times New Roman" w:cs="Times New Roman"/>
          <w:sz w:val="20"/>
          <w:szCs w:val="20"/>
        </w:rPr>
        <w:t xml:space="preserve">Assemblée générale des Nations Unies, 28 juillet 2010 - Résolution 64/292. </w:t>
      </w:r>
    </w:p>
  </w:footnote>
  <w:footnote w:id="17">
    <w:p w:rsidR="003B0758" w:rsidRDefault="0006652A">
      <w:pPr>
        <w:pStyle w:val="Notedebasdepage"/>
      </w:pPr>
      <w:r>
        <w:rPr>
          <w:rStyle w:val="Caractresdenotedebasdepage"/>
        </w:rPr>
        <w:footnoteRef/>
      </w:r>
      <w:r>
        <w:rPr>
          <w:rFonts w:ascii="Times New Roman" w:hAnsi="Times New Roman" w:cs="Times New Roman"/>
          <w:sz w:val="20"/>
          <w:szCs w:val="20"/>
        </w:rPr>
        <w:t xml:space="preserve"> Comité des droits économiques, sociaux et culturels de l’ONU - Observ</w:t>
      </w:r>
      <w:r>
        <w:rPr>
          <w:rFonts w:ascii="Times New Roman" w:hAnsi="Times New Roman" w:cs="Times New Roman"/>
          <w:sz w:val="20"/>
          <w:szCs w:val="20"/>
        </w:rPr>
        <w:t xml:space="preserve">ation n° 15 du 26 novembre 2002 sur le droit à l’eau. Voir également l’article L. 210-1 du code de l’environnement qui consacre le droit à l’eau pour tous. </w:t>
      </w:r>
    </w:p>
  </w:footnote>
  <w:footnote w:id="18">
    <w:p w:rsidR="003B0758" w:rsidRDefault="0006652A">
      <w:pPr>
        <w:spacing w:line="240" w:lineRule="auto"/>
        <w:jc w:val="both"/>
        <w:rPr>
          <w:rFonts w:ascii="Times New Roman" w:hAnsi="Times New Roman" w:cs="Times New Roman"/>
          <w:iCs/>
          <w:sz w:val="20"/>
          <w:szCs w:val="20"/>
        </w:rPr>
      </w:pPr>
      <w:r>
        <w:rPr>
          <w:rStyle w:val="Caractresdenotedebasdepage"/>
        </w:rPr>
        <w:footnoteRef/>
      </w:r>
      <w:r>
        <w:rPr>
          <w:rFonts w:ascii="Times New Roman" w:hAnsi="Times New Roman" w:cs="Times New Roman"/>
          <w:sz w:val="20"/>
          <w:szCs w:val="20"/>
        </w:rPr>
        <w:t xml:space="preserve"> </w:t>
      </w:r>
      <w:r>
        <w:rPr>
          <w:rFonts w:ascii="Times New Roman" w:eastAsiaTheme="minorEastAsia" w:hAnsi="Times New Roman" w:cs="Times New Roman"/>
          <w:sz w:val="20"/>
          <w:szCs w:val="20"/>
          <w:lang w:eastAsia="fr-FR"/>
        </w:rPr>
        <w:t>Voir l’arrêt Bayer, CE, 15 décembre 2010, n°323250, qui dispose que l’ingérence d’une autorité pu</w:t>
      </w:r>
      <w:r>
        <w:rPr>
          <w:rFonts w:ascii="Times New Roman" w:eastAsiaTheme="minorEastAsia" w:hAnsi="Times New Roman" w:cs="Times New Roman"/>
          <w:sz w:val="20"/>
          <w:szCs w:val="20"/>
          <w:lang w:eastAsia="fr-FR"/>
        </w:rPr>
        <w:t xml:space="preserve">blique découlant du refus de raccordement n’est pas proportionnée au but légitime poursuivi qui serait le respect des règles d’urbanisme (voir également en ce sens </w:t>
      </w:r>
      <w:r>
        <w:rPr>
          <w:rFonts w:ascii="Times New Roman" w:eastAsiaTheme="minorEastAsia" w:hAnsi="Times New Roman" w:cs="Times New Roman"/>
          <w:color w:val="000000" w:themeColor="text1"/>
          <w:sz w:val="20"/>
          <w:szCs w:val="20"/>
          <w:lang w:eastAsia="fr-FR"/>
        </w:rPr>
        <w:t>TGI Villefranche sur Saône, 18 juin 2018, n°2018/00066</w:t>
      </w:r>
      <w:r>
        <w:rPr>
          <w:rFonts w:ascii="Times New Roman" w:hAnsi="Times New Roman" w:cs="Times New Roman"/>
          <w:sz w:val="20"/>
          <w:szCs w:val="20"/>
        </w:rPr>
        <w:t>).  </w:t>
      </w:r>
      <w:r>
        <w:rPr>
          <w:rFonts w:ascii="Times New Roman" w:hAnsi="Times New Roman" w:cs="Times New Roman"/>
          <w:iCs/>
          <w:sz w:val="20"/>
          <w:szCs w:val="20"/>
        </w:rPr>
        <w:t xml:space="preserve"> </w:t>
      </w:r>
    </w:p>
    <w:p w:rsidR="003B0758" w:rsidRDefault="003B0758">
      <w:pPr>
        <w:pStyle w:val="Notedebasdepage"/>
      </w:pPr>
    </w:p>
  </w:footnote>
  <w:footnote w:id="19">
    <w:p w:rsidR="003B0758" w:rsidRDefault="0006652A">
      <w:pPr>
        <w:pStyle w:val="Notedebasdepage"/>
        <w:jc w:val="both"/>
      </w:pPr>
      <w:r>
        <w:rPr>
          <w:rStyle w:val="Caractresdenotedebasdepage"/>
        </w:rPr>
        <w:footnoteRef/>
      </w:r>
      <w:r>
        <w:t xml:space="preserve"> </w:t>
      </w:r>
      <w:r>
        <w:rPr>
          <w:rFonts w:ascii="Times New Roman" w:hAnsi="Times New Roman" w:cs="Times New Roman"/>
          <w:sz w:val="20"/>
          <w:szCs w:val="20"/>
        </w:rPr>
        <w:t>Voir dispositions de la loi n</w:t>
      </w:r>
      <w:r>
        <w:rPr>
          <w:rFonts w:ascii="Times New Roman" w:hAnsi="Times New Roman" w:cs="Times New Roman"/>
          <w:sz w:val="20"/>
          <w:szCs w:val="20"/>
        </w:rPr>
        <w:t xml:space="preserve">°2007-290 du 5 mars 2007 instituant le droit au logement opposable et portant diverses mesures en faveur de la cohésion sociale. </w:t>
      </w:r>
    </w:p>
  </w:footnote>
  <w:footnote w:id="20">
    <w:p w:rsidR="003B0758" w:rsidRDefault="0006652A">
      <w:pPr>
        <w:pStyle w:val="Notedebasdepage"/>
      </w:pPr>
      <w:r>
        <w:rPr>
          <w:rStyle w:val="Caractresdenotedebasdepage"/>
        </w:rPr>
        <w:footnoteRef/>
      </w:r>
      <w:r>
        <w:t xml:space="preserve"> </w:t>
      </w:r>
      <w:r>
        <w:rPr>
          <w:rFonts w:ascii="Times New Roman" w:hAnsi="Times New Roman" w:cs="Times New Roman"/>
          <w:sz w:val="20"/>
          <w:szCs w:val="20"/>
        </w:rPr>
        <w:t xml:space="preserve">La loi fixe un délai minimal de 24 heures. </w:t>
      </w:r>
    </w:p>
  </w:footnote>
  <w:footnote w:id="21">
    <w:p w:rsidR="003B0758" w:rsidRDefault="0006652A">
      <w:pPr>
        <w:pStyle w:val="Notedebasdepage"/>
        <w:jc w:val="both"/>
      </w:pPr>
      <w:r>
        <w:rPr>
          <w:rStyle w:val="Caractresdenotedebasdepage"/>
        </w:rPr>
        <w:footnoteRef/>
      </w:r>
      <w:r>
        <w:rPr>
          <w:rFonts w:ascii="Times New Roman" w:hAnsi="Times New Roman" w:cs="Times New Roman"/>
          <w:sz w:val="20"/>
          <w:szCs w:val="20"/>
        </w:rPr>
        <w:t xml:space="preserve"> La loi dispose que la mise en demeure est assortie d’un délai d’exécution fixé</w:t>
      </w:r>
      <w:r>
        <w:rPr>
          <w:rFonts w:ascii="Times New Roman" w:hAnsi="Times New Roman" w:cs="Times New Roman"/>
          <w:sz w:val="20"/>
          <w:szCs w:val="20"/>
        </w:rPr>
        <w:t xml:space="preserve"> qui ne peut être inférieur à 24 heures. L’article R. 779-2 du code de justice administrative ajoute que les requêtes, venant contester les mises en demeure, sont présentées dans le délai d’exécution fixé par la décision de mise en demeure. Il en ressort q</w:t>
      </w:r>
      <w:r>
        <w:rPr>
          <w:rFonts w:ascii="Times New Roman" w:hAnsi="Times New Roman" w:cs="Times New Roman"/>
          <w:sz w:val="20"/>
          <w:szCs w:val="20"/>
        </w:rPr>
        <w:t xml:space="preserve">ue dans les faits, les citoyens itinérants ont généralement 24 heures pour contester un arrêté, ce qui rend l’exercice du droit au recours effectif extrêmement limité. </w:t>
      </w:r>
    </w:p>
  </w:footnote>
  <w:footnote w:id="22">
    <w:p w:rsidR="003B0758" w:rsidRDefault="0006652A">
      <w:pPr>
        <w:pStyle w:val="Notedebasdepage"/>
        <w:jc w:val="both"/>
      </w:pPr>
      <w:r>
        <w:rPr>
          <w:rStyle w:val="Caractresdenotedebasdepage"/>
        </w:rPr>
        <w:footnoteRef/>
      </w:r>
      <w:r>
        <w:t xml:space="preserve"> </w:t>
      </w:r>
      <w:r>
        <w:rPr>
          <w:rFonts w:ascii="Times New Roman" w:hAnsi="Times New Roman" w:cs="Times New Roman"/>
          <w:sz w:val="20"/>
          <w:szCs w:val="20"/>
        </w:rPr>
        <w:t xml:space="preserve">Cette disposition est codifiée </w:t>
      </w:r>
      <w:r>
        <w:rPr>
          <w:rStyle w:val="ilfuvd"/>
          <w:rFonts w:ascii="Times New Roman" w:hAnsi="Times New Roman" w:cs="Times New Roman"/>
          <w:sz w:val="20"/>
          <w:szCs w:val="20"/>
        </w:rPr>
        <w:t xml:space="preserve">à l’article 322-4-1 du code pénal. </w:t>
      </w:r>
    </w:p>
  </w:footnote>
  <w:footnote w:id="23">
    <w:p w:rsidR="003B0758" w:rsidRDefault="0006652A">
      <w:pPr>
        <w:pStyle w:val="Notedebasdepage"/>
        <w:jc w:val="both"/>
      </w:pPr>
      <w:r>
        <w:rPr>
          <w:rStyle w:val="Caractresdenotedebasdepage"/>
        </w:rPr>
        <w:footnoteRef/>
      </w:r>
      <w:r>
        <w:rPr>
          <w:rFonts w:ascii="Times New Roman" w:hAnsi="Times New Roman" w:cs="Times New Roman"/>
        </w:rPr>
        <w:t xml:space="preserve"> </w:t>
      </w:r>
      <w:r>
        <w:rPr>
          <w:rFonts w:ascii="Times New Roman" w:hAnsi="Times New Roman" w:cs="Times New Roman"/>
          <w:sz w:val="20"/>
          <w:szCs w:val="20"/>
        </w:rPr>
        <w:t>Le droit à la domiciliation est énoncé aux articles L. 264-1 à 10 du code de l’action sociale et des familles (CASF).</w:t>
      </w:r>
    </w:p>
  </w:footnote>
  <w:footnote w:id="24">
    <w:p w:rsidR="003B0758" w:rsidRDefault="0006652A">
      <w:pPr>
        <w:spacing w:line="259" w:lineRule="auto"/>
        <w:jc w:val="both"/>
      </w:pPr>
      <w:r>
        <w:rPr>
          <w:rStyle w:val="Caractresdenotedebasdepage"/>
        </w:rPr>
        <w:footnoteRef/>
      </w:r>
      <w:r>
        <w:rPr>
          <w:rFonts w:ascii="Times New Roman" w:hAnsi="Times New Roman" w:cs="Times New Roman"/>
          <w:sz w:val="20"/>
          <w:szCs w:val="20"/>
        </w:rPr>
        <w:t xml:space="preserve"> Le droit à la scolarisation est énoncé aux articles 3.1 et 28 de la Convention internationale des </w:t>
      </w:r>
      <w:r>
        <w:rPr>
          <w:rFonts w:ascii="Times New Roman" w:hAnsi="Times New Roman" w:cs="Times New Roman"/>
          <w:sz w:val="20"/>
          <w:szCs w:val="20"/>
        </w:rPr>
        <w:t>droits de l’enfant (CIDE), aux articles 2 et 14 du protocole additionnel n°1 de la CEDH, à l’article 14 de la Charte des droits fondamentaux de l’Union européenne, dans le préambule de la Constitution de 1946 et de la Constitution de 1958, à l’article L. 1</w:t>
      </w:r>
      <w:r>
        <w:rPr>
          <w:rFonts w:ascii="Times New Roman" w:hAnsi="Times New Roman" w:cs="Times New Roman"/>
          <w:sz w:val="20"/>
          <w:szCs w:val="20"/>
        </w:rPr>
        <w:t xml:space="preserve">31-1 du code de l’éducation, et à l’article 227-17-1 du code pénal. </w:t>
      </w:r>
    </w:p>
  </w:footnote>
  <w:footnote w:id="25">
    <w:p w:rsidR="003B0758" w:rsidRDefault="0006652A">
      <w:pPr>
        <w:spacing w:line="259" w:lineRule="auto"/>
        <w:jc w:val="both"/>
      </w:pPr>
      <w:r>
        <w:rPr>
          <w:rStyle w:val="Caractresdenotedebasdepage"/>
        </w:rPr>
        <w:footnoteRef/>
      </w:r>
      <w:r>
        <w:rPr>
          <w:rFonts w:ascii="Times New Roman" w:hAnsi="Times New Roman" w:cs="Times New Roman"/>
          <w:sz w:val="20"/>
          <w:szCs w:val="20"/>
        </w:rPr>
        <w:t xml:space="preserve"> Le droit à la santé est énoncé à l’article 25 de la DUDH, à l’article 24 de la CIDE, à l’article 12 du PIDESC, à l’article 35 de la Charte des droits fondamentaux de l’Union européenne,</w:t>
      </w:r>
      <w:r>
        <w:rPr>
          <w:rFonts w:ascii="Times New Roman" w:hAnsi="Times New Roman" w:cs="Times New Roman"/>
          <w:sz w:val="20"/>
          <w:szCs w:val="20"/>
        </w:rPr>
        <w:t xml:space="preserve"> aux articles L. 1110-1, 1110-3 et 1110-5 du Code de la santé publique. </w:t>
      </w:r>
    </w:p>
  </w:footnote>
  <w:footnote w:id="26">
    <w:p w:rsidR="003B0758" w:rsidRDefault="0006652A">
      <w:pPr>
        <w:pStyle w:val="Notedebasdepage"/>
      </w:pPr>
      <w:r>
        <w:rPr>
          <w:rStyle w:val="Caractresdenotedebasdepage"/>
        </w:rPr>
        <w:footnoteRef/>
      </w:r>
      <w:r>
        <w:rPr>
          <w:rFonts w:ascii="Times New Roman" w:hAnsi="Times New Roman" w:cs="Times New Roman"/>
          <w:sz w:val="20"/>
          <w:szCs w:val="20"/>
        </w:rPr>
        <w:t xml:space="preserve"> Cette charte a été </w:t>
      </w:r>
      <w:r>
        <w:rPr>
          <w:rFonts w:ascii="Times New Roman" w:hAnsi="Times New Roman" w:cs="Times New Roman"/>
          <w:iCs/>
          <w:sz w:val="20"/>
          <w:szCs w:val="20"/>
          <w:lang w:eastAsia="ja-JP"/>
        </w:rPr>
        <w:t xml:space="preserve">élaborée par la Commission nationale consultative des gens du voyage et a été signée par le ministère de la Culture et de l’Education en septembre 2016. </w:t>
      </w:r>
    </w:p>
  </w:footnote>
  <w:footnote w:id="27">
    <w:p w:rsidR="003B0758" w:rsidRDefault="0006652A">
      <w:pPr>
        <w:pStyle w:val="Notedebasdepage"/>
        <w:jc w:val="both"/>
      </w:pPr>
      <w:r>
        <w:rPr>
          <w:rStyle w:val="Caractresdenotedebasdepage"/>
        </w:rPr>
        <w:footnoteRef/>
      </w:r>
      <w:r>
        <w:rPr>
          <w:rFonts w:ascii="Times New Roman" w:hAnsi="Times New Roman" w:cs="Times New Roman"/>
        </w:rPr>
        <w:t xml:space="preserve"> </w:t>
      </w:r>
      <w:r>
        <w:rPr>
          <w:rFonts w:ascii="Times New Roman" w:hAnsi="Times New Roman" w:cs="Times New Roman"/>
          <w:sz w:val="20"/>
          <w:szCs w:val="20"/>
          <w:shd w:val="clear" w:color="auto" w:fill="F7F7F7"/>
        </w:rPr>
        <w:t>La loi</w:t>
      </w:r>
      <w:r>
        <w:rPr>
          <w:rFonts w:ascii="Times New Roman" w:hAnsi="Times New Roman" w:cs="Times New Roman"/>
          <w:sz w:val="20"/>
          <w:szCs w:val="20"/>
          <w:shd w:val="clear" w:color="auto" w:fill="F7F7F7"/>
        </w:rPr>
        <w:t xml:space="preserve"> du 16 juillet 1912 instaure un dispositif de contrôle, de traçabilité et de surveillance des Nomades en France à travers notamment la création d’un carnet anthropométrique d’identité. </w:t>
      </w:r>
    </w:p>
  </w:footnote>
  <w:footnote w:id="28">
    <w:p w:rsidR="003B0758" w:rsidRDefault="0006652A">
      <w:pPr>
        <w:pStyle w:val="Notedebasdepage"/>
        <w:jc w:val="both"/>
      </w:pPr>
      <w:r>
        <w:rPr>
          <w:rStyle w:val="Caractresdenotedebasdepage"/>
        </w:rPr>
        <w:footnoteRef/>
      </w:r>
      <w:r>
        <w:rPr>
          <w:rFonts w:ascii="Times New Roman" w:hAnsi="Times New Roman" w:cs="Times New Roman"/>
          <w:sz w:val="20"/>
          <w:szCs w:val="20"/>
        </w:rPr>
        <w:t xml:space="preserve">  Cette charte a été </w:t>
      </w:r>
      <w:r>
        <w:rPr>
          <w:rFonts w:ascii="Times New Roman" w:hAnsi="Times New Roman" w:cs="Times New Roman"/>
          <w:iCs/>
          <w:sz w:val="20"/>
          <w:szCs w:val="20"/>
          <w:lang w:eastAsia="ja-JP"/>
        </w:rPr>
        <w:t>élaborée par la Commission nationale consultativ</w:t>
      </w:r>
      <w:r>
        <w:rPr>
          <w:rFonts w:ascii="Times New Roman" w:hAnsi="Times New Roman" w:cs="Times New Roman"/>
          <w:iCs/>
          <w:sz w:val="20"/>
          <w:szCs w:val="20"/>
          <w:lang w:eastAsia="ja-JP"/>
        </w:rPr>
        <w:t xml:space="preserve">e des gens du voyage et a été signée par le ministère de la Culture et de l’Education en septembre 2016. </w:t>
      </w:r>
    </w:p>
  </w:footnote>
  <w:footnote w:id="29">
    <w:p w:rsidR="003B0758" w:rsidRDefault="0006652A">
      <w:pPr>
        <w:pStyle w:val="Notedebasdepage"/>
        <w:jc w:val="both"/>
      </w:pPr>
      <w:r>
        <w:rPr>
          <w:rStyle w:val="Caractresdenotedebasdepage"/>
        </w:rPr>
        <w:footnoteRef/>
      </w:r>
      <w:r>
        <w:rPr>
          <w:rFonts w:ascii="Times New Roman" w:hAnsi="Times New Roman" w:cs="Times New Roman"/>
          <w:sz w:val="20"/>
          <w:szCs w:val="20"/>
        </w:rPr>
        <w:t xml:space="preserve"> Voir la Convention pour la sauvegarde du patrimoine culturel immatériel de 2003 et ratifiée par la France en 2006. </w:t>
      </w:r>
    </w:p>
  </w:footnote>
  <w:footnote w:id="30">
    <w:p w:rsidR="003B0758" w:rsidRDefault="0006652A">
      <w:pPr>
        <w:pStyle w:val="Notedebasdepage"/>
        <w:jc w:val="both"/>
      </w:pPr>
      <w:r>
        <w:rPr>
          <w:rStyle w:val="Caractresdenotedebasdepage"/>
        </w:rPr>
        <w:footnoteRef/>
      </w:r>
      <w:r>
        <w:rPr>
          <w:rFonts w:ascii="Times New Roman" w:eastAsia="Times New Roman" w:hAnsi="Times New Roman" w:cs="Times New Roman"/>
          <w:lang w:eastAsia="fr-FR"/>
        </w:rPr>
        <w:t xml:space="preserve"> Ces obligations sont entre aut</w:t>
      </w:r>
      <w:r>
        <w:rPr>
          <w:rFonts w:ascii="Times New Roman" w:eastAsia="Times New Roman" w:hAnsi="Times New Roman" w:cs="Times New Roman"/>
          <w:lang w:eastAsia="fr-FR"/>
        </w:rPr>
        <w:t>res énoncées dans le Pacte international relative aux droits civils et politiques, la Déclaration des Nations-Unies sur les minorités, et dans les Recommandations de Lund de l`OSCE sur la Participation effective des minorités.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9324771"/>
      <w:docPartObj>
        <w:docPartGallery w:val="Page Numbers (Top of Page)"/>
        <w:docPartUnique/>
      </w:docPartObj>
    </w:sdtPr>
    <w:sdtEndPr/>
    <w:sdtContent>
      <w:p w:rsidR="003B0758" w:rsidRDefault="0006652A">
        <w:pPr>
          <w:pStyle w:val="En-tte"/>
          <w:ind w:right="-864"/>
          <w:jc w:val="right"/>
        </w:pPr>
        <w:r>
          <w:rPr>
            <w:noProof/>
          </w:rPr>
          <mc:AlternateContent>
            <mc:Choice Requires="wpg">
              <w:drawing>
                <wp:inline distT="0" distB="0" distL="0" distR="0" wp14:anchorId="1033EB3B">
                  <wp:extent cx="549275" cy="238125"/>
                  <wp:effectExtent l="9525" t="9525" r="13335" b="10160"/>
                  <wp:docPr id="2" name="Groupe 2"/>
                  <wp:cNvGraphicFramePr/>
                  <a:graphic xmlns:a="http://schemas.openxmlformats.org/drawingml/2006/main">
                    <a:graphicData uri="http://schemas.microsoft.com/office/word/2010/wordprocessingGroup">
                      <wpg:wgp>
                        <wpg:cNvGrpSpPr/>
                        <wpg:grpSpPr>
                          <a:xfrm>
                            <a:off x="0" y="0"/>
                            <a:ext cx="548640" cy="237600"/>
                            <a:chOff x="0" y="0"/>
                            <a:chExt cx="0" cy="0"/>
                          </a:xfrm>
                        </wpg:grpSpPr>
                        <wps:wsp>
                          <wps:cNvPr id="1" name="Rectangle : coins arrondis 1"/>
                          <wps:cNvSpPr/>
                          <wps:spPr>
                            <a:xfrm rot="16200000">
                              <a:off x="155520" y="-392760"/>
                              <a:ext cx="237600" cy="548640"/>
                            </a:xfrm>
                            <a:prstGeom prst="roundRect">
                              <a:avLst>
                                <a:gd name="adj" fmla="val 16667"/>
                              </a:avLst>
                            </a:prstGeom>
                            <a:solidFill>
                              <a:srgbClr val="FFFFFF"/>
                            </a:solidFill>
                            <a:ln w="9360">
                              <a:solidFill>
                                <a:srgbClr val="E4BE84"/>
                              </a:solidFill>
                              <a:round/>
                            </a:ln>
                          </wps:spPr>
                          <wps:style>
                            <a:lnRef idx="0">
                              <a:scrgbClr r="0" g="0" b="0"/>
                            </a:lnRef>
                            <a:fillRef idx="0">
                              <a:scrgbClr r="0" g="0" b="0"/>
                            </a:fillRef>
                            <a:effectRef idx="0">
                              <a:scrgbClr r="0" g="0" b="0"/>
                            </a:effectRef>
                            <a:fontRef idx="minor"/>
                          </wps:style>
                          <wps:bodyPr/>
                        </wps:wsp>
                        <wps:wsp>
                          <wps:cNvPr id="3" name="Rectangle : coins arrondis 3"/>
                          <wps:cNvSpPr/>
                          <wps:spPr>
                            <a:xfrm rot="16200000">
                              <a:off x="180360" y="-320400"/>
                              <a:ext cx="187920" cy="502920"/>
                            </a:xfrm>
                            <a:prstGeom prst="roundRect">
                              <a:avLst>
                                <a:gd name="adj" fmla="val 16667"/>
                              </a:avLst>
                            </a:prstGeom>
                            <a:solidFill>
                              <a:srgbClr val="E4BE84"/>
                            </a:solidFill>
                            <a:ln w="9360">
                              <a:solidFill>
                                <a:srgbClr val="E4BE84"/>
                              </a:solidFill>
                              <a:round/>
                            </a:ln>
                          </wps:spPr>
                          <wps:style>
                            <a:lnRef idx="0">
                              <a:scrgbClr r="0" g="0" b="0"/>
                            </a:lnRef>
                            <a:fillRef idx="0">
                              <a:scrgbClr r="0" g="0" b="0"/>
                            </a:fillRef>
                            <a:effectRef idx="0">
                              <a:scrgbClr r="0" g="0" b="0"/>
                            </a:effectRef>
                            <a:fontRef idx="minor"/>
                          </wps:style>
                          <wps:bodyPr/>
                        </wps:wsp>
                        <wps:wsp>
                          <wps:cNvPr id="4" name="Rectangle 4"/>
                          <wps:cNvSpPr/>
                          <wps:spPr>
                            <a:xfrm>
                              <a:off x="74880" y="34920"/>
                              <a:ext cx="418320" cy="182880"/>
                            </a:xfrm>
                            <a:prstGeom prst="rect">
                              <a:avLst/>
                            </a:prstGeom>
                            <a:noFill/>
                            <a:ln>
                              <a:noFill/>
                            </a:ln>
                          </wps:spPr>
                          <wps:style>
                            <a:lnRef idx="0">
                              <a:scrgbClr r="0" g="0" b="0"/>
                            </a:lnRef>
                            <a:fillRef idx="0">
                              <a:scrgbClr r="0" g="0" b="0"/>
                            </a:fillRef>
                            <a:effectRef idx="0">
                              <a:scrgbClr r="0" g="0" b="0"/>
                            </a:effectRef>
                            <a:fontRef idx="minor"/>
                          </wps:style>
                          <wps:txbx>
                            <w:txbxContent>
                              <w:p w:rsidR="003B0758" w:rsidRDefault="0006652A">
                                <w:pPr>
                                  <w:overflowPunct w:val="0"/>
                                  <w:spacing w:after="0" w:line="240" w:lineRule="auto"/>
                                </w:pPr>
                                <w:r>
                                  <w:rPr>
                                    <w:b/>
                                    <w:bCs/>
                                    <w:color w:val="FFFFFF"/>
                                  </w:rPr>
                                  <w:t>2</w:t>
                                </w:r>
                              </w:p>
                            </w:txbxContent>
                          </wps:txbx>
                          <wps:bodyPr lIns="0" tIns="0" rIns="0" bIns="0">
                            <a:noAutofit/>
                          </wps:bodyPr>
                        </wps:wsp>
                      </wpg:wgp>
                    </a:graphicData>
                  </a:graphic>
                </wp:inline>
              </w:drawing>
            </mc:Choice>
            <mc:Fallback>
              <w:pict>
                <v:group id="shape_0" style="position:absolute;margin-left:5.9pt;margin-top:-31.05pt;width:32.95pt;height:43.2pt" coordorigin="118,-621" coordsize="659,864">
                  <v:rect id="shape_0" ID="Text Box 44" stroked="f" style="position:absolute;left:118;top:-320;width:658;height:287;mso-position-vertical:top">
                    <v:textbox>
                      <w:txbxContent>
                        <w:p>
                          <w:pPr>
                            <w:overflowPunct w:val="false"/>
                            <w:spacing w:before="0" w:after="0" w:lineRule="auto" w:line="240"/>
                            <w:jc w:val="left"/>
                            <w:rPr/>
                          </w:pPr>
                          <w:r>
                            <w:rPr>
                              <w:sz w:val="22"/>
                              <w:b/>
                              <w:u w:val="none"/>
                              <w:dstrike w:val="false"/>
                              <w:strike w:val="false"/>
                              <w:i w:val="false"/>
                              <w:vertAlign w:val="baseline"/>
                              <w:position w:val="0"/>
                              <w:spacing w:val="0"/>
                              <w:szCs w:val="22"/>
                              <w:bCs/>
                              <w:iCs w:val="false"/>
                              <w:smallCaps w:val="false"/>
                              <w:caps w:val="false"/>
                              <w:color w:val="FFFFFF"/>
                            </w:rPr>
                            <w:t>2</w:t>
                          </w:r>
                        </w:p>
                      </w:txbxContent>
                    </v:textbox>
                    <w10:wrap type="square"/>
                    <v:fill o:detectmouseclick="t" on="false"/>
                    <v:stroke color="#3465a4" joinstyle="round" endcap="flat"/>
                  </v:rect>
                </v:group>
              </w:pict>
            </mc:Fallback>
          </mc:AlternateContent>
        </w:r>
        <w:r>
          <w:rPr>
            <w:noProof/>
          </w:rPr>
          <w:drawing>
            <wp:anchor distT="0" distB="0" distL="0" distR="114300" simplePos="0" relativeHeight="15" behindDoc="1" locked="0" layoutInCell="1" allowOverlap="1">
              <wp:simplePos x="0" y="0"/>
              <wp:positionH relativeFrom="margin">
                <wp:align>left</wp:align>
              </wp:positionH>
              <wp:positionV relativeFrom="page">
                <wp:align>bottom</wp:align>
              </wp:positionV>
              <wp:extent cx="1947545" cy="847090"/>
              <wp:effectExtent l="0" t="0" r="0" b="0"/>
              <wp:wrapSquare wrapText="bothSides"/>
              <wp:docPr id="5" name="Picture 1" descr="Macintosh HD:Users:fmariat:Desktop:Capture d’écran 2017-07-10 à 10.50.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cintosh HD:Users:fmariat:Desktop:Capture d’écran 2017-07-10 à 10.50.26.png"/>
                      <pic:cNvPicPr>
                        <a:picLocks noChangeAspect="1" noChangeArrowheads="1"/>
                      </pic:cNvPicPr>
                    </pic:nvPicPr>
                    <pic:blipFill>
                      <a:blip r:embed="rId1"/>
                      <a:stretch>
                        <a:fillRect/>
                      </a:stretch>
                    </pic:blipFill>
                    <pic:spPr bwMode="auto">
                      <a:xfrm>
                        <a:off x="0" y="0"/>
                        <a:ext cx="1947545" cy="847090"/>
                      </a:xfrm>
                      <a:prstGeom prst="rect">
                        <a:avLst/>
                      </a:prstGeom>
                    </pic:spPr>
                  </pic:pic>
                </a:graphicData>
              </a:graphic>
            </wp:anchor>
          </w:drawing>
        </w:r>
      </w:p>
    </w:sdtContent>
  </w:sdt>
  <w:p w:rsidR="003B0758" w:rsidRDefault="003B0758">
    <w:pPr>
      <w:pStyle w:val="En-tte"/>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8F2E58"/>
    <w:multiLevelType w:val="multilevel"/>
    <w:tmpl w:val="42DA076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8143D0A"/>
    <w:multiLevelType w:val="multilevel"/>
    <w:tmpl w:val="B51ED9B2"/>
    <w:lvl w:ilvl="0">
      <w:start w:val="1"/>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39EE25B8"/>
    <w:multiLevelType w:val="multilevel"/>
    <w:tmpl w:val="9050EE58"/>
    <w:lvl w:ilvl="0">
      <w:start w:val="1"/>
      <w:numFmt w:val="bullet"/>
      <w:lvlText w:val=""/>
      <w:lvlJc w:val="left"/>
      <w:pPr>
        <w:ind w:left="720" w:hanging="360"/>
      </w:pPr>
      <w:rPr>
        <w:rFonts w:ascii="Wingdings" w:hAnsi="Wingdings" w:cs="Wingdings" w:hint="default"/>
        <w:b/>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7"/>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758"/>
    <w:rsid w:val="0006652A"/>
    <w:rsid w:val="003B0758"/>
    <w:rsid w:val="00BA287D"/>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decimalSymbol w:val=","/>
  <w:listSeparator w:val=","/>
  <w15:docId w15:val="{727D2F8F-A9E0-254F-AC8B-9D76A1289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709"/>
    <w:pPr>
      <w:spacing w:after="160" w:line="252" w:lineRule="auto"/>
    </w:pPr>
  </w:style>
  <w:style w:type="paragraph" w:styleId="Titre1">
    <w:name w:val="heading 1"/>
    <w:basedOn w:val="Normal"/>
    <w:next w:val="Normal"/>
    <w:link w:val="Titre1Car"/>
    <w:uiPriority w:val="9"/>
    <w:qFormat/>
    <w:rsid w:val="00B4138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B4138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NotedebasdepageCar">
    <w:name w:val="Note de bas de page Car"/>
    <w:basedOn w:val="Policepardfaut"/>
    <w:link w:val="Notedebasdepage"/>
    <w:uiPriority w:val="99"/>
    <w:qFormat/>
    <w:rsid w:val="00ED1709"/>
    <w:rPr>
      <w:sz w:val="20"/>
      <w:szCs w:val="20"/>
      <w:lang w:val="en-US"/>
    </w:rPr>
  </w:style>
  <w:style w:type="character" w:customStyle="1" w:styleId="Ancredenotedebasdepage">
    <w:name w:val="Ancre de note de bas de page"/>
    <w:rPr>
      <w:vertAlign w:val="superscript"/>
    </w:rPr>
  </w:style>
  <w:style w:type="character" w:customStyle="1" w:styleId="FootnoteCharacters">
    <w:name w:val="Footnote Characters"/>
    <w:basedOn w:val="Policepardfaut"/>
    <w:uiPriority w:val="99"/>
    <w:semiHidden/>
    <w:unhideWhenUsed/>
    <w:qFormat/>
    <w:rsid w:val="00ED1709"/>
    <w:rPr>
      <w:vertAlign w:val="superscript"/>
    </w:rPr>
  </w:style>
  <w:style w:type="character" w:customStyle="1" w:styleId="Caractresdenotedebasdepage">
    <w:name w:val="Caractères de note de bas de page"/>
    <w:qFormat/>
    <w:rsid w:val="00ED1709"/>
  </w:style>
  <w:style w:type="character" w:customStyle="1" w:styleId="LienInternet">
    <w:name w:val="Lien Internet"/>
    <w:basedOn w:val="Policepardfaut"/>
    <w:uiPriority w:val="99"/>
    <w:unhideWhenUsed/>
    <w:rsid w:val="00691E00"/>
    <w:rPr>
      <w:color w:val="0563C1" w:themeColor="hyperlink"/>
      <w:u w:val="single"/>
    </w:rPr>
  </w:style>
  <w:style w:type="character" w:customStyle="1" w:styleId="En-tteCar">
    <w:name w:val="En-tête Car"/>
    <w:basedOn w:val="Policepardfaut"/>
    <w:uiPriority w:val="99"/>
    <w:qFormat/>
    <w:rsid w:val="00E93D67"/>
  </w:style>
  <w:style w:type="character" w:customStyle="1" w:styleId="PieddepageCar">
    <w:name w:val="Pied de page Car"/>
    <w:basedOn w:val="Policepardfaut"/>
    <w:link w:val="Pieddepage"/>
    <w:uiPriority w:val="99"/>
    <w:qFormat/>
    <w:rsid w:val="00E93D67"/>
  </w:style>
  <w:style w:type="character" w:styleId="Numrodepage">
    <w:name w:val="page number"/>
    <w:basedOn w:val="Policepardfaut"/>
    <w:uiPriority w:val="99"/>
    <w:unhideWhenUsed/>
    <w:qFormat/>
    <w:rsid w:val="00004893"/>
  </w:style>
  <w:style w:type="character" w:styleId="Marquedecommentaire">
    <w:name w:val="annotation reference"/>
    <w:basedOn w:val="Policepardfaut"/>
    <w:uiPriority w:val="99"/>
    <w:semiHidden/>
    <w:unhideWhenUsed/>
    <w:qFormat/>
    <w:rsid w:val="003A797A"/>
    <w:rPr>
      <w:sz w:val="16"/>
      <w:szCs w:val="16"/>
    </w:rPr>
  </w:style>
  <w:style w:type="character" w:customStyle="1" w:styleId="CommentaireCar">
    <w:name w:val="Commentaire Car"/>
    <w:basedOn w:val="Policepardfaut"/>
    <w:link w:val="Commentaire"/>
    <w:uiPriority w:val="99"/>
    <w:qFormat/>
    <w:rsid w:val="003A797A"/>
    <w:rPr>
      <w:sz w:val="20"/>
      <w:szCs w:val="20"/>
    </w:rPr>
  </w:style>
  <w:style w:type="character" w:customStyle="1" w:styleId="ObjetducommentaireCar">
    <w:name w:val="Objet du commentaire Car"/>
    <w:basedOn w:val="CommentaireCar"/>
    <w:link w:val="Objetducommentaire"/>
    <w:uiPriority w:val="99"/>
    <w:semiHidden/>
    <w:qFormat/>
    <w:rsid w:val="003A797A"/>
    <w:rPr>
      <w:b/>
      <w:bCs/>
      <w:sz w:val="20"/>
      <w:szCs w:val="20"/>
    </w:rPr>
  </w:style>
  <w:style w:type="character" w:customStyle="1" w:styleId="TextedebullesCar">
    <w:name w:val="Texte de bulles Car"/>
    <w:basedOn w:val="Policepardfaut"/>
    <w:link w:val="Textedebulles"/>
    <w:uiPriority w:val="99"/>
    <w:semiHidden/>
    <w:qFormat/>
    <w:rsid w:val="003A797A"/>
    <w:rPr>
      <w:rFonts w:ascii="Segoe UI" w:hAnsi="Segoe UI" w:cs="Segoe UI"/>
      <w:sz w:val="18"/>
      <w:szCs w:val="18"/>
    </w:rPr>
  </w:style>
  <w:style w:type="character" w:customStyle="1" w:styleId="Titre1Car">
    <w:name w:val="Titre 1 Car"/>
    <w:basedOn w:val="Policepardfaut"/>
    <w:link w:val="Titre1"/>
    <w:uiPriority w:val="9"/>
    <w:qFormat/>
    <w:rsid w:val="00B4138B"/>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qFormat/>
    <w:rsid w:val="00B4138B"/>
    <w:rPr>
      <w:rFonts w:asciiTheme="majorHAnsi" w:eastAsiaTheme="majorEastAsia" w:hAnsiTheme="majorHAnsi" w:cstheme="majorBidi"/>
      <w:color w:val="2F5496" w:themeColor="accent1" w:themeShade="BF"/>
      <w:sz w:val="26"/>
      <w:szCs w:val="26"/>
    </w:rPr>
  </w:style>
  <w:style w:type="character" w:customStyle="1" w:styleId="ilfuvd">
    <w:name w:val="ilfuvd"/>
    <w:basedOn w:val="Policepardfaut"/>
    <w:qFormat/>
    <w:rsid w:val="009A6CF2"/>
  </w:style>
  <w:style w:type="character" w:customStyle="1" w:styleId="NotedebasdepageCar1">
    <w:name w:val="Note de bas de page Car1"/>
    <w:basedOn w:val="Policepardfaut"/>
    <w:uiPriority w:val="99"/>
    <w:semiHidden/>
    <w:qFormat/>
    <w:rsid w:val="008F04EF"/>
    <w:rPr>
      <w:rFonts w:ascii="Times New Roman" w:eastAsiaTheme="majorEastAsia" w:hAnsi="Times New Roman"/>
      <w:sz w:val="20"/>
      <w:szCs w:val="20"/>
      <w:lang w:val="fr-FR"/>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Sautdindex">
    <w:name w:val="Saut d'index"/>
    <w:qFormat/>
  </w:style>
  <w:style w:type="character" w:customStyle="1" w:styleId="Ancredenotedefin">
    <w:name w:val="Ancre de note de fin"/>
    <w:rPr>
      <w:vertAlign w:val="superscript"/>
    </w:rPr>
  </w:style>
  <w:style w:type="character" w:customStyle="1" w:styleId="Caractresdenotedefin">
    <w:name w:val="Caractères de note de fin"/>
    <w:qFormat/>
  </w:style>
  <w:style w:type="character" w:customStyle="1" w:styleId="ListLabel10">
    <w:name w:val="ListLabel 10"/>
    <w:qFormat/>
    <w:rPr>
      <w:rFonts w:cs="Wingdings"/>
      <w:b/>
      <w:sz w:val="28"/>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Symbol"/>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paragraph" w:styleId="Titre">
    <w:name w:val="Title"/>
    <w:basedOn w:val="Normal"/>
    <w:next w:val="Corpsdetexte"/>
    <w:qFormat/>
    <w:pPr>
      <w:keepNext/>
      <w:spacing w:before="240" w:after="120"/>
    </w:pPr>
    <w:rPr>
      <w:rFonts w:ascii="Liberation Sans" w:eastAsia="Noto Sans CJK SC Regular" w:hAnsi="Liberation Sans" w:cs="FreeSans"/>
      <w:sz w:val="28"/>
      <w:szCs w:val="28"/>
    </w:rPr>
  </w:style>
  <w:style w:type="paragraph" w:styleId="Corpsdetexte">
    <w:name w:val="Body Text"/>
    <w:basedOn w:val="Normal"/>
    <w:pPr>
      <w:spacing w:after="140" w:line="288" w:lineRule="auto"/>
    </w:pPr>
  </w:style>
  <w:style w:type="paragraph" w:styleId="Liste">
    <w:name w:val="List"/>
    <w:basedOn w:val="Corpsdetexte"/>
    <w:rPr>
      <w:rFonts w:cs="FreeSans"/>
    </w:rPr>
  </w:style>
  <w:style w:type="paragraph" w:styleId="Lgende">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Notedebasdepage">
    <w:name w:val="footnote text"/>
    <w:basedOn w:val="Normal"/>
    <w:link w:val="NotedebasdepageCar"/>
  </w:style>
  <w:style w:type="paragraph" w:styleId="Paragraphedeliste">
    <w:name w:val="List Paragraph"/>
    <w:basedOn w:val="Normal"/>
    <w:uiPriority w:val="34"/>
    <w:qFormat/>
    <w:rsid w:val="00ED1709"/>
    <w:pPr>
      <w:ind w:left="720"/>
      <w:contextualSpacing/>
    </w:pPr>
  </w:style>
  <w:style w:type="paragraph" w:styleId="En-tte">
    <w:name w:val="header"/>
    <w:basedOn w:val="Normal"/>
    <w:uiPriority w:val="99"/>
    <w:unhideWhenUsed/>
    <w:rsid w:val="00E93D67"/>
    <w:pPr>
      <w:tabs>
        <w:tab w:val="center" w:pos="4536"/>
        <w:tab w:val="right" w:pos="9072"/>
      </w:tabs>
      <w:spacing w:after="0" w:line="240" w:lineRule="auto"/>
    </w:pPr>
  </w:style>
  <w:style w:type="paragraph" w:styleId="Pieddepage">
    <w:name w:val="footer"/>
    <w:basedOn w:val="Normal"/>
    <w:link w:val="PieddepageCar"/>
    <w:uiPriority w:val="99"/>
    <w:unhideWhenUsed/>
    <w:rsid w:val="00E93D67"/>
    <w:pPr>
      <w:tabs>
        <w:tab w:val="center" w:pos="4536"/>
        <w:tab w:val="right" w:pos="9072"/>
      </w:tabs>
      <w:spacing w:after="0" w:line="240" w:lineRule="auto"/>
    </w:pPr>
  </w:style>
  <w:style w:type="paragraph" w:styleId="Commentaire">
    <w:name w:val="annotation text"/>
    <w:basedOn w:val="Normal"/>
    <w:link w:val="CommentaireCar"/>
    <w:uiPriority w:val="99"/>
    <w:unhideWhenUsed/>
    <w:qFormat/>
    <w:rsid w:val="003A797A"/>
    <w:pPr>
      <w:spacing w:line="240" w:lineRule="auto"/>
    </w:pPr>
    <w:rPr>
      <w:sz w:val="20"/>
      <w:szCs w:val="20"/>
    </w:rPr>
  </w:style>
  <w:style w:type="paragraph" w:styleId="Objetducommentaire">
    <w:name w:val="annotation subject"/>
    <w:basedOn w:val="Commentaire"/>
    <w:link w:val="ObjetducommentaireCar"/>
    <w:uiPriority w:val="99"/>
    <w:semiHidden/>
    <w:unhideWhenUsed/>
    <w:qFormat/>
    <w:rsid w:val="003A797A"/>
    <w:rPr>
      <w:b/>
      <w:bCs/>
    </w:rPr>
  </w:style>
  <w:style w:type="paragraph" w:styleId="Textedebulles">
    <w:name w:val="Balloon Text"/>
    <w:basedOn w:val="Normal"/>
    <w:link w:val="TextedebullesCar"/>
    <w:uiPriority w:val="99"/>
    <w:semiHidden/>
    <w:unhideWhenUsed/>
    <w:qFormat/>
    <w:rsid w:val="003A797A"/>
    <w:pPr>
      <w:spacing w:after="0" w:line="240" w:lineRule="auto"/>
    </w:pPr>
    <w:rPr>
      <w:rFonts w:ascii="Segoe UI" w:hAnsi="Segoe UI" w:cs="Segoe UI"/>
      <w:sz w:val="18"/>
      <w:szCs w:val="18"/>
    </w:rPr>
  </w:style>
  <w:style w:type="paragraph" w:styleId="En-ttedetabledesmatires">
    <w:name w:val="TOC Heading"/>
    <w:basedOn w:val="Titre1"/>
    <w:next w:val="Normal"/>
    <w:uiPriority w:val="39"/>
    <w:unhideWhenUsed/>
    <w:qFormat/>
    <w:rsid w:val="005755C2"/>
    <w:pPr>
      <w:spacing w:line="259" w:lineRule="auto"/>
    </w:pPr>
    <w:rPr>
      <w:lang w:eastAsia="fr-FR"/>
    </w:rPr>
  </w:style>
  <w:style w:type="paragraph" w:styleId="TM1">
    <w:name w:val="toc 1"/>
    <w:basedOn w:val="Normal"/>
    <w:next w:val="Normal"/>
    <w:autoRedefine/>
    <w:uiPriority w:val="39"/>
    <w:unhideWhenUsed/>
    <w:rsid w:val="005755C2"/>
    <w:pPr>
      <w:spacing w:after="100"/>
    </w:pPr>
  </w:style>
  <w:style w:type="paragraph" w:styleId="TM2">
    <w:name w:val="toc 2"/>
    <w:basedOn w:val="Normal"/>
    <w:next w:val="Normal"/>
    <w:autoRedefine/>
    <w:uiPriority w:val="39"/>
    <w:unhideWhenUsed/>
    <w:rsid w:val="005755C2"/>
    <w:pPr>
      <w:spacing w:after="100"/>
      <w:ind w:left="220"/>
    </w:pPr>
  </w:style>
  <w:style w:type="paragraph" w:styleId="Rvision">
    <w:name w:val="Revision"/>
    <w:uiPriority w:val="99"/>
    <w:semiHidden/>
    <w:qFormat/>
    <w:rsid w:val="000A52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17C35C2-6D55-6941-B090-639CDD972E3A}">
  <ds:schemaRefs>
    <ds:schemaRef ds:uri="http://schemas.openxmlformats.org/officeDocument/2006/bibliography"/>
  </ds:schemaRefs>
</ds:datastoreItem>
</file>

<file path=customXml/itemProps2.xml><?xml version="1.0" encoding="utf-8"?>
<ds:datastoreItem xmlns:ds="http://schemas.openxmlformats.org/officeDocument/2006/customXml" ds:itemID="{46C0EC19-FAFC-40E4-8549-387116486A02}"/>
</file>

<file path=customXml/itemProps3.xml><?xml version="1.0" encoding="utf-8"?>
<ds:datastoreItem xmlns:ds="http://schemas.openxmlformats.org/officeDocument/2006/customXml" ds:itemID="{DCA04B70-3346-41D2-ADD7-DA3C4424B8CE}"/>
</file>

<file path=customXml/itemProps4.xml><?xml version="1.0" encoding="utf-8"?>
<ds:datastoreItem xmlns:ds="http://schemas.openxmlformats.org/officeDocument/2006/customXml" ds:itemID="{51EAFE3A-1BFE-4B86-999D-345D29230DD4}"/>
</file>

<file path=docProps/app.xml><?xml version="1.0" encoding="utf-8"?>
<Properties xmlns="http://schemas.openxmlformats.org/officeDocument/2006/extended-properties" xmlns:vt="http://schemas.openxmlformats.org/officeDocument/2006/docPropsVTypes">
  <Template>Normal.dotm</Template>
  <TotalTime>1</TotalTime>
  <Pages>15</Pages>
  <Words>5444</Words>
  <Characters>29947</Characters>
  <Application>Microsoft Office Word</Application>
  <DocSecurity>0</DocSecurity>
  <Lines>249</Lines>
  <Paragraphs>70</Paragraphs>
  <ScaleCrop>false</ScaleCrop>
  <Company/>
  <LinksUpToDate>false</LinksUpToDate>
  <CharactersWithSpaces>35321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louis</dc:creator>
  <dc:description/>
  <cp:lastModifiedBy>Roxane Cassehgari</cp:lastModifiedBy>
  <cp:revision>2</cp:revision>
  <dcterms:created xsi:type="dcterms:W3CDTF">2019-11-18T16:16:00Z</dcterms:created>
  <dcterms:modified xsi:type="dcterms:W3CDTF">2019-11-18T16:16:00Z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0x0101008822B9E06671B54FA89F14538B9B0FEA</vt:lpwstr>
  </property>
</Properties>
</file>