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58486" w14:textId="3FABFC3C" w:rsidR="000D741E" w:rsidRDefault="007250FF" w:rsidP="00483C9F">
      <w:pPr>
        <w:jc w:val="center"/>
        <w:rPr>
          <w:lang w:val="en-GB"/>
        </w:rPr>
      </w:pPr>
      <w:r>
        <w:rPr>
          <w:noProof/>
          <w:lang w:val="en-US"/>
        </w:rPr>
        <w:drawing>
          <wp:anchor distT="0" distB="0" distL="114300" distR="114300" simplePos="0" relativeHeight="251658240" behindDoc="1" locked="0" layoutInCell="1" allowOverlap="1" wp14:anchorId="5B513A09" wp14:editId="4D18CF1F">
            <wp:simplePos x="0" y="0"/>
            <wp:positionH relativeFrom="column">
              <wp:posOffset>4286250</wp:posOffset>
            </wp:positionH>
            <wp:positionV relativeFrom="paragraph">
              <wp:posOffset>-862330</wp:posOffset>
            </wp:positionV>
            <wp:extent cx="1847214" cy="111155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6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214" cy="1111556"/>
                    </a:xfrm>
                    <a:prstGeom prst="rect">
                      <a:avLst/>
                    </a:prstGeom>
                  </pic:spPr>
                </pic:pic>
              </a:graphicData>
            </a:graphic>
            <wp14:sizeRelH relativeFrom="margin">
              <wp14:pctWidth>0</wp14:pctWidth>
            </wp14:sizeRelH>
            <wp14:sizeRelV relativeFrom="margin">
              <wp14:pctHeight>0</wp14:pctHeight>
            </wp14:sizeRelV>
          </wp:anchor>
        </w:drawing>
      </w:r>
    </w:p>
    <w:p w14:paraId="1379D650" w14:textId="61F6E988" w:rsidR="007250FF" w:rsidRDefault="007250FF" w:rsidP="00802B81">
      <w:pPr>
        <w:jc w:val="center"/>
        <w:rPr>
          <w:lang w:val="en-GB"/>
        </w:rPr>
      </w:pPr>
      <w:r>
        <w:rPr>
          <w:lang w:val="en-GB"/>
        </w:rPr>
        <w:t>Call for input on</w:t>
      </w:r>
    </w:p>
    <w:p w14:paraId="38A52DBB" w14:textId="09A30AE0" w:rsidR="00802B81" w:rsidRPr="00C1184A" w:rsidRDefault="00802B81" w:rsidP="00802B81">
      <w:pPr>
        <w:jc w:val="center"/>
        <w:rPr>
          <w:i/>
          <w:lang w:val="en-GB"/>
        </w:rPr>
      </w:pPr>
      <w:r w:rsidRPr="00C1184A">
        <w:rPr>
          <w:i/>
          <w:lang w:val="en-GB"/>
        </w:rPr>
        <w:t>Internal displacement in the context of the slow-onset adverse effects of climate change</w:t>
      </w:r>
    </w:p>
    <w:p w14:paraId="7033EB00" w14:textId="33B30C84" w:rsidR="006A137A" w:rsidRDefault="000D741E" w:rsidP="000A74A2">
      <w:pPr>
        <w:spacing w:after="360"/>
        <w:jc w:val="center"/>
        <w:rPr>
          <w:lang w:val="en-GB"/>
        </w:rPr>
      </w:pPr>
      <w:r>
        <w:rPr>
          <w:noProof/>
          <w:lang w:val="en-US"/>
        </w:rPr>
        <mc:AlternateContent>
          <mc:Choice Requires="wps">
            <w:drawing>
              <wp:anchor distT="0" distB="0" distL="114300" distR="114300" simplePos="0" relativeHeight="251659264" behindDoc="0" locked="0" layoutInCell="1" allowOverlap="1" wp14:anchorId="6155948A" wp14:editId="6A3AF8C7">
                <wp:simplePos x="0" y="0"/>
                <wp:positionH relativeFrom="column">
                  <wp:posOffset>2240280</wp:posOffset>
                </wp:positionH>
                <wp:positionV relativeFrom="paragraph">
                  <wp:posOffset>294640</wp:posOffset>
                </wp:positionV>
                <wp:extent cx="1647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47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B128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pt,23.2pt" to="306.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" strokecolor="#4472c4 [3204]" strokeweight="1pt">
                <v:stroke joinstyle="miter"/>
              </v:line>
            </w:pict>
          </mc:Fallback>
        </mc:AlternateContent>
      </w:r>
      <w:r w:rsidR="00802B81" w:rsidRPr="00802B81">
        <w:rPr>
          <w:lang w:val="en-GB"/>
        </w:rPr>
        <w:t>Report of the Special Rapporteur on the human rights of internally displaced persons</w:t>
      </w:r>
    </w:p>
    <w:p w14:paraId="12CB608E" w14:textId="08FDCCD6" w:rsidR="006A137A" w:rsidRDefault="006364D7" w:rsidP="000A74A2">
      <w:pPr>
        <w:jc w:val="center"/>
        <w:rPr>
          <w:lang w:val="en-GB"/>
        </w:rPr>
      </w:pPr>
      <w:r>
        <w:rPr>
          <w:i/>
          <w:lang w:val="en-GB"/>
        </w:rPr>
        <w:t>f</w:t>
      </w:r>
      <w:r w:rsidR="00802B81" w:rsidRPr="00802B81">
        <w:rPr>
          <w:i/>
          <w:lang w:val="en-GB"/>
        </w:rPr>
        <w:t>rom</w:t>
      </w:r>
      <w:r w:rsidR="00802B81">
        <w:rPr>
          <w:lang w:val="en-GB"/>
        </w:rPr>
        <w:t xml:space="preserve"> </w:t>
      </w:r>
      <w:r>
        <w:rPr>
          <w:lang w:val="en-GB"/>
        </w:rPr>
        <w:t>t</w:t>
      </w:r>
      <w:r w:rsidR="00802B81">
        <w:rPr>
          <w:lang w:val="en-GB"/>
        </w:rPr>
        <w:t xml:space="preserve">he Food and Agriculture Organization of the United Nations </w:t>
      </w:r>
      <w:r w:rsidR="00A10728">
        <w:rPr>
          <w:lang w:val="en-GB"/>
        </w:rPr>
        <w:t>(FAO)</w:t>
      </w:r>
    </w:p>
    <w:p w14:paraId="0637C438" w14:textId="246F44EE" w:rsidR="001A6FF3" w:rsidRDefault="001A6FF3" w:rsidP="001A6FF3">
      <w:pPr>
        <w:jc w:val="center"/>
        <w:rPr>
          <w:lang w:val="en-GB"/>
        </w:rPr>
      </w:pPr>
    </w:p>
    <w:p w14:paraId="5BB414DC" w14:textId="5A01819E" w:rsidR="001A6FF3" w:rsidRPr="00C1184A" w:rsidRDefault="00802B81" w:rsidP="001A6FF3">
      <w:pPr>
        <w:jc w:val="both"/>
        <w:rPr>
          <w:b/>
          <w:sz w:val="22"/>
          <w:szCs w:val="22"/>
          <w:lang w:val="en-GB"/>
        </w:rPr>
      </w:pPr>
      <w:r w:rsidRPr="00C1184A">
        <w:rPr>
          <w:b/>
          <w:sz w:val="22"/>
          <w:szCs w:val="22"/>
          <w:lang w:val="en-GB"/>
        </w:rPr>
        <w:t>On information</w:t>
      </w:r>
      <w:r w:rsidR="001A6FF3" w:rsidRPr="00C1184A">
        <w:rPr>
          <w:b/>
          <w:sz w:val="22"/>
          <w:szCs w:val="22"/>
          <w:lang w:val="en-GB"/>
        </w:rPr>
        <w:t xml:space="preserve"> on how slow-onset effects of climate change </w:t>
      </w:r>
      <w:proofErr w:type="gramStart"/>
      <w:r w:rsidR="001A6FF3" w:rsidRPr="00C1184A">
        <w:rPr>
          <w:b/>
          <w:sz w:val="22"/>
          <w:szCs w:val="22"/>
          <w:lang w:val="en-GB"/>
        </w:rPr>
        <w:t>are inter-related</w:t>
      </w:r>
      <w:proofErr w:type="gramEnd"/>
      <w:r w:rsidR="001A6FF3" w:rsidRPr="00C1184A">
        <w:rPr>
          <w:b/>
          <w:sz w:val="22"/>
          <w:szCs w:val="22"/>
          <w:lang w:val="en-GB"/>
        </w:rPr>
        <w:t xml:space="preserve"> with conflict, i.e. how climate change and conflict combine to act as drivers and causes of internal displacement, and what specific combined effects they have on internally displaced people. </w:t>
      </w:r>
    </w:p>
    <w:p w14:paraId="79E66119" w14:textId="1627EA28" w:rsidR="001A6FF3" w:rsidRPr="00C1184A" w:rsidRDefault="001A6FF3" w:rsidP="001A6FF3">
      <w:pPr>
        <w:rPr>
          <w:sz w:val="22"/>
          <w:szCs w:val="22"/>
          <w:lang w:val="en-GB"/>
        </w:rPr>
      </w:pPr>
    </w:p>
    <w:p w14:paraId="0DB7B35E" w14:textId="61F187C2" w:rsidR="00802B81" w:rsidRPr="00C1184A" w:rsidRDefault="001A6FF3" w:rsidP="001A6FF3">
      <w:pPr>
        <w:autoSpaceDE w:val="0"/>
        <w:autoSpaceDN w:val="0"/>
        <w:adjustRightInd w:val="0"/>
        <w:jc w:val="both"/>
        <w:rPr>
          <w:sz w:val="22"/>
          <w:szCs w:val="22"/>
          <w:lang w:val="en-GB"/>
        </w:rPr>
      </w:pPr>
      <w:r w:rsidRPr="00C1184A">
        <w:rPr>
          <w:sz w:val="22"/>
          <w:szCs w:val="22"/>
          <w:lang w:val="en-GB"/>
        </w:rPr>
        <w:t>Climate change is a macro-driver of significant transformation to the human system. Climate variability, drought and natural hazards can cause severe</w:t>
      </w:r>
      <w:bookmarkStart w:id="0" w:name="_GoBack"/>
      <w:bookmarkEnd w:id="0"/>
      <w:r w:rsidRPr="00C1184A">
        <w:rPr>
          <w:sz w:val="22"/>
          <w:szCs w:val="22"/>
          <w:lang w:val="en-GB"/>
        </w:rPr>
        <w:t xml:space="preserve"> damages to livelihoods, mobility patterns and institutional stability. These events may alter the dynamics of interaction among individuals, which, in some instances, may turn violent. Migration is one of the potential indirect mechanism</w:t>
      </w:r>
      <w:r w:rsidR="006A2C36" w:rsidRPr="00C1184A">
        <w:rPr>
          <w:sz w:val="22"/>
          <w:szCs w:val="22"/>
          <w:lang w:val="en-GB"/>
        </w:rPr>
        <w:t>s</w:t>
      </w:r>
      <w:r w:rsidRPr="00C1184A">
        <w:rPr>
          <w:sz w:val="22"/>
          <w:szCs w:val="22"/>
          <w:lang w:val="en-GB"/>
        </w:rPr>
        <w:t xml:space="preserve"> through which climate change can increase the likelihood of civil conflict outbreak in developing countries. Slow-onset climatic events such as drought, soil degradation and sea-level rise have the potential to </w:t>
      </w:r>
      <w:r w:rsidR="00A10728" w:rsidRPr="00C1184A">
        <w:rPr>
          <w:sz w:val="22"/>
          <w:szCs w:val="22"/>
          <w:lang w:val="en-GB"/>
        </w:rPr>
        <w:t xml:space="preserve">alter livelihood systems and </w:t>
      </w:r>
      <w:r w:rsidRPr="00C1184A">
        <w:rPr>
          <w:sz w:val="22"/>
          <w:szCs w:val="22"/>
          <w:lang w:val="en-GB"/>
        </w:rPr>
        <w:t>influence</w:t>
      </w:r>
      <w:r w:rsidR="006A2C36" w:rsidRPr="00C1184A">
        <w:rPr>
          <w:sz w:val="22"/>
          <w:szCs w:val="22"/>
          <w:lang w:val="en-GB"/>
        </w:rPr>
        <w:t xml:space="preserve"> </w:t>
      </w:r>
      <w:r w:rsidRPr="00C1184A">
        <w:rPr>
          <w:sz w:val="22"/>
          <w:szCs w:val="22"/>
          <w:lang w:val="en-GB"/>
        </w:rPr>
        <w:t>individuals</w:t>
      </w:r>
      <w:r w:rsidR="006A2C36" w:rsidRPr="00C1184A">
        <w:rPr>
          <w:sz w:val="22"/>
          <w:szCs w:val="22"/>
          <w:lang w:val="en-GB"/>
        </w:rPr>
        <w:t xml:space="preserve">' </w:t>
      </w:r>
      <w:r w:rsidRPr="00C1184A">
        <w:rPr>
          <w:sz w:val="22"/>
          <w:szCs w:val="22"/>
          <w:lang w:val="en-GB"/>
        </w:rPr>
        <w:t>decision to migrate</w:t>
      </w:r>
    </w:p>
    <w:p w14:paraId="60490E16" w14:textId="77777777" w:rsidR="00802B81" w:rsidRPr="00C1184A" w:rsidRDefault="00802B81" w:rsidP="001A6FF3">
      <w:pPr>
        <w:autoSpaceDE w:val="0"/>
        <w:autoSpaceDN w:val="0"/>
        <w:adjustRightInd w:val="0"/>
        <w:jc w:val="both"/>
        <w:rPr>
          <w:sz w:val="22"/>
          <w:szCs w:val="22"/>
          <w:lang w:val="en-GB"/>
        </w:rPr>
      </w:pPr>
    </w:p>
    <w:p w14:paraId="788DE3B8" w14:textId="5B68D891" w:rsidR="00802B81" w:rsidRPr="00C1184A" w:rsidRDefault="001A6FF3" w:rsidP="001A6FF3">
      <w:pPr>
        <w:autoSpaceDE w:val="0"/>
        <w:autoSpaceDN w:val="0"/>
        <w:adjustRightInd w:val="0"/>
        <w:jc w:val="both"/>
        <w:rPr>
          <w:sz w:val="22"/>
          <w:szCs w:val="22"/>
          <w:lang w:val="en-GB"/>
        </w:rPr>
      </w:pPr>
      <w:r w:rsidRPr="00C1184A">
        <w:rPr>
          <w:sz w:val="22"/>
          <w:szCs w:val="22"/>
          <w:lang w:val="en-GB"/>
        </w:rPr>
        <w:t xml:space="preserve">In agrarian societies, the climate-induced limited availability of natural resources and the consequent </w:t>
      </w:r>
      <w:proofErr w:type="gramStart"/>
      <w:r w:rsidRPr="00C1184A">
        <w:rPr>
          <w:sz w:val="22"/>
          <w:szCs w:val="22"/>
          <w:lang w:val="en-GB"/>
        </w:rPr>
        <w:t>deterioration</w:t>
      </w:r>
      <w:proofErr w:type="gramEnd"/>
      <w:r w:rsidRPr="00C1184A">
        <w:rPr>
          <w:sz w:val="22"/>
          <w:szCs w:val="22"/>
          <w:lang w:val="en-GB"/>
        </w:rPr>
        <w:t xml:space="preserve"> of livelihood conditions may lead people to move either to places where arable land and water are abundant or to urban areas to find new job opportunities</w:t>
      </w:r>
      <w:r w:rsidR="008D1926" w:rsidRPr="00C1184A">
        <w:rPr>
          <w:sz w:val="22"/>
          <w:szCs w:val="22"/>
          <w:lang w:val="en-GB"/>
        </w:rPr>
        <w:t xml:space="preserve"> and better living conditions</w:t>
      </w:r>
      <w:r w:rsidRPr="00C1184A">
        <w:rPr>
          <w:sz w:val="22"/>
          <w:szCs w:val="22"/>
          <w:lang w:val="en-GB"/>
        </w:rPr>
        <w:t xml:space="preserve">. Climate migrants may have a destabilising effect on the level of social cohesion in the receiving areas, including the potential for the escalation of violence between natives and newcomers. </w:t>
      </w:r>
    </w:p>
    <w:p w14:paraId="4309A6A1" w14:textId="77777777" w:rsidR="00802B81" w:rsidRPr="00C1184A" w:rsidRDefault="00802B81" w:rsidP="001A6FF3">
      <w:pPr>
        <w:autoSpaceDE w:val="0"/>
        <w:autoSpaceDN w:val="0"/>
        <w:adjustRightInd w:val="0"/>
        <w:jc w:val="both"/>
        <w:rPr>
          <w:sz w:val="22"/>
          <w:szCs w:val="22"/>
          <w:lang w:val="en-GB"/>
        </w:rPr>
      </w:pPr>
    </w:p>
    <w:p w14:paraId="490A9977" w14:textId="77777777" w:rsidR="00802B81" w:rsidRPr="00C1184A" w:rsidRDefault="001A6FF3" w:rsidP="001A6FF3">
      <w:pPr>
        <w:autoSpaceDE w:val="0"/>
        <w:autoSpaceDN w:val="0"/>
        <w:adjustRightInd w:val="0"/>
        <w:jc w:val="both"/>
        <w:rPr>
          <w:sz w:val="22"/>
          <w:szCs w:val="22"/>
          <w:lang w:val="en-GB"/>
        </w:rPr>
      </w:pPr>
      <w:r w:rsidRPr="00C1184A">
        <w:rPr>
          <w:sz w:val="22"/>
          <w:szCs w:val="22"/>
          <w:lang w:val="en-GB"/>
        </w:rPr>
        <w:t xml:space="preserve">Drought-induced migration can contribute to conflict diffusion via four distinct channels. Firstly, the internal migration flow can increase the competition over decreasing economic and renewable resources. Secondly, population movements may trigger ethnic tensions when migrants and local belong to different ethnic groups. Thirdly, the wave of internally displaced people may create a sense of mistrust between sending and receiving areas, especially if hosting </w:t>
      </w:r>
      <w:r w:rsidR="008D1926" w:rsidRPr="00C1184A">
        <w:rPr>
          <w:sz w:val="22"/>
          <w:szCs w:val="22"/>
          <w:lang w:val="en-GB"/>
        </w:rPr>
        <w:t xml:space="preserve">areas </w:t>
      </w:r>
      <w:r w:rsidRPr="00C1184A">
        <w:rPr>
          <w:sz w:val="22"/>
          <w:szCs w:val="22"/>
          <w:lang w:val="en-GB"/>
        </w:rPr>
        <w:t xml:space="preserve">perceive maltreatment and violations of human rights. Finally, a climate-induced displacement may aggravate traditional fault lines that are rooted in pre-existing tensions. </w:t>
      </w:r>
    </w:p>
    <w:p w14:paraId="5878C10F" w14:textId="77777777" w:rsidR="00802B81" w:rsidRPr="00C1184A" w:rsidRDefault="00802B81" w:rsidP="001A6FF3">
      <w:pPr>
        <w:autoSpaceDE w:val="0"/>
        <w:autoSpaceDN w:val="0"/>
        <w:adjustRightInd w:val="0"/>
        <w:jc w:val="both"/>
        <w:rPr>
          <w:sz w:val="22"/>
          <w:szCs w:val="22"/>
          <w:lang w:val="en-GB"/>
        </w:rPr>
      </w:pPr>
    </w:p>
    <w:p w14:paraId="238CC77D" w14:textId="043740C5" w:rsidR="001A6FF3" w:rsidRPr="00C1184A" w:rsidRDefault="001A6FF3" w:rsidP="001A6FF3">
      <w:pPr>
        <w:autoSpaceDE w:val="0"/>
        <w:autoSpaceDN w:val="0"/>
        <w:adjustRightInd w:val="0"/>
        <w:jc w:val="both"/>
        <w:rPr>
          <w:rFonts w:cs="Times New Roman"/>
          <w:sz w:val="22"/>
          <w:szCs w:val="22"/>
          <w:lang w:val="en-GB"/>
        </w:rPr>
      </w:pPr>
      <w:r w:rsidRPr="00C1184A">
        <w:rPr>
          <w:rFonts w:cs="Times New Roman"/>
          <w:sz w:val="22"/>
          <w:szCs w:val="22"/>
          <w:lang w:val="en-GB"/>
        </w:rPr>
        <w:t xml:space="preserve">For instance, in the West African Sahel, </w:t>
      </w:r>
      <w:proofErr w:type="gramStart"/>
      <w:r w:rsidRPr="00C1184A">
        <w:rPr>
          <w:rFonts w:cs="Times New Roman"/>
          <w:sz w:val="22"/>
          <w:szCs w:val="22"/>
          <w:lang w:val="en-GB"/>
        </w:rPr>
        <w:t>land-use disputes between migrant herders and sedentary farmers have been often driven by underlying socioeconomic issues and institutional failure</w:t>
      </w:r>
      <w:proofErr w:type="gramEnd"/>
      <w:r w:rsidRPr="00C1184A">
        <w:rPr>
          <w:rFonts w:cs="Times New Roman"/>
          <w:sz w:val="22"/>
          <w:szCs w:val="22"/>
          <w:lang w:val="en-GB"/>
        </w:rPr>
        <w:t xml:space="preserve">. </w:t>
      </w:r>
      <w:r w:rsidR="003765B9" w:rsidRPr="00C1184A">
        <w:rPr>
          <w:rFonts w:cs="Times New Roman"/>
          <w:sz w:val="22"/>
          <w:szCs w:val="22"/>
          <w:lang w:val="en-GB"/>
        </w:rPr>
        <w:t>On the other hand, in the Horn of Africa pastoralist dropout trends are intertwined with increasingly erratic and unpredictable weather patterns in the region</w:t>
      </w:r>
      <w:r w:rsidR="00A10728" w:rsidRPr="00C1184A">
        <w:rPr>
          <w:rFonts w:cs="Times New Roman"/>
          <w:sz w:val="22"/>
          <w:szCs w:val="22"/>
          <w:lang w:val="en-GB"/>
        </w:rPr>
        <w:t xml:space="preserve"> – contributing to the increase in numbers of climate induced IDPs in Ethiopia and Somalia</w:t>
      </w:r>
      <w:r w:rsidR="003765B9" w:rsidRPr="00C1184A">
        <w:rPr>
          <w:rFonts w:cs="Times New Roman"/>
          <w:sz w:val="22"/>
          <w:szCs w:val="22"/>
          <w:lang w:val="en-GB"/>
        </w:rPr>
        <w:t>.  The mentioned examples highlight the need of mainstreaming climate-smart agriculture interventions that are conducive to sustaina</w:t>
      </w:r>
      <w:r w:rsidR="00C1184A">
        <w:rPr>
          <w:rFonts w:cs="Times New Roman"/>
          <w:sz w:val="22"/>
          <w:szCs w:val="22"/>
          <w:lang w:val="en-GB"/>
        </w:rPr>
        <w:t xml:space="preserve">ble livelihood diversification </w:t>
      </w:r>
      <w:r w:rsidR="003765B9" w:rsidRPr="00C1184A">
        <w:rPr>
          <w:rFonts w:cs="Times New Roman"/>
          <w:sz w:val="22"/>
          <w:szCs w:val="22"/>
          <w:lang w:val="en-GB"/>
        </w:rPr>
        <w:t>and resilience programmes, as well as</w:t>
      </w:r>
      <w:r w:rsidR="00A10728" w:rsidRPr="00C1184A">
        <w:rPr>
          <w:rFonts w:cs="Times New Roman"/>
          <w:sz w:val="22"/>
          <w:szCs w:val="22"/>
          <w:lang w:val="en-GB"/>
        </w:rPr>
        <w:t xml:space="preserve"> mainstreaming</w:t>
      </w:r>
      <w:r w:rsidR="003765B9" w:rsidRPr="00C1184A">
        <w:rPr>
          <w:rFonts w:cs="Times New Roman"/>
          <w:sz w:val="22"/>
          <w:szCs w:val="22"/>
          <w:lang w:val="en-GB"/>
        </w:rPr>
        <w:t xml:space="preserve"> internal displacement issues across relevant line ministries and development plans in a whole-of-government approach.</w:t>
      </w:r>
    </w:p>
    <w:p w14:paraId="12012F93" w14:textId="528ADC43" w:rsidR="00802B81" w:rsidRPr="00C1184A" w:rsidRDefault="00802B81" w:rsidP="001A6FF3">
      <w:pPr>
        <w:autoSpaceDE w:val="0"/>
        <w:autoSpaceDN w:val="0"/>
        <w:adjustRightInd w:val="0"/>
        <w:jc w:val="both"/>
        <w:rPr>
          <w:rFonts w:cs="Times New Roman"/>
          <w:sz w:val="22"/>
          <w:szCs w:val="22"/>
          <w:lang w:val="en-GB"/>
        </w:rPr>
      </w:pPr>
    </w:p>
    <w:p w14:paraId="03801B4E" w14:textId="6805895E" w:rsidR="000A74A2" w:rsidRDefault="000C2B46" w:rsidP="000C2B46">
      <w:pPr>
        <w:autoSpaceDE w:val="0"/>
        <w:autoSpaceDN w:val="0"/>
        <w:adjustRightInd w:val="0"/>
        <w:jc w:val="both"/>
        <w:rPr>
          <w:rFonts w:cs="Times New Roman"/>
          <w:sz w:val="22"/>
          <w:szCs w:val="22"/>
          <w:lang w:val="en-GB"/>
        </w:rPr>
      </w:pPr>
      <w:r w:rsidRPr="00C1184A">
        <w:rPr>
          <w:rFonts w:cs="Times New Roman"/>
          <w:sz w:val="22"/>
          <w:szCs w:val="22"/>
          <w:lang w:val="en-GB"/>
        </w:rPr>
        <w:t>The FAO submission co</w:t>
      </w:r>
      <w:r w:rsidR="008A6B13">
        <w:rPr>
          <w:rFonts w:cs="Times New Roman"/>
          <w:sz w:val="22"/>
          <w:szCs w:val="22"/>
          <w:lang w:val="en-GB"/>
        </w:rPr>
        <w:t>mprises two reports specific to</w:t>
      </w:r>
      <w:r w:rsidR="003838DE">
        <w:rPr>
          <w:rFonts w:cs="Times New Roman"/>
          <w:sz w:val="22"/>
          <w:szCs w:val="22"/>
          <w:lang w:val="en-GB"/>
        </w:rPr>
        <w:t xml:space="preserve"> the</w:t>
      </w:r>
      <w:r w:rsidR="008A6B13">
        <w:rPr>
          <w:rFonts w:cs="Times New Roman"/>
          <w:sz w:val="22"/>
          <w:szCs w:val="22"/>
          <w:lang w:val="en-GB"/>
        </w:rPr>
        <w:t xml:space="preserve"> Eastern Africa </w:t>
      </w:r>
      <w:r w:rsidRPr="00C1184A">
        <w:rPr>
          <w:rFonts w:cs="Times New Roman"/>
          <w:sz w:val="22"/>
          <w:szCs w:val="22"/>
          <w:lang w:val="en-GB"/>
        </w:rPr>
        <w:t>context and its vulnerability to climate change. On</w:t>
      </w:r>
      <w:r w:rsidR="000D741E">
        <w:rPr>
          <w:rFonts w:cs="Times New Roman"/>
          <w:sz w:val="22"/>
          <w:szCs w:val="22"/>
          <w:lang w:val="en-GB"/>
        </w:rPr>
        <w:t xml:space="preserve"> annex one</w:t>
      </w:r>
      <w:r w:rsidRPr="00C1184A">
        <w:rPr>
          <w:rFonts w:cs="Times New Roman"/>
          <w:sz w:val="22"/>
          <w:szCs w:val="22"/>
          <w:lang w:val="en-GB"/>
        </w:rPr>
        <w:t xml:space="preserve"> ‘</w:t>
      </w:r>
      <w:r w:rsidRPr="00C1184A">
        <w:rPr>
          <w:rFonts w:cs="Times New Roman"/>
          <w:i/>
          <w:sz w:val="22"/>
          <w:szCs w:val="22"/>
          <w:lang w:val="en-GB"/>
        </w:rPr>
        <w:t>Understanding conflict dynamics in Eastern Africa: A call for conflict-sensitive programming</w:t>
      </w:r>
      <w:r w:rsidR="008A6B13">
        <w:rPr>
          <w:rFonts w:cs="Times New Roman"/>
          <w:sz w:val="22"/>
          <w:szCs w:val="22"/>
          <w:lang w:val="en-GB"/>
        </w:rPr>
        <w:t>’ the report aims to provide a</w:t>
      </w:r>
      <w:r w:rsidRPr="00C1184A">
        <w:rPr>
          <w:rFonts w:cs="Times New Roman"/>
          <w:sz w:val="22"/>
          <w:szCs w:val="22"/>
          <w:lang w:val="en-GB"/>
        </w:rPr>
        <w:t xml:space="preserve"> comprehensive understanding of the drivers of conflict in the region, where many are directly or indirectly linked to climate change and the subseq</w:t>
      </w:r>
      <w:r w:rsidR="003838DE">
        <w:rPr>
          <w:rFonts w:cs="Times New Roman"/>
          <w:sz w:val="22"/>
          <w:szCs w:val="22"/>
          <w:lang w:val="en-GB"/>
        </w:rPr>
        <w:t>uent fragility of livelihoods</w:t>
      </w:r>
      <w:r w:rsidRPr="00C1184A">
        <w:rPr>
          <w:rFonts w:cs="Times New Roman"/>
          <w:sz w:val="22"/>
          <w:szCs w:val="22"/>
          <w:lang w:val="en-GB"/>
        </w:rPr>
        <w:t xml:space="preserve"> systems and food security. Lastly, on</w:t>
      </w:r>
      <w:r w:rsidR="000D741E">
        <w:rPr>
          <w:rFonts w:cs="Times New Roman"/>
          <w:sz w:val="22"/>
          <w:szCs w:val="22"/>
          <w:lang w:val="en-GB"/>
        </w:rPr>
        <w:t xml:space="preserve"> annex two </w:t>
      </w:r>
      <w:r w:rsidRPr="00C1184A">
        <w:rPr>
          <w:rFonts w:cs="Times New Roman"/>
          <w:sz w:val="22"/>
          <w:szCs w:val="22"/>
          <w:lang w:val="en-GB"/>
        </w:rPr>
        <w:t xml:space="preserve"> ‘</w:t>
      </w:r>
      <w:r w:rsidRPr="00C1184A">
        <w:rPr>
          <w:rFonts w:cs="Times New Roman"/>
          <w:i/>
          <w:sz w:val="22"/>
          <w:szCs w:val="22"/>
          <w:lang w:val="en-GB"/>
        </w:rPr>
        <w:t>Conflict analysis in the Lower Jubba, Lower Shabelle and Middle Shabelle regions of Somalia</w:t>
      </w:r>
      <w:r w:rsidRPr="00C1184A">
        <w:rPr>
          <w:rFonts w:cs="Times New Roman"/>
          <w:sz w:val="22"/>
          <w:szCs w:val="22"/>
          <w:lang w:val="en-GB"/>
        </w:rPr>
        <w:t>’ conducted by Interpeace in partnership with the FAO Somalia, the report</w:t>
      </w:r>
      <w:r w:rsidR="003838DE">
        <w:rPr>
          <w:rFonts w:cs="Times New Roman"/>
          <w:sz w:val="22"/>
          <w:szCs w:val="22"/>
          <w:lang w:val="en-GB"/>
        </w:rPr>
        <w:t xml:space="preserve"> provides</w:t>
      </w:r>
      <w:r w:rsidRPr="00C1184A">
        <w:rPr>
          <w:rFonts w:cs="Times New Roman"/>
          <w:sz w:val="22"/>
          <w:szCs w:val="22"/>
          <w:lang w:val="en-GB"/>
        </w:rPr>
        <w:t xml:space="preserve"> </w:t>
      </w:r>
      <w:r w:rsidR="003838DE">
        <w:rPr>
          <w:rFonts w:cs="Times New Roman"/>
          <w:sz w:val="22"/>
          <w:szCs w:val="22"/>
          <w:lang w:val="en-GB"/>
        </w:rPr>
        <w:t xml:space="preserve">a </w:t>
      </w:r>
      <w:r w:rsidRPr="00C1184A">
        <w:rPr>
          <w:rFonts w:cs="Times New Roman"/>
          <w:sz w:val="22"/>
          <w:szCs w:val="22"/>
          <w:lang w:val="en-GB"/>
        </w:rPr>
        <w:t>grounded and locally informed analysis of the peace and c</w:t>
      </w:r>
      <w:r w:rsidR="003838DE">
        <w:rPr>
          <w:rFonts w:cs="Times New Roman"/>
          <w:sz w:val="22"/>
          <w:szCs w:val="22"/>
          <w:lang w:val="en-GB"/>
        </w:rPr>
        <w:t xml:space="preserve">onflict drivers in the mentioned </w:t>
      </w:r>
      <w:r w:rsidRPr="00C1184A">
        <w:rPr>
          <w:rFonts w:cs="Times New Roman"/>
          <w:sz w:val="22"/>
          <w:szCs w:val="22"/>
          <w:lang w:val="en-GB"/>
        </w:rPr>
        <w:t xml:space="preserve">areas, highlighting the correlation between </w:t>
      </w:r>
      <w:r w:rsidR="003838DE">
        <w:rPr>
          <w:rFonts w:cs="Times New Roman"/>
          <w:sz w:val="22"/>
          <w:szCs w:val="22"/>
          <w:lang w:val="en-GB"/>
        </w:rPr>
        <w:t xml:space="preserve">climate change, </w:t>
      </w:r>
      <w:r w:rsidRPr="00C1184A">
        <w:rPr>
          <w:rFonts w:cs="Times New Roman"/>
          <w:sz w:val="22"/>
          <w:szCs w:val="22"/>
          <w:lang w:val="en-GB"/>
        </w:rPr>
        <w:t xml:space="preserve">natural resource management, </w:t>
      </w:r>
      <w:r w:rsidR="003838DE">
        <w:rPr>
          <w:rFonts w:cs="Times New Roman"/>
          <w:sz w:val="22"/>
          <w:szCs w:val="22"/>
          <w:lang w:val="en-GB"/>
        </w:rPr>
        <w:t>and conflict.</w:t>
      </w:r>
    </w:p>
    <w:p w14:paraId="3773D8E1" w14:textId="05267DAC" w:rsidR="00432883" w:rsidRDefault="00432883" w:rsidP="000C2B46">
      <w:pPr>
        <w:autoSpaceDE w:val="0"/>
        <w:autoSpaceDN w:val="0"/>
        <w:adjustRightInd w:val="0"/>
        <w:jc w:val="both"/>
        <w:rPr>
          <w:rFonts w:cs="Times New Roman"/>
          <w:sz w:val="22"/>
          <w:szCs w:val="22"/>
          <w:lang w:val="en-GB"/>
        </w:rPr>
      </w:pPr>
    </w:p>
    <w:p w14:paraId="30AFD600" w14:textId="0C373A82" w:rsidR="00432883" w:rsidRDefault="00432883" w:rsidP="000C2B46">
      <w:pPr>
        <w:autoSpaceDE w:val="0"/>
        <w:autoSpaceDN w:val="0"/>
        <w:adjustRightInd w:val="0"/>
        <w:jc w:val="both"/>
        <w:rPr>
          <w:rFonts w:cs="Times New Roman"/>
          <w:sz w:val="22"/>
          <w:szCs w:val="22"/>
          <w:lang w:val="en-GB"/>
        </w:rPr>
      </w:pPr>
    </w:p>
    <w:p w14:paraId="3DCC38D6" w14:textId="630C4B42" w:rsidR="00432883" w:rsidRPr="0035759D" w:rsidRDefault="00432883" w:rsidP="000C2B46">
      <w:pPr>
        <w:autoSpaceDE w:val="0"/>
        <w:autoSpaceDN w:val="0"/>
        <w:adjustRightInd w:val="0"/>
        <w:jc w:val="both"/>
        <w:rPr>
          <w:rFonts w:cs="Times New Roman"/>
          <w:b/>
          <w:spacing w:val="20"/>
          <w:sz w:val="22"/>
          <w:szCs w:val="22"/>
          <w:lang w:val="en-GB"/>
        </w:rPr>
      </w:pPr>
      <w:r w:rsidRPr="0035759D">
        <w:rPr>
          <w:rFonts w:cs="Times New Roman"/>
          <w:b/>
          <w:spacing w:val="20"/>
          <w:sz w:val="22"/>
          <w:szCs w:val="22"/>
          <w:lang w:val="en-GB"/>
        </w:rPr>
        <w:lastRenderedPageBreak/>
        <w:t>ANNEXES</w:t>
      </w:r>
    </w:p>
    <w:p w14:paraId="69B01491" w14:textId="45AB7A00" w:rsidR="00432883" w:rsidRDefault="00432883" w:rsidP="000C2B46">
      <w:pPr>
        <w:autoSpaceDE w:val="0"/>
        <w:autoSpaceDN w:val="0"/>
        <w:adjustRightInd w:val="0"/>
        <w:jc w:val="both"/>
        <w:rPr>
          <w:rFonts w:cs="Times New Roman"/>
          <w:sz w:val="22"/>
          <w:szCs w:val="22"/>
          <w:lang w:val="en-GB"/>
        </w:rPr>
      </w:pPr>
    </w:p>
    <w:p w14:paraId="26C668FF" w14:textId="7D4016C8" w:rsidR="006A137A" w:rsidRDefault="00432883" w:rsidP="001A6FF3">
      <w:pPr>
        <w:pStyle w:val="ListParagraph"/>
        <w:numPr>
          <w:ilvl w:val="0"/>
          <w:numId w:val="38"/>
        </w:numPr>
        <w:autoSpaceDE w:val="0"/>
        <w:autoSpaceDN w:val="0"/>
        <w:adjustRightInd w:val="0"/>
        <w:jc w:val="both"/>
        <w:rPr>
          <w:rFonts w:cs="Times New Roman"/>
          <w:sz w:val="22"/>
          <w:szCs w:val="22"/>
          <w:lang w:val="en-GB"/>
        </w:rPr>
      </w:pPr>
      <w:r w:rsidRPr="00C1184A">
        <w:rPr>
          <w:rFonts w:cs="Times New Roman"/>
          <w:sz w:val="22"/>
          <w:szCs w:val="22"/>
          <w:lang w:val="en-GB"/>
        </w:rPr>
        <w:t>‘</w:t>
      </w:r>
      <w:r w:rsidRPr="00C1184A">
        <w:rPr>
          <w:rFonts w:cs="Times New Roman"/>
          <w:i/>
          <w:sz w:val="22"/>
          <w:szCs w:val="22"/>
          <w:lang w:val="en-GB"/>
        </w:rPr>
        <w:t>Understanding conflict dynamics in Eastern Africa: A call for conflict-sensitive programming</w:t>
      </w:r>
      <w:r>
        <w:rPr>
          <w:rFonts w:cs="Times New Roman"/>
          <w:sz w:val="22"/>
          <w:szCs w:val="22"/>
          <w:lang w:val="en-GB"/>
        </w:rPr>
        <w:t>’</w:t>
      </w:r>
      <w:r>
        <w:rPr>
          <w:rFonts w:cs="Times New Roman"/>
          <w:sz w:val="22"/>
          <w:szCs w:val="22"/>
          <w:lang w:val="en-GB"/>
        </w:rPr>
        <w:t xml:space="preserve"> The FAO Resilience Team for Eastern Africa, June 2020</w:t>
      </w:r>
    </w:p>
    <w:p w14:paraId="1EB6FEA7" w14:textId="7DBC966D" w:rsidR="00432883" w:rsidRPr="00432883" w:rsidRDefault="00432883" w:rsidP="001A6FF3">
      <w:pPr>
        <w:pStyle w:val="ListParagraph"/>
        <w:numPr>
          <w:ilvl w:val="0"/>
          <w:numId w:val="38"/>
        </w:numPr>
        <w:autoSpaceDE w:val="0"/>
        <w:autoSpaceDN w:val="0"/>
        <w:adjustRightInd w:val="0"/>
        <w:jc w:val="both"/>
        <w:rPr>
          <w:rFonts w:cs="Times New Roman"/>
          <w:sz w:val="22"/>
          <w:szCs w:val="22"/>
          <w:lang w:val="en-GB"/>
        </w:rPr>
      </w:pPr>
      <w:r>
        <w:rPr>
          <w:rFonts w:cs="Times New Roman"/>
          <w:i/>
          <w:sz w:val="22"/>
          <w:szCs w:val="22"/>
          <w:lang w:val="en-GB"/>
        </w:rPr>
        <w:t>‘</w:t>
      </w:r>
      <w:r w:rsidRPr="00C1184A">
        <w:rPr>
          <w:rFonts w:cs="Times New Roman"/>
          <w:i/>
          <w:sz w:val="22"/>
          <w:szCs w:val="22"/>
          <w:lang w:val="en-GB"/>
        </w:rPr>
        <w:t>Conflict analysis in the Lower Jubba, Lower Shabelle and Middle Shabelle regions of Somalia</w:t>
      </w:r>
      <w:r>
        <w:rPr>
          <w:rFonts w:cs="Times New Roman"/>
          <w:i/>
          <w:sz w:val="22"/>
          <w:szCs w:val="22"/>
          <w:lang w:val="en-GB"/>
        </w:rPr>
        <w:t xml:space="preserve">’ </w:t>
      </w:r>
      <w:r w:rsidR="00620CC4">
        <w:rPr>
          <w:rFonts w:cs="Times New Roman"/>
          <w:sz w:val="22"/>
          <w:szCs w:val="22"/>
          <w:lang w:val="en-GB"/>
        </w:rPr>
        <w:t>Interpeace</w:t>
      </w:r>
      <w:r>
        <w:rPr>
          <w:rFonts w:cs="Times New Roman"/>
          <w:sz w:val="22"/>
          <w:szCs w:val="22"/>
          <w:lang w:val="en-GB"/>
        </w:rPr>
        <w:t xml:space="preserve">, </w:t>
      </w:r>
      <w:r w:rsidR="00CC7C08">
        <w:rPr>
          <w:rFonts w:cs="Times New Roman"/>
          <w:sz w:val="22"/>
          <w:szCs w:val="22"/>
          <w:lang w:val="en-GB"/>
        </w:rPr>
        <w:t xml:space="preserve">August - </w:t>
      </w:r>
      <w:r>
        <w:rPr>
          <w:rFonts w:cs="Times New Roman"/>
          <w:sz w:val="22"/>
          <w:szCs w:val="22"/>
          <w:lang w:val="en-GB"/>
        </w:rPr>
        <w:t>November 2019</w:t>
      </w:r>
    </w:p>
    <w:sectPr w:rsidR="00432883" w:rsidRPr="00432883">
      <w:footerReference w:type="even" r:id="rId8"/>
      <w:footerReference w:type="default" r:id="rId9"/>
      <w:foot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622F9" w14:textId="77777777" w:rsidR="00810FD6" w:rsidRDefault="00810FD6" w:rsidP="000A74A2">
      <w:r>
        <w:separator/>
      </w:r>
    </w:p>
  </w:endnote>
  <w:endnote w:type="continuationSeparator" w:id="0">
    <w:p w14:paraId="7B67C7DB" w14:textId="77777777" w:rsidR="00810FD6" w:rsidRDefault="00810FD6" w:rsidP="000A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17D59" w14:textId="77777777" w:rsidR="00483C9F" w:rsidRDefault="00483C9F" w:rsidP="00F71C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2A8C1" w14:textId="77777777" w:rsidR="00483C9F" w:rsidRDefault="00483C9F" w:rsidP="006828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1359F" w14:textId="07DB4687" w:rsidR="00483C9F" w:rsidRDefault="00483C9F" w:rsidP="00F71C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83B">
      <w:rPr>
        <w:rStyle w:val="PageNumber"/>
        <w:noProof/>
      </w:rPr>
      <w:t>2</w:t>
    </w:r>
    <w:r>
      <w:rPr>
        <w:rStyle w:val="PageNumber"/>
      </w:rPr>
      <w:fldChar w:fldCharType="end"/>
    </w:r>
  </w:p>
  <w:p w14:paraId="3C030D66" w14:textId="77777777" w:rsidR="00483C9F" w:rsidRDefault="00483C9F" w:rsidP="006828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5698" w14:textId="77777777" w:rsidR="00483C9F" w:rsidRDefault="00483C9F">
    <w:pPr>
      <w:pStyle w:val="Footer"/>
      <w:jc w:val="right"/>
    </w:pPr>
  </w:p>
  <w:p w14:paraId="55A3CBBA" w14:textId="77777777" w:rsidR="00483C9F" w:rsidRDefault="0048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EB98" w14:textId="77777777" w:rsidR="00810FD6" w:rsidRDefault="00810FD6" w:rsidP="000A74A2">
      <w:r>
        <w:separator/>
      </w:r>
    </w:p>
  </w:footnote>
  <w:footnote w:type="continuationSeparator" w:id="0">
    <w:p w14:paraId="7C8CC78C" w14:textId="77777777" w:rsidR="00810FD6" w:rsidRDefault="00810FD6" w:rsidP="000A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CC0"/>
    <w:multiLevelType w:val="hybridMultilevel"/>
    <w:tmpl w:val="485E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2923"/>
    <w:multiLevelType w:val="hybridMultilevel"/>
    <w:tmpl w:val="C4A0C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D168A"/>
    <w:multiLevelType w:val="hybridMultilevel"/>
    <w:tmpl w:val="ADC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0974"/>
    <w:multiLevelType w:val="hybridMultilevel"/>
    <w:tmpl w:val="A44EB104"/>
    <w:lvl w:ilvl="0" w:tplc="5D3C64CE">
      <w:start w:val="1"/>
      <w:numFmt w:val="bullet"/>
      <w:lvlText w:val="•"/>
      <w:lvlJc w:val="left"/>
      <w:pPr>
        <w:tabs>
          <w:tab w:val="num" w:pos="720"/>
        </w:tabs>
        <w:ind w:left="720" w:hanging="360"/>
      </w:pPr>
      <w:rPr>
        <w:rFonts w:ascii="Times New Roman" w:hAnsi="Times New Roman" w:hint="default"/>
      </w:rPr>
    </w:lvl>
    <w:lvl w:ilvl="1" w:tplc="D332B9FC">
      <w:numFmt w:val="bullet"/>
      <w:lvlText w:val="•"/>
      <w:lvlJc w:val="left"/>
      <w:pPr>
        <w:tabs>
          <w:tab w:val="num" w:pos="1440"/>
        </w:tabs>
        <w:ind w:left="1440" w:hanging="360"/>
      </w:pPr>
      <w:rPr>
        <w:rFonts w:ascii="Times New Roman" w:hAnsi="Times New Roman" w:hint="default"/>
      </w:rPr>
    </w:lvl>
    <w:lvl w:ilvl="2" w:tplc="A8FC6C8E" w:tentative="1">
      <w:start w:val="1"/>
      <w:numFmt w:val="bullet"/>
      <w:lvlText w:val="•"/>
      <w:lvlJc w:val="left"/>
      <w:pPr>
        <w:tabs>
          <w:tab w:val="num" w:pos="2160"/>
        </w:tabs>
        <w:ind w:left="2160" w:hanging="360"/>
      </w:pPr>
      <w:rPr>
        <w:rFonts w:ascii="Times New Roman" w:hAnsi="Times New Roman" w:hint="default"/>
      </w:rPr>
    </w:lvl>
    <w:lvl w:ilvl="3" w:tplc="04465A8C" w:tentative="1">
      <w:start w:val="1"/>
      <w:numFmt w:val="bullet"/>
      <w:lvlText w:val="•"/>
      <w:lvlJc w:val="left"/>
      <w:pPr>
        <w:tabs>
          <w:tab w:val="num" w:pos="2880"/>
        </w:tabs>
        <w:ind w:left="2880" w:hanging="360"/>
      </w:pPr>
      <w:rPr>
        <w:rFonts w:ascii="Times New Roman" w:hAnsi="Times New Roman" w:hint="default"/>
      </w:rPr>
    </w:lvl>
    <w:lvl w:ilvl="4" w:tplc="43D8200A" w:tentative="1">
      <w:start w:val="1"/>
      <w:numFmt w:val="bullet"/>
      <w:lvlText w:val="•"/>
      <w:lvlJc w:val="left"/>
      <w:pPr>
        <w:tabs>
          <w:tab w:val="num" w:pos="3600"/>
        </w:tabs>
        <w:ind w:left="3600" w:hanging="360"/>
      </w:pPr>
      <w:rPr>
        <w:rFonts w:ascii="Times New Roman" w:hAnsi="Times New Roman" w:hint="default"/>
      </w:rPr>
    </w:lvl>
    <w:lvl w:ilvl="5" w:tplc="A88A5312" w:tentative="1">
      <w:start w:val="1"/>
      <w:numFmt w:val="bullet"/>
      <w:lvlText w:val="•"/>
      <w:lvlJc w:val="left"/>
      <w:pPr>
        <w:tabs>
          <w:tab w:val="num" w:pos="4320"/>
        </w:tabs>
        <w:ind w:left="4320" w:hanging="360"/>
      </w:pPr>
      <w:rPr>
        <w:rFonts w:ascii="Times New Roman" w:hAnsi="Times New Roman" w:hint="default"/>
      </w:rPr>
    </w:lvl>
    <w:lvl w:ilvl="6" w:tplc="5A723940" w:tentative="1">
      <w:start w:val="1"/>
      <w:numFmt w:val="bullet"/>
      <w:lvlText w:val="•"/>
      <w:lvlJc w:val="left"/>
      <w:pPr>
        <w:tabs>
          <w:tab w:val="num" w:pos="5040"/>
        </w:tabs>
        <w:ind w:left="5040" w:hanging="360"/>
      </w:pPr>
      <w:rPr>
        <w:rFonts w:ascii="Times New Roman" w:hAnsi="Times New Roman" w:hint="default"/>
      </w:rPr>
    </w:lvl>
    <w:lvl w:ilvl="7" w:tplc="D7CC5E60" w:tentative="1">
      <w:start w:val="1"/>
      <w:numFmt w:val="bullet"/>
      <w:lvlText w:val="•"/>
      <w:lvlJc w:val="left"/>
      <w:pPr>
        <w:tabs>
          <w:tab w:val="num" w:pos="5760"/>
        </w:tabs>
        <w:ind w:left="5760" w:hanging="360"/>
      </w:pPr>
      <w:rPr>
        <w:rFonts w:ascii="Times New Roman" w:hAnsi="Times New Roman" w:hint="default"/>
      </w:rPr>
    </w:lvl>
    <w:lvl w:ilvl="8" w:tplc="EF682B7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05297E"/>
    <w:multiLevelType w:val="hybridMultilevel"/>
    <w:tmpl w:val="F124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54E48"/>
    <w:multiLevelType w:val="hybridMultilevel"/>
    <w:tmpl w:val="B5C25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36581"/>
    <w:multiLevelType w:val="hybridMultilevel"/>
    <w:tmpl w:val="9F18E8A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6FD2"/>
    <w:multiLevelType w:val="hybridMultilevel"/>
    <w:tmpl w:val="2154EC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847F5"/>
    <w:multiLevelType w:val="hybridMultilevel"/>
    <w:tmpl w:val="A36CE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6B5F9B"/>
    <w:multiLevelType w:val="hybridMultilevel"/>
    <w:tmpl w:val="06F4F820"/>
    <w:lvl w:ilvl="0" w:tplc="0409000F">
      <w:start w:val="1"/>
      <w:numFmt w:val="decimal"/>
      <w:lvlText w:val="%1."/>
      <w:lvlJc w:val="left"/>
      <w:pPr>
        <w:ind w:left="1778" w:hanging="360"/>
      </w:pPr>
      <w:rPr>
        <w:rFonts w:hint="default"/>
      </w:rPr>
    </w:lvl>
    <w:lvl w:ilvl="1" w:tplc="04090019" w:tentative="1">
      <w:start w:val="1"/>
      <w:numFmt w:val="bullet"/>
      <w:lvlText w:val="o"/>
      <w:lvlJc w:val="left"/>
      <w:pPr>
        <w:ind w:left="2498" w:hanging="360"/>
      </w:pPr>
      <w:rPr>
        <w:rFonts w:ascii="Courier New" w:hAnsi="Courier New" w:cs="Courier New" w:hint="default"/>
      </w:rPr>
    </w:lvl>
    <w:lvl w:ilvl="2" w:tplc="0409001B" w:tentative="1">
      <w:start w:val="1"/>
      <w:numFmt w:val="bullet"/>
      <w:lvlText w:val=""/>
      <w:lvlJc w:val="left"/>
      <w:pPr>
        <w:ind w:left="3218" w:hanging="360"/>
      </w:pPr>
      <w:rPr>
        <w:rFonts w:ascii="Wingdings" w:hAnsi="Wingdings" w:hint="default"/>
      </w:rPr>
    </w:lvl>
    <w:lvl w:ilvl="3" w:tplc="0409000F" w:tentative="1">
      <w:start w:val="1"/>
      <w:numFmt w:val="bullet"/>
      <w:lvlText w:val=""/>
      <w:lvlJc w:val="left"/>
      <w:pPr>
        <w:ind w:left="3938" w:hanging="360"/>
      </w:pPr>
      <w:rPr>
        <w:rFonts w:ascii="Symbol" w:hAnsi="Symbol" w:hint="default"/>
      </w:rPr>
    </w:lvl>
    <w:lvl w:ilvl="4" w:tplc="04090019" w:tentative="1">
      <w:start w:val="1"/>
      <w:numFmt w:val="bullet"/>
      <w:lvlText w:val="o"/>
      <w:lvlJc w:val="left"/>
      <w:pPr>
        <w:ind w:left="4658" w:hanging="360"/>
      </w:pPr>
      <w:rPr>
        <w:rFonts w:ascii="Courier New" w:hAnsi="Courier New" w:cs="Courier New" w:hint="default"/>
      </w:rPr>
    </w:lvl>
    <w:lvl w:ilvl="5" w:tplc="0409001B" w:tentative="1">
      <w:start w:val="1"/>
      <w:numFmt w:val="bullet"/>
      <w:lvlText w:val=""/>
      <w:lvlJc w:val="left"/>
      <w:pPr>
        <w:ind w:left="5378" w:hanging="360"/>
      </w:pPr>
      <w:rPr>
        <w:rFonts w:ascii="Wingdings" w:hAnsi="Wingdings" w:hint="default"/>
      </w:rPr>
    </w:lvl>
    <w:lvl w:ilvl="6" w:tplc="0409000F" w:tentative="1">
      <w:start w:val="1"/>
      <w:numFmt w:val="bullet"/>
      <w:lvlText w:val=""/>
      <w:lvlJc w:val="left"/>
      <w:pPr>
        <w:ind w:left="6098" w:hanging="360"/>
      </w:pPr>
      <w:rPr>
        <w:rFonts w:ascii="Symbol" w:hAnsi="Symbol" w:hint="default"/>
      </w:rPr>
    </w:lvl>
    <w:lvl w:ilvl="7" w:tplc="04090019" w:tentative="1">
      <w:start w:val="1"/>
      <w:numFmt w:val="bullet"/>
      <w:lvlText w:val="o"/>
      <w:lvlJc w:val="left"/>
      <w:pPr>
        <w:ind w:left="6818" w:hanging="360"/>
      </w:pPr>
      <w:rPr>
        <w:rFonts w:ascii="Courier New" w:hAnsi="Courier New" w:cs="Courier New" w:hint="default"/>
      </w:rPr>
    </w:lvl>
    <w:lvl w:ilvl="8" w:tplc="0409001B" w:tentative="1">
      <w:start w:val="1"/>
      <w:numFmt w:val="bullet"/>
      <w:lvlText w:val=""/>
      <w:lvlJc w:val="left"/>
      <w:pPr>
        <w:ind w:left="7538" w:hanging="360"/>
      </w:pPr>
      <w:rPr>
        <w:rFonts w:ascii="Wingdings" w:hAnsi="Wingdings" w:hint="default"/>
      </w:rPr>
    </w:lvl>
  </w:abstractNum>
  <w:abstractNum w:abstractNumId="10" w15:restartNumberingAfterBreak="0">
    <w:nsid w:val="21270196"/>
    <w:multiLevelType w:val="hybridMultilevel"/>
    <w:tmpl w:val="5A4CA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05ABB"/>
    <w:multiLevelType w:val="multilevel"/>
    <w:tmpl w:val="1234BF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B277E2"/>
    <w:multiLevelType w:val="hybridMultilevel"/>
    <w:tmpl w:val="BC72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D4ACF"/>
    <w:multiLevelType w:val="hybridMultilevel"/>
    <w:tmpl w:val="D9DE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E5432"/>
    <w:multiLevelType w:val="hybridMultilevel"/>
    <w:tmpl w:val="B1A699AA"/>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463E75"/>
    <w:multiLevelType w:val="hybridMultilevel"/>
    <w:tmpl w:val="A20423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F1A7AE7"/>
    <w:multiLevelType w:val="hybridMultilevel"/>
    <w:tmpl w:val="9898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24930"/>
    <w:multiLevelType w:val="hybridMultilevel"/>
    <w:tmpl w:val="5E1A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B67C2"/>
    <w:multiLevelType w:val="hybridMultilevel"/>
    <w:tmpl w:val="F656C868"/>
    <w:lvl w:ilvl="0" w:tplc="F3523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B464C"/>
    <w:multiLevelType w:val="hybridMultilevel"/>
    <w:tmpl w:val="18FE2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E0879"/>
    <w:multiLevelType w:val="hybridMultilevel"/>
    <w:tmpl w:val="8E64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B0D71"/>
    <w:multiLevelType w:val="hybridMultilevel"/>
    <w:tmpl w:val="AA4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25155"/>
    <w:multiLevelType w:val="hybridMultilevel"/>
    <w:tmpl w:val="FB00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41327"/>
    <w:multiLevelType w:val="hybridMultilevel"/>
    <w:tmpl w:val="9992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03FF5"/>
    <w:multiLevelType w:val="hybridMultilevel"/>
    <w:tmpl w:val="16C4B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15864"/>
    <w:multiLevelType w:val="hybridMultilevel"/>
    <w:tmpl w:val="6988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37A52"/>
    <w:multiLevelType w:val="multilevel"/>
    <w:tmpl w:val="F626B4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D23822"/>
    <w:multiLevelType w:val="hybridMultilevel"/>
    <w:tmpl w:val="F88251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E1AE5"/>
    <w:multiLevelType w:val="hybridMultilevel"/>
    <w:tmpl w:val="E2B6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93F22"/>
    <w:multiLevelType w:val="hybridMultilevel"/>
    <w:tmpl w:val="CC9AD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3424A"/>
    <w:multiLevelType w:val="hybridMultilevel"/>
    <w:tmpl w:val="85D8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F1B79"/>
    <w:multiLevelType w:val="hybridMultilevel"/>
    <w:tmpl w:val="2F54FC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0275C8D"/>
    <w:multiLevelType w:val="hybridMultilevel"/>
    <w:tmpl w:val="AA483816"/>
    <w:lvl w:ilvl="0" w:tplc="0E4484B0">
      <w:start w:val="1"/>
      <w:numFmt w:val="bullet"/>
      <w:lvlText w:val="•"/>
      <w:lvlJc w:val="left"/>
      <w:pPr>
        <w:tabs>
          <w:tab w:val="num" w:pos="720"/>
        </w:tabs>
        <w:ind w:left="720" w:hanging="360"/>
      </w:pPr>
      <w:rPr>
        <w:rFonts w:ascii="Times New Roman" w:hAnsi="Times New Roman" w:hint="default"/>
      </w:rPr>
    </w:lvl>
    <w:lvl w:ilvl="1" w:tplc="FC3E7738">
      <w:numFmt w:val="bullet"/>
      <w:lvlText w:val="•"/>
      <w:lvlJc w:val="left"/>
      <w:pPr>
        <w:tabs>
          <w:tab w:val="num" w:pos="1440"/>
        </w:tabs>
        <w:ind w:left="1440" w:hanging="360"/>
      </w:pPr>
      <w:rPr>
        <w:rFonts w:ascii="Times New Roman" w:hAnsi="Times New Roman" w:hint="default"/>
      </w:rPr>
    </w:lvl>
    <w:lvl w:ilvl="2" w:tplc="04A80C8C" w:tentative="1">
      <w:start w:val="1"/>
      <w:numFmt w:val="bullet"/>
      <w:lvlText w:val="•"/>
      <w:lvlJc w:val="left"/>
      <w:pPr>
        <w:tabs>
          <w:tab w:val="num" w:pos="2160"/>
        </w:tabs>
        <w:ind w:left="2160" w:hanging="360"/>
      </w:pPr>
      <w:rPr>
        <w:rFonts w:ascii="Times New Roman" w:hAnsi="Times New Roman" w:hint="default"/>
      </w:rPr>
    </w:lvl>
    <w:lvl w:ilvl="3" w:tplc="C450A958" w:tentative="1">
      <w:start w:val="1"/>
      <w:numFmt w:val="bullet"/>
      <w:lvlText w:val="•"/>
      <w:lvlJc w:val="left"/>
      <w:pPr>
        <w:tabs>
          <w:tab w:val="num" w:pos="2880"/>
        </w:tabs>
        <w:ind w:left="2880" w:hanging="360"/>
      </w:pPr>
      <w:rPr>
        <w:rFonts w:ascii="Times New Roman" w:hAnsi="Times New Roman" w:hint="default"/>
      </w:rPr>
    </w:lvl>
    <w:lvl w:ilvl="4" w:tplc="077448BA" w:tentative="1">
      <w:start w:val="1"/>
      <w:numFmt w:val="bullet"/>
      <w:lvlText w:val="•"/>
      <w:lvlJc w:val="left"/>
      <w:pPr>
        <w:tabs>
          <w:tab w:val="num" w:pos="3600"/>
        </w:tabs>
        <w:ind w:left="3600" w:hanging="360"/>
      </w:pPr>
      <w:rPr>
        <w:rFonts w:ascii="Times New Roman" w:hAnsi="Times New Roman" w:hint="default"/>
      </w:rPr>
    </w:lvl>
    <w:lvl w:ilvl="5" w:tplc="97F2A23A" w:tentative="1">
      <w:start w:val="1"/>
      <w:numFmt w:val="bullet"/>
      <w:lvlText w:val="•"/>
      <w:lvlJc w:val="left"/>
      <w:pPr>
        <w:tabs>
          <w:tab w:val="num" w:pos="4320"/>
        </w:tabs>
        <w:ind w:left="4320" w:hanging="360"/>
      </w:pPr>
      <w:rPr>
        <w:rFonts w:ascii="Times New Roman" w:hAnsi="Times New Roman" w:hint="default"/>
      </w:rPr>
    </w:lvl>
    <w:lvl w:ilvl="6" w:tplc="2AA8DCFE" w:tentative="1">
      <w:start w:val="1"/>
      <w:numFmt w:val="bullet"/>
      <w:lvlText w:val="•"/>
      <w:lvlJc w:val="left"/>
      <w:pPr>
        <w:tabs>
          <w:tab w:val="num" w:pos="5040"/>
        </w:tabs>
        <w:ind w:left="5040" w:hanging="360"/>
      </w:pPr>
      <w:rPr>
        <w:rFonts w:ascii="Times New Roman" w:hAnsi="Times New Roman" w:hint="default"/>
      </w:rPr>
    </w:lvl>
    <w:lvl w:ilvl="7" w:tplc="862E1E0C" w:tentative="1">
      <w:start w:val="1"/>
      <w:numFmt w:val="bullet"/>
      <w:lvlText w:val="•"/>
      <w:lvlJc w:val="left"/>
      <w:pPr>
        <w:tabs>
          <w:tab w:val="num" w:pos="5760"/>
        </w:tabs>
        <w:ind w:left="5760" w:hanging="360"/>
      </w:pPr>
      <w:rPr>
        <w:rFonts w:ascii="Times New Roman" w:hAnsi="Times New Roman" w:hint="default"/>
      </w:rPr>
    </w:lvl>
    <w:lvl w:ilvl="8" w:tplc="2744BF2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08333FA"/>
    <w:multiLevelType w:val="hybridMultilevel"/>
    <w:tmpl w:val="0A26B858"/>
    <w:lvl w:ilvl="0" w:tplc="4266C04E">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4" w15:restartNumberingAfterBreak="0">
    <w:nsid w:val="72DA6855"/>
    <w:multiLevelType w:val="hybridMultilevel"/>
    <w:tmpl w:val="9176B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C78F1"/>
    <w:multiLevelType w:val="hybridMultilevel"/>
    <w:tmpl w:val="23C4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EC1F32"/>
    <w:multiLevelType w:val="hybridMultilevel"/>
    <w:tmpl w:val="DE86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41CB4"/>
    <w:multiLevelType w:val="hybridMultilevel"/>
    <w:tmpl w:val="A5CE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4"/>
  </w:num>
  <w:num w:numId="4">
    <w:abstractNumId w:val="20"/>
  </w:num>
  <w:num w:numId="5">
    <w:abstractNumId w:val="37"/>
  </w:num>
  <w:num w:numId="6">
    <w:abstractNumId w:val="28"/>
  </w:num>
  <w:num w:numId="7">
    <w:abstractNumId w:val="5"/>
  </w:num>
  <w:num w:numId="8">
    <w:abstractNumId w:val="11"/>
  </w:num>
  <w:num w:numId="9">
    <w:abstractNumId w:val="21"/>
  </w:num>
  <w:num w:numId="10">
    <w:abstractNumId w:val="7"/>
  </w:num>
  <w:num w:numId="11">
    <w:abstractNumId w:val="23"/>
  </w:num>
  <w:num w:numId="12">
    <w:abstractNumId w:val="22"/>
  </w:num>
  <w:num w:numId="13">
    <w:abstractNumId w:val="12"/>
  </w:num>
  <w:num w:numId="14">
    <w:abstractNumId w:val="1"/>
  </w:num>
  <w:num w:numId="15">
    <w:abstractNumId w:val="31"/>
  </w:num>
  <w:num w:numId="16">
    <w:abstractNumId w:val="30"/>
  </w:num>
  <w:num w:numId="17">
    <w:abstractNumId w:val="35"/>
  </w:num>
  <w:num w:numId="18">
    <w:abstractNumId w:val="9"/>
  </w:num>
  <w:num w:numId="19">
    <w:abstractNumId w:val="15"/>
  </w:num>
  <w:num w:numId="20">
    <w:abstractNumId w:val="25"/>
  </w:num>
  <w:num w:numId="21">
    <w:abstractNumId w:val="3"/>
  </w:num>
  <w:num w:numId="22">
    <w:abstractNumId w:val="2"/>
  </w:num>
  <w:num w:numId="23">
    <w:abstractNumId w:val="33"/>
  </w:num>
  <w:num w:numId="24">
    <w:abstractNumId w:val="26"/>
  </w:num>
  <w:num w:numId="25">
    <w:abstractNumId w:val="10"/>
  </w:num>
  <w:num w:numId="26">
    <w:abstractNumId w:val="32"/>
  </w:num>
  <w:num w:numId="27">
    <w:abstractNumId w:val="18"/>
  </w:num>
  <w:num w:numId="28">
    <w:abstractNumId w:val="24"/>
  </w:num>
  <w:num w:numId="29">
    <w:abstractNumId w:val="0"/>
  </w:num>
  <w:num w:numId="30">
    <w:abstractNumId w:val="36"/>
  </w:num>
  <w:num w:numId="31">
    <w:abstractNumId w:val="34"/>
  </w:num>
  <w:num w:numId="32">
    <w:abstractNumId w:val="29"/>
  </w:num>
  <w:num w:numId="33">
    <w:abstractNumId w:val="19"/>
  </w:num>
  <w:num w:numId="34">
    <w:abstractNumId w:val="27"/>
  </w:num>
  <w:num w:numId="35">
    <w:abstractNumId w:val="6"/>
  </w:num>
  <w:num w:numId="36">
    <w:abstractNumId w:val="16"/>
  </w:num>
  <w:num w:numId="37">
    <w:abstractNumId w:val="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7A"/>
    <w:rsid w:val="000A74A2"/>
    <w:rsid w:val="000B3513"/>
    <w:rsid w:val="000C2B46"/>
    <w:rsid w:val="000D741E"/>
    <w:rsid w:val="001A6FF3"/>
    <w:rsid w:val="0035759D"/>
    <w:rsid w:val="003646E8"/>
    <w:rsid w:val="003765B9"/>
    <w:rsid w:val="003838DE"/>
    <w:rsid w:val="00432883"/>
    <w:rsid w:val="004369C9"/>
    <w:rsid w:val="00483C9F"/>
    <w:rsid w:val="005346AA"/>
    <w:rsid w:val="00620CC4"/>
    <w:rsid w:val="00632CD6"/>
    <w:rsid w:val="006364D7"/>
    <w:rsid w:val="006A137A"/>
    <w:rsid w:val="006A2C36"/>
    <w:rsid w:val="007250FF"/>
    <w:rsid w:val="00802B81"/>
    <w:rsid w:val="00810FD6"/>
    <w:rsid w:val="008A6B13"/>
    <w:rsid w:val="008D1926"/>
    <w:rsid w:val="00A10728"/>
    <w:rsid w:val="00C1184A"/>
    <w:rsid w:val="00CC6DB4"/>
    <w:rsid w:val="00CC7C08"/>
    <w:rsid w:val="00D2583B"/>
    <w:rsid w:val="00E063EA"/>
    <w:rsid w:val="00E73D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F2C5"/>
  <w15:chartTrackingRefBased/>
  <w15:docId w15:val="{DEEB2D7F-A61B-D74E-BFBD-89EAB53B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3C9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483C9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483C9F"/>
    <w:pPr>
      <w:keepNext/>
      <w:keepLines/>
      <w:spacing w:before="40" w:line="259" w:lineRule="auto"/>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 Char Char Char,Use Case List Paragraph,List Paragraph2,Numbered List Paragraph,Main numbered paragraph,Bullet paras,ANNEX,Sub-heading,Numbered Paragraph,Párrafo de lista,Recommendation,Dot pt"/>
    <w:basedOn w:val="Normal"/>
    <w:link w:val="ListParagraphChar"/>
    <w:uiPriority w:val="34"/>
    <w:qFormat/>
    <w:rsid w:val="001A6FF3"/>
    <w:pPr>
      <w:ind w:left="720"/>
      <w:contextualSpacing/>
    </w:pPr>
  </w:style>
  <w:style w:type="paragraph" w:styleId="BalloonText">
    <w:name w:val="Balloon Text"/>
    <w:basedOn w:val="Normal"/>
    <w:link w:val="BalloonTextChar"/>
    <w:uiPriority w:val="99"/>
    <w:semiHidden/>
    <w:unhideWhenUsed/>
    <w:rsid w:val="00802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B81"/>
    <w:rPr>
      <w:rFonts w:ascii="Segoe UI" w:hAnsi="Segoe UI" w:cs="Segoe UI"/>
      <w:sz w:val="18"/>
      <w:szCs w:val="18"/>
    </w:rPr>
  </w:style>
  <w:style w:type="character" w:styleId="Hyperlink">
    <w:name w:val="Hyperlink"/>
    <w:basedOn w:val="DefaultParagraphFont"/>
    <w:uiPriority w:val="99"/>
    <w:unhideWhenUsed/>
    <w:rsid w:val="000A74A2"/>
    <w:rPr>
      <w:color w:val="0563C1" w:themeColor="hyperlink"/>
      <w:u w:val="single"/>
    </w:rPr>
  </w:style>
  <w:style w:type="paragraph" w:styleId="FootnoteText">
    <w:name w:val="footnote text"/>
    <w:basedOn w:val="Normal"/>
    <w:link w:val="FootnoteTextChar"/>
    <w:uiPriority w:val="99"/>
    <w:semiHidden/>
    <w:unhideWhenUsed/>
    <w:rsid w:val="000A74A2"/>
    <w:rPr>
      <w:sz w:val="20"/>
      <w:szCs w:val="20"/>
      <w:lang w:val="en-US"/>
    </w:rPr>
  </w:style>
  <w:style w:type="character" w:customStyle="1" w:styleId="FootnoteTextChar">
    <w:name w:val="Footnote Text Char"/>
    <w:basedOn w:val="DefaultParagraphFont"/>
    <w:link w:val="FootnoteText"/>
    <w:uiPriority w:val="99"/>
    <w:semiHidden/>
    <w:rsid w:val="000A74A2"/>
    <w:rPr>
      <w:sz w:val="20"/>
      <w:szCs w:val="20"/>
      <w:lang w:val="en-US"/>
    </w:rPr>
  </w:style>
  <w:style w:type="character" w:styleId="FootnoteReference">
    <w:name w:val="footnote reference"/>
    <w:basedOn w:val="DefaultParagraphFont"/>
    <w:uiPriority w:val="99"/>
    <w:semiHidden/>
    <w:unhideWhenUsed/>
    <w:rsid w:val="000A74A2"/>
    <w:rPr>
      <w:vertAlign w:val="superscript"/>
    </w:rPr>
  </w:style>
  <w:style w:type="paragraph" w:styleId="NormalWeb">
    <w:name w:val="Normal (Web)"/>
    <w:basedOn w:val="Normal"/>
    <w:uiPriority w:val="99"/>
    <w:unhideWhenUsed/>
    <w:rsid w:val="000A74A2"/>
    <w:pPr>
      <w:spacing w:before="100" w:beforeAutospacing="1" w:after="100" w:afterAutospacing="1"/>
    </w:pPr>
    <w:rPr>
      <w:rFonts w:ascii="Times New Roman" w:hAnsi="Times New Roman" w:cs="Times New Roman"/>
      <w:lang w:val="en-US"/>
    </w:rPr>
  </w:style>
  <w:style w:type="character" w:customStyle="1" w:styleId="Heading1Char">
    <w:name w:val="Heading 1 Char"/>
    <w:basedOn w:val="DefaultParagraphFont"/>
    <w:link w:val="Heading1"/>
    <w:uiPriority w:val="9"/>
    <w:rsid w:val="00483C9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483C9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483C9F"/>
    <w:rPr>
      <w:rFonts w:asciiTheme="majorHAnsi" w:eastAsiaTheme="majorEastAsia" w:hAnsiTheme="majorHAnsi" w:cstheme="majorBidi"/>
      <w:color w:val="1F3763" w:themeColor="accent1" w:themeShade="7F"/>
      <w:lang w:val="en-GB"/>
    </w:rPr>
  </w:style>
  <w:style w:type="paragraph" w:styleId="TOC1">
    <w:name w:val="toc 1"/>
    <w:basedOn w:val="Normal"/>
    <w:next w:val="Normal"/>
    <w:autoRedefine/>
    <w:uiPriority w:val="39"/>
    <w:unhideWhenUsed/>
    <w:rsid w:val="00483C9F"/>
    <w:pPr>
      <w:spacing w:after="100" w:line="259" w:lineRule="auto"/>
    </w:pPr>
    <w:rPr>
      <w:sz w:val="22"/>
      <w:szCs w:val="22"/>
      <w:lang w:val="en-GB"/>
    </w:rPr>
  </w:style>
  <w:style w:type="paragraph" w:styleId="TOC2">
    <w:name w:val="toc 2"/>
    <w:basedOn w:val="Normal"/>
    <w:next w:val="Normal"/>
    <w:autoRedefine/>
    <w:uiPriority w:val="39"/>
    <w:unhideWhenUsed/>
    <w:rsid w:val="00483C9F"/>
    <w:pPr>
      <w:spacing w:after="100" w:line="259" w:lineRule="auto"/>
      <w:ind w:left="220"/>
    </w:pPr>
    <w:rPr>
      <w:sz w:val="22"/>
      <w:szCs w:val="22"/>
      <w:lang w:val="en-GB"/>
    </w:rPr>
  </w:style>
  <w:style w:type="paragraph" w:styleId="NoSpacing">
    <w:name w:val="No Spacing"/>
    <w:uiPriority w:val="1"/>
    <w:qFormat/>
    <w:rsid w:val="00483C9F"/>
    <w:rPr>
      <w:sz w:val="22"/>
      <w:szCs w:val="22"/>
      <w:lang w:val="en-GB"/>
    </w:rPr>
  </w:style>
  <w:style w:type="character" w:styleId="CommentReference">
    <w:name w:val="annotation reference"/>
    <w:basedOn w:val="DefaultParagraphFont"/>
    <w:uiPriority w:val="99"/>
    <w:semiHidden/>
    <w:unhideWhenUsed/>
    <w:rsid w:val="00483C9F"/>
    <w:rPr>
      <w:sz w:val="18"/>
      <w:szCs w:val="18"/>
    </w:rPr>
  </w:style>
  <w:style w:type="character" w:customStyle="1" w:styleId="ListParagraphChar">
    <w:name w:val="List Paragraph Char"/>
    <w:aliases w:val="List Paragraph (numbered (a)) Char,List Paragraph Char Char Char Char,Use Case List Paragraph Char,List Paragraph2 Char,Numbered List Paragraph Char,Main numbered paragraph Char,Bullet paras Char,ANNEX Char,Sub-heading Char"/>
    <w:link w:val="ListParagraph"/>
    <w:uiPriority w:val="34"/>
    <w:qFormat/>
    <w:locked/>
    <w:rsid w:val="00483C9F"/>
  </w:style>
  <w:style w:type="paragraph" w:styleId="TOC3">
    <w:name w:val="toc 3"/>
    <w:basedOn w:val="Normal"/>
    <w:next w:val="Normal"/>
    <w:autoRedefine/>
    <w:uiPriority w:val="39"/>
    <w:unhideWhenUsed/>
    <w:rsid w:val="00483C9F"/>
    <w:pPr>
      <w:spacing w:after="100" w:line="259" w:lineRule="auto"/>
      <w:ind w:left="440"/>
    </w:pPr>
    <w:rPr>
      <w:sz w:val="22"/>
      <w:szCs w:val="22"/>
      <w:lang w:val="en-GB"/>
    </w:rPr>
  </w:style>
  <w:style w:type="paragraph" w:styleId="CommentText">
    <w:name w:val="annotation text"/>
    <w:basedOn w:val="Normal"/>
    <w:link w:val="CommentTextChar"/>
    <w:uiPriority w:val="99"/>
    <w:semiHidden/>
    <w:unhideWhenUsed/>
    <w:rsid w:val="00483C9F"/>
    <w:pPr>
      <w:spacing w:after="160"/>
    </w:pPr>
    <w:rPr>
      <w:lang w:val="en-GB"/>
    </w:rPr>
  </w:style>
  <w:style w:type="character" w:customStyle="1" w:styleId="CommentTextChar">
    <w:name w:val="Comment Text Char"/>
    <w:basedOn w:val="DefaultParagraphFont"/>
    <w:link w:val="CommentText"/>
    <w:uiPriority w:val="99"/>
    <w:semiHidden/>
    <w:rsid w:val="00483C9F"/>
    <w:rPr>
      <w:lang w:val="en-GB"/>
    </w:rPr>
  </w:style>
  <w:style w:type="paragraph" w:styleId="CommentSubject">
    <w:name w:val="annotation subject"/>
    <w:basedOn w:val="CommentText"/>
    <w:next w:val="CommentText"/>
    <w:link w:val="CommentSubjectChar"/>
    <w:uiPriority w:val="99"/>
    <w:semiHidden/>
    <w:unhideWhenUsed/>
    <w:rsid w:val="00483C9F"/>
    <w:rPr>
      <w:b/>
      <w:bCs/>
      <w:sz w:val="20"/>
      <w:szCs w:val="20"/>
    </w:rPr>
  </w:style>
  <w:style w:type="character" w:customStyle="1" w:styleId="CommentSubjectChar">
    <w:name w:val="Comment Subject Char"/>
    <w:basedOn w:val="CommentTextChar"/>
    <w:link w:val="CommentSubject"/>
    <w:uiPriority w:val="99"/>
    <w:semiHidden/>
    <w:rsid w:val="00483C9F"/>
    <w:rPr>
      <w:b/>
      <w:bCs/>
      <w:sz w:val="20"/>
      <w:szCs w:val="20"/>
      <w:lang w:val="en-GB"/>
    </w:rPr>
  </w:style>
  <w:style w:type="paragraph" w:styleId="Footer">
    <w:name w:val="footer"/>
    <w:basedOn w:val="Normal"/>
    <w:link w:val="FooterChar"/>
    <w:uiPriority w:val="99"/>
    <w:unhideWhenUsed/>
    <w:rsid w:val="00483C9F"/>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483C9F"/>
    <w:rPr>
      <w:sz w:val="22"/>
      <w:szCs w:val="22"/>
      <w:lang w:val="en-GB"/>
    </w:rPr>
  </w:style>
  <w:style w:type="character" w:styleId="PageNumber">
    <w:name w:val="page number"/>
    <w:basedOn w:val="DefaultParagraphFont"/>
    <w:uiPriority w:val="99"/>
    <w:semiHidden/>
    <w:unhideWhenUsed/>
    <w:rsid w:val="00483C9F"/>
  </w:style>
  <w:style w:type="paragraph" w:styleId="Header">
    <w:name w:val="header"/>
    <w:basedOn w:val="Normal"/>
    <w:link w:val="HeaderChar"/>
    <w:uiPriority w:val="99"/>
    <w:unhideWhenUsed/>
    <w:rsid w:val="00483C9F"/>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483C9F"/>
    <w:rPr>
      <w:sz w:val="22"/>
      <w:szCs w:val="22"/>
      <w:lang w:val="en-GB"/>
    </w:rPr>
  </w:style>
  <w:style w:type="character" w:customStyle="1" w:styleId="UnresolvedMention1">
    <w:name w:val="Unresolved Mention1"/>
    <w:basedOn w:val="DefaultParagraphFont"/>
    <w:uiPriority w:val="99"/>
    <w:rsid w:val="00483C9F"/>
    <w:rPr>
      <w:color w:val="605E5C"/>
      <w:shd w:val="clear" w:color="auto" w:fill="E1DFDD"/>
    </w:rPr>
  </w:style>
  <w:style w:type="table" w:styleId="TableGrid">
    <w:name w:val="Table Grid"/>
    <w:basedOn w:val="TableNormal"/>
    <w:uiPriority w:val="39"/>
    <w:rsid w:val="00483C9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483C9F"/>
    <w:rPr>
      <w:sz w:val="22"/>
      <w:szCs w:val="22"/>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5Dark-Accent1">
    <w:name w:val="Grid Table 5 Dark Accent 1"/>
    <w:basedOn w:val="TableNormal"/>
    <w:uiPriority w:val="50"/>
    <w:rsid w:val="00483C9F"/>
    <w:rPr>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0C726D-B2B2-4481-89F6-38E677E103C0}"/>
</file>

<file path=customXml/itemProps2.xml><?xml version="1.0" encoding="utf-8"?>
<ds:datastoreItem xmlns:ds="http://schemas.openxmlformats.org/officeDocument/2006/customXml" ds:itemID="{5D235F72-B50B-4CD5-8F7B-07C566FBA8D1}"/>
</file>

<file path=customXml/itemProps3.xml><?xml version="1.0" encoding="utf-8"?>
<ds:datastoreItem xmlns:ds="http://schemas.openxmlformats.org/officeDocument/2006/customXml" ds:itemID="{BD1B8BB8-1293-48F2-BD7A-659F3B807A0F}"/>
</file>

<file path=docProps/app.xml><?xml version="1.0" encoding="utf-8"?>
<Properties xmlns="http://schemas.openxmlformats.org/officeDocument/2006/extended-properties" xmlns:vt="http://schemas.openxmlformats.org/officeDocument/2006/docPropsVTypes">
  <Template>Normal.dotm</Template>
  <TotalTime>117</TotalTime>
  <Pages>2</Pages>
  <Words>634</Words>
  <Characters>3634</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 Giulia (ESA)</dc:creator>
  <cp:keywords/>
  <dc:description/>
  <cp:lastModifiedBy>BarcenaLujambio, Margarita (FAOET)</cp:lastModifiedBy>
  <cp:revision>10</cp:revision>
  <dcterms:created xsi:type="dcterms:W3CDTF">2020-06-17T16:03:00Z</dcterms:created>
  <dcterms:modified xsi:type="dcterms:W3CDTF">2020-06-17T18:09:00Z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