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6D92B" w14:textId="7FEE9EDF" w:rsidR="00291A68" w:rsidRPr="00DC4C92" w:rsidRDefault="00291A68" w:rsidP="00291A68">
      <w:pPr>
        <w:jc w:val="center"/>
        <w:rPr>
          <w:b/>
          <w:sz w:val="24"/>
          <w:szCs w:val="24"/>
          <w:lang w:val="fr-FR"/>
        </w:rPr>
      </w:pPr>
      <w:r w:rsidRPr="00DC4C92">
        <w:rPr>
          <w:b/>
          <w:sz w:val="24"/>
          <w:szCs w:val="24"/>
          <w:lang w:val="fr-FR"/>
        </w:rPr>
        <w:t xml:space="preserve">Expert indépendant chargé d’examiner les effets de la dette extérieure et des obligations financières internationales connexes des États sur le plein exercice de tous les droits de l’homme, en particulier des droits économiques, sociaux et culturels </w:t>
      </w:r>
    </w:p>
    <w:p w14:paraId="5CB96212" w14:textId="77777777" w:rsidR="0019049B" w:rsidRPr="00DC4C92" w:rsidRDefault="0019049B" w:rsidP="00E27A1F">
      <w:pPr>
        <w:jc w:val="both"/>
        <w:rPr>
          <w:sz w:val="24"/>
          <w:szCs w:val="24"/>
          <w:lang w:val="fr-FR"/>
        </w:rPr>
      </w:pPr>
    </w:p>
    <w:p w14:paraId="34A4CE66" w14:textId="77777777" w:rsidR="00291A68" w:rsidRDefault="00291A68" w:rsidP="00291A68">
      <w:pPr>
        <w:pStyle w:val="Default"/>
      </w:pPr>
      <w:bookmarkStart w:id="0" w:name="_Toc517164441"/>
      <w:bookmarkStart w:id="1" w:name="_Toc517164535"/>
      <w:bookmarkStart w:id="2" w:name="_Toc520377560"/>
    </w:p>
    <w:p w14:paraId="4ADB0EAE" w14:textId="77777777" w:rsidR="00410B44" w:rsidRDefault="00410B44" w:rsidP="00291A68">
      <w:pPr>
        <w:pStyle w:val="Default"/>
      </w:pPr>
    </w:p>
    <w:p w14:paraId="46615ECF" w14:textId="77777777" w:rsidR="00410B44" w:rsidRPr="00DC4C92" w:rsidRDefault="00410B44" w:rsidP="00291A68">
      <w:pPr>
        <w:pStyle w:val="Default"/>
      </w:pPr>
    </w:p>
    <w:p w14:paraId="0E12D2C7" w14:textId="55BE2CD8" w:rsidR="00D836B6" w:rsidRPr="00DC4C92" w:rsidRDefault="00633E61" w:rsidP="00291A68">
      <w:pPr>
        <w:jc w:val="center"/>
        <w:rPr>
          <w:b/>
          <w:sz w:val="24"/>
          <w:szCs w:val="24"/>
          <w:lang w:val="fr-FR"/>
        </w:rPr>
      </w:pPr>
      <w:r>
        <w:rPr>
          <w:b/>
          <w:sz w:val="24"/>
          <w:szCs w:val="24"/>
          <w:lang w:val="fr-FR"/>
        </w:rPr>
        <w:t xml:space="preserve">Version préliminaire des </w:t>
      </w:r>
      <w:r w:rsidR="00291A68" w:rsidRPr="00DC4C92">
        <w:rPr>
          <w:b/>
          <w:sz w:val="24"/>
          <w:szCs w:val="24"/>
          <w:lang w:val="fr-FR"/>
        </w:rPr>
        <w:t>Principes directeurs pour l’étude d’impact des réformes économiques sur les droits de l’homme</w:t>
      </w:r>
      <w:bookmarkEnd w:id="0"/>
      <w:bookmarkEnd w:id="1"/>
      <w:bookmarkEnd w:id="2"/>
      <w:r w:rsidR="005F7F4F" w:rsidRPr="00410B44">
        <w:rPr>
          <w:vertAlign w:val="superscript"/>
          <w:lang w:val="fr-FR"/>
        </w:rPr>
        <w:footnoteReference w:id="1"/>
      </w:r>
    </w:p>
    <w:p w14:paraId="44C4FBA0" w14:textId="77777777" w:rsidR="00F14F76" w:rsidRPr="00DC4C92" w:rsidRDefault="00F14F76" w:rsidP="00DB5EEB">
      <w:pPr>
        <w:widowControl/>
        <w:shd w:val="clear" w:color="auto" w:fill="FFFFFF"/>
        <w:autoSpaceDE/>
        <w:autoSpaceDN/>
        <w:jc w:val="both"/>
        <w:rPr>
          <w:b/>
          <w:sz w:val="24"/>
          <w:szCs w:val="24"/>
          <w:lang w:val="fr-FR"/>
        </w:rPr>
      </w:pPr>
    </w:p>
    <w:sdt>
      <w:sdtPr>
        <w:rPr>
          <w:rFonts w:ascii="Times New Roman" w:eastAsia="Times New Roman" w:hAnsi="Times New Roman" w:cs="Times New Roman"/>
          <w:color w:val="auto"/>
          <w:sz w:val="24"/>
          <w:szCs w:val="24"/>
          <w:u w:val="none"/>
          <w:lang w:val="fr-FR"/>
        </w:rPr>
        <w:id w:val="818234047"/>
        <w:docPartObj>
          <w:docPartGallery w:val="Table of Contents"/>
          <w:docPartUnique/>
        </w:docPartObj>
      </w:sdtPr>
      <w:sdtEndPr>
        <w:rPr>
          <w:b/>
          <w:bCs/>
          <w:noProof/>
        </w:rPr>
      </w:sdtEndPr>
      <w:sdtContent>
        <w:p w14:paraId="6D5E53E1" w14:textId="3DE3A8A1" w:rsidR="001D03FB" w:rsidRPr="00DC4C92" w:rsidRDefault="000A0684">
          <w:pPr>
            <w:pStyle w:val="TOCHeading"/>
            <w:rPr>
              <w:sz w:val="24"/>
              <w:szCs w:val="24"/>
              <w:lang w:val="fr-FR"/>
            </w:rPr>
          </w:pPr>
          <w:r w:rsidRPr="00DC4C92">
            <w:rPr>
              <w:sz w:val="24"/>
              <w:szCs w:val="24"/>
              <w:lang w:val="fr-FR"/>
            </w:rPr>
            <w:t>Contenu</w:t>
          </w:r>
        </w:p>
        <w:p w14:paraId="7332A20A" w14:textId="7D86662B" w:rsidR="001E3C8E" w:rsidRDefault="001D03FB">
          <w:pPr>
            <w:pStyle w:val="TOC1"/>
            <w:tabs>
              <w:tab w:val="right" w:leader="dot" w:pos="9017"/>
            </w:tabs>
            <w:rPr>
              <w:rFonts w:asciiTheme="minorHAnsi" w:eastAsiaTheme="minorEastAsia" w:hAnsiTheme="minorHAnsi" w:cstheme="minorBidi"/>
              <w:noProof/>
              <w:sz w:val="22"/>
              <w:szCs w:val="22"/>
              <w:lang w:eastAsia="en-GB"/>
            </w:rPr>
          </w:pPr>
          <w:r w:rsidRPr="00DC4C92">
            <w:rPr>
              <w:sz w:val="24"/>
              <w:szCs w:val="24"/>
              <w:lang w:val="fr-FR"/>
            </w:rPr>
            <w:fldChar w:fldCharType="begin"/>
          </w:r>
          <w:r w:rsidRPr="00DC4C92">
            <w:rPr>
              <w:sz w:val="24"/>
              <w:szCs w:val="24"/>
              <w:lang w:val="fr-FR"/>
            </w:rPr>
            <w:instrText xml:space="preserve"> TOC \o "1-3" \h \z \u </w:instrText>
          </w:r>
          <w:r w:rsidRPr="00DC4C92">
            <w:rPr>
              <w:sz w:val="24"/>
              <w:szCs w:val="24"/>
              <w:lang w:val="fr-FR"/>
            </w:rPr>
            <w:fldChar w:fldCharType="separate"/>
          </w:r>
          <w:hyperlink w:anchor="_Toc522789718" w:history="1">
            <w:r w:rsidR="001E3C8E" w:rsidRPr="00F97F0F">
              <w:rPr>
                <w:rStyle w:val="Hyperlink"/>
                <w:noProof/>
                <w:lang w:val="fr-FR"/>
              </w:rPr>
              <w:t>Introduction (à ajouter à la fin du processus)</w:t>
            </w:r>
            <w:r w:rsidR="001E3C8E">
              <w:rPr>
                <w:noProof/>
                <w:webHidden/>
              </w:rPr>
              <w:tab/>
            </w:r>
            <w:r w:rsidR="001E3C8E">
              <w:rPr>
                <w:noProof/>
                <w:webHidden/>
              </w:rPr>
              <w:fldChar w:fldCharType="begin"/>
            </w:r>
            <w:r w:rsidR="001E3C8E">
              <w:rPr>
                <w:noProof/>
                <w:webHidden/>
              </w:rPr>
              <w:instrText xml:space="preserve"> PAGEREF _Toc522789718 \h </w:instrText>
            </w:r>
            <w:r w:rsidR="001E3C8E">
              <w:rPr>
                <w:noProof/>
                <w:webHidden/>
              </w:rPr>
            </w:r>
            <w:r w:rsidR="001E3C8E">
              <w:rPr>
                <w:noProof/>
                <w:webHidden/>
              </w:rPr>
              <w:fldChar w:fldCharType="separate"/>
            </w:r>
            <w:r w:rsidR="001E3C8E">
              <w:rPr>
                <w:noProof/>
                <w:webHidden/>
              </w:rPr>
              <w:t>3</w:t>
            </w:r>
            <w:r w:rsidR="001E3C8E">
              <w:rPr>
                <w:noProof/>
                <w:webHidden/>
              </w:rPr>
              <w:fldChar w:fldCharType="end"/>
            </w:r>
          </w:hyperlink>
        </w:p>
        <w:p w14:paraId="787F5C28" w14:textId="4814F01B" w:rsidR="001E3C8E" w:rsidRDefault="001E3C8E">
          <w:pPr>
            <w:pStyle w:val="TOC1"/>
            <w:tabs>
              <w:tab w:val="right" w:leader="dot" w:pos="9017"/>
            </w:tabs>
            <w:rPr>
              <w:rFonts w:asciiTheme="minorHAnsi" w:eastAsiaTheme="minorEastAsia" w:hAnsiTheme="minorHAnsi" w:cstheme="minorBidi"/>
              <w:noProof/>
              <w:sz w:val="22"/>
              <w:szCs w:val="22"/>
              <w:lang w:eastAsia="en-GB"/>
            </w:rPr>
          </w:pPr>
          <w:hyperlink w:anchor="_Toc522789719" w:history="1">
            <w:r w:rsidRPr="00F97F0F">
              <w:rPr>
                <w:rStyle w:val="Hyperlink"/>
                <w:noProof/>
                <w:lang w:val="fr-FR"/>
              </w:rPr>
              <w:t>1.</w:t>
            </w:r>
            <w:r>
              <w:rPr>
                <w:rFonts w:asciiTheme="minorHAnsi" w:eastAsiaTheme="minorEastAsia" w:hAnsiTheme="minorHAnsi" w:cstheme="minorBidi"/>
                <w:noProof/>
                <w:sz w:val="22"/>
                <w:szCs w:val="22"/>
                <w:lang w:eastAsia="en-GB"/>
              </w:rPr>
              <w:tab/>
            </w:r>
            <w:r w:rsidRPr="00F97F0F">
              <w:rPr>
                <w:rStyle w:val="Hyperlink"/>
                <w:noProof/>
                <w:lang w:val="fr-FR"/>
              </w:rPr>
              <w:t>Portée des principes directeurs</w:t>
            </w:r>
            <w:r>
              <w:rPr>
                <w:noProof/>
                <w:webHidden/>
              </w:rPr>
              <w:tab/>
            </w:r>
            <w:r>
              <w:rPr>
                <w:noProof/>
                <w:webHidden/>
              </w:rPr>
              <w:fldChar w:fldCharType="begin"/>
            </w:r>
            <w:r>
              <w:rPr>
                <w:noProof/>
                <w:webHidden/>
              </w:rPr>
              <w:instrText xml:space="preserve"> PAGEREF _Toc522789719 \h </w:instrText>
            </w:r>
            <w:r>
              <w:rPr>
                <w:noProof/>
                <w:webHidden/>
              </w:rPr>
            </w:r>
            <w:r>
              <w:rPr>
                <w:noProof/>
                <w:webHidden/>
              </w:rPr>
              <w:fldChar w:fldCharType="separate"/>
            </w:r>
            <w:r>
              <w:rPr>
                <w:noProof/>
                <w:webHidden/>
              </w:rPr>
              <w:t>3</w:t>
            </w:r>
            <w:r>
              <w:rPr>
                <w:noProof/>
                <w:webHidden/>
              </w:rPr>
              <w:fldChar w:fldCharType="end"/>
            </w:r>
          </w:hyperlink>
        </w:p>
        <w:p w14:paraId="48FF548E" w14:textId="0DEE802D" w:rsidR="001E3C8E" w:rsidRDefault="001E3C8E">
          <w:pPr>
            <w:pStyle w:val="TOC1"/>
            <w:tabs>
              <w:tab w:val="right" w:leader="dot" w:pos="9017"/>
            </w:tabs>
            <w:rPr>
              <w:rFonts w:asciiTheme="minorHAnsi" w:eastAsiaTheme="minorEastAsia" w:hAnsiTheme="minorHAnsi" w:cstheme="minorBidi"/>
              <w:noProof/>
              <w:sz w:val="22"/>
              <w:szCs w:val="22"/>
              <w:lang w:eastAsia="en-GB"/>
            </w:rPr>
          </w:pPr>
          <w:hyperlink w:anchor="_Toc522789720" w:history="1">
            <w:r w:rsidRPr="00F97F0F">
              <w:rPr>
                <w:rStyle w:val="Hyperlink"/>
                <w:noProof/>
                <w:lang w:val="fr-FR"/>
              </w:rPr>
              <w:t>2.</w:t>
            </w:r>
            <w:r>
              <w:rPr>
                <w:rFonts w:asciiTheme="minorHAnsi" w:eastAsiaTheme="minorEastAsia" w:hAnsiTheme="minorHAnsi" w:cstheme="minorBidi"/>
                <w:noProof/>
                <w:sz w:val="22"/>
                <w:szCs w:val="22"/>
                <w:lang w:eastAsia="en-GB"/>
              </w:rPr>
              <w:tab/>
            </w:r>
            <w:r w:rsidRPr="00F97F0F">
              <w:rPr>
                <w:rStyle w:val="Hyperlink"/>
                <w:noProof/>
                <w:lang w:val="fr-FR"/>
              </w:rPr>
              <w:t>Obligations des États en matière de politiques économiques et de droits humains</w:t>
            </w:r>
            <w:r>
              <w:rPr>
                <w:noProof/>
                <w:webHidden/>
              </w:rPr>
              <w:tab/>
            </w:r>
            <w:r>
              <w:rPr>
                <w:noProof/>
                <w:webHidden/>
              </w:rPr>
              <w:fldChar w:fldCharType="begin"/>
            </w:r>
            <w:r>
              <w:rPr>
                <w:noProof/>
                <w:webHidden/>
              </w:rPr>
              <w:instrText xml:space="preserve"> PAGEREF _Toc522789720 \h </w:instrText>
            </w:r>
            <w:r>
              <w:rPr>
                <w:noProof/>
                <w:webHidden/>
              </w:rPr>
            </w:r>
            <w:r>
              <w:rPr>
                <w:noProof/>
                <w:webHidden/>
              </w:rPr>
              <w:fldChar w:fldCharType="separate"/>
            </w:r>
            <w:r>
              <w:rPr>
                <w:noProof/>
                <w:webHidden/>
              </w:rPr>
              <w:t>4</w:t>
            </w:r>
            <w:r>
              <w:rPr>
                <w:noProof/>
                <w:webHidden/>
              </w:rPr>
              <w:fldChar w:fldCharType="end"/>
            </w:r>
          </w:hyperlink>
        </w:p>
        <w:p w14:paraId="065BA654" w14:textId="47E081B9" w:rsidR="001E3C8E" w:rsidRDefault="001E3C8E">
          <w:pPr>
            <w:pStyle w:val="TOC1"/>
            <w:tabs>
              <w:tab w:val="right" w:leader="dot" w:pos="9017"/>
            </w:tabs>
            <w:rPr>
              <w:rFonts w:asciiTheme="minorHAnsi" w:eastAsiaTheme="minorEastAsia" w:hAnsiTheme="minorHAnsi" w:cstheme="minorBidi"/>
              <w:noProof/>
              <w:sz w:val="22"/>
              <w:szCs w:val="22"/>
              <w:lang w:eastAsia="en-GB"/>
            </w:rPr>
          </w:pPr>
          <w:hyperlink w:anchor="_Toc522789721" w:history="1">
            <w:r w:rsidRPr="00F97F0F">
              <w:rPr>
                <w:rStyle w:val="Hyperlink"/>
                <w:noProof/>
                <w:lang w:val="fr-FR"/>
              </w:rPr>
              <w:t>3.</w:t>
            </w:r>
            <w:r>
              <w:rPr>
                <w:rFonts w:asciiTheme="minorHAnsi" w:eastAsiaTheme="minorEastAsia" w:hAnsiTheme="minorHAnsi" w:cstheme="minorBidi"/>
                <w:noProof/>
                <w:sz w:val="22"/>
                <w:szCs w:val="22"/>
                <w:lang w:eastAsia="en-GB"/>
              </w:rPr>
              <w:tab/>
            </w:r>
            <w:r w:rsidRPr="00F97F0F">
              <w:rPr>
                <w:rStyle w:val="Hyperlink"/>
                <w:noProof/>
                <w:lang w:val="fr-FR"/>
              </w:rPr>
              <w:t>Obligations des niveaux local et infranational du gouvernement</w:t>
            </w:r>
            <w:r>
              <w:rPr>
                <w:noProof/>
                <w:webHidden/>
              </w:rPr>
              <w:tab/>
            </w:r>
            <w:r>
              <w:rPr>
                <w:noProof/>
                <w:webHidden/>
              </w:rPr>
              <w:fldChar w:fldCharType="begin"/>
            </w:r>
            <w:r>
              <w:rPr>
                <w:noProof/>
                <w:webHidden/>
              </w:rPr>
              <w:instrText xml:space="preserve"> PAGEREF _Toc522789721 \h </w:instrText>
            </w:r>
            <w:r>
              <w:rPr>
                <w:noProof/>
                <w:webHidden/>
              </w:rPr>
            </w:r>
            <w:r>
              <w:rPr>
                <w:noProof/>
                <w:webHidden/>
              </w:rPr>
              <w:fldChar w:fldCharType="separate"/>
            </w:r>
            <w:r>
              <w:rPr>
                <w:noProof/>
                <w:webHidden/>
              </w:rPr>
              <w:t>5</w:t>
            </w:r>
            <w:r>
              <w:rPr>
                <w:noProof/>
                <w:webHidden/>
              </w:rPr>
              <w:fldChar w:fldCharType="end"/>
            </w:r>
          </w:hyperlink>
        </w:p>
        <w:p w14:paraId="050896B9" w14:textId="31E39908" w:rsidR="001E3C8E" w:rsidRDefault="001E3C8E">
          <w:pPr>
            <w:pStyle w:val="TOC1"/>
            <w:tabs>
              <w:tab w:val="right" w:leader="dot" w:pos="9017"/>
            </w:tabs>
            <w:rPr>
              <w:rFonts w:asciiTheme="minorHAnsi" w:eastAsiaTheme="minorEastAsia" w:hAnsiTheme="minorHAnsi" w:cstheme="minorBidi"/>
              <w:noProof/>
              <w:sz w:val="22"/>
              <w:szCs w:val="22"/>
              <w:lang w:eastAsia="en-GB"/>
            </w:rPr>
          </w:pPr>
          <w:hyperlink w:anchor="_Toc522789722" w:history="1">
            <w:r w:rsidRPr="00F97F0F">
              <w:rPr>
                <w:rStyle w:val="Hyperlink"/>
                <w:noProof/>
                <w:lang w:val="fr-FR"/>
              </w:rPr>
              <w:t>4.</w:t>
            </w:r>
            <w:r>
              <w:rPr>
                <w:rFonts w:asciiTheme="minorHAnsi" w:eastAsiaTheme="minorEastAsia" w:hAnsiTheme="minorHAnsi" w:cstheme="minorBidi"/>
                <w:noProof/>
                <w:sz w:val="22"/>
                <w:szCs w:val="22"/>
                <w:lang w:eastAsia="en-GB"/>
              </w:rPr>
              <w:tab/>
            </w:r>
            <w:r w:rsidRPr="00F97F0F">
              <w:rPr>
                <w:rStyle w:val="Hyperlink"/>
                <w:noProof/>
                <w:lang w:val="fr-FR"/>
              </w:rPr>
              <w:t>Obligations des créditeurs et donateurs publics</w:t>
            </w:r>
            <w:r>
              <w:rPr>
                <w:noProof/>
                <w:webHidden/>
              </w:rPr>
              <w:tab/>
            </w:r>
            <w:r>
              <w:rPr>
                <w:noProof/>
                <w:webHidden/>
              </w:rPr>
              <w:fldChar w:fldCharType="begin"/>
            </w:r>
            <w:r>
              <w:rPr>
                <w:noProof/>
                <w:webHidden/>
              </w:rPr>
              <w:instrText xml:space="preserve"> PAGEREF _Toc522789722 \h </w:instrText>
            </w:r>
            <w:r>
              <w:rPr>
                <w:noProof/>
                <w:webHidden/>
              </w:rPr>
            </w:r>
            <w:r>
              <w:rPr>
                <w:noProof/>
                <w:webHidden/>
              </w:rPr>
              <w:fldChar w:fldCharType="separate"/>
            </w:r>
            <w:r>
              <w:rPr>
                <w:noProof/>
                <w:webHidden/>
              </w:rPr>
              <w:t>6</w:t>
            </w:r>
            <w:r>
              <w:rPr>
                <w:noProof/>
                <w:webHidden/>
              </w:rPr>
              <w:fldChar w:fldCharType="end"/>
            </w:r>
          </w:hyperlink>
        </w:p>
        <w:p w14:paraId="358ADF25" w14:textId="4F72A550" w:rsidR="001E3C8E" w:rsidRDefault="001E3C8E">
          <w:pPr>
            <w:pStyle w:val="TOC1"/>
            <w:tabs>
              <w:tab w:val="right" w:leader="dot" w:pos="9017"/>
            </w:tabs>
            <w:rPr>
              <w:rFonts w:asciiTheme="minorHAnsi" w:eastAsiaTheme="minorEastAsia" w:hAnsiTheme="minorHAnsi" w:cstheme="minorBidi"/>
              <w:noProof/>
              <w:sz w:val="22"/>
              <w:szCs w:val="22"/>
              <w:lang w:eastAsia="en-GB"/>
            </w:rPr>
          </w:pPr>
          <w:hyperlink w:anchor="_Toc522789723" w:history="1">
            <w:r w:rsidRPr="00F97F0F">
              <w:rPr>
                <w:rStyle w:val="Hyperlink"/>
                <w:noProof/>
                <w:lang w:val="fr-FR"/>
              </w:rPr>
              <w:t>5.</w:t>
            </w:r>
            <w:r>
              <w:rPr>
                <w:rFonts w:asciiTheme="minorHAnsi" w:eastAsiaTheme="minorEastAsia" w:hAnsiTheme="minorHAnsi" w:cstheme="minorBidi"/>
                <w:noProof/>
                <w:sz w:val="22"/>
                <w:szCs w:val="22"/>
                <w:lang w:eastAsia="en-GB"/>
              </w:rPr>
              <w:tab/>
            </w:r>
            <w:r w:rsidRPr="00F97F0F">
              <w:rPr>
                <w:rStyle w:val="Hyperlink"/>
                <w:noProof/>
                <w:lang w:val="fr-FR"/>
              </w:rPr>
              <w:t>Responsabilités des créditeurs privés</w:t>
            </w:r>
            <w:r>
              <w:rPr>
                <w:noProof/>
                <w:webHidden/>
              </w:rPr>
              <w:tab/>
            </w:r>
            <w:r>
              <w:rPr>
                <w:noProof/>
                <w:webHidden/>
              </w:rPr>
              <w:fldChar w:fldCharType="begin"/>
            </w:r>
            <w:r>
              <w:rPr>
                <w:noProof/>
                <w:webHidden/>
              </w:rPr>
              <w:instrText xml:space="preserve"> PAGEREF _Toc522789723 \h </w:instrText>
            </w:r>
            <w:r>
              <w:rPr>
                <w:noProof/>
                <w:webHidden/>
              </w:rPr>
            </w:r>
            <w:r>
              <w:rPr>
                <w:noProof/>
                <w:webHidden/>
              </w:rPr>
              <w:fldChar w:fldCharType="separate"/>
            </w:r>
            <w:r>
              <w:rPr>
                <w:noProof/>
                <w:webHidden/>
              </w:rPr>
              <w:t>7</w:t>
            </w:r>
            <w:r>
              <w:rPr>
                <w:noProof/>
                <w:webHidden/>
              </w:rPr>
              <w:fldChar w:fldCharType="end"/>
            </w:r>
          </w:hyperlink>
        </w:p>
        <w:p w14:paraId="2B9F612A" w14:textId="6C747BB6" w:rsidR="001E3C8E" w:rsidRDefault="001E3C8E">
          <w:pPr>
            <w:pStyle w:val="TOC1"/>
            <w:tabs>
              <w:tab w:val="right" w:leader="dot" w:pos="9017"/>
            </w:tabs>
            <w:rPr>
              <w:rFonts w:asciiTheme="minorHAnsi" w:eastAsiaTheme="minorEastAsia" w:hAnsiTheme="minorHAnsi" w:cstheme="minorBidi"/>
              <w:noProof/>
              <w:sz w:val="22"/>
              <w:szCs w:val="22"/>
              <w:lang w:eastAsia="en-GB"/>
            </w:rPr>
          </w:pPr>
          <w:hyperlink w:anchor="_Toc522789724" w:history="1">
            <w:r w:rsidRPr="00F97F0F">
              <w:rPr>
                <w:rStyle w:val="Hyperlink"/>
                <w:noProof/>
                <w:lang w:val="fr-FR"/>
              </w:rPr>
              <w:t>6.</w:t>
            </w:r>
            <w:r>
              <w:rPr>
                <w:rFonts w:asciiTheme="minorHAnsi" w:eastAsiaTheme="minorEastAsia" w:hAnsiTheme="minorHAnsi" w:cstheme="minorBidi"/>
                <w:noProof/>
                <w:sz w:val="22"/>
                <w:szCs w:val="22"/>
                <w:lang w:eastAsia="en-GB"/>
              </w:rPr>
              <w:tab/>
            </w:r>
            <w:r w:rsidRPr="00F97F0F">
              <w:rPr>
                <w:rStyle w:val="Hyperlink"/>
                <w:noProof/>
                <w:lang w:val="fr-FR"/>
              </w:rPr>
              <w:t>Interférence extérieure injustifiée</w:t>
            </w:r>
            <w:r>
              <w:rPr>
                <w:noProof/>
                <w:webHidden/>
              </w:rPr>
              <w:tab/>
            </w:r>
            <w:r>
              <w:rPr>
                <w:noProof/>
                <w:webHidden/>
              </w:rPr>
              <w:fldChar w:fldCharType="begin"/>
            </w:r>
            <w:r>
              <w:rPr>
                <w:noProof/>
                <w:webHidden/>
              </w:rPr>
              <w:instrText xml:space="preserve"> PAGEREF _Toc522789724 \h </w:instrText>
            </w:r>
            <w:r>
              <w:rPr>
                <w:noProof/>
                <w:webHidden/>
              </w:rPr>
            </w:r>
            <w:r>
              <w:rPr>
                <w:noProof/>
                <w:webHidden/>
              </w:rPr>
              <w:fldChar w:fldCharType="separate"/>
            </w:r>
            <w:r>
              <w:rPr>
                <w:noProof/>
                <w:webHidden/>
              </w:rPr>
              <w:t>8</w:t>
            </w:r>
            <w:r>
              <w:rPr>
                <w:noProof/>
                <w:webHidden/>
              </w:rPr>
              <w:fldChar w:fldCharType="end"/>
            </w:r>
          </w:hyperlink>
        </w:p>
        <w:p w14:paraId="1C5F501E" w14:textId="4D336101" w:rsidR="001E3C8E" w:rsidRDefault="001E3C8E">
          <w:pPr>
            <w:pStyle w:val="TOC1"/>
            <w:tabs>
              <w:tab w:val="right" w:leader="dot" w:pos="9017"/>
            </w:tabs>
            <w:rPr>
              <w:rFonts w:asciiTheme="minorHAnsi" w:eastAsiaTheme="minorEastAsia" w:hAnsiTheme="minorHAnsi" w:cstheme="minorBidi"/>
              <w:noProof/>
              <w:sz w:val="22"/>
              <w:szCs w:val="22"/>
              <w:lang w:eastAsia="en-GB"/>
            </w:rPr>
          </w:pPr>
          <w:hyperlink w:anchor="_Toc522789725" w:history="1">
            <w:r w:rsidRPr="00F97F0F">
              <w:rPr>
                <w:rStyle w:val="Hyperlink"/>
                <w:noProof/>
                <w:lang w:val="fr-FR"/>
              </w:rPr>
              <w:t>7.</w:t>
            </w:r>
            <w:r>
              <w:rPr>
                <w:rFonts w:asciiTheme="minorHAnsi" w:eastAsiaTheme="minorEastAsia" w:hAnsiTheme="minorHAnsi" w:cstheme="minorBidi"/>
                <w:noProof/>
                <w:sz w:val="22"/>
                <w:szCs w:val="22"/>
                <w:lang w:eastAsia="en-GB"/>
              </w:rPr>
              <w:tab/>
            </w:r>
            <w:r w:rsidRPr="00F97F0F">
              <w:rPr>
                <w:rStyle w:val="Hyperlink"/>
                <w:noProof/>
                <w:lang w:val="fr-FR"/>
              </w:rPr>
              <w:t>Fardeau de la preuve</w:t>
            </w:r>
            <w:r>
              <w:rPr>
                <w:noProof/>
                <w:webHidden/>
              </w:rPr>
              <w:tab/>
            </w:r>
            <w:r>
              <w:rPr>
                <w:noProof/>
                <w:webHidden/>
              </w:rPr>
              <w:fldChar w:fldCharType="begin"/>
            </w:r>
            <w:r>
              <w:rPr>
                <w:noProof/>
                <w:webHidden/>
              </w:rPr>
              <w:instrText xml:space="preserve"> PAGEREF _Toc522789725 \h </w:instrText>
            </w:r>
            <w:r>
              <w:rPr>
                <w:noProof/>
                <w:webHidden/>
              </w:rPr>
            </w:r>
            <w:r>
              <w:rPr>
                <w:noProof/>
                <w:webHidden/>
              </w:rPr>
              <w:fldChar w:fldCharType="separate"/>
            </w:r>
            <w:r>
              <w:rPr>
                <w:noProof/>
                <w:webHidden/>
              </w:rPr>
              <w:t>8</w:t>
            </w:r>
            <w:r>
              <w:rPr>
                <w:noProof/>
                <w:webHidden/>
              </w:rPr>
              <w:fldChar w:fldCharType="end"/>
            </w:r>
          </w:hyperlink>
        </w:p>
        <w:p w14:paraId="0F9149CC" w14:textId="26C4ECDC" w:rsidR="001E3C8E" w:rsidRDefault="001E3C8E">
          <w:pPr>
            <w:pStyle w:val="TOC1"/>
            <w:tabs>
              <w:tab w:val="right" w:leader="dot" w:pos="9017"/>
            </w:tabs>
            <w:rPr>
              <w:rFonts w:asciiTheme="minorHAnsi" w:eastAsiaTheme="minorEastAsia" w:hAnsiTheme="minorHAnsi" w:cstheme="minorBidi"/>
              <w:noProof/>
              <w:sz w:val="22"/>
              <w:szCs w:val="22"/>
              <w:lang w:eastAsia="en-GB"/>
            </w:rPr>
          </w:pPr>
          <w:hyperlink w:anchor="_Toc522789726" w:history="1">
            <w:r w:rsidRPr="00F97F0F">
              <w:rPr>
                <w:rStyle w:val="Hyperlink"/>
                <w:noProof/>
                <w:lang w:val="fr-FR"/>
              </w:rPr>
              <w:t>8.</w:t>
            </w:r>
            <w:r>
              <w:rPr>
                <w:rFonts w:asciiTheme="minorHAnsi" w:eastAsiaTheme="minorEastAsia" w:hAnsiTheme="minorHAnsi" w:cstheme="minorBidi"/>
                <w:noProof/>
                <w:sz w:val="22"/>
                <w:szCs w:val="22"/>
                <w:lang w:eastAsia="en-GB"/>
              </w:rPr>
              <w:tab/>
            </w:r>
            <w:r w:rsidRPr="00F97F0F">
              <w:rPr>
                <w:rStyle w:val="Hyperlink"/>
                <w:noProof/>
                <w:lang w:val="fr-FR"/>
              </w:rPr>
              <w:t>Normes et lois applicables en matière de droits humains</w:t>
            </w:r>
            <w:r>
              <w:rPr>
                <w:noProof/>
                <w:webHidden/>
              </w:rPr>
              <w:tab/>
            </w:r>
            <w:r>
              <w:rPr>
                <w:noProof/>
                <w:webHidden/>
              </w:rPr>
              <w:fldChar w:fldCharType="begin"/>
            </w:r>
            <w:r>
              <w:rPr>
                <w:noProof/>
                <w:webHidden/>
              </w:rPr>
              <w:instrText xml:space="preserve"> PAGEREF _Toc522789726 \h </w:instrText>
            </w:r>
            <w:r>
              <w:rPr>
                <w:noProof/>
                <w:webHidden/>
              </w:rPr>
            </w:r>
            <w:r>
              <w:rPr>
                <w:noProof/>
                <w:webHidden/>
              </w:rPr>
              <w:fldChar w:fldCharType="separate"/>
            </w:r>
            <w:r>
              <w:rPr>
                <w:noProof/>
                <w:webHidden/>
              </w:rPr>
              <w:t>9</w:t>
            </w:r>
            <w:r>
              <w:rPr>
                <w:noProof/>
                <w:webHidden/>
              </w:rPr>
              <w:fldChar w:fldCharType="end"/>
            </w:r>
          </w:hyperlink>
        </w:p>
        <w:p w14:paraId="53C8C1BE" w14:textId="084BFCB5" w:rsidR="001E3C8E" w:rsidRDefault="001E3C8E">
          <w:pPr>
            <w:pStyle w:val="TOC1"/>
            <w:tabs>
              <w:tab w:val="right" w:leader="dot" w:pos="9017"/>
            </w:tabs>
            <w:rPr>
              <w:rFonts w:asciiTheme="minorHAnsi" w:eastAsiaTheme="minorEastAsia" w:hAnsiTheme="minorHAnsi" w:cstheme="minorBidi"/>
              <w:noProof/>
              <w:sz w:val="22"/>
              <w:szCs w:val="22"/>
              <w:lang w:eastAsia="en-GB"/>
            </w:rPr>
          </w:pPr>
          <w:hyperlink w:anchor="_Toc522789727" w:history="1">
            <w:r w:rsidRPr="00F97F0F">
              <w:rPr>
                <w:rStyle w:val="Hyperlink"/>
                <w:noProof/>
                <w:lang w:val="fr-FR"/>
              </w:rPr>
              <w:t>9.</w:t>
            </w:r>
            <w:r>
              <w:rPr>
                <w:rFonts w:asciiTheme="minorHAnsi" w:eastAsiaTheme="minorEastAsia" w:hAnsiTheme="minorHAnsi" w:cstheme="minorBidi"/>
                <w:noProof/>
                <w:sz w:val="22"/>
                <w:szCs w:val="22"/>
                <w:lang w:eastAsia="en-GB"/>
              </w:rPr>
              <w:tab/>
            </w:r>
            <w:r w:rsidRPr="00F97F0F">
              <w:rPr>
                <w:rStyle w:val="Hyperlink"/>
                <w:noProof/>
                <w:lang w:val="fr-FR"/>
              </w:rPr>
              <w:t>Discriminations multiples et croisées</w:t>
            </w:r>
            <w:r>
              <w:rPr>
                <w:noProof/>
                <w:webHidden/>
              </w:rPr>
              <w:tab/>
            </w:r>
            <w:r>
              <w:rPr>
                <w:noProof/>
                <w:webHidden/>
              </w:rPr>
              <w:fldChar w:fldCharType="begin"/>
            </w:r>
            <w:r>
              <w:rPr>
                <w:noProof/>
                <w:webHidden/>
              </w:rPr>
              <w:instrText xml:space="preserve"> PAGEREF _Toc522789727 \h </w:instrText>
            </w:r>
            <w:r>
              <w:rPr>
                <w:noProof/>
                <w:webHidden/>
              </w:rPr>
            </w:r>
            <w:r>
              <w:rPr>
                <w:noProof/>
                <w:webHidden/>
              </w:rPr>
              <w:fldChar w:fldCharType="separate"/>
            </w:r>
            <w:r>
              <w:rPr>
                <w:noProof/>
                <w:webHidden/>
              </w:rPr>
              <w:t>12</w:t>
            </w:r>
            <w:r>
              <w:rPr>
                <w:noProof/>
                <w:webHidden/>
              </w:rPr>
              <w:fldChar w:fldCharType="end"/>
            </w:r>
          </w:hyperlink>
        </w:p>
        <w:p w14:paraId="57BD7D6C" w14:textId="0FD9945A" w:rsidR="001E3C8E" w:rsidRDefault="001E3C8E">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728" w:history="1">
            <w:r w:rsidRPr="00F97F0F">
              <w:rPr>
                <w:rStyle w:val="Hyperlink"/>
                <w:noProof/>
                <w:lang w:val="fr-FR"/>
              </w:rPr>
              <w:t>10.</w:t>
            </w:r>
            <w:r>
              <w:rPr>
                <w:rFonts w:asciiTheme="minorHAnsi" w:eastAsiaTheme="minorEastAsia" w:hAnsiTheme="minorHAnsi" w:cstheme="minorBidi"/>
                <w:noProof/>
                <w:sz w:val="22"/>
                <w:szCs w:val="22"/>
                <w:lang w:eastAsia="en-GB"/>
              </w:rPr>
              <w:tab/>
            </w:r>
            <w:r w:rsidRPr="00F97F0F">
              <w:rPr>
                <w:rStyle w:val="Hyperlink"/>
                <w:noProof/>
                <w:lang w:val="fr-FR"/>
              </w:rPr>
              <w:t>Non-discrimination envers les femmes et égalité substantiell</w:t>
            </w:r>
            <w:r w:rsidRPr="00FC433F">
              <w:rPr>
                <w:rStyle w:val="Hyperlink"/>
                <w:noProof/>
                <w:lang w:val="fr-FR"/>
              </w:rPr>
              <w:t>e</w:t>
            </w:r>
            <w:r>
              <w:rPr>
                <w:noProof/>
                <w:webHidden/>
              </w:rPr>
              <w:tab/>
            </w:r>
            <w:r>
              <w:rPr>
                <w:noProof/>
                <w:webHidden/>
              </w:rPr>
              <w:fldChar w:fldCharType="begin"/>
            </w:r>
            <w:r>
              <w:rPr>
                <w:noProof/>
                <w:webHidden/>
              </w:rPr>
              <w:instrText xml:space="preserve"> PAGEREF _Toc522789728 \h </w:instrText>
            </w:r>
            <w:r>
              <w:rPr>
                <w:noProof/>
                <w:webHidden/>
              </w:rPr>
            </w:r>
            <w:r>
              <w:rPr>
                <w:noProof/>
                <w:webHidden/>
              </w:rPr>
              <w:fldChar w:fldCharType="separate"/>
            </w:r>
            <w:r>
              <w:rPr>
                <w:noProof/>
                <w:webHidden/>
              </w:rPr>
              <w:t>14</w:t>
            </w:r>
            <w:r>
              <w:rPr>
                <w:noProof/>
                <w:webHidden/>
              </w:rPr>
              <w:fldChar w:fldCharType="end"/>
            </w:r>
          </w:hyperlink>
        </w:p>
        <w:p w14:paraId="1B818B8D" w14:textId="7E1532BA" w:rsidR="001E3C8E" w:rsidRDefault="001E3C8E">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729" w:history="1">
            <w:r w:rsidRPr="00F97F0F">
              <w:rPr>
                <w:rStyle w:val="Hyperlink"/>
                <w:noProof/>
                <w:lang w:val="fr-FR"/>
              </w:rPr>
              <w:t>11.</w:t>
            </w:r>
            <w:r>
              <w:rPr>
                <w:rFonts w:asciiTheme="minorHAnsi" w:eastAsiaTheme="minorEastAsia" w:hAnsiTheme="minorHAnsi" w:cstheme="minorBidi"/>
                <w:noProof/>
                <w:sz w:val="22"/>
                <w:szCs w:val="22"/>
                <w:lang w:eastAsia="en-GB"/>
              </w:rPr>
              <w:tab/>
            </w:r>
            <w:r w:rsidRPr="00F97F0F">
              <w:rPr>
                <w:rStyle w:val="Hyperlink"/>
                <w:noProof/>
                <w:lang w:val="fr-FR"/>
              </w:rPr>
              <w:t>Finalité des études d’impact sur les droits humains</w:t>
            </w:r>
            <w:r>
              <w:rPr>
                <w:noProof/>
                <w:webHidden/>
              </w:rPr>
              <w:tab/>
            </w:r>
            <w:r>
              <w:rPr>
                <w:noProof/>
                <w:webHidden/>
              </w:rPr>
              <w:fldChar w:fldCharType="begin"/>
            </w:r>
            <w:r>
              <w:rPr>
                <w:noProof/>
                <w:webHidden/>
              </w:rPr>
              <w:instrText xml:space="preserve"> PAGEREF _Toc522789729 \h </w:instrText>
            </w:r>
            <w:r>
              <w:rPr>
                <w:noProof/>
                <w:webHidden/>
              </w:rPr>
            </w:r>
            <w:r>
              <w:rPr>
                <w:noProof/>
                <w:webHidden/>
              </w:rPr>
              <w:fldChar w:fldCharType="separate"/>
            </w:r>
            <w:r>
              <w:rPr>
                <w:noProof/>
                <w:webHidden/>
              </w:rPr>
              <w:t>15</w:t>
            </w:r>
            <w:r>
              <w:rPr>
                <w:noProof/>
                <w:webHidden/>
              </w:rPr>
              <w:fldChar w:fldCharType="end"/>
            </w:r>
          </w:hyperlink>
        </w:p>
        <w:p w14:paraId="53D3689A" w14:textId="7A47303A" w:rsidR="001E3C8E" w:rsidRDefault="001E3C8E">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730" w:history="1">
            <w:r w:rsidRPr="00F97F0F">
              <w:rPr>
                <w:rStyle w:val="Hyperlink"/>
                <w:noProof/>
                <w:lang w:val="fr-FR"/>
              </w:rPr>
              <w:t>12.</w:t>
            </w:r>
            <w:r>
              <w:rPr>
                <w:rFonts w:asciiTheme="minorHAnsi" w:eastAsiaTheme="minorEastAsia" w:hAnsiTheme="minorHAnsi" w:cstheme="minorBidi"/>
                <w:noProof/>
                <w:sz w:val="22"/>
                <w:szCs w:val="22"/>
                <w:lang w:eastAsia="en-GB"/>
              </w:rPr>
              <w:tab/>
            </w:r>
            <w:r w:rsidRPr="00F97F0F">
              <w:rPr>
                <w:rStyle w:val="Hyperlink"/>
                <w:noProof/>
                <w:lang w:val="fr-FR"/>
              </w:rPr>
              <w:t>Participation et transparence</w:t>
            </w:r>
            <w:r>
              <w:rPr>
                <w:noProof/>
                <w:webHidden/>
              </w:rPr>
              <w:tab/>
            </w:r>
            <w:r>
              <w:rPr>
                <w:noProof/>
                <w:webHidden/>
              </w:rPr>
              <w:fldChar w:fldCharType="begin"/>
            </w:r>
            <w:r>
              <w:rPr>
                <w:noProof/>
                <w:webHidden/>
              </w:rPr>
              <w:instrText xml:space="preserve"> PAGEREF _Toc522789730 \h </w:instrText>
            </w:r>
            <w:r>
              <w:rPr>
                <w:noProof/>
                <w:webHidden/>
              </w:rPr>
            </w:r>
            <w:r>
              <w:rPr>
                <w:noProof/>
                <w:webHidden/>
              </w:rPr>
              <w:fldChar w:fldCharType="separate"/>
            </w:r>
            <w:r>
              <w:rPr>
                <w:noProof/>
                <w:webHidden/>
              </w:rPr>
              <w:t>17</w:t>
            </w:r>
            <w:r>
              <w:rPr>
                <w:noProof/>
                <w:webHidden/>
              </w:rPr>
              <w:fldChar w:fldCharType="end"/>
            </w:r>
          </w:hyperlink>
        </w:p>
        <w:p w14:paraId="7060C79D" w14:textId="6BEF63E8" w:rsidR="001E3C8E" w:rsidRDefault="001E3C8E">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731" w:history="1">
            <w:r w:rsidRPr="00F97F0F">
              <w:rPr>
                <w:rStyle w:val="Hyperlink"/>
                <w:noProof/>
                <w:lang w:val="fr-FR"/>
              </w:rPr>
              <w:t>13.</w:t>
            </w:r>
            <w:r>
              <w:rPr>
                <w:rFonts w:asciiTheme="minorHAnsi" w:eastAsiaTheme="minorEastAsia" w:hAnsiTheme="minorHAnsi" w:cstheme="minorBidi"/>
                <w:noProof/>
                <w:sz w:val="22"/>
                <w:szCs w:val="22"/>
                <w:lang w:eastAsia="en-GB"/>
              </w:rPr>
              <w:tab/>
            </w:r>
            <w:r w:rsidRPr="00F97F0F">
              <w:rPr>
                <w:rStyle w:val="Hyperlink"/>
                <w:noProof/>
                <w:lang w:val="fr-FR"/>
              </w:rPr>
              <w:t>Accès à la justice, redevabilité et recours</w:t>
            </w:r>
            <w:r>
              <w:rPr>
                <w:noProof/>
                <w:webHidden/>
              </w:rPr>
              <w:tab/>
            </w:r>
            <w:r>
              <w:rPr>
                <w:noProof/>
                <w:webHidden/>
              </w:rPr>
              <w:fldChar w:fldCharType="begin"/>
            </w:r>
            <w:r>
              <w:rPr>
                <w:noProof/>
                <w:webHidden/>
              </w:rPr>
              <w:instrText xml:space="preserve"> PAGEREF _Toc522789731 \h </w:instrText>
            </w:r>
            <w:r>
              <w:rPr>
                <w:noProof/>
                <w:webHidden/>
              </w:rPr>
            </w:r>
            <w:r>
              <w:rPr>
                <w:noProof/>
                <w:webHidden/>
              </w:rPr>
              <w:fldChar w:fldCharType="separate"/>
            </w:r>
            <w:r>
              <w:rPr>
                <w:noProof/>
                <w:webHidden/>
              </w:rPr>
              <w:t>18</w:t>
            </w:r>
            <w:r>
              <w:rPr>
                <w:noProof/>
                <w:webHidden/>
              </w:rPr>
              <w:fldChar w:fldCharType="end"/>
            </w:r>
          </w:hyperlink>
        </w:p>
        <w:p w14:paraId="4BD6D2E9" w14:textId="392299B5" w:rsidR="001E3C8E" w:rsidRDefault="001E3C8E">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732" w:history="1">
            <w:r w:rsidRPr="00F97F0F">
              <w:rPr>
                <w:rStyle w:val="Hyperlink"/>
                <w:noProof/>
                <w:lang w:val="fr-FR"/>
              </w:rPr>
              <w:t>14.</w:t>
            </w:r>
            <w:r>
              <w:rPr>
                <w:rFonts w:asciiTheme="minorHAnsi" w:eastAsiaTheme="minorEastAsia" w:hAnsiTheme="minorHAnsi" w:cstheme="minorBidi"/>
                <w:noProof/>
                <w:sz w:val="22"/>
                <w:szCs w:val="22"/>
                <w:lang w:eastAsia="en-GB"/>
              </w:rPr>
              <w:tab/>
            </w:r>
            <w:r w:rsidRPr="00F97F0F">
              <w:rPr>
                <w:rStyle w:val="Hyperlink"/>
                <w:noProof/>
                <w:lang w:val="fr-FR"/>
              </w:rPr>
              <w:t xml:space="preserve">Évaluations </w:t>
            </w:r>
            <w:r w:rsidRPr="00F97F0F">
              <w:rPr>
                <w:rStyle w:val="Hyperlink"/>
                <w:i/>
                <w:noProof/>
                <w:lang w:val="fr-FR"/>
              </w:rPr>
              <w:t xml:space="preserve">ex ante </w:t>
            </w:r>
            <w:r w:rsidRPr="00F97F0F">
              <w:rPr>
                <w:rStyle w:val="Hyperlink"/>
                <w:noProof/>
                <w:lang w:val="fr-FR"/>
              </w:rPr>
              <w:t xml:space="preserve">et </w:t>
            </w:r>
            <w:r w:rsidRPr="00F97F0F">
              <w:rPr>
                <w:rStyle w:val="Hyperlink"/>
                <w:i/>
                <w:noProof/>
                <w:lang w:val="fr-FR"/>
              </w:rPr>
              <w:t>ex post</w:t>
            </w:r>
            <w:r>
              <w:rPr>
                <w:noProof/>
                <w:webHidden/>
              </w:rPr>
              <w:tab/>
            </w:r>
            <w:r>
              <w:rPr>
                <w:noProof/>
                <w:webHidden/>
              </w:rPr>
              <w:fldChar w:fldCharType="begin"/>
            </w:r>
            <w:r>
              <w:rPr>
                <w:noProof/>
                <w:webHidden/>
              </w:rPr>
              <w:instrText xml:space="preserve"> PAGEREF _Toc522789732 \h </w:instrText>
            </w:r>
            <w:r>
              <w:rPr>
                <w:noProof/>
                <w:webHidden/>
              </w:rPr>
            </w:r>
            <w:r>
              <w:rPr>
                <w:noProof/>
                <w:webHidden/>
              </w:rPr>
              <w:fldChar w:fldCharType="separate"/>
            </w:r>
            <w:r>
              <w:rPr>
                <w:noProof/>
                <w:webHidden/>
              </w:rPr>
              <w:t>19</w:t>
            </w:r>
            <w:r>
              <w:rPr>
                <w:noProof/>
                <w:webHidden/>
              </w:rPr>
              <w:fldChar w:fldCharType="end"/>
            </w:r>
          </w:hyperlink>
        </w:p>
        <w:p w14:paraId="0B661EAC" w14:textId="0D77ACEC" w:rsidR="001E3C8E" w:rsidRDefault="001E3C8E">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733" w:history="1">
            <w:r w:rsidRPr="00F97F0F">
              <w:rPr>
                <w:rStyle w:val="Hyperlink"/>
                <w:noProof/>
                <w:lang w:val="fr-FR"/>
              </w:rPr>
              <w:t>15.</w:t>
            </w:r>
            <w:r>
              <w:rPr>
                <w:rFonts w:asciiTheme="minorHAnsi" w:eastAsiaTheme="minorEastAsia" w:hAnsiTheme="minorHAnsi" w:cstheme="minorBidi"/>
                <w:noProof/>
                <w:sz w:val="22"/>
                <w:szCs w:val="22"/>
                <w:lang w:eastAsia="en-GB"/>
              </w:rPr>
              <w:tab/>
            </w:r>
            <w:r w:rsidRPr="00F97F0F">
              <w:rPr>
                <w:rStyle w:val="Hyperlink"/>
                <w:noProof/>
                <w:lang w:val="fr-FR"/>
              </w:rPr>
              <w:t>Viabilité, allègement et restructuration de la dette</w:t>
            </w:r>
            <w:r>
              <w:rPr>
                <w:noProof/>
                <w:webHidden/>
              </w:rPr>
              <w:tab/>
            </w:r>
            <w:r>
              <w:rPr>
                <w:noProof/>
                <w:webHidden/>
              </w:rPr>
              <w:fldChar w:fldCharType="begin"/>
            </w:r>
            <w:r>
              <w:rPr>
                <w:noProof/>
                <w:webHidden/>
              </w:rPr>
              <w:instrText xml:space="preserve"> PAGEREF _Toc522789733 \h </w:instrText>
            </w:r>
            <w:r>
              <w:rPr>
                <w:noProof/>
                <w:webHidden/>
              </w:rPr>
            </w:r>
            <w:r>
              <w:rPr>
                <w:noProof/>
                <w:webHidden/>
              </w:rPr>
              <w:fldChar w:fldCharType="separate"/>
            </w:r>
            <w:r>
              <w:rPr>
                <w:noProof/>
                <w:webHidden/>
              </w:rPr>
              <w:t>20</w:t>
            </w:r>
            <w:r>
              <w:rPr>
                <w:noProof/>
                <w:webHidden/>
              </w:rPr>
              <w:fldChar w:fldCharType="end"/>
            </w:r>
          </w:hyperlink>
        </w:p>
        <w:p w14:paraId="67B360C8" w14:textId="3CE88662" w:rsidR="001E3C8E" w:rsidRDefault="001E3C8E">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734" w:history="1">
            <w:r w:rsidRPr="00F97F0F">
              <w:rPr>
                <w:rStyle w:val="Hyperlink"/>
                <w:noProof/>
                <w:lang w:val="fr-FR"/>
              </w:rPr>
              <w:t>16.</w:t>
            </w:r>
            <w:r>
              <w:rPr>
                <w:rFonts w:asciiTheme="minorHAnsi" w:eastAsiaTheme="minorEastAsia" w:hAnsiTheme="minorHAnsi" w:cstheme="minorBidi"/>
                <w:noProof/>
                <w:sz w:val="22"/>
                <w:szCs w:val="22"/>
                <w:lang w:eastAsia="en-GB"/>
              </w:rPr>
              <w:tab/>
            </w:r>
            <w:r w:rsidRPr="00F97F0F">
              <w:rPr>
                <w:rStyle w:val="Hyperlink"/>
                <w:noProof/>
                <w:lang w:val="fr-FR"/>
              </w:rPr>
              <w:t>Cohérence politique</w:t>
            </w:r>
            <w:r>
              <w:rPr>
                <w:noProof/>
                <w:webHidden/>
              </w:rPr>
              <w:tab/>
            </w:r>
            <w:r>
              <w:rPr>
                <w:noProof/>
                <w:webHidden/>
              </w:rPr>
              <w:fldChar w:fldCharType="begin"/>
            </w:r>
            <w:r>
              <w:rPr>
                <w:noProof/>
                <w:webHidden/>
              </w:rPr>
              <w:instrText xml:space="preserve"> PAGEREF _Toc522789734 \h </w:instrText>
            </w:r>
            <w:r>
              <w:rPr>
                <w:noProof/>
                <w:webHidden/>
              </w:rPr>
            </w:r>
            <w:r>
              <w:rPr>
                <w:noProof/>
                <w:webHidden/>
              </w:rPr>
              <w:fldChar w:fldCharType="separate"/>
            </w:r>
            <w:r>
              <w:rPr>
                <w:noProof/>
                <w:webHidden/>
              </w:rPr>
              <w:t>22</w:t>
            </w:r>
            <w:r>
              <w:rPr>
                <w:noProof/>
                <w:webHidden/>
              </w:rPr>
              <w:fldChar w:fldCharType="end"/>
            </w:r>
          </w:hyperlink>
        </w:p>
        <w:p w14:paraId="6794D09D" w14:textId="492E0FEF" w:rsidR="001E3C8E" w:rsidRDefault="001E3C8E">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735" w:history="1">
            <w:r w:rsidRPr="00F97F0F">
              <w:rPr>
                <w:rStyle w:val="Hyperlink"/>
                <w:noProof/>
                <w:lang w:val="fr-FR"/>
              </w:rPr>
              <w:t>17.</w:t>
            </w:r>
            <w:r>
              <w:rPr>
                <w:rFonts w:asciiTheme="minorHAnsi" w:eastAsiaTheme="minorEastAsia" w:hAnsiTheme="minorHAnsi" w:cstheme="minorBidi"/>
                <w:noProof/>
                <w:sz w:val="22"/>
                <w:szCs w:val="22"/>
                <w:lang w:eastAsia="en-GB"/>
              </w:rPr>
              <w:tab/>
            </w:r>
            <w:r w:rsidRPr="00F97F0F">
              <w:rPr>
                <w:rStyle w:val="Hyperlink"/>
                <w:noProof/>
                <w:lang w:val="fr-FR"/>
              </w:rPr>
              <w:t>Qui conduit l’étude</w:t>
            </w:r>
            <w:r>
              <w:rPr>
                <w:noProof/>
                <w:webHidden/>
              </w:rPr>
              <w:tab/>
            </w:r>
            <w:r>
              <w:rPr>
                <w:noProof/>
                <w:webHidden/>
              </w:rPr>
              <w:fldChar w:fldCharType="begin"/>
            </w:r>
            <w:r>
              <w:rPr>
                <w:noProof/>
                <w:webHidden/>
              </w:rPr>
              <w:instrText xml:space="preserve"> PAGEREF _Toc522789735 \h </w:instrText>
            </w:r>
            <w:r>
              <w:rPr>
                <w:noProof/>
                <w:webHidden/>
              </w:rPr>
            </w:r>
            <w:r>
              <w:rPr>
                <w:noProof/>
                <w:webHidden/>
              </w:rPr>
              <w:fldChar w:fldCharType="separate"/>
            </w:r>
            <w:r>
              <w:rPr>
                <w:noProof/>
                <w:webHidden/>
              </w:rPr>
              <w:t>24</w:t>
            </w:r>
            <w:r>
              <w:rPr>
                <w:noProof/>
                <w:webHidden/>
              </w:rPr>
              <w:fldChar w:fldCharType="end"/>
            </w:r>
          </w:hyperlink>
        </w:p>
        <w:p w14:paraId="53140FD2" w14:textId="749704AA" w:rsidR="001E3C8E" w:rsidRDefault="001E3C8E">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736" w:history="1">
            <w:r w:rsidRPr="00F97F0F">
              <w:rPr>
                <w:rStyle w:val="Hyperlink"/>
                <w:noProof/>
                <w:lang w:val="fr-FR"/>
              </w:rPr>
              <w:t>18.</w:t>
            </w:r>
            <w:r>
              <w:rPr>
                <w:rFonts w:asciiTheme="minorHAnsi" w:eastAsiaTheme="minorEastAsia" w:hAnsiTheme="minorHAnsi" w:cstheme="minorBidi"/>
                <w:noProof/>
                <w:sz w:val="22"/>
                <w:szCs w:val="22"/>
                <w:lang w:eastAsia="en-GB"/>
              </w:rPr>
              <w:tab/>
            </w:r>
            <w:r w:rsidRPr="00F97F0F">
              <w:rPr>
                <w:rStyle w:val="Hyperlink"/>
                <w:noProof/>
                <w:lang w:val="fr-FR"/>
              </w:rPr>
              <w:t>Étapes de l’étude</w:t>
            </w:r>
            <w:r>
              <w:rPr>
                <w:noProof/>
                <w:webHidden/>
              </w:rPr>
              <w:tab/>
            </w:r>
            <w:r>
              <w:rPr>
                <w:noProof/>
                <w:webHidden/>
              </w:rPr>
              <w:fldChar w:fldCharType="begin"/>
            </w:r>
            <w:r>
              <w:rPr>
                <w:noProof/>
                <w:webHidden/>
              </w:rPr>
              <w:instrText xml:space="preserve"> PAGEREF _Toc522789736 \h </w:instrText>
            </w:r>
            <w:r>
              <w:rPr>
                <w:noProof/>
                <w:webHidden/>
              </w:rPr>
            </w:r>
            <w:r>
              <w:rPr>
                <w:noProof/>
                <w:webHidden/>
              </w:rPr>
              <w:fldChar w:fldCharType="separate"/>
            </w:r>
            <w:r>
              <w:rPr>
                <w:noProof/>
                <w:webHidden/>
              </w:rPr>
              <w:t>26</w:t>
            </w:r>
            <w:r>
              <w:rPr>
                <w:noProof/>
                <w:webHidden/>
              </w:rPr>
              <w:fldChar w:fldCharType="end"/>
            </w:r>
          </w:hyperlink>
        </w:p>
        <w:p w14:paraId="43AFBDA3" w14:textId="0BA854A5" w:rsidR="001E3C8E" w:rsidRDefault="001E3C8E">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737" w:history="1">
            <w:r w:rsidRPr="00F97F0F">
              <w:rPr>
                <w:rStyle w:val="Hyperlink"/>
                <w:noProof/>
                <w:lang w:val="fr-FR"/>
              </w:rPr>
              <w:t>19.</w:t>
            </w:r>
            <w:r>
              <w:rPr>
                <w:rFonts w:asciiTheme="minorHAnsi" w:eastAsiaTheme="minorEastAsia" w:hAnsiTheme="minorHAnsi" w:cstheme="minorBidi"/>
                <w:noProof/>
                <w:sz w:val="22"/>
                <w:szCs w:val="22"/>
                <w:lang w:eastAsia="en-GB"/>
              </w:rPr>
              <w:tab/>
            </w:r>
            <w:r w:rsidRPr="00F97F0F">
              <w:rPr>
                <w:rStyle w:val="Hyperlink"/>
                <w:noProof/>
                <w:lang w:val="fr-FR"/>
              </w:rPr>
              <w:t>Accès à l’information</w:t>
            </w:r>
            <w:r>
              <w:rPr>
                <w:noProof/>
                <w:webHidden/>
              </w:rPr>
              <w:tab/>
            </w:r>
            <w:r>
              <w:rPr>
                <w:noProof/>
                <w:webHidden/>
              </w:rPr>
              <w:fldChar w:fldCharType="begin"/>
            </w:r>
            <w:r>
              <w:rPr>
                <w:noProof/>
                <w:webHidden/>
              </w:rPr>
              <w:instrText xml:space="preserve"> PAGEREF _Toc522789737 \h </w:instrText>
            </w:r>
            <w:r>
              <w:rPr>
                <w:noProof/>
                <w:webHidden/>
              </w:rPr>
            </w:r>
            <w:r>
              <w:rPr>
                <w:noProof/>
                <w:webHidden/>
              </w:rPr>
              <w:fldChar w:fldCharType="separate"/>
            </w:r>
            <w:r>
              <w:rPr>
                <w:noProof/>
                <w:webHidden/>
              </w:rPr>
              <w:t>26</w:t>
            </w:r>
            <w:r>
              <w:rPr>
                <w:noProof/>
                <w:webHidden/>
              </w:rPr>
              <w:fldChar w:fldCharType="end"/>
            </w:r>
          </w:hyperlink>
        </w:p>
        <w:p w14:paraId="480AE198" w14:textId="253A4333" w:rsidR="001E3C8E" w:rsidRDefault="001E3C8E">
          <w:pPr>
            <w:pStyle w:val="TOC2"/>
            <w:tabs>
              <w:tab w:val="right" w:leader="dot" w:pos="9017"/>
            </w:tabs>
            <w:rPr>
              <w:rFonts w:asciiTheme="minorHAnsi" w:eastAsiaTheme="minorEastAsia" w:hAnsiTheme="minorHAnsi" w:cstheme="minorBidi"/>
              <w:noProof/>
              <w:sz w:val="22"/>
              <w:szCs w:val="22"/>
              <w:lang w:eastAsia="en-GB"/>
            </w:rPr>
          </w:pPr>
          <w:hyperlink w:anchor="_Toc522789738" w:history="1">
            <w:r w:rsidRPr="00F97F0F">
              <w:rPr>
                <w:rStyle w:val="Hyperlink"/>
                <w:noProof/>
                <w:lang w:val="fr-FR"/>
              </w:rPr>
              <w:t>ANNEXE</w:t>
            </w:r>
            <w:r>
              <w:rPr>
                <w:noProof/>
                <w:webHidden/>
              </w:rPr>
              <w:tab/>
            </w:r>
            <w:r>
              <w:rPr>
                <w:noProof/>
                <w:webHidden/>
              </w:rPr>
              <w:fldChar w:fldCharType="begin"/>
            </w:r>
            <w:r>
              <w:rPr>
                <w:noProof/>
                <w:webHidden/>
              </w:rPr>
              <w:instrText xml:space="preserve"> PAGEREF _Toc522789738 \h </w:instrText>
            </w:r>
            <w:r>
              <w:rPr>
                <w:noProof/>
                <w:webHidden/>
              </w:rPr>
            </w:r>
            <w:r>
              <w:rPr>
                <w:noProof/>
                <w:webHidden/>
              </w:rPr>
              <w:fldChar w:fldCharType="separate"/>
            </w:r>
            <w:r>
              <w:rPr>
                <w:noProof/>
                <w:webHidden/>
              </w:rPr>
              <w:t>29</w:t>
            </w:r>
            <w:r>
              <w:rPr>
                <w:noProof/>
                <w:webHidden/>
              </w:rPr>
              <w:fldChar w:fldCharType="end"/>
            </w:r>
          </w:hyperlink>
        </w:p>
        <w:p w14:paraId="56C4DD71" w14:textId="1DEE676F" w:rsidR="001D03FB" w:rsidRPr="00DC4C92" w:rsidRDefault="001D03FB">
          <w:pPr>
            <w:rPr>
              <w:sz w:val="24"/>
              <w:szCs w:val="24"/>
              <w:lang w:val="fr-FR"/>
            </w:rPr>
          </w:pPr>
          <w:r w:rsidRPr="00DC4C92">
            <w:rPr>
              <w:b/>
              <w:bCs/>
              <w:noProof/>
              <w:sz w:val="24"/>
              <w:szCs w:val="24"/>
              <w:lang w:val="fr-FR"/>
            </w:rPr>
            <w:fldChar w:fldCharType="end"/>
          </w:r>
        </w:p>
      </w:sdtContent>
    </w:sdt>
    <w:p w14:paraId="7D227146" w14:textId="2C950E9C" w:rsidR="00BB486F" w:rsidRPr="00DC4C92" w:rsidRDefault="00BB486F">
      <w:pPr>
        <w:rPr>
          <w:sz w:val="24"/>
          <w:szCs w:val="24"/>
          <w:lang w:val="fr-FR"/>
        </w:rPr>
      </w:pPr>
    </w:p>
    <w:p w14:paraId="2983E15A" w14:textId="705B7F74" w:rsidR="00C2321C" w:rsidRPr="00DC4C92" w:rsidRDefault="00C2321C">
      <w:pPr>
        <w:rPr>
          <w:sz w:val="24"/>
          <w:szCs w:val="24"/>
          <w:lang w:val="fr-FR"/>
        </w:rPr>
      </w:pPr>
      <w:r w:rsidRPr="00DC4C92">
        <w:rPr>
          <w:sz w:val="24"/>
          <w:szCs w:val="24"/>
          <w:lang w:val="fr-FR"/>
        </w:rPr>
        <w:br w:type="page"/>
      </w:r>
    </w:p>
    <w:p w14:paraId="2917BBE0" w14:textId="77777777" w:rsidR="00410B44" w:rsidRDefault="00410B44" w:rsidP="001E026A">
      <w:pPr>
        <w:pStyle w:val="Heading1"/>
        <w:ind w:left="1069"/>
        <w:rPr>
          <w:szCs w:val="24"/>
          <w:lang w:val="fr-FR"/>
        </w:rPr>
      </w:pPr>
    </w:p>
    <w:p w14:paraId="0E8F4277" w14:textId="77777777" w:rsidR="00410B44" w:rsidRDefault="00410B44" w:rsidP="001E026A">
      <w:pPr>
        <w:pStyle w:val="Heading1"/>
        <w:ind w:left="1069"/>
        <w:rPr>
          <w:szCs w:val="24"/>
          <w:lang w:val="fr-FR"/>
        </w:rPr>
      </w:pPr>
    </w:p>
    <w:p w14:paraId="74A6205A" w14:textId="211B87BA" w:rsidR="005F7F4F" w:rsidRPr="001E3C8E" w:rsidRDefault="005F7F4F" w:rsidP="001E026A">
      <w:pPr>
        <w:pStyle w:val="Heading1"/>
        <w:ind w:left="1069"/>
        <w:rPr>
          <w:b w:val="0"/>
          <w:szCs w:val="24"/>
          <w:u w:val="none"/>
          <w:lang w:val="fr-FR"/>
        </w:rPr>
      </w:pPr>
      <w:bookmarkStart w:id="3" w:name="_Toc522789718"/>
      <w:r w:rsidRPr="001E3C8E">
        <w:rPr>
          <w:szCs w:val="24"/>
          <w:lang w:val="fr-FR"/>
        </w:rPr>
        <w:t>Introduction</w:t>
      </w:r>
      <w:r w:rsidRPr="001E3C8E">
        <w:rPr>
          <w:b w:val="0"/>
          <w:szCs w:val="24"/>
          <w:u w:val="none"/>
          <w:lang w:val="fr-FR"/>
        </w:rPr>
        <w:t xml:space="preserve"> (</w:t>
      </w:r>
      <w:r w:rsidR="00291A68" w:rsidRPr="001E3C8E">
        <w:rPr>
          <w:b w:val="0"/>
          <w:szCs w:val="24"/>
          <w:u w:val="none"/>
          <w:lang w:val="fr-FR"/>
        </w:rPr>
        <w:t>à ajouter à la fin du processus</w:t>
      </w:r>
      <w:r w:rsidRPr="001E3C8E">
        <w:rPr>
          <w:b w:val="0"/>
          <w:szCs w:val="24"/>
          <w:u w:val="none"/>
          <w:lang w:val="fr-FR"/>
        </w:rPr>
        <w:t>)</w:t>
      </w:r>
      <w:bookmarkEnd w:id="3"/>
      <w:r w:rsidRPr="001E3C8E">
        <w:rPr>
          <w:b w:val="0"/>
          <w:szCs w:val="24"/>
          <w:u w:val="none"/>
          <w:lang w:val="fr-FR"/>
        </w:rPr>
        <w:t xml:space="preserve"> </w:t>
      </w:r>
    </w:p>
    <w:p w14:paraId="26C69F1D" w14:textId="77777777" w:rsidR="003B1333" w:rsidRPr="001E3C8E" w:rsidRDefault="003B1333" w:rsidP="00E27A1F">
      <w:pPr>
        <w:jc w:val="both"/>
        <w:rPr>
          <w:sz w:val="24"/>
          <w:szCs w:val="24"/>
          <w:u w:val="single"/>
          <w:lang w:val="fr-FR"/>
        </w:rPr>
      </w:pPr>
    </w:p>
    <w:p w14:paraId="32213E17" w14:textId="1AE91FBB" w:rsidR="003B1333" w:rsidRPr="001E3C8E" w:rsidRDefault="00194E27" w:rsidP="00D741B8">
      <w:pPr>
        <w:pStyle w:val="Heading1"/>
        <w:numPr>
          <w:ilvl w:val="0"/>
          <w:numId w:val="27"/>
        </w:numPr>
        <w:rPr>
          <w:szCs w:val="24"/>
          <w:lang w:val="fr-FR"/>
        </w:rPr>
      </w:pPr>
      <w:bookmarkStart w:id="4" w:name="_Toc522789719"/>
      <w:bookmarkStart w:id="5" w:name="_Toc517164442"/>
      <w:bookmarkStart w:id="6" w:name="_Toc517164536"/>
      <w:r w:rsidRPr="001E3C8E">
        <w:rPr>
          <w:szCs w:val="24"/>
          <w:lang w:val="fr-FR"/>
        </w:rPr>
        <w:t xml:space="preserve">Portée des principes </w:t>
      </w:r>
      <w:r w:rsidR="00291A68" w:rsidRPr="001E3C8E">
        <w:rPr>
          <w:szCs w:val="24"/>
          <w:lang w:val="fr-FR"/>
        </w:rPr>
        <w:t>directeurs</w:t>
      </w:r>
      <w:bookmarkEnd w:id="4"/>
    </w:p>
    <w:p w14:paraId="1820F56C" w14:textId="77777777" w:rsidR="00D741B8" w:rsidRPr="001E3C8E" w:rsidRDefault="00D741B8" w:rsidP="00D741B8">
      <w:pPr>
        <w:pStyle w:val="Heading1"/>
        <w:ind w:left="1429"/>
        <w:rPr>
          <w:szCs w:val="24"/>
          <w:lang w:val="fr-FR"/>
        </w:rPr>
      </w:pPr>
    </w:p>
    <w:p w14:paraId="3F1FF053" w14:textId="2025748F" w:rsidR="00194E27" w:rsidRPr="001E3C8E" w:rsidRDefault="00194E27" w:rsidP="003B1333">
      <w:pPr>
        <w:pStyle w:val="BodyText"/>
        <w:rPr>
          <w:szCs w:val="24"/>
          <w:lang w:val="fr-FR"/>
        </w:rPr>
      </w:pPr>
      <w:r w:rsidRPr="001E3C8E">
        <w:rPr>
          <w:szCs w:val="24"/>
          <w:lang w:val="fr-FR"/>
        </w:rPr>
        <w:t xml:space="preserve">Ces principes sont applicables lorsque des réformes économiques </w:t>
      </w:r>
      <w:r w:rsidR="00291A68" w:rsidRPr="001E3C8E">
        <w:rPr>
          <w:szCs w:val="24"/>
          <w:lang w:val="fr-FR"/>
        </w:rPr>
        <w:t>régressives</w:t>
      </w:r>
      <w:r w:rsidRPr="001E3C8E">
        <w:rPr>
          <w:szCs w:val="24"/>
          <w:lang w:val="fr-FR"/>
        </w:rPr>
        <w:t xml:space="preserve"> </w:t>
      </w:r>
      <w:r w:rsidR="00291A68" w:rsidRPr="001E3C8E">
        <w:rPr>
          <w:szCs w:val="24"/>
          <w:lang w:val="fr-FR"/>
        </w:rPr>
        <w:t>sont susceptibles de</w:t>
      </w:r>
      <w:r w:rsidRPr="001E3C8E">
        <w:rPr>
          <w:szCs w:val="24"/>
          <w:lang w:val="fr-FR"/>
        </w:rPr>
        <w:t xml:space="preserve"> contribuer à l’approfondissement </w:t>
      </w:r>
      <w:r w:rsidR="00291A68" w:rsidRPr="001E3C8E">
        <w:rPr>
          <w:szCs w:val="24"/>
          <w:lang w:val="fr-FR"/>
        </w:rPr>
        <w:t>des</w:t>
      </w:r>
      <w:r w:rsidRPr="001E3C8E">
        <w:rPr>
          <w:szCs w:val="24"/>
          <w:lang w:val="fr-FR"/>
        </w:rPr>
        <w:t xml:space="preserve"> inégalité</w:t>
      </w:r>
      <w:r w:rsidR="00291A68" w:rsidRPr="001E3C8E">
        <w:rPr>
          <w:szCs w:val="24"/>
          <w:lang w:val="fr-FR"/>
        </w:rPr>
        <w:t>s</w:t>
      </w:r>
      <w:r w:rsidRPr="001E3C8E">
        <w:rPr>
          <w:szCs w:val="24"/>
          <w:lang w:val="fr-FR"/>
        </w:rPr>
        <w:t xml:space="preserve"> sociale</w:t>
      </w:r>
      <w:r w:rsidR="00291A68" w:rsidRPr="001E3C8E">
        <w:rPr>
          <w:szCs w:val="24"/>
          <w:lang w:val="fr-FR"/>
        </w:rPr>
        <w:t>s</w:t>
      </w:r>
      <w:r w:rsidRPr="001E3C8E">
        <w:rPr>
          <w:szCs w:val="24"/>
          <w:lang w:val="fr-FR"/>
        </w:rPr>
        <w:t xml:space="preserve"> et économique</w:t>
      </w:r>
      <w:r w:rsidR="00291A68" w:rsidRPr="001E3C8E">
        <w:rPr>
          <w:szCs w:val="24"/>
          <w:lang w:val="fr-FR"/>
        </w:rPr>
        <w:t>s</w:t>
      </w:r>
      <w:r w:rsidRPr="001E3C8E">
        <w:rPr>
          <w:szCs w:val="24"/>
          <w:lang w:val="fr-FR"/>
        </w:rPr>
        <w:t xml:space="preserve"> et de mener à de</w:t>
      </w:r>
      <w:r w:rsidR="00AB3F87" w:rsidRPr="001E3C8E">
        <w:rPr>
          <w:szCs w:val="24"/>
          <w:lang w:val="fr-FR"/>
        </w:rPr>
        <w:t>s violations des droits humains</w:t>
      </w:r>
      <w:r w:rsidRPr="001E3C8E">
        <w:rPr>
          <w:szCs w:val="24"/>
          <w:lang w:val="fr-FR"/>
        </w:rPr>
        <w:t xml:space="preserve"> avec un impact disproportionné sur les plus </w:t>
      </w:r>
      <w:r w:rsidR="005F4FB5" w:rsidRPr="001E3C8E">
        <w:rPr>
          <w:szCs w:val="24"/>
          <w:lang w:val="fr-FR"/>
        </w:rPr>
        <w:t>marginalisés</w:t>
      </w:r>
      <w:r w:rsidR="00956564" w:rsidRPr="001E3C8E">
        <w:rPr>
          <w:szCs w:val="24"/>
          <w:lang w:val="fr-FR"/>
        </w:rPr>
        <w:t xml:space="preserve">. </w:t>
      </w:r>
      <w:r w:rsidR="00BC2714" w:rsidRPr="001E3C8E">
        <w:rPr>
          <w:szCs w:val="24"/>
          <w:lang w:val="fr-FR"/>
        </w:rPr>
        <w:t>Ces principes devraient trouver application</w:t>
      </w:r>
      <w:r w:rsidRPr="001E3C8E">
        <w:rPr>
          <w:szCs w:val="24"/>
          <w:lang w:val="fr-FR"/>
        </w:rPr>
        <w:t xml:space="preserve"> dans le contexte de crises économiques et financières graves, </w:t>
      </w:r>
      <w:r w:rsidR="005F4FB5" w:rsidRPr="001E3C8E">
        <w:rPr>
          <w:szCs w:val="24"/>
          <w:lang w:val="fr-FR"/>
        </w:rPr>
        <w:t>bien qu’</w:t>
      </w:r>
      <w:r w:rsidRPr="001E3C8E">
        <w:rPr>
          <w:szCs w:val="24"/>
          <w:lang w:val="fr-FR"/>
        </w:rPr>
        <w:t xml:space="preserve">ils </w:t>
      </w:r>
      <w:r w:rsidR="005F4FB5" w:rsidRPr="001E3C8E">
        <w:rPr>
          <w:szCs w:val="24"/>
          <w:lang w:val="fr-FR"/>
        </w:rPr>
        <w:t xml:space="preserve">puissent </w:t>
      </w:r>
      <w:r w:rsidRPr="001E3C8E">
        <w:rPr>
          <w:szCs w:val="24"/>
          <w:lang w:val="fr-FR"/>
        </w:rPr>
        <w:t xml:space="preserve">aussi être pertinents dans des </w:t>
      </w:r>
      <w:r w:rsidR="00956564" w:rsidRPr="001E3C8E">
        <w:rPr>
          <w:szCs w:val="24"/>
          <w:lang w:val="fr-FR"/>
        </w:rPr>
        <w:t>situations</w:t>
      </w:r>
      <w:r w:rsidR="005F4FB5" w:rsidRPr="001E3C8E">
        <w:rPr>
          <w:szCs w:val="24"/>
          <w:lang w:val="fr-FR"/>
        </w:rPr>
        <w:t xml:space="preserve"> économiques moins difficiles</w:t>
      </w:r>
      <w:r w:rsidRPr="001E3C8E">
        <w:rPr>
          <w:szCs w:val="24"/>
          <w:lang w:val="fr-FR"/>
        </w:rPr>
        <w:t xml:space="preserve"> </w:t>
      </w:r>
      <w:r w:rsidR="005F4FB5" w:rsidRPr="001E3C8E">
        <w:rPr>
          <w:szCs w:val="24"/>
          <w:lang w:val="fr-FR"/>
        </w:rPr>
        <w:t xml:space="preserve">dans le cadre de </w:t>
      </w:r>
      <w:r w:rsidRPr="001E3C8E">
        <w:rPr>
          <w:szCs w:val="24"/>
          <w:lang w:val="fr-FR"/>
        </w:rPr>
        <w:t>processus de réforme économique.</w:t>
      </w:r>
    </w:p>
    <w:p w14:paraId="6E38FFE4" w14:textId="77777777" w:rsidR="00D54214" w:rsidRPr="001E3C8E" w:rsidRDefault="00D54214" w:rsidP="00E27A1F">
      <w:pPr>
        <w:jc w:val="both"/>
        <w:rPr>
          <w:i/>
          <w:sz w:val="24"/>
          <w:szCs w:val="24"/>
          <w:lang w:val="fr-FR"/>
        </w:rPr>
      </w:pPr>
    </w:p>
    <w:p w14:paraId="282E07D3" w14:textId="318D0D8D" w:rsidR="00194E27" w:rsidRPr="001E3C8E" w:rsidRDefault="00194E27" w:rsidP="00194E27">
      <w:pPr>
        <w:ind w:firstLine="720"/>
        <w:jc w:val="both"/>
        <w:rPr>
          <w:i/>
          <w:sz w:val="24"/>
          <w:szCs w:val="24"/>
          <w:lang w:val="fr-FR"/>
        </w:rPr>
      </w:pPr>
      <w:r w:rsidRPr="001E3C8E">
        <w:rPr>
          <w:i/>
          <w:sz w:val="24"/>
          <w:szCs w:val="24"/>
          <w:lang w:val="fr-FR"/>
        </w:rPr>
        <w:t>Commentaire</w:t>
      </w:r>
      <w:r w:rsidR="00AB3F87" w:rsidRPr="001E3C8E">
        <w:rPr>
          <w:i/>
          <w:sz w:val="24"/>
          <w:szCs w:val="24"/>
          <w:lang w:val="fr-FR"/>
        </w:rPr>
        <w:t> :</w:t>
      </w:r>
    </w:p>
    <w:p w14:paraId="4F926821" w14:textId="4FCFC148" w:rsidR="002D4BBB" w:rsidRPr="001E3C8E" w:rsidRDefault="00194E27" w:rsidP="00214169">
      <w:pPr>
        <w:pStyle w:val="ListParagraph"/>
        <w:numPr>
          <w:ilvl w:val="0"/>
          <w:numId w:val="14"/>
        </w:numPr>
        <w:rPr>
          <w:lang w:val="fr-FR"/>
        </w:rPr>
      </w:pPr>
      <w:r w:rsidRPr="001E3C8E">
        <w:rPr>
          <w:lang w:val="fr-FR"/>
        </w:rPr>
        <w:t>C</w:t>
      </w:r>
      <w:r w:rsidR="00AB3F87" w:rsidRPr="001E3C8E">
        <w:rPr>
          <w:lang w:val="fr-FR"/>
        </w:rPr>
        <w:t xml:space="preserve">ertaines politiques économiques, notamment </w:t>
      </w:r>
      <w:r w:rsidRPr="001E3C8E">
        <w:rPr>
          <w:lang w:val="fr-FR"/>
        </w:rPr>
        <w:t>l’austérité, la consolidation ou l’ajustement fiscal, les réformes structurelles, la privat</w:t>
      </w:r>
      <w:r w:rsidR="00AB3F87" w:rsidRPr="001E3C8E">
        <w:rPr>
          <w:lang w:val="fr-FR"/>
        </w:rPr>
        <w:t>isation ou la déréglementation du marché</w:t>
      </w:r>
      <w:r w:rsidRPr="001E3C8E">
        <w:rPr>
          <w:lang w:val="fr-FR"/>
        </w:rPr>
        <w:t xml:space="preserve"> du travail</w:t>
      </w:r>
      <w:r w:rsidR="00AB3F87" w:rsidRPr="001E3C8E">
        <w:rPr>
          <w:lang w:val="fr-FR"/>
        </w:rPr>
        <w:t>,</w:t>
      </w:r>
      <w:r w:rsidRPr="001E3C8E">
        <w:rPr>
          <w:lang w:val="fr-FR"/>
        </w:rPr>
        <w:t xml:space="preserve"> peuvent avoir des conséquences néfas</w:t>
      </w:r>
      <w:r w:rsidR="00AB3F87" w:rsidRPr="001E3C8E">
        <w:rPr>
          <w:lang w:val="fr-FR"/>
        </w:rPr>
        <w:t xml:space="preserve">tes sur la jouissance </w:t>
      </w:r>
      <w:r w:rsidRPr="001E3C8E">
        <w:rPr>
          <w:lang w:val="fr-FR"/>
        </w:rPr>
        <w:t xml:space="preserve">des droits humains. Ces conséquences sont souvent prévisibles et devraient être évitées. L’impact </w:t>
      </w:r>
      <w:r w:rsidR="00AB3F87" w:rsidRPr="001E3C8E">
        <w:rPr>
          <w:lang w:val="fr-FR"/>
        </w:rPr>
        <w:t>régressif</w:t>
      </w:r>
      <w:r w:rsidRPr="001E3C8E">
        <w:rPr>
          <w:lang w:val="fr-FR"/>
        </w:rPr>
        <w:t xml:space="preserve"> de ces mesures sur les droits humains peut justifie</w:t>
      </w:r>
      <w:r w:rsidR="00AB3F87" w:rsidRPr="001E3C8E">
        <w:rPr>
          <w:lang w:val="fr-FR"/>
        </w:rPr>
        <w:t>r l’application de ces princip</w:t>
      </w:r>
      <w:r w:rsidRPr="001E3C8E">
        <w:rPr>
          <w:lang w:val="fr-FR"/>
        </w:rPr>
        <w:t xml:space="preserve">es </w:t>
      </w:r>
      <w:r w:rsidR="00AB3F87" w:rsidRPr="001E3C8E">
        <w:rPr>
          <w:lang w:val="fr-FR"/>
        </w:rPr>
        <w:t>directeurs</w:t>
      </w:r>
      <w:r w:rsidRPr="001E3C8E">
        <w:rPr>
          <w:lang w:val="fr-FR"/>
        </w:rPr>
        <w:t>.</w:t>
      </w:r>
    </w:p>
    <w:p w14:paraId="5C7E3269" w14:textId="4DD1E391" w:rsidR="00194E27" w:rsidRPr="001E3C8E" w:rsidRDefault="00194E27" w:rsidP="00430901">
      <w:pPr>
        <w:pStyle w:val="ListParagraph"/>
        <w:numPr>
          <w:ilvl w:val="0"/>
          <w:numId w:val="14"/>
        </w:numPr>
        <w:rPr>
          <w:lang w:val="fr-FR"/>
        </w:rPr>
      </w:pPr>
      <w:r w:rsidRPr="001E3C8E">
        <w:rPr>
          <w:lang w:val="fr-FR"/>
        </w:rPr>
        <w:t xml:space="preserve">Les principes </w:t>
      </w:r>
      <w:r w:rsidR="00EF0F3E" w:rsidRPr="001E3C8E">
        <w:rPr>
          <w:lang w:val="fr-FR"/>
        </w:rPr>
        <w:t>directeurs</w:t>
      </w:r>
      <w:r w:rsidRPr="001E3C8E">
        <w:rPr>
          <w:lang w:val="fr-FR"/>
        </w:rPr>
        <w:t xml:space="preserve"> </w:t>
      </w:r>
      <w:r w:rsidR="00EF0F3E" w:rsidRPr="001E3C8E">
        <w:rPr>
          <w:lang w:val="fr-FR"/>
        </w:rPr>
        <w:t>s’appliquent</w:t>
      </w:r>
      <w:r w:rsidRPr="001E3C8E">
        <w:rPr>
          <w:lang w:val="fr-FR"/>
        </w:rPr>
        <w:t xml:space="preserve"> à différentes situation</w:t>
      </w:r>
      <w:r w:rsidR="00EF0F3E" w:rsidRPr="001E3C8E">
        <w:rPr>
          <w:lang w:val="fr-FR"/>
        </w:rPr>
        <w:t xml:space="preserve">s économiques, notamment (a) en réponse </w:t>
      </w:r>
      <w:r w:rsidRPr="001E3C8E">
        <w:rPr>
          <w:lang w:val="fr-FR"/>
        </w:rPr>
        <w:t>à une crise financière et économique grave (</w:t>
      </w:r>
      <w:r w:rsidR="00EF0F3E" w:rsidRPr="001E3C8E">
        <w:rPr>
          <w:lang w:val="fr-FR"/>
        </w:rPr>
        <w:t>ralentissement économique soudain</w:t>
      </w:r>
      <w:r w:rsidR="000207FB" w:rsidRPr="001E3C8E">
        <w:rPr>
          <w:lang w:val="fr-FR"/>
        </w:rPr>
        <w:t xml:space="preserve"> ou graduel et e</w:t>
      </w:r>
      <w:r w:rsidR="002D4BBB" w:rsidRPr="001E3C8E">
        <w:rPr>
          <w:lang w:val="fr-FR"/>
        </w:rPr>
        <w:t>f</w:t>
      </w:r>
      <w:r w:rsidR="000207FB" w:rsidRPr="001E3C8E">
        <w:rPr>
          <w:lang w:val="fr-FR"/>
        </w:rPr>
        <w:t xml:space="preserve">fondrement de la valeur des actifs financiers publics ou privés), </w:t>
      </w:r>
      <w:r w:rsidR="002D4BBB" w:rsidRPr="001E3C8E">
        <w:rPr>
          <w:lang w:val="fr-FR"/>
        </w:rPr>
        <w:t>lorsque le risque d’impact négatif sur les droits humains est accru et lorsqu’une réponse urgente est nécessaire ; (b) d</w:t>
      </w:r>
      <w:r w:rsidR="00EF0F3E" w:rsidRPr="001E3C8E">
        <w:rPr>
          <w:lang w:val="fr-FR"/>
        </w:rPr>
        <w:t>ans le cadre de</w:t>
      </w:r>
      <w:r w:rsidR="002D4BBB" w:rsidRPr="001E3C8E">
        <w:rPr>
          <w:lang w:val="fr-FR"/>
        </w:rPr>
        <w:t xml:space="preserve"> réf</w:t>
      </w:r>
      <w:r w:rsidR="00EF0F3E" w:rsidRPr="001E3C8E">
        <w:rPr>
          <w:lang w:val="fr-FR"/>
        </w:rPr>
        <w:t>ormes économiques à moyen-terme</w:t>
      </w:r>
      <w:r w:rsidR="002D4BBB" w:rsidRPr="001E3C8E">
        <w:rPr>
          <w:lang w:val="fr-FR"/>
        </w:rPr>
        <w:t xml:space="preserve"> </w:t>
      </w:r>
      <w:r w:rsidR="00EF0F3E" w:rsidRPr="001E3C8E">
        <w:rPr>
          <w:lang w:val="fr-FR"/>
        </w:rPr>
        <w:t>lorsque</w:t>
      </w:r>
      <w:r w:rsidR="002D4BBB" w:rsidRPr="001E3C8E">
        <w:rPr>
          <w:lang w:val="fr-FR"/>
        </w:rPr>
        <w:t xml:space="preserve"> les mesures d’austérité risquent de se prolonger, devenant ainsi des processus </w:t>
      </w:r>
      <w:r w:rsidR="00EF0F3E" w:rsidRPr="001E3C8E">
        <w:rPr>
          <w:lang w:val="fr-FR"/>
        </w:rPr>
        <w:t>sur plusieurs années</w:t>
      </w:r>
      <w:r w:rsidR="00EA27CE" w:rsidRPr="001E3C8E">
        <w:rPr>
          <w:lang w:val="fr-FR"/>
        </w:rPr>
        <w:t xml:space="preserve"> qui dépassent les </w:t>
      </w:r>
      <w:r w:rsidR="00EF0F3E" w:rsidRPr="001E3C8E">
        <w:rPr>
          <w:lang w:val="fr-FR"/>
        </w:rPr>
        <w:t>mesures</w:t>
      </w:r>
      <w:r w:rsidR="00EA27CE" w:rsidRPr="001E3C8E">
        <w:rPr>
          <w:lang w:val="fr-FR"/>
        </w:rPr>
        <w:t xml:space="preserve"> immédiates et l</w:t>
      </w:r>
      <w:r w:rsidR="002D4BBB" w:rsidRPr="001E3C8E">
        <w:rPr>
          <w:lang w:val="fr-FR"/>
        </w:rPr>
        <w:t>es conséquences d’une crise économique et financière ; et (c) d</w:t>
      </w:r>
      <w:r w:rsidR="00EF0F3E" w:rsidRPr="001E3C8E">
        <w:rPr>
          <w:lang w:val="fr-FR"/>
        </w:rPr>
        <w:t>ans le cadre de</w:t>
      </w:r>
      <w:r w:rsidR="002D4BBB" w:rsidRPr="001E3C8E">
        <w:rPr>
          <w:lang w:val="fr-FR"/>
        </w:rPr>
        <w:t xml:space="preserve"> processus à plus long terme, comme l’accompagnement de </w:t>
      </w:r>
      <w:r w:rsidR="00EF0F3E" w:rsidRPr="001E3C8E">
        <w:rPr>
          <w:lang w:val="fr-FR"/>
        </w:rPr>
        <w:t>l’examen systématique du budget et de la répartition des crédits,</w:t>
      </w:r>
      <w:r w:rsidR="002D4BBB" w:rsidRPr="001E3C8E">
        <w:rPr>
          <w:lang w:val="fr-FR"/>
        </w:rPr>
        <w:t xml:space="preserve"> </w:t>
      </w:r>
      <w:r w:rsidR="00EA27CE" w:rsidRPr="001E3C8E">
        <w:rPr>
          <w:lang w:val="fr-FR"/>
        </w:rPr>
        <w:t>d</w:t>
      </w:r>
      <w:r w:rsidR="002D4BBB" w:rsidRPr="001E3C8E">
        <w:rPr>
          <w:lang w:val="fr-FR"/>
        </w:rPr>
        <w:t>es effets cumulatifs et à long terme de mesures de consolidation fisc</w:t>
      </w:r>
      <w:r w:rsidR="00EA27CE" w:rsidRPr="001E3C8E">
        <w:rPr>
          <w:lang w:val="fr-FR"/>
        </w:rPr>
        <w:t>ale sur les droits humains ou d</w:t>
      </w:r>
      <w:r w:rsidR="002D4BBB" w:rsidRPr="001E3C8E">
        <w:rPr>
          <w:lang w:val="fr-FR"/>
        </w:rPr>
        <w:t>es effets de r</w:t>
      </w:r>
      <w:r w:rsidR="00EA27CE" w:rsidRPr="001E3C8E">
        <w:rPr>
          <w:lang w:val="fr-FR"/>
        </w:rPr>
        <w:t>éformes du marché du travail.</w:t>
      </w:r>
    </w:p>
    <w:p w14:paraId="025CC0F5" w14:textId="7B1E4E1B" w:rsidR="003C37BF" w:rsidRPr="001E3C8E" w:rsidRDefault="00EA27CE" w:rsidP="00214169">
      <w:pPr>
        <w:pStyle w:val="ListParagraph"/>
        <w:numPr>
          <w:ilvl w:val="0"/>
          <w:numId w:val="14"/>
        </w:numPr>
        <w:rPr>
          <w:lang w:val="fr-FR"/>
        </w:rPr>
      </w:pPr>
      <w:r w:rsidRPr="001E3C8E">
        <w:rPr>
          <w:lang w:val="fr-FR"/>
        </w:rPr>
        <w:t>Les présents</w:t>
      </w:r>
      <w:r w:rsidR="00981C24" w:rsidRPr="001E3C8E">
        <w:rPr>
          <w:lang w:val="fr-FR"/>
        </w:rPr>
        <w:t xml:space="preserve"> prin</w:t>
      </w:r>
      <w:r w:rsidRPr="001E3C8E">
        <w:rPr>
          <w:lang w:val="fr-FR"/>
        </w:rPr>
        <w:t>cipes directeurs</w:t>
      </w:r>
      <w:r w:rsidR="00981C24" w:rsidRPr="001E3C8E">
        <w:rPr>
          <w:lang w:val="fr-FR"/>
        </w:rPr>
        <w:t xml:space="preserve"> se concentrent sur les politiques et processus que les </w:t>
      </w:r>
      <w:r w:rsidRPr="001E3C8E">
        <w:rPr>
          <w:lang w:val="fr-FR"/>
        </w:rPr>
        <w:t>États</w:t>
      </w:r>
      <w:r w:rsidR="00981C24" w:rsidRPr="001E3C8E">
        <w:rPr>
          <w:lang w:val="fr-FR"/>
        </w:rPr>
        <w:t xml:space="preserve"> mettent en place </w:t>
      </w:r>
      <w:r w:rsidR="00214169" w:rsidRPr="001E3C8E">
        <w:rPr>
          <w:lang w:val="fr-FR"/>
        </w:rPr>
        <w:t xml:space="preserve">immédiatement après une </w:t>
      </w:r>
      <w:r w:rsidR="00981C24" w:rsidRPr="001E3C8E">
        <w:rPr>
          <w:lang w:val="fr-FR"/>
        </w:rPr>
        <w:t>crise économique et financière</w:t>
      </w:r>
      <w:r w:rsidRPr="001E3C8E">
        <w:rPr>
          <w:lang w:val="fr-FR"/>
        </w:rPr>
        <w:t>. I</w:t>
      </w:r>
      <w:r w:rsidR="00981C24" w:rsidRPr="001E3C8E">
        <w:rPr>
          <w:lang w:val="fr-FR"/>
        </w:rPr>
        <w:t>l est</w:t>
      </w:r>
      <w:r w:rsidRPr="001E3C8E">
        <w:rPr>
          <w:lang w:val="fr-FR"/>
        </w:rPr>
        <w:t xml:space="preserve"> cependant</w:t>
      </w:r>
      <w:r w:rsidR="00981C24" w:rsidRPr="001E3C8E">
        <w:rPr>
          <w:lang w:val="fr-FR"/>
        </w:rPr>
        <w:t xml:space="preserve"> nécessaire de tenir compte</w:t>
      </w:r>
      <w:r w:rsidRPr="001E3C8E">
        <w:rPr>
          <w:lang w:val="fr-FR"/>
        </w:rPr>
        <w:t xml:space="preserve"> également</w:t>
      </w:r>
      <w:r w:rsidR="005B30A3" w:rsidRPr="001E3C8E">
        <w:rPr>
          <w:lang w:val="fr-FR"/>
        </w:rPr>
        <w:t xml:space="preserve"> des mesures prises</w:t>
      </w:r>
      <w:r w:rsidR="00981C24" w:rsidRPr="001E3C8E">
        <w:rPr>
          <w:lang w:val="fr-FR"/>
        </w:rPr>
        <w:t xml:space="preserve"> à moyen et long terme</w:t>
      </w:r>
      <w:r w:rsidR="005E30CB" w:rsidRPr="001E3C8E">
        <w:rPr>
          <w:lang w:val="fr-FR"/>
        </w:rPr>
        <w:t>, et plus particulièrement pendant des périodes économiques favorables,</w:t>
      </w:r>
      <w:r w:rsidR="00981C24" w:rsidRPr="001E3C8E">
        <w:rPr>
          <w:lang w:val="fr-FR"/>
        </w:rPr>
        <w:t xml:space="preserve"> </w:t>
      </w:r>
      <w:r w:rsidR="005B30A3" w:rsidRPr="001E3C8E">
        <w:rPr>
          <w:lang w:val="fr-FR"/>
        </w:rPr>
        <w:t xml:space="preserve">à des fins de résilience et de transformation </w:t>
      </w:r>
      <w:r w:rsidR="00981C24" w:rsidRPr="001E3C8E">
        <w:rPr>
          <w:lang w:val="fr-FR"/>
        </w:rPr>
        <w:t>pour la protection des droits humains,</w:t>
      </w:r>
      <w:r w:rsidR="005E30CB" w:rsidRPr="001E3C8E">
        <w:rPr>
          <w:lang w:val="fr-FR"/>
        </w:rPr>
        <w:t xml:space="preserve"> notamment la décision de contracter ou non des dettes</w:t>
      </w:r>
      <w:r w:rsidR="00981C24" w:rsidRPr="001E3C8E">
        <w:rPr>
          <w:lang w:val="fr-FR"/>
        </w:rPr>
        <w:t xml:space="preserve">. </w:t>
      </w:r>
      <w:r w:rsidR="00214169" w:rsidRPr="001E3C8E">
        <w:rPr>
          <w:lang w:val="fr-FR"/>
        </w:rPr>
        <w:t xml:space="preserve">Un endettement </w:t>
      </w:r>
      <w:r w:rsidR="00981C24" w:rsidRPr="001E3C8E">
        <w:rPr>
          <w:lang w:val="fr-FR"/>
        </w:rPr>
        <w:t xml:space="preserve">utilisé pour enrichir des élites économiques ou politiques peut </w:t>
      </w:r>
      <w:r w:rsidR="0025029F" w:rsidRPr="001E3C8E">
        <w:rPr>
          <w:lang w:val="fr-FR"/>
        </w:rPr>
        <w:t>compromettre</w:t>
      </w:r>
      <w:r w:rsidR="00981C24" w:rsidRPr="001E3C8E">
        <w:rPr>
          <w:lang w:val="fr-FR"/>
        </w:rPr>
        <w:t xml:space="preserve"> les droits humains, </w:t>
      </w:r>
      <w:r w:rsidR="00214169" w:rsidRPr="001E3C8E">
        <w:rPr>
          <w:lang w:val="fr-FR"/>
        </w:rPr>
        <w:t xml:space="preserve">et ce </w:t>
      </w:r>
      <w:r w:rsidR="00981C24" w:rsidRPr="001E3C8E">
        <w:rPr>
          <w:lang w:val="fr-FR"/>
        </w:rPr>
        <w:t xml:space="preserve">même dans le contexte de crises économiques ou financières. </w:t>
      </w:r>
      <w:r w:rsidR="00214169" w:rsidRPr="001E3C8E">
        <w:rPr>
          <w:lang w:val="fr-FR"/>
        </w:rPr>
        <w:t xml:space="preserve">Les faits ont montré l’importance de mesures porteuses de transformation, qui renforcent les politiques et les institutions de </w:t>
      </w:r>
      <w:r w:rsidR="00214169" w:rsidRPr="001E3C8E">
        <w:rPr>
          <w:lang w:val="fr-FR"/>
        </w:rPr>
        <w:lastRenderedPageBreak/>
        <w:t xml:space="preserve">telle sorte que le pays concerné et ses habitants, notamment les plus pauvres et les </w:t>
      </w:r>
      <w:r w:rsidR="00367029" w:rsidRPr="001E3C8E">
        <w:rPr>
          <w:lang w:val="fr-FR"/>
        </w:rPr>
        <w:t xml:space="preserve">autres individus ou groupes </w:t>
      </w:r>
      <w:r w:rsidR="00214169" w:rsidRPr="001E3C8E">
        <w:rPr>
          <w:lang w:val="fr-FR"/>
        </w:rPr>
        <w:t>affectés de manière disproportionnée par la consolidation fiscale et autres mesures d’austérité, puissent surmonter les chocs et récupérer rapidement après une crise économique et financière.</w:t>
      </w:r>
    </w:p>
    <w:p w14:paraId="73FD8E5F" w14:textId="77777777" w:rsidR="00214169" w:rsidRPr="001E3C8E" w:rsidRDefault="00214169" w:rsidP="00214169">
      <w:pPr>
        <w:rPr>
          <w:lang w:val="fr-FR"/>
        </w:rPr>
      </w:pPr>
    </w:p>
    <w:p w14:paraId="33779A25" w14:textId="54A760D0" w:rsidR="00981C24" w:rsidRPr="001E3C8E" w:rsidRDefault="00981C24" w:rsidP="00D741B8">
      <w:pPr>
        <w:pStyle w:val="Heading1"/>
        <w:numPr>
          <w:ilvl w:val="0"/>
          <w:numId w:val="27"/>
        </w:numPr>
        <w:rPr>
          <w:szCs w:val="24"/>
          <w:lang w:val="fr-FR"/>
        </w:rPr>
      </w:pPr>
      <w:bookmarkStart w:id="7" w:name="_Toc520982925"/>
      <w:bookmarkStart w:id="8" w:name="_Toc520989988"/>
      <w:bookmarkStart w:id="9" w:name="_Toc520991662"/>
      <w:bookmarkStart w:id="10" w:name="_Toc520993153"/>
      <w:bookmarkStart w:id="11" w:name="_Toc520982927"/>
      <w:bookmarkStart w:id="12" w:name="_Toc520989990"/>
      <w:bookmarkStart w:id="13" w:name="_Toc520991664"/>
      <w:bookmarkStart w:id="14" w:name="_Toc520993155"/>
      <w:bookmarkStart w:id="15" w:name="_Toc522789720"/>
      <w:bookmarkEnd w:id="5"/>
      <w:bookmarkEnd w:id="6"/>
      <w:bookmarkEnd w:id="7"/>
      <w:bookmarkEnd w:id="8"/>
      <w:bookmarkEnd w:id="9"/>
      <w:bookmarkEnd w:id="10"/>
      <w:bookmarkEnd w:id="11"/>
      <w:bookmarkEnd w:id="12"/>
      <w:bookmarkEnd w:id="13"/>
      <w:bookmarkEnd w:id="14"/>
      <w:r w:rsidRPr="001E3C8E">
        <w:rPr>
          <w:szCs w:val="24"/>
          <w:lang w:val="fr-FR"/>
        </w:rPr>
        <w:t>Obligation</w:t>
      </w:r>
      <w:r w:rsidR="00367029" w:rsidRPr="001E3C8E">
        <w:rPr>
          <w:szCs w:val="24"/>
          <w:lang w:val="fr-FR"/>
        </w:rPr>
        <w:t>s</w:t>
      </w:r>
      <w:r w:rsidRPr="001E3C8E">
        <w:rPr>
          <w:szCs w:val="24"/>
          <w:lang w:val="fr-FR"/>
        </w:rPr>
        <w:t xml:space="preserve"> des </w:t>
      </w:r>
      <w:r w:rsidR="00214169" w:rsidRPr="001E3C8E">
        <w:rPr>
          <w:szCs w:val="24"/>
          <w:lang w:val="fr-FR"/>
        </w:rPr>
        <w:t>États</w:t>
      </w:r>
      <w:r w:rsidRPr="001E3C8E">
        <w:rPr>
          <w:szCs w:val="24"/>
          <w:lang w:val="fr-FR"/>
        </w:rPr>
        <w:t xml:space="preserve"> en matière de politique</w:t>
      </w:r>
      <w:r w:rsidR="001B6860" w:rsidRPr="001E3C8E">
        <w:rPr>
          <w:szCs w:val="24"/>
          <w:lang w:val="fr-FR"/>
        </w:rPr>
        <w:t>s</w:t>
      </w:r>
      <w:r w:rsidRPr="001E3C8E">
        <w:rPr>
          <w:szCs w:val="24"/>
          <w:lang w:val="fr-FR"/>
        </w:rPr>
        <w:t xml:space="preserve"> économique</w:t>
      </w:r>
      <w:r w:rsidR="001B6860" w:rsidRPr="001E3C8E">
        <w:rPr>
          <w:szCs w:val="24"/>
          <w:lang w:val="fr-FR"/>
        </w:rPr>
        <w:t>s</w:t>
      </w:r>
      <w:r w:rsidRPr="001E3C8E">
        <w:rPr>
          <w:szCs w:val="24"/>
          <w:lang w:val="fr-FR"/>
        </w:rPr>
        <w:t xml:space="preserve"> et de droits humains</w:t>
      </w:r>
      <w:bookmarkEnd w:id="15"/>
    </w:p>
    <w:p w14:paraId="58E3A35E" w14:textId="77777777" w:rsidR="00F847CE" w:rsidRPr="001E3C8E" w:rsidRDefault="00F847CE" w:rsidP="00E27A1F">
      <w:pPr>
        <w:jc w:val="both"/>
        <w:rPr>
          <w:b/>
          <w:sz w:val="24"/>
          <w:szCs w:val="24"/>
          <w:lang w:val="fr-FR"/>
        </w:rPr>
      </w:pPr>
    </w:p>
    <w:p w14:paraId="134FAD77" w14:textId="76BC9508" w:rsidR="00981C24" w:rsidRPr="001E3C8E" w:rsidRDefault="00214169" w:rsidP="003B1333">
      <w:pPr>
        <w:pStyle w:val="BodyText"/>
        <w:rPr>
          <w:szCs w:val="24"/>
          <w:lang w:val="fr-FR"/>
        </w:rPr>
      </w:pPr>
      <w:r w:rsidRPr="001E3C8E">
        <w:rPr>
          <w:szCs w:val="24"/>
          <w:lang w:val="fr-FR"/>
        </w:rPr>
        <w:t>U</w:t>
      </w:r>
      <w:r w:rsidR="00981C24" w:rsidRPr="001E3C8E">
        <w:rPr>
          <w:szCs w:val="24"/>
          <w:lang w:val="fr-FR"/>
        </w:rPr>
        <w:t xml:space="preserve">n </w:t>
      </w:r>
      <w:r w:rsidRPr="001E3C8E">
        <w:rPr>
          <w:szCs w:val="24"/>
          <w:lang w:val="fr-FR"/>
        </w:rPr>
        <w:t>État</w:t>
      </w:r>
      <w:r w:rsidR="00981C24" w:rsidRPr="001E3C8E">
        <w:rPr>
          <w:szCs w:val="24"/>
          <w:lang w:val="fr-FR"/>
        </w:rPr>
        <w:t xml:space="preserve"> </w:t>
      </w:r>
      <w:r w:rsidRPr="001E3C8E">
        <w:rPr>
          <w:szCs w:val="24"/>
          <w:lang w:val="fr-FR"/>
        </w:rPr>
        <w:t xml:space="preserve">a pour fonction principale la gestion des </w:t>
      </w:r>
      <w:r w:rsidR="00981C24" w:rsidRPr="001E3C8E">
        <w:rPr>
          <w:szCs w:val="24"/>
          <w:lang w:val="fr-FR"/>
        </w:rPr>
        <w:t xml:space="preserve">affaires fiscales et </w:t>
      </w:r>
      <w:r w:rsidRPr="001E3C8E">
        <w:rPr>
          <w:szCs w:val="24"/>
          <w:lang w:val="fr-FR"/>
        </w:rPr>
        <w:t>l’adoption de politiques écon</w:t>
      </w:r>
      <w:r w:rsidR="00981C24" w:rsidRPr="001E3C8E">
        <w:rPr>
          <w:szCs w:val="24"/>
          <w:lang w:val="fr-FR"/>
        </w:rPr>
        <w:t xml:space="preserve">omiques </w:t>
      </w:r>
      <w:r w:rsidRPr="001E3C8E">
        <w:rPr>
          <w:szCs w:val="24"/>
          <w:lang w:val="fr-FR"/>
        </w:rPr>
        <w:t>permettant</w:t>
      </w:r>
      <w:r w:rsidR="00981C24" w:rsidRPr="001E3C8E">
        <w:rPr>
          <w:szCs w:val="24"/>
          <w:lang w:val="fr-FR"/>
        </w:rPr>
        <w:t xml:space="preserve"> de garantir que </w:t>
      </w:r>
      <w:r w:rsidRPr="001E3C8E">
        <w:rPr>
          <w:szCs w:val="24"/>
          <w:lang w:val="fr-FR"/>
        </w:rPr>
        <w:t>tous ses habitants pourront jouir de l</w:t>
      </w:r>
      <w:r w:rsidR="001B6860" w:rsidRPr="001E3C8E">
        <w:rPr>
          <w:szCs w:val="24"/>
          <w:lang w:val="fr-FR"/>
        </w:rPr>
        <w:t>’ensemble de l</w:t>
      </w:r>
      <w:r w:rsidRPr="001E3C8E">
        <w:rPr>
          <w:szCs w:val="24"/>
          <w:lang w:val="fr-FR"/>
        </w:rPr>
        <w:t xml:space="preserve">eurs </w:t>
      </w:r>
      <w:r w:rsidR="00981C24" w:rsidRPr="001E3C8E">
        <w:rPr>
          <w:szCs w:val="24"/>
          <w:lang w:val="fr-FR"/>
        </w:rPr>
        <w:t xml:space="preserve">droits humains sans discrimination. </w:t>
      </w:r>
      <w:r w:rsidRPr="001E3C8E">
        <w:rPr>
          <w:szCs w:val="24"/>
          <w:lang w:val="fr-FR"/>
        </w:rPr>
        <w:t>Les choix économiques d</w:t>
      </w:r>
      <w:r w:rsidR="00981C24" w:rsidRPr="001E3C8E">
        <w:rPr>
          <w:szCs w:val="24"/>
          <w:lang w:val="fr-FR"/>
        </w:rPr>
        <w:t xml:space="preserve">es </w:t>
      </w:r>
      <w:r w:rsidRPr="001E3C8E">
        <w:rPr>
          <w:szCs w:val="24"/>
          <w:lang w:val="fr-FR"/>
        </w:rPr>
        <w:t>États</w:t>
      </w:r>
      <w:r w:rsidR="00981C24" w:rsidRPr="001E3C8E">
        <w:rPr>
          <w:szCs w:val="24"/>
          <w:lang w:val="fr-FR"/>
        </w:rPr>
        <w:t>, qu’ils agissent seuls ou au sein d’institutions financières internationales, doivent être</w:t>
      </w:r>
      <w:r w:rsidR="0088616C" w:rsidRPr="001E3C8E">
        <w:rPr>
          <w:szCs w:val="24"/>
          <w:lang w:val="fr-FR"/>
        </w:rPr>
        <w:t xml:space="preserve"> à tout moment</w:t>
      </w:r>
      <w:r w:rsidR="00981C24" w:rsidRPr="001E3C8E">
        <w:rPr>
          <w:szCs w:val="24"/>
          <w:lang w:val="fr-FR"/>
        </w:rPr>
        <w:t xml:space="preserve"> </w:t>
      </w:r>
      <w:r w:rsidR="0088616C" w:rsidRPr="001E3C8E">
        <w:rPr>
          <w:szCs w:val="24"/>
          <w:lang w:val="fr-FR"/>
        </w:rPr>
        <w:t>en cohérence</w:t>
      </w:r>
      <w:r w:rsidR="00981C24" w:rsidRPr="001E3C8E">
        <w:rPr>
          <w:szCs w:val="24"/>
          <w:lang w:val="fr-FR"/>
        </w:rPr>
        <w:t xml:space="preserve"> avec leurs obligations internationales relatives aux droits humains, </w:t>
      </w:r>
      <w:r w:rsidR="0088616C" w:rsidRPr="001E3C8E">
        <w:rPr>
          <w:szCs w:val="24"/>
          <w:lang w:val="fr-FR"/>
        </w:rPr>
        <w:t xml:space="preserve">même </w:t>
      </w:r>
      <w:r w:rsidR="00981C24" w:rsidRPr="001E3C8E">
        <w:rPr>
          <w:szCs w:val="24"/>
          <w:lang w:val="fr-FR"/>
        </w:rPr>
        <w:t>lors de périodes de crise économique.</w:t>
      </w:r>
    </w:p>
    <w:p w14:paraId="2AEE3D79" w14:textId="77777777" w:rsidR="00C265AC" w:rsidRPr="001E3C8E" w:rsidRDefault="00C265AC" w:rsidP="00E27A1F">
      <w:pPr>
        <w:pStyle w:val="ListParagraph"/>
        <w:spacing w:before="0"/>
        <w:ind w:left="720"/>
        <w:rPr>
          <w:szCs w:val="24"/>
          <w:lang w:val="fr-FR"/>
        </w:rPr>
      </w:pPr>
    </w:p>
    <w:p w14:paraId="1131A99B" w14:textId="08651378" w:rsidR="00981C24" w:rsidRPr="001E3C8E" w:rsidRDefault="00981C24" w:rsidP="00E27A1F">
      <w:pPr>
        <w:pStyle w:val="ListParagraph"/>
        <w:spacing w:before="0"/>
        <w:ind w:left="720"/>
        <w:rPr>
          <w:i/>
          <w:szCs w:val="24"/>
          <w:lang w:val="fr-FR"/>
        </w:rPr>
      </w:pPr>
      <w:r w:rsidRPr="001E3C8E">
        <w:rPr>
          <w:i/>
          <w:szCs w:val="24"/>
          <w:lang w:val="fr-FR"/>
        </w:rPr>
        <w:t>Commentaire :</w:t>
      </w:r>
    </w:p>
    <w:p w14:paraId="6721BBBE" w14:textId="53208EB8" w:rsidR="00981C24" w:rsidRPr="001E3C8E" w:rsidRDefault="0088616C" w:rsidP="00430901">
      <w:pPr>
        <w:pStyle w:val="ListParagraph"/>
        <w:numPr>
          <w:ilvl w:val="0"/>
          <w:numId w:val="15"/>
        </w:numPr>
        <w:rPr>
          <w:lang w:val="fr-FR"/>
        </w:rPr>
      </w:pPr>
      <w:r w:rsidRPr="001E3C8E">
        <w:rPr>
          <w:lang w:val="fr-FR"/>
        </w:rPr>
        <w:t>L</w:t>
      </w:r>
      <w:r w:rsidR="00981C24" w:rsidRPr="001E3C8E">
        <w:rPr>
          <w:lang w:val="fr-FR"/>
        </w:rPr>
        <w:t xml:space="preserve">a protection de tous les droits humains en période de crise économique et financière nécessite des mesures </w:t>
      </w:r>
      <w:r w:rsidRPr="001E3C8E">
        <w:rPr>
          <w:lang w:val="fr-FR"/>
        </w:rPr>
        <w:t>préventives</w:t>
      </w:r>
      <w:r w:rsidR="00981C24" w:rsidRPr="001E3C8E">
        <w:rPr>
          <w:lang w:val="fr-FR"/>
        </w:rPr>
        <w:t xml:space="preserve"> </w:t>
      </w:r>
      <w:r w:rsidRPr="001E3C8E">
        <w:rPr>
          <w:lang w:val="fr-FR"/>
        </w:rPr>
        <w:t xml:space="preserve">permettant </w:t>
      </w:r>
      <w:r w:rsidR="00981C24" w:rsidRPr="001E3C8E">
        <w:rPr>
          <w:lang w:val="fr-FR"/>
        </w:rPr>
        <w:t xml:space="preserve">d’éviter les impacts négatifs sur les droits humains et </w:t>
      </w:r>
      <w:r w:rsidR="00C11A65" w:rsidRPr="001E3C8E">
        <w:rPr>
          <w:lang w:val="fr-FR"/>
        </w:rPr>
        <w:t xml:space="preserve">la mise en place de </w:t>
      </w:r>
      <w:r w:rsidRPr="001E3C8E">
        <w:rPr>
          <w:lang w:val="fr-FR"/>
        </w:rPr>
        <w:t>toute</w:t>
      </w:r>
      <w:r w:rsidR="00981C24" w:rsidRPr="001E3C8E">
        <w:rPr>
          <w:lang w:val="fr-FR"/>
        </w:rPr>
        <w:t xml:space="preserve"> mesure délibérément </w:t>
      </w:r>
      <w:r w:rsidR="00AB3F87" w:rsidRPr="001E3C8E">
        <w:rPr>
          <w:lang w:val="fr-FR"/>
        </w:rPr>
        <w:t>régressive</w:t>
      </w:r>
      <w:r w:rsidR="00981C24" w:rsidRPr="001E3C8E">
        <w:rPr>
          <w:lang w:val="fr-FR"/>
        </w:rPr>
        <w:t xml:space="preserve"> </w:t>
      </w:r>
      <w:r w:rsidRPr="001E3C8E">
        <w:rPr>
          <w:lang w:val="fr-FR"/>
        </w:rPr>
        <w:t>qui n’aurait pas fait l’objet d’un</w:t>
      </w:r>
      <w:r w:rsidR="005818C2" w:rsidRPr="00FC433F">
        <w:rPr>
          <w:lang w:val="fr-FR"/>
        </w:rPr>
        <w:t xml:space="preserve"> examen minutieux</w:t>
      </w:r>
      <w:r w:rsidRPr="001E3C8E">
        <w:rPr>
          <w:lang w:val="fr-FR"/>
        </w:rPr>
        <w:t xml:space="preserve"> et d’une justification.</w:t>
      </w:r>
      <w:r w:rsidR="00981C24" w:rsidRPr="001E3C8E">
        <w:rPr>
          <w:lang w:val="fr-FR"/>
        </w:rPr>
        <w:t xml:space="preserve"> Des mesures </w:t>
      </w:r>
      <w:r w:rsidRPr="001E3C8E">
        <w:rPr>
          <w:lang w:val="fr-FR"/>
        </w:rPr>
        <w:t>opportunes</w:t>
      </w:r>
      <w:r w:rsidR="00981C24" w:rsidRPr="001E3C8E">
        <w:rPr>
          <w:lang w:val="fr-FR"/>
        </w:rPr>
        <w:t xml:space="preserve">, efficaces et préventives </w:t>
      </w:r>
      <w:r w:rsidRPr="001E3C8E">
        <w:rPr>
          <w:lang w:val="fr-FR"/>
        </w:rPr>
        <w:t xml:space="preserve">sont </w:t>
      </w:r>
      <w:r w:rsidR="00981C24" w:rsidRPr="001E3C8E">
        <w:rPr>
          <w:lang w:val="fr-FR"/>
        </w:rPr>
        <w:t>cruciale</w:t>
      </w:r>
      <w:r w:rsidRPr="001E3C8E">
        <w:rPr>
          <w:lang w:val="fr-FR"/>
        </w:rPr>
        <w:t>s</w:t>
      </w:r>
      <w:r w:rsidR="00981C24" w:rsidRPr="001E3C8E">
        <w:rPr>
          <w:lang w:val="fr-FR"/>
        </w:rPr>
        <w:t xml:space="preserve"> pour garantir le respect des droits humains en période de crise.</w:t>
      </w:r>
    </w:p>
    <w:p w14:paraId="75AD21CA" w14:textId="20367447" w:rsidR="00981C24" w:rsidRPr="001E3C8E" w:rsidRDefault="00932F25" w:rsidP="00430901">
      <w:pPr>
        <w:pStyle w:val="ListParagraph"/>
        <w:numPr>
          <w:ilvl w:val="0"/>
          <w:numId w:val="15"/>
        </w:numPr>
        <w:rPr>
          <w:lang w:val="fr-FR"/>
        </w:rPr>
      </w:pPr>
      <w:r w:rsidRPr="001E3C8E">
        <w:rPr>
          <w:lang w:val="fr-FR"/>
        </w:rPr>
        <w:t xml:space="preserve">Lors </w:t>
      </w:r>
      <w:r w:rsidR="00981C24" w:rsidRPr="001E3C8E">
        <w:rPr>
          <w:lang w:val="fr-FR"/>
        </w:rPr>
        <w:t>de crise</w:t>
      </w:r>
      <w:r w:rsidRPr="001E3C8E">
        <w:rPr>
          <w:lang w:val="fr-FR"/>
        </w:rPr>
        <w:t>s</w:t>
      </w:r>
      <w:r w:rsidR="00981C24" w:rsidRPr="001E3C8E">
        <w:rPr>
          <w:lang w:val="fr-FR"/>
        </w:rPr>
        <w:t xml:space="preserve"> économique</w:t>
      </w:r>
      <w:r w:rsidRPr="001E3C8E">
        <w:rPr>
          <w:lang w:val="fr-FR"/>
        </w:rPr>
        <w:t>s</w:t>
      </w:r>
      <w:r w:rsidR="00981C24" w:rsidRPr="001E3C8E">
        <w:rPr>
          <w:lang w:val="fr-FR"/>
        </w:rPr>
        <w:t xml:space="preserve"> et financière</w:t>
      </w:r>
      <w:r w:rsidRPr="001E3C8E">
        <w:rPr>
          <w:lang w:val="fr-FR"/>
        </w:rPr>
        <w:t>s</w:t>
      </w:r>
      <w:r w:rsidR="00981C24" w:rsidRPr="001E3C8E">
        <w:rPr>
          <w:lang w:val="fr-FR"/>
        </w:rPr>
        <w:t xml:space="preserve">, les </w:t>
      </w:r>
      <w:r w:rsidR="00B572F6" w:rsidRPr="001E3C8E">
        <w:rPr>
          <w:lang w:val="fr-FR"/>
        </w:rPr>
        <w:t>États</w:t>
      </w:r>
      <w:r w:rsidR="00981C24" w:rsidRPr="001E3C8E">
        <w:rPr>
          <w:lang w:val="fr-FR"/>
        </w:rPr>
        <w:t xml:space="preserve"> ont tendance à se soustraire à leurs obligations </w:t>
      </w:r>
      <w:r w:rsidR="008C2E2A" w:rsidRPr="001E3C8E">
        <w:rPr>
          <w:lang w:val="fr-FR"/>
        </w:rPr>
        <w:t xml:space="preserve">en matière de </w:t>
      </w:r>
      <w:r w:rsidR="00981C24" w:rsidRPr="001E3C8E">
        <w:rPr>
          <w:lang w:val="fr-FR"/>
        </w:rPr>
        <w:t xml:space="preserve">droits humains. Cette approche est contre-intuitive, car c’est justement lors de </w:t>
      </w:r>
      <w:r w:rsidR="008C2E2A" w:rsidRPr="001E3C8E">
        <w:rPr>
          <w:lang w:val="fr-FR"/>
        </w:rPr>
        <w:t>ces périodes que la population (</w:t>
      </w:r>
      <w:r w:rsidR="00981C24" w:rsidRPr="001E3C8E">
        <w:rPr>
          <w:lang w:val="fr-FR"/>
        </w:rPr>
        <w:t xml:space="preserve">notamment les personnes </w:t>
      </w:r>
      <w:r w:rsidR="008C2E2A" w:rsidRPr="001E3C8E">
        <w:rPr>
          <w:lang w:val="fr-FR"/>
        </w:rPr>
        <w:t>marginalisées</w:t>
      </w:r>
      <w:r w:rsidR="00981C24" w:rsidRPr="001E3C8E">
        <w:rPr>
          <w:lang w:val="fr-FR"/>
        </w:rPr>
        <w:t>, vivant dans la pauvre</w:t>
      </w:r>
      <w:r w:rsidR="008C2E2A" w:rsidRPr="001E3C8E">
        <w:rPr>
          <w:lang w:val="fr-FR"/>
        </w:rPr>
        <w:t>té ou courant un risque accru d’y</w:t>
      </w:r>
      <w:r w:rsidR="00981C24" w:rsidRPr="001E3C8E">
        <w:rPr>
          <w:lang w:val="fr-FR"/>
        </w:rPr>
        <w:t xml:space="preserve"> tomber</w:t>
      </w:r>
      <w:r w:rsidR="008C2E2A" w:rsidRPr="001E3C8E">
        <w:rPr>
          <w:lang w:val="fr-FR"/>
        </w:rPr>
        <w:t xml:space="preserve">) </w:t>
      </w:r>
      <w:r w:rsidR="00981C24" w:rsidRPr="001E3C8E">
        <w:rPr>
          <w:lang w:val="fr-FR"/>
        </w:rPr>
        <w:t>ont le plus besoin que l’</w:t>
      </w:r>
      <w:r w:rsidR="008C2E2A" w:rsidRPr="001E3C8E">
        <w:rPr>
          <w:lang w:val="fr-FR"/>
        </w:rPr>
        <w:t>État</w:t>
      </w:r>
      <w:r w:rsidR="00981C24" w:rsidRPr="001E3C8E">
        <w:rPr>
          <w:lang w:val="fr-FR"/>
        </w:rPr>
        <w:t xml:space="preserve"> se </w:t>
      </w:r>
      <w:r w:rsidR="008C2E2A" w:rsidRPr="001E3C8E">
        <w:rPr>
          <w:lang w:val="fr-FR"/>
        </w:rPr>
        <w:t>conforme</w:t>
      </w:r>
      <w:r w:rsidR="00981C24" w:rsidRPr="001E3C8E">
        <w:rPr>
          <w:lang w:val="fr-FR"/>
        </w:rPr>
        <w:t xml:space="preserve"> à ses obligations de respecter, protéger et </w:t>
      </w:r>
      <w:r w:rsidR="008C2E2A" w:rsidRPr="001E3C8E">
        <w:rPr>
          <w:lang w:val="fr-FR"/>
        </w:rPr>
        <w:t>assurer l’exercice des droits humains.</w:t>
      </w:r>
      <w:r w:rsidR="008C2E2A" w:rsidRPr="001E3C8E">
        <w:rPr>
          <w:vertAlign w:val="superscript"/>
          <w:lang w:val="fr-FR"/>
        </w:rPr>
        <w:footnoteReference w:id="2"/>
      </w:r>
    </w:p>
    <w:p w14:paraId="3FD13431" w14:textId="6959B8E3" w:rsidR="00981C24" w:rsidRPr="001E3C8E" w:rsidRDefault="00981C24" w:rsidP="00430901">
      <w:pPr>
        <w:pStyle w:val="ListParagraph"/>
        <w:numPr>
          <w:ilvl w:val="0"/>
          <w:numId w:val="15"/>
        </w:numPr>
        <w:rPr>
          <w:lang w:val="fr-FR"/>
        </w:rPr>
      </w:pPr>
      <w:r w:rsidRPr="001E3C8E">
        <w:rPr>
          <w:lang w:val="fr-FR"/>
        </w:rPr>
        <w:t xml:space="preserve">Les </w:t>
      </w:r>
      <w:r w:rsidR="0096140F" w:rsidRPr="001E3C8E">
        <w:rPr>
          <w:lang w:val="fr-FR"/>
        </w:rPr>
        <w:t>États</w:t>
      </w:r>
      <w:r w:rsidRPr="001E3C8E">
        <w:rPr>
          <w:lang w:val="fr-FR"/>
        </w:rPr>
        <w:t xml:space="preserve"> sont responsables </w:t>
      </w:r>
      <w:r w:rsidR="0096140F" w:rsidRPr="001E3C8E">
        <w:rPr>
          <w:lang w:val="fr-FR"/>
        </w:rPr>
        <w:t xml:space="preserve">de </w:t>
      </w:r>
      <w:r w:rsidR="003B2959" w:rsidRPr="001E3C8E">
        <w:rPr>
          <w:lang w:val="fr-FR"/>
        </w:rPr>
        <w:t>l’étude</w:t>
      </w:r>
      <w:r w:rsidRPr="001E3C8E">
        <w:rPr>
          <w:lang w:val="fr-FR"/>
        </w:rPr>
        <w:t xml:space="preserve"> attenti</w:t>
      </w:r>
      <w:r w:rsidR="003B2959" w:rsidRPr="001E3C8E">
        <w:rPr>
          <w:lang w:val="fr-FR"/>
        </w:rPr>
        <w:t>ve</w:t>
      </w:r>
      <w:r w:rsidR="0096140F" w:rsidRPr="001E3C8E">
        <w:rPr>
          <w:lang w:val="fr-FR"/>
        </w:rPr>
        <w:t xml:space="preserve"> d</w:t>
      </w:r>
      <w:r w:rsidRPr="001E3C8E">
        <w:rPr>
          <w:lang w:val="fr-FR"/>
        </w:rPr>
        <w:t xml:space="preserve">es différentes options politiques </w:t>
      </w:r>
      <w:r w:rsidR="00232A7B" w:rsidRPr="001E3C8E">
        <w:rPr>
          <w:lang w:val="fr-FR"/>
        </w:rPr>
        <w:t xml:space="preserve">en </w:t>
      </w:r>
      <w:r w:rsidRPr="001E3C8E">
        <w:rPr>
          <w:lang w:val="fr-FR"/>
        </w:rPr>
        <w:t xml:space="preserve">réponse à la crise économique, et </w:t>
      </w:r>
      <w:r w:rsidR="003B2959" w:rsidRPr="001E3C8E">
        <w:rPr>
          <w:lang w:val="fr-FR"/>
        </w:rPr>
        <w:t>doivent</w:t>
      </w:r>
      <w:r w:rsidRPr="001E3C8E">
        <w:rPr>
          <w:lang w:val="fr-FR"/>
        </w:rPr>
        <w:t xml:space="preserve"> déterminer les mesures les </w:t>
      </w:r>
      <w:r w:rsidR="003B2959" w:rsidRPr="001E3C8E">
        <w:rPr>
          <w:lang w:val="fr-FR"/>
        </w:rPr>
        <w:t>mieux</w:t>
      </w:r>
      <w:r w:rsidRPr="001E3C8E">
        <w:rPr>
          <w:lang w:val="fr-FR"/>
        </w:rPr>
        <w:t xml:space="preserve"> </w:t>
      </w:r>
      <w:r w:rsidR="003B2959" w:rsidRPr="001E3C8E">
        <w:rPr>
          <w:lang w:val="fr-FR"/>
        </w:rPr>
        <w:t>adaptées</w:t>
      </w:r>
      <w:r w:rsidRPr="001E3C8E">
        <w:rPr>
          <w:lang w:val="fr-FR"/>
        </w:rPr>
        <w:t xml:space="preserve"> à la lumière des circonstances </w:t>
      </w:r>
      <w:r w:rsidR="00232A7B" w:rsidRPr="001E3C8E">
        <w:rPr>
          <w:lang w:val="fr-FR"/>
        </w:rPr>
        <w:t xml:space="preserve">ainsi que </w:t>
      </w:r>
      <w:r w:rsidRPr="001E3C8E">
        <w:rPr>
          <w:lang w:val="fr-FR"/>
        </w:rPr>
        <w:t xml:space="preserve">de leurs obligations internationales et nationales en matière de droits humains. Les </w:t>
      </w:r>
      <w:r w:rsidR="003B2959" w:rsidRPr="001E3C8E">
        <w:rPr>
          <w:lang w:val="fr-FR"/>
        </w:rPr>
        <w:t>États</w:t>
      </w:r>
      <w:r w:rsidRPr="001E3C8E">
        <w:rPr>
          <w:lang w:val="fr-FR"/>
        </w:rPr>
        <w:t xml:space="preserve"> doivent </w:t>
      </w:r>
      <w:r w:rsidR="003B2959" w:rsidRPr="001E3C8E">
        <w:rPr>
          <w:lang w:val="fr-FR"/>
        </w:rPr>
        <w:t>envisager</w:t>
      </w:r>
      <w:r w:rsidRPr="001E3C8E">
        <w:rPr>
          <w:lang w:val="fr-FR"/>
        </w:rPr>
        <w:t xml:space="preserve"> toutes les options pour </w:t>
      </w:r>
      <w:r w:rsidR="003B2959" w:rsidRPr="001E3C8E">
        <w:rPr>
          <w:lang w:val="fr-FR"/>
        </w:rPr>
        <w:t>réagir</w:t>
      </w:r>
      <w:r w:rsidRPr="001E3C8E">
        <w:rPr>
          <w:lang w:val="fr-FR"/>
        </w:rPr>
        <w:t xml:space="preserve"> </w:t>
      </w:r>
      <w:r w:rsidR="003B2959" w:rsidRPr="001E3C8E">
        <w:rPr>
          <w:lang w:val="fr-FR"/>
        </w:rPr>
        <w:t>adéquatement</w:t>
      </w:r>
      <w:r w:rsidR="000216EE" w:rsidRPr="001E3C8E">
        <w:rPr>
          <w:lang w:val="fr-FR"/>
        </w:rPr>
        <w:t xml:space="preserve"> à une crise, </w:t>
      </w:r>
      <w:r w:rsidR="00722C0D" w:rsidRPr="001E3C8E">
        <w:rPr>
          <w:lang w:val="fr-FR"/>
        </w:rPr>
        <w:t>notamment les alternatives aux mesures d’austérité et à la consolidation fiscale.</w:t>
      </w:r>
    </w:p>
    <w:p w14:paraId="7E262414" w14:textId="53AF7C42" w:rsidR="00722C0D" w:rsidRPr="001E3C8E" w:rsidRDefault="00722C0D" w:rsidP="00430901">
      <w:pPr>
        <w:pStyle w:val="ListParagraph"/>
        <w:numPr>
          <w:ilvl w:val="0"/>
          <w:numId w:val="15"/>
        </w:numPr>
        <w:rPr>
          <w:lang w:val="fr-FR"/>
        </w:rPr>
      </w:pPr>
      <w:r w:rsidRPr="001E3C8E">
        <w:rPr>
          <w:lang w:val="fr-FR"/>
        </w:rPr>
        <w:t xml:space="preserve">Les </w:t>
      </w:r>
      <w:r w:rsidR="00E0115A" w:rsidRPr="001E3C8E">
        <w:rPr>
          <w:lang w:val="fr-FR"/>
        </w:rPr>
        <w:t>États</w:t>
      </w:r>
      <w:r w:rsidRPr="001E3C8E">
        <w:rPr>
          <w:lang w:val="fr-FR"/>
        </w:rPr>
        <w:t xml:space="preserve"> </w:t>
      </w:r>
      <w:r w:rsidR="00124B23" w:rsidRPr="001E3C8E">
        <w:rPr>
          <w:lang w:val="fr-FR"/>
        </w:rPr>
        <w:t>doivent</w:t>
      </w:r>
      <w:r w:rsidRPr="001E3C8E">
        <w:rPr>
          <w:lang w:val="fr-FR"/>
        </w:rPr>
        <w:t xml:space="preserve"> </w:t>
      </w:r>
      <w:r w:rsidR="00124B23" w:rsidRPr="001E3C8E">
        <w:rPr>
          <w:lang w:val="fr-FR"/>
        </w:rPr>
        <w:t>envisager</w:t>
      </w:r>
      <w:r w:rsidR="00E0115A" w:rsidRPr="001E3C8E">
        <w:rPr>
          <w:lang w:val="fr-FR"/>
        </w:rPr>
        <w:t xml:space="preserve"> des politiques macroéconomiques anti</w:t>
      </w:r>
      <w:r w:rsidRPr="001E3C8E">
        <w:rPr>
          <w:lang w:val="fr-FR"/>
        </w:rPr>
        <w:t xml:space="preserve">cycliques qui tiennent compte des impacts sociaux des crises </w:t>
      </w:r>
      <w:r w:rsidR="00E0115A" w:rsidRPr="001E3C8E">
        <w:rPr>
          <w:lang w:val="fr-FR"/>
        </w:rPr>
        <w:t>é</w:t>
      </w:r>
      <w:r w:rsidRPr="001E3C8E">
        <w:rPr>
          <w:lang w:val="fr-FR"/>
        </w:rPr>
        <w:t>conomiques</w:t>
      </w:r>
      <w:r w:rsidR="00E0115A" w:rsidRPr="001E3C8E">
        <w:rPr>
          <w:lang w:val="fr-FR"/>
        </w:rPr>
        <w:t xml:space="preserve"> et financières</w:t>
      </w:r>
      <w:r w:rsidRPr="001E3C8E">
        <w:rPr>
          <w:lang w:val="fr-FR"/>
        </w:rPr>
        <w:t xml:space="preserve"> </w:t>
      </w:r>
      <w:r w:rsidR="00E0115A" w:rsidRPr="001E3C8E">
        <w:rPr>
          <w:lang w:val="fr-FR"/>
        </w:rPr>
        <w:t>et d</w:t>
      </w:r>
      <w:r w:rsidR="00521854" w:rsidRPr="001E3C8E">
        <w:rPr>
          <w:lang w:val="fr-FR"/>
        </w:rPr>
        <w:t xml:space="preserve">es ressources </w:t>
      </w:r>
      <w:r w:rsidR="00E0115A" w:rsidRPr="001E3C8E">
        <w:rPr>
          <w:lang w:val="fr-FR"/>
        </w:rPr>
        <w:t xml:space="preserve">nécessaires </w:t>
      </w:r>
      <w:r w:rsidR="00521854" w:rsidRPr="001E3C8E">
        <w:rPr>
          <w:lang w:val="fr-FR"/>
        </w:rPr>
        <w:t xml:space="preserve">pour les atténuer. </w:t>
      </w:r>
      <w:r w:rsidR="00E0115A" w:rsidRPr="001E3C8E">
        <w:rPr>
          <w:lang w:val="fr-FR"/>
        </w:rPr>
        <w:t>L</w:t>
      </w:r>
      <w:r w:rsidR="00521854" w:rsidRPr="001E3C8E">
        <w:rPr>
          <w:lang w:val="fr-FR"/>
        </w:rPr>
        <w:t>’investissement pu</w:t>
      </w:r>
      <w:r w:rsidR="00E0115A" w:rsidRPr="001E3C8E">
        <w:rPr>
          <w:lang w:val="fr-FR"/>
        </w:rPr>
        <w:t xml:space="preserve">blic dans l’économie domestique, par exemple, </w:t>
      </w:r>
      <w:r w:rsidR="00521854" w:rsidRPr="001E3C8E">
        <w:rPr>
          <w:lang w:val="fr-FR"/>
        </w:rPr>
        <w:t xml:space="preserve">permet d’améliorer les inégalités entre les </w:t>
      </w:r>
      <w:r w:rsidR="00E0115A" w:rsidRPr="001E3C8E">
        <w:rPr>
          <w:lang w:val="fr-FR"/>
        </w:rPr>
        <w:t>sexes</w:t>
      </w:r>
      <w:r w:rsidR="00521854" w:rsidRPr="001E3C8E">
        <w:rPr>
          <w:lang w:val="fr-FR"/>
        </w:rPr>
        <w:t xml:space="preserve"> mais </w:t>
      </w:r>
      <w:r w:rsidR="007B0FAE" w:rsidRPr="001E3C8E">
        <w:rPr>
          <w:lang w:val="fr-FR"/>
        </w:rPr>
        <w:t xml:space="preserve">aussi </w:t>
      </w:r>
      <w:r w:rsidR="007B0FAE" w:rsidRPr="001E3C8E">
        <w:rPr>
          <w:lang w:val="fr-FR"/>
        </w:rPr>
        <w:lastRenderedPageBreak/>
        <w:t xml:space="preserve">de </w:t>
      </w:r>
      <w:r w:rsidR="00015DB2" w:rsidRPr="001E3C8E">
        <w:rPr>
          <w:lang w:val="fr-FR"/>
        </w:rPr>
        <w:t>relancer l’économie en créant des emplois. En période de crise, le rôle de l’</w:t>
      </w:r>
      <w:r w:rsidR="007B0FAE" w:rsidRPr="001E3C8E">
        <w:rPr>
          <w:lang w:val="fr-FR"/>
        </w:rPr>
        <w:t>État</w:t>
      </w:r>
      <w:r w:rsidR="00015DB2" w:rsidRPr="001E3C8E">
        <w:rPr>
          <w:lang w:val="fr-FR"/>
        </w:rPr>
        <w:t xml:space="preserve"> dans la garantie des droits et la redistribution de</w:t>
      </w:r>
      <w:r w:rsidR="007B0FAE" w:rsidRPr="001E3C8E">
        <w:rPr>
          <w:lang w:val="fr-FR"/>
        </w:rPr>
        <w:t xml:space="preserve">s richesses </w:t>
      </w:r>
      <w:r w:rsidR="00015DB2" w:rsidRPr="001E3C8E">
        <w:rPr>
          <w:lang w:val="fr-FR"/>
        </w:rPr>
        <w:t>doit être renforcé.</w:t>
      </w:r>
    </w:p>
    <w:p w14:paraId="3B1AE6EE" w14:textId="3F468D6A" w:rsidR="00015DB2" w:rsidRPr="001E3C8E" w:rsidRDefault="00015DB2" w:rsidP="00430901">
      <w:pPr>
        <w:pStyle w:val="ListParagraph"/>
        <w:numPr>
          <w:ilvl w:val="0"/>
          <w:numId w:val="15"/>
        </w:numPr>
        <w:rPr>
          <w:lang w:val="fr-FR"/>
        </w:rPr>
      </w:pPr>
      <w:r w:rsidRPr="001E3C8E">
        <w:rPr>
          <w:lang w:val="fr-FR"/>
        </w:rPr>
        <w:t>Ces obligations s’appliquent à toutes les branches de l’</w:t>
      </w:r>
      <w:r w:rsidR="007B0FAE" w:rsidRPr="001E3C8E">
        <w:rPr>
          <w:lang w:val="fr-FR"/>
        </w:rPr>
        <w:t>État</w:t>
      </w:r>
      <w:r w:rsidRPr="001E3C8E">
        <w:rPr>
          <w:lang w:val="fr-FR"/>
        </w:rPr>
        <w:t xml:space="preserve"> (exécutif, judiciaire et législatif), et à tous les niveau</w:t>
      </w:r>
      <w:r w:rsidR="007B0FAE" w:rsidRPr="001E3C8E">
        <w:rPr>
          <w:lang w:val="fr-FR"/>
        </w:rPr>
        <w:t>x du gouvernement (national, infranational</w:t>
      </w:r>
      <w:r w:rsidRPr="001E3C8E">
        <w:rPr>
          <w:lang w:val="fr-FR"/>
        </w:rPr>
        <w:t xml:space="preserve"> et local)</w:t>
      </w:r>
    </w:p>
    <w:p w14:paraId="4FBC85AD" w14:textId="653940E3" w:rsidR="00015DB2" w:rsidRPr="001E3C8E" w:rsidRDefault="007B0FAE" w:rsidP="00430901">
      <w:pPr>
        <w:pStyle w:val="ListParagraph"/>
        <w:numPr>
          <w:ilvl w:val="0"/>
          <w:numId w:val="15"/>
        </w:numPr>
        <w:rPr>
          <w:lang w:val="fr-FR"/>
        </w:rPr>
      </w:pPr>
      <w:r w:rsidRPr="001E3C8E">
        <w:rPr>
          <w:lang w:val="fr-FR"/>
        </w:rPr>
        <w:t>La marge de manœuvre</w:t>
      </w:r>
      <w:r w:rsidR="00015DB2" w:rsidRPr="001E3C8E">
        <w:rPr>
          <w:lang w:val="fr-FR"/>
        </w:rPr>
        <w:t xml:space="preserve"> politique accordé</w:t>
      </w:r>
      <w:r w:rsidRPr="001E3C8E">
        <w:rPr>
          <w:lang w:val="fr-FR"/>
        </w:rPr>
        <w:t>e</w:t>
      </w:r>
      <w:r w:rsidR="00015DB2" w:rsidRPr="001E3C8E">
        <w:rPr>
          <w:lang w:val="fr-FR"/>
        </w:rPr>
        <w:t xml:space="preserve"> aux </w:t>
      </w:r>
      <w:r w:rsidRPr="001E3C8E">
        <w:rPr>
          <w:lang w:val="fr-FR"/>
        </w:rPr>
        <w:t>États</w:t>
      </w:r>
      <w:r w:rsidR="00015DB2" w:rsidRPr="001E3C8E">
        <w:rPr>
          <w:lang w:val="fr-FR"/>
        </w:rPr>
        <w:t xml:space="preserve"> pour remplir leurs obligations en matière</w:t>
      </w:r>
      <w:r w:rsidR="008A2147" w:rsidRPr="001E3C8E">
        <w:rPr>
          <w:lang w:val="fr-FR"/>
        </w:rPr>
        <w:t xml:space="preserve"> de droits humains –notamment à la lumière des flux de capitaux au niveau mondial –diffère significative</w:t>
      </w:r>
      <w:r w:rsidRPr="001E3C8E">
        <w:rPr>
          <w:lang w:val="fr-FR"/>
        </w:rPr>
        <w:t>ment</w:t>
      </w:r>
      <w:r w:rsidR="008A2147" w:rsidRPr="001E3C8E">
        <w:rPr>
          <w:lang w:val="fr-FR"/>
        </w:rPr>
        <w:t xml:space="preserve"> </w:t>
      </w:r>
      <w:r w:rsidRPr="001E3C8E">
        <w:rPr>
          <w:lang w:val="fr-FR"/>
        </w:rPr>
        <w:t>entre les pays. Les effo</w:t>
      </w:r>
      <w:r w:rsidR="008A2147" w:rsidRPr="001E3C8E">
        <w:rPr>
          <w:lang w:val="fr-FR"/>
        </w:rPr>
        <w:t xml:space="preserve">rts </w:t>
      </w:r>
      <w:r w:rsidRPr="001E3C8E">
        <w:rPr>
          <w:lang w:val="fr-FR"/>
        </w:rPr>
        <w:t>de coordination de la gestion des crises</w:t>
      </w:r>
      <w:r w:rsidR="008A2147" w:rsidRPr="001E3C8E">
        <w:rPr>
          <w:lang w:val="fr-FR"/>
        </w:rPr>
        <w:t xml:space="preserve"> sont</w:t>
      </w:r>
      <w:r w:rsidRPr="001E3C8E">
        <w:rPr>
          <w:lang w:val="fr-FR"/>
        </w:rPr>
        <w:t xml:space="preserve"> donc</w:t>
      </w:r>
      <w:r w:rsidR="008A2147" w:rsidRPr="001E3C8E">
        <w:rPr>
          <w:lang w:val="fr-FR"/>
        </w:rPr>
        <w:t xml:space="preserve"> cruciaux et permettent </w:t>
      </w:r>
      <w:r w:rsidRPr="001E3C8E">
        <w:rPr>
          <w:lang w:val="fr-FR"/>
        </w:rPr>
        <w:t xml:space="preserve">de mieux justifier </w:t>
      </w:r>
      <w:r w:rsidR="008A2147" w:rsidRPr="001E3C8E">
        <w:rPr>
          <w:lang w:val="fr-FR"/>
        </w:rPr>
        <w:t>l’importance de mesures préventives.</w:t>
      </w:r>
    </w:p>
    <w:p w14:paraId="42440E29" w14:textId="254B04EA" w:rsidR="008A2147" w:rsidRPr="001E3C8E" w:rsidRDefault="009F40C9" w:rsidP="00430901">
      <w:pPr>
        <w:pStyle w:val="ListParagraph"/>
        <w:numPr>
          <w:ilvl w:val="0"/>
          <w:numId w:val="15"/>
        </w:numPr>
        <w:rPr>
          <w:lang w:val="fr-FR"/>
        </w:rPr>
      </w:pPr>
      <w:r w:rsidRPr="001E3C8E">
        <w:rPr>
          <w:lang w:val="fr-FR"/>
        </w:rPr>
        <w:t>En matière de</w:t>
      </w:r>
      <w:r w:rsidR="008A2147" w:rsidRPr="001E3C8E">
        <w:rPr>
          <w:lang w:val="fr-FR"/>
        </w:rPr>
        <w:t xml:space="preserve"> droits économiques, sociaux et culturels, toute mesure </w:t>
      </w:r>
      <w:r w:rsidR="00AB3F87" w:rsidRPr="001E3C8E">
        <w:rPr>
          <w:lang w:val="fr-FR"/>
        </w:rPr>
        <w:t>régressive</w:t>
      </w:r>
      <w:r w:rsidR="008A2147" w:rsidRPr="001E3C8E">
        <w:rPr>
          <w:lang w:val="fr-FR"/>
        </w:rPr>
        <w:t xml:space="preserve"> </w:t>
      </w:r>
      <w:r w:rsidR="00606FE1" w:rsidRPr="001E3C8E">
        <w:rPr>
          <w:lang w:val="fr-FR"/>
        </w:rPr>
        <w:t>inadmissible</w:t>
      </w:r>
      <w:r w:rsidRPr="001E3C8E">
        <w:rPr>
          <w:lang w:val="fr-FR"/>
        </w:rPr>
        <w:t>,</w:t>
      </w:r>
      <w:r w:rsidR="00606FE1" w:rsidRPr="001E3C8E">
        <w:rPr>
          <w:lang w:val="fr-FR"/>
        </w:rPr>
        <w:t xml:space="preserve"> </w:t>
      </w:r>
      <w:r w:rsidR="007B0FAE" w:rsidRPr="001E3C8E">
        <w:rPr>
          <w:lang w:val="fr-FR"/>
        </w:rPr>
        <w:t xml:space="preserve">sans </w:t>
      </w:r>
      <w:r w:rsidR="005640B3" w:rsidRPr="00FC433F">
        <w:rPr>
          <w:lang w:val="fr-FR"/>
        </w:rPr>
        <w:t xml:space="preserve">avoir été soigneusement examinée </w:t>
      </w:r>
      <w:r w:rsidRPr="001E3C8E">
        <w:rPr>
          <w:lang w:val="fr-FR"/>
        </w:rPr>
        <w:t xml:space="preserve"> </w:t>
      </w:r>
      <w:r w:rsidR="007B0FAE" w:rsidRPr="001E3C8E">
        <w:rPr>
          <w:lang w:val="fr-FR"/>
        </w:rPr>
        <w:t xml:space="preserve"> justification</w:t>
      </w:r>
      <w:r w:rsidRPr="001E3C8E">
        <w:rPr>
          <w:lang w:val="fr-FR"/>
        </w:rPr>
        <w:t>,</w:t>
      </w:r>
      <w:r w:rsidR="007B0FAE" w:rsidRPr="001E3C8E">
        <w:rPr>
          <w:lang w:val="fr-FR"/>
        </w:rPr>
        <w:t xml:space="preserve"> </w:t>
      </w:r>
      <w:r w:rsidRPr="001E3C8E">
        <w:rPr>
          <w:lang w:val="fr-FR"/>
        </w:rPr>
        <w:t>doit être évitée.</w:t>
      </w:r>
      <w:r w:rsidR="00606FE1" w:rsidRPr="001E3C8E">
        <w:rPr>
          <w:lang w:val="fr-FR"/>
        </w:rPr>
        <w:t xml:space="preserve"> </w:t>
      </w:r>
      <w:r w:rsidRPr="001E3C8E">
        <w:rPr>
          <w:lang w:val="fr-FR"/>
        </w:rPr>
        <w:t>L</w:t>
      </w:r>
      <w:r w:rsidR="00606FE1" w:rsidRPr="001E3C8E">
        <w:rPr>
          <w:lang w:val="fr-FR"/>
        </w:rPr>
        <w:t>a soi-disant « contraction</w:t>
      </w:r>
      <w:r w:rsidR="007D4720" w:rsidRPr="001E3C8E">
        <w:rPr>
          <w:lang w:val="fr-FR"/>
        </w:rPr>
        <w:t xml:space="preserve"> expansionniste »</w:t>
      </w:r>
      <w:r w:rsidR="0038276B" w:rsidRPr="001E3C8E">
        <w:rPr>
          <w:lang w:val="fr-FR"/>
        </w:rPr>
        <w:t xml:space="preserve">, notamment, </w:t>
      </w:r>
      <w:r w:rsidR="007D4720" w:rsidRPr="001E3C8E">
        <w:rPr>
          <w:lang w:val="fr-FR"/>
        </w:rPr>
        <w:t xml:space="preserve"> ne mène pas nécessairement à une croissance éco</w:t>
      </w:r>
      <w:r w:rsidRPr="001E3C8E">
        <w:rPr>
          <w:lang w:val="fr-FR"/>
        </w:rPr>
        <w:t xml:space="preserve">nomique inclusive ou </w:t>
      </w:r>
      <w:r w:rsidR="00E27EC6" w:rsidRPr="001E3C8E">
        <w:rPr>
          <w:lang w:val="fr-FR"/>
        </w:rPr>
        <w:t>la réalisation progressive</w:t>
      </w:r>
      <w:r w:rsidR="007D4720" w:rsidRPr="001E3C8E">
        <w:rPr>
          <w:lang w:val="fr-FR"/>
        </w:rPr>
        <w:t xml:space="preserve"> des droits économiques, sociaux et culturels. Au contraire, </w:t>
      </w:r>
      <w:r w:rsidRPr="001E3C8E">
        <w:rPr>
          <w:lang w:val="fr-FR"/>
        </w:rPr>
        <w:t>l’expérience de certains pays</w:t>
      </w:r>
      <w:r w:rsidR="007D4720" w:rsidRPr="001E3C8E">
        <w:rPr>
          <w:lang w:val="fr-FR"/>
        </w:rPr>
        <w:t xml:space="preserve"> montre que l’austérité et la consolidation fiscale aggravent et prolongent les récessions tout en érodant la capacité des populations à </w:t>
      </w:r>
      <w:r w:rsidRPr="001E3C8E">
        <w:rPr>
          <w:lang w:val="fr-FR"/>
        </w:rPr>
        <w:t xml:space="preserve">jouir de </w:t>
      </w:r>
      <w:r w:rsidR="007D4720" w:rsidRPr="001E3C8E">
        <w:rPr>
          <w:lang w:val="fr-FR"/>
        </w:rPr>
        <w:t>leurs droits.</w:t>
      </w:r>
    </w:p>
    <w:p w14:paraId="5D097C24" w14:textId="33635659" w:rsidR="007D4720" w:rsidRPr="001E3C8E" w:rsidRDefault="00DC49EF" w:rsidP="00430901">
      <w:pPr>
        <w:pStyle w:val="ListParagraph"/>
        <w:numPr>
          <w:ilvl w:val="0"/>
          <w:numId w:val="15"/>
        </w:numPr>
        <w:rPr>
          <w:lang w:val="fr-FR"/>
        </w:rPr>
      </w:pPr>
      <w:r w:rsidRPr="001E3C8E">
        <w:rPr>
          <w:lang w:val="fr-FR"/>
        </w:rPr>
        <w:t xml:space="preserve">La constitutionnalisation nationale ou régionale des politiques de discipline fiscale ne devrait pas être interprétée comme </w:t>
      </w:r>
      <w:r w:rsidR="009F40C9" w:rsidRPr="001E3C8E">
        <w:rPr>
          <w:lang w:val="fr-FR"/>
        </w:rPr>
        <w:t xml:space="preserve">étant hiérarchiquement </w:t>
      </w:r>
      <w:r w:rsidRPr="001E3C8E">
        <w:rPr>
          <w:lang w:val="fr-FR"/>
        </w:rPr>
        <w:t xml:space="preserve">supérieure </w:t>
      </w:r>
      <w:r w:rsidR="004E29E3" w:rsidRPr="001E3C8E">
        <w:rPr>
          <w:lang w:val="fr-FR"/>
        </w:rPr>
        <w:t xml:space="preserve">aux obligations internationales </w:t>
      </w:r>
      <w:r w:rsidR="009F40C9" w:rsidRPr="001E3C8E">
        <w:rPr>
          <w:lang w:val="fr-FR"/>
        </w:rPr>
        <w:t>en matière de</w:t>
      </w:r>
      <w:r w:rsidR="004E29E3" w:rsidRPr="001E3C8E">
        <w:rPr>
          <w:lang w:val="fr-FR"/>
        </w:rPr>
        <w:t xml:space="preserve"> droits humains.</w:t>
      </w:r>
    </w:p>
    <w:p w14:paraId="4ADCCFF0" w14:textId="0AAF0FDD" w:rsidR="004E29E3" w:rsidRPr="001E3C8E" w:rsidRDefault="004E29E3" w:rsidP="00430901">
      <w:pPr>
        <w:pStyle w:val="ListParagraph"/>
        <w:numPr>
          <w:ilvl w:val="0"/>
          <w:numId w:val="15"/>
        </w:numPr>
        <w:rPr>
          <w:lang w:val="fr-FR"/>
        </w:rPr>
      </w:pPr>
      <w:r w:rsidRPr="001E3C8E">
        <w:rPr>
          <w:lang w:val="fr-FR"/>
        </w:rPr>
        <w:t xml:space="preserve">Les </w:t>
      </w:r>
      <w:r w:rsidR="009F40C9" w:rsidRPr="001E3C8E">
        <w:rPr>
          <w:lang w:val="fr-FR"/>
        </w:rPr>
        <w:t>États</w:t>
      </w:r>
      <w:r w:rsidRPr="001E3C8E">
        <w:rPr>
          <w:lang w:val="fr-FR"/>
        </w:rPr>
        <w:t xml:space="preserve"> doivent </w:t>
      </w:r>
      <w:r w:rsidR="006D58FE" w:rsidRPr="001E3C8E">
        <w:rPr>
          <w:lang w:val="fr-FR"/>
        </w:rPr>
        <w:t>réglementer le fonctionnement des institutions financières dans</w:t>
      </w:r>
      <w:r w:rsidRPr="001E3C8E">
        <w:rPr>
          <w:lang w:val="fr-FR"/>
        </w:rPr>
        <w:t xml:space="preserve"> leur</w:t>
      </w:r>
      <w:r w:rsidR="009F40C9" w:rsidRPr="001E3C8E">
        <w:rPr>
          <w:lang w:val="fr-FR"/>
        </w:rPr>
        <w:t>s</w:t>
      </w:r>
      <w:r w:rsidRPr="001E3C8E">
        <w:rPr>
          <w:lang w:val="fr-FR"/>
        </w:rPr>
        <w:t xml:space="preserve"> juridictions</w:t>
      </w:r>
      <w:r w:rsidR="006D58FE" w:rsidRPr="001E3C8E">
        <w:rPr>
          <w:lang w:val="fr-FR"/>
        </w:rPr>
        <w:t xml:space="preserve"> respectives, conformément à leurs obligations en matière de droits humains</w:t>
      </w:r>
      <w:r w:rsidRPr="001E3C8E">
        <w:rPr>
          <w:lang w:val="fr-FR"/>
        </w:rPr>
        <w:t>.</w:t>
      </w:r>
    </w:p>
    <w:p w14:paraId="1296BE9A" w14:textId="77777777" w:rsidR="008C66E4" w:rsidRPr="001E3C8E" w:rsidRDefault="008C66E4" w:rsidP="00A57656">
      <w:pPr>
        <w:pStyle w:val="ListParagraph"/>
        <w:rPr>
          <w:szCs w:val="24"/>
          <w:lang w:val="fr-FR"/>
        </w:rPr>
      </w:pPr>
    </w:p>
    <w:p w14:paraId="04525CF5" w14:textId="21D53AF1" w:rsidR="004E29E3" w:rsidRPr="001E3C8E" w:rsidRDefault="004E29E3" w:rsidP="00D741B8">
      <w:pPr>
        <w:pStyle w:val="Heading1"/>
        <w:numPr>
          <w:ilvl w:val="0"/>
          <w:numId w:val="27"/>
        </w:numPr>
        <w:rPr>
          <w:szCs w:val="24"/>
          <w:lang w:val="fr-FR"/>
        </w:rPr>
      </w:pPr>
      <w:bookmarkStart w:id="16" w:name="_Toc522789721"/>
      <w:r w:rsidRPr="001E3C8E">
        <w:rPr>
          <w:szCs w:val="24"/>
          <w:lang w:val="fr-FR"/>
        </w:rPr>
        <w:t>Obli</w:t>
      </w:r>
      <w:r w:rsidR="009F40C9" w:rsidRPr="001E3C8E">
        <w:rPr>
          <w:szCs w:val="24"/>
          <w:lang w:val="fr-FR"/>
        </w:rPr>
        <w:t xml:space="preserve">gations des niveaux </w:t>
      </w:r>
      <w:r w:rsidR="002C4373" w:rsidRPr="001E3C8E">
        <w:rPr>
          <w:szCs w:val="24"/>
          <w:lang w:val="fr-FR"/>
        </w:rPr>
        <w:t xml:space="preserve">local et infranational </w:t>
      </w:r>
      <w:r w:rsidR="00E831BA" w:rsidRPr="001E3C8E">
        <w:rPr>
          <w:szCs w:val="24"/>
          <w:lang w:val="fr-FR"/>
        </w:rPr>
        <w:t>du</w:t>
      </w:r>
      <w:r w:rsidR="009F40C9" w:rsidRPr="001E3C8E">
        <w:rPr>
          <w:szCs w:val="24"/>
          <w:lang w:val="fr-FR"/>
        </w:rPr>
        <w:t xml:space="preserve"> gouvernement</w:t>
      </w:r>
      <w:bookmarkEnd w:id="16"/>
    </w:p>
    <w:p w14:paraId="122497CA" w14:textId="77777777" w:rsidR="008C66E4" w:rsidRPr="001E3C8E" w:rsidRDefault="008C66E4" w:rsidP="00D37712">
      <w:pPr>
        <w:rPr>
          <w:szCs w:val="24"/>
          <w:lang w:val="fr-FR"/>
        </w:rPr>
      </w:pPr>
    </w:p>
    <w:p w14:paraId="2D073972" w14:textId="7A922F0F" w:rsidR="004E29E3" w:rsidRPr="001E3C8E" w:rsidRDefault="004E29E3" w:rsidP="00D37712">
      <w:pPr>
        <w:pStyle w:val="BodyText"/>
        <w:rPr>
          <w:szCs w:val="24"/>
          <w:lang w:val="fr-FR"/>
        </w:rPr>
      </w:pPr>
      <w:r w:rsidRPr="001E3C8E">
        <w:rPr>
          <w:szCs w:val="24"/>
          <w:lang w:val="fr-FR"/>
        </w:rPr>
        <w:t xml:space="preserve">Les crises économiques et financières ne devraient pas </w:t>
      </w:r>
      <w:r w:rsidR="00642C09" w:rsidRPr="001E3C8E">
        <w:rPr>
          <w:szCs w:val="24"/>
          <w:lang w:val="fr-FR"/>
        </w:rPr>
        <w:t>servir de</w:t>
      </w:r>
      <w:r w:rsidRPr="001E3C8E">
        <w:rPr>
          <w:szCs w:val="24"/>
          <w:lang w:val="fr-FR"/>
        </w:rPr>
        <w:t xml:space="preserve"> prétexte </w:t>
      </w:r>
      <w:r w:rsidR="00642C09" w:rsidRPr="001E3C8E">
        <w:rPr>
          <w:szCs w:val="24"/>
          <w:lang w:val="fr-FR"/>
        </w:rPr>
        <w:t xml:space="preserve">à une réduction de </w:t>
      </w:r>
      <w:r w:rsidRPr="001E3C8E">
        <w:rPr>
          <w:szCs w:val="24"/>
          <w:lang w:val="fr-FR"/>
        </w:rPr>
        <w:t xml:space="preserve">l’espace politique nécessaire pour </w:t>
      </w:r>
      <w:r w:rsidR="00642C09" w:rsidRPr="001E3C8E">
        <w:rPr>
          <w:szCs w:val="24"/>
          <w:lang w:val="fr-FR"/>
        </w:rPr>
        <w:t xml:space="preserve">permettre aux </w:t>
      </w:r>
      <w:r w:rsidRPr="001E3C8E">
        <w:rPr>
          <w:szCs w:val="24"/>
          <w:lang w:val="fr-FR"/>
        </w:rPr>
        <w:t xml:space="preserve">niveaux local et </w:t>
      </w:r>
      <w:r w:rsidR="00E17F8E" w:rsidRPr="001E3C8E">
        <w:rPr>
          <w:szCs w:val="24"/>
          <w:lang w:val="fr-FR"/>
        </w:rPr>
        <w:t>infra</w:t>
      </w:r>
      <w:r w:rsidRPr="001E3C8E">
        <w:rPr>
          <w:szCs w:val="24"/>
          <w:lang w:val="fr-FR"/>
        </w:rPr>
        <w:t>national du gouvernement de protéger les droits humains. Différents niveaux d</w:t>
      </w:r>
      <w:r w:rsidR="008C1F97" w:rsidRPr="001E3C8E">
        <w:rPr>
          <w:szCs w:val="24"/>
          <w:lang w:val="fr-FR"/>
        </w:rPr>
        <w:t>u</w:t>
      </w:r>
      <w:r w:rsidRPr="001E3C8E">
        <w:rPr>
          <w:szCs w:val="24"/>
          <w:lang w:val="fr-FR"/>
        </w:rPr>
        <w:t xml:space="preserve"> gouvernement</w:t>
      </w:r>
      <w:r w:rsidR="00642C09" w:rsidRPr="001E3C8E">
        <w:rPr>
          <w:szCs w:val="24"/>
          <w:lang w:val="fr-FR"/>
        </w:rPr>
        <w:t xml:space="preserve"> – local o</w:t>
      </w:r>
      <w:r w:rsidRPr="001E3C8E">
        <w:rPr>
          <w:szCs w:val="24"/>
          <w:lang w:val="fr-FR"/>
        </w:rPr>
        <w:t xml:space="preserve">u </w:t>
      </w:r>
      <w:r w:rsidR="00E17F8E" w:rsidRPr="001E3C8E">
        <w:rPr>
          <w:szCs w:val="24"/>
          <w:lang w:val="fr-FR"/>
        </w:rPr>
        <w:t>infranational—doivent s’assurer que les mesures économiques adoptées au sein de leurs juridictions</w:t>
      </w:r>
      <w:r w:rsidR="00642C09" w:rsidRPr="001E3C8E">
        <w:rPr>
          <w:szCs w:val="24"/>
          <w:lang w:val="fr-FR"/>
        </w:rPr>
        <w:t>,</w:t>
      </w:r>
      <w:r w:rsidR="00E17F8E" w:rsidRPr="001E3C8E">
        <w:rPr>
          <w:szCs w:val="24"/>
          <w:lang w:val="fr-FR"/>
        </w:rPr>
        <w:t xml:space="preserve"> ou qui leur sont imposées par le Gouvernement</w:t>
      </w:r>
      <w:r w:rsidR="00642C09" w:rsidRPr="001E3C8E">
        <w:rPr>
          <w:szCs w:val="24"/>
          <w:lang w:val="fr-FR"/>
        </w:rPr>
        <w:t xml:space="preserve"> central</w:t>
      </w:r>
      <w:r w:rsidR="00E17F8E" w:rsidRPr="001E3C8E">
        <w:rPr>
          <w:szCs w:val="24"/>
          <w:lang w:val="fr-FR"/>
        </w:rPr>
        <w:t xml:space="preserve"> ou des institutions financières internationales</w:t>
      </w:r>
      <w:r w:rsidR="008C1F97" w:rsidRPr="001E3C8E">
        <w:rPr>
          <w:szCs w:val="24"/>
          <w:lang w:val="fr-FR"/>
        </w:rPr>
        <w:t>,</w:t>
      </w:r>
      <w:r w:rsidR="00E17F8E" w:rsidRPr="001E3C8E">
        <w:rPr>
          <w:szCs w:val="24"/>
          <w:lang w:val="fr-FR"/>
        </w:rPr>
        <w:t xml:space="preserve"> sont en conformité avec les obligations et normes internationales relatives aux droits humains.</w:t>
      </w:r>
    </w:p>
    <w:p w14:paraId="6BD27DB7" w14:textId="77777777" w:rsidR="006114AA" w:rsidRPr="001E3C8E" w:rsidRDefault="006114AA" w:rsidP="00D37712">
      <w:pPr>
        <w:pStyle w:val="BodyText"/>
        <w:rPr>
          <w:szCs w:val="24"/>
          <w:lang w:val="fr-FR"/>
        </w:rPr>
      </w:pPr>
    </w:p>
    <w:p w14:paraId="052DB89D" w14:textId="00DCFB3D" w:rsidR="006114AA" w:rsidRPr="001E3C8E" w:rsidRDefault="006114AA" w:rsidP="00D37712">
      <w:pPr>
        <w:pStyle w:val="BodyText"/>
        <w:rPr>
          <w:szCs w:val="24"/>
          <w:lang w:val="fr-FR"/>
        </w:rPr>
      </w:pPr>
      <w:r w:rsidRPr="001E3C8E">
        <w:rPr>
          <w:szCs w:val="24"/>
          <w:lang w:val="fr-FR"/>
        </w:rPr>
        <w:tab/>
      </w:r>
      <w:r w:rsidRPr="00FC433F">
        <w:rPr>
          <w:b w:val="0"/>
          <w:i/>
          <w:szCs w:val="24"/>
          <w:lang w:val="fr-FR"/>
        </w:rPr>
        <w:t>Commentaire</w:t>
      </w:r>
      <w:r w:rsidRPr="001E3C8E">
        <w:rPr>
          <w:szCs w:val="24"/>
          <w:lang w:val="fr-FR"/>
        </w:rPr>
        <w:t> :</w:t>
      </w:r>
    </w:p>
    <w:p w14:paraId="55EB6087" w14:textId="31C21ACD" w:rsidR="00E17F8E" w:rsidRPr="001E3C8E" w:rsidRDefault="00E17F8E" w:rsidP="00430901">
      <w:pPr>
        <w:pStyle w:val="ListParagraph"/>
        <w:numPr>
          <w:ilvl w:val="0"/>
          <w:numId w:val="9"/>
        </w:numPr>
        <w:rPr>
          <w:szCs w:val="24"/>
          <w:lang w:val="fr-FR"/>
        </w:rPr>
      </w:pPr>
      <w:r w:rsidRPr="001E3C8E">
        <w:rPr>
          <w:szCs w:val="24"/>
          <w:lang w:val="fr-FR"/>
        </w:rPr>
        <w:t xml:space="preserve">La mise en </w:t>
      </w:r>
      <w:r w:rsidR="00642C09" w:rsidRPr="001E3C8E">
        <w:rPr>
          <w:szCs w:val="24"/>
          <w:lang w:val="fr-FR"/>
        </w:rPr>
        <w:t>œuvre</w:t>
      </w:r>
      <w:r w:rsidRPr="001E3C8E">
        <w:rPr>
          <w:szCs w:val="24"/>
          <w:lang w:val="fr-FR"/>
        </w:rPr>
        <w:t xml:space="preserve"> effective des droits humains ne peut pas être garantie sans </w:t>
      </w:r>
      <w:r w:rsidR="00642C09" w:rsidRPr="001E3C8E">
        <w:rPr>
          <w:szCs w:val="24"/>
          <w:lang w:val="fr-FR"/>
        </w:rPr>
        <w:t>un engagement proactif</w:t>
      </w:r>
      <w:r w:rsidRPr="001E3C8E">
        <w:rPr>
          <w:szCs w:val="24"/>
          <w:lang w:val="fr-FR"/>
        </w:rPr>
        <w:t xml:space="preserve"> de</w:t>
      </w:r>
      <w:r w:rsidR="00642C09" w:rsidRPr="001E3C8E">
        <w:rPr>
          <w:szCs w:val="24"/>
          <w:lang w:val="fr-FR"/>
        </w:rPr>
        <w:t xml:space="preserve"> la part des</w:t>
      </w:r>
      <w:r w:rsidRPr="001E3C8E">
        <w:rPr>
          <w:szCs w:val="24"/>
          <w:lang w:val="fr-FR"/>
        </w:rPr>
        <w:t xml:space="preserve"> gouvernements locaux et infranationaux. Le droit international </w:t>
      </w:r>
      <w:r w:rsidR="00642C09" w:rsidRPr="001E3C8E">
        <w:rPr>
          <w:szCs w:val="24"/>
          <w:lang w:val="fr-FR"/>
        </w:rPr>
        <w:t xml:space="preserve">des </w:t>
      </w:r>
      <w:r w:rsidRPr="001E3C8E">
        <w:rPr>
          <w:szCs w:val="24"/>
          <w:lang w:val="fr-FR"/>
        </w:rPr>
        <w:t xml:space="preserve">droits humains s’applique à tous les niveaux du gouvernement, et est particulièrement pertinent </w:t>
      </w:r>
      <w:r w:rsidR="003F2C3B" w:rsidRPr="001E3C8E">
        <w:rPr>
          <w:szCs w:val="24"/>
          <w:lang w:val="fr-FR"/>
        </w:rPr>
        <w:t>lorsqu’il s’agit de tenir compte de</w:t>
      </w:r>
      <w:r w:rsidR="00642C09" w:rsidRPr="001E3C8E">
        <w:rPr>
          <w:szCs w:val="24"/>
          <w:lang w:val="fr-FR"/>
        </w:rPr>
        <w:t xml:space="preserve"> </w:t>
      </w:r>
      <w:r w:rsidR="003F2C3B" w:rsidRPr="001E3C8E">
        <w:rPr>
          <w:szCs w:val="24"/>
          <w:lang w:val="fr-FR"/>
        </w:rPr>
        <w:t>l</w:t>
      </w:r>
      <w:r w:rsidR="00642C09" w:rsidRPr="001E3C8E">
        <w:rPr>
          <w:szCs w:val="24"/>
          <w:lang w:val="fr-FR"/>
        </w:rPr>
        <w:t>’</w:t>
      </w:r>
      <w:r w:rsidR="00A904F5" w:rsidRPr="001E3C8E">
        <w:rPr>
          <w:szCs w:val="24"/>
          <w:lang w:val="fr-FR"/>
        </w:rPr>
        <w:t>urbanisation rapide</w:t>
      </w:r>
      <w:r w:rsidR="003F2C3B" w:rsidRPr="001E3C8E">
        <w:rPr>
          <w:szCs w:val="24"/>
          <w:lang w:val="fr-FR"/>
        </w:rPr>
        <w:t xml:space="preserve">, </w:t>
      </w:r>
      <w:r w:rsidR="008C1F97" w:rsidRPr="001E3C8E">
        <w:rPr>
          <w:szCs w:val="24"/>
          <w:lang w:val="fr-FR"/>
        </w:rPr>
        <w:t xml:space="preserve">de l’existence de </w:t>
      </w:r>
      <w:r w:rsidRPr="001E3C8E">
        <w:rPr>
          <w:szCs w:val="24"/>
          <w:lang w:val="fr-FR"/>
        </w:rPr>
        <w:t xml:space="preserve">mégalopoles ou </w:t>
      </w:r>
      <w:r w:rsidR="008C1F97" w:rsidRPr="001E3C8E">
        <w:rPr>
          <w:szCs w:val="24"/>
          <w:lang w:val="fr-FR"/>
        </w:rPr>
        <w:t xml:space="preserve">de </w:t>
      </w:r>
      <w:r w:rsidRPr="001E3C8E">
        <w:rPr>
          <w:szCs w:val="24"/>
          <w:lang w:val="fr-FR"/>
        </w:rPr>
        <w:t xml:space="preserve">grandes villes, </w:t>
      </w:r>
      <w:r w:rsidR="003F2C3B" w:rsidRPr="001E3C8E">
        <w:rPr>
          <w:szCs w:val="24"/>
          <w:lang w:val="fr-FR"/>
        </w:rPr>
        <w:t>ou du processus</w:t>
      </w:r>
      <w:r w:rsidRPr="001E3C8E">
        <w:rPr>
          <w:szCs w:val="24"/>
          <w:lang w:val="fr-FR"/>
        </w:rPr>
        <w:t xml:space="preserve"> de décentralisation </w:t>
      </w:r>
      <w:r w:rsidR="003F2C3B" w:rsidRPr="001E3C8E">
        <w:rPr>
          <w:szCs w:val="24"/>
          <w:lang w:val="fr-FR"/>
        </w:rPr>
        <w:t xml:space="preserve">à grande échelle </w:t>
      </w:r>
      <w:r w:rsidRPr="001E3C8E">
        <w:rPr>
          <w:szCs w:val="24"/>
          <w:lang w:val="fr-FR"/>
        </w:rPr>
        <w:t>dans le monde au cours des dernières décennies</w:t>
      </w:r>
      <w:r w:rsidR="001F5180" w:rsidRPr="001E3C8E">
        <w:rPr>
          <w:szCs w:val="24"/>
          <w:lang w:val="fr-FR"/>
        </w:rPr>
        <w:t xml:space="preserve">. Les réformes </w:t>
      </w:r>
      <w:r w:rsidR="001F5180" w:rsidRPr="001E3C8E">
        <w:rPr>
          <w:szCs w:val="24"/>
          <w:lang w:val="fr-FR"/>
        </w:rPr>
        <w:lastRenderedPageBreak/>
        <w:t xml:space="preserve">économiques au niveau central </w:t>
      </w:r>
      <w:r w:rsidR="003F2C3B" w:rsidRPr="001E3C8E">
        <w:rPr>
          <w:szCs w:val="24"/>
          <w:lang w:val="fr-FR"/>
        </w:rPr>
        <w:t>doivent</w:t>
      </w:r>
      <w:r w:rsidR="001F5180" w:rsidRPr="001E3C8E">
        <w:rPr>
          <w:szCs w:val="24"/>
          <w:lang w:val="fr-FR"/>
        </w:rPr>
        <w:t xml:space="preserve"> également tenir compte des responsabilités </w:t>
      </w:r>
      <w:r w:rsidR="003F2C3B" w:rsidRPr="001E3C8E">
        <w:rPr>
          <w:szCs w:val="24"/>
          <w:lang w:val="fr-FR"/>
        </w:rPr>
        <w:t>existantes</w:t>
      </w:r>
      <w:r w:rsidR="001F5180" w:rsidRPr="001E3C8E">
        <w:rPr>
          <w:szCs w:val="24"/>
          <w:lang w:val="fr-FR"/>
        </w:rPr>
        <w:t xml:space="preserve"> ou déléguées dans leur</w:t>
      </w:r>
      <w:r w:rsidR="003F2C3B" w:rsidRPr="001E3C8E">
        <w:rPr>
          <w:szCs w:val="24"/>
          <w:lang w:val="fr-FR"/>
        </w:rPr>
        <w:t>s</w:t>
      </w:r>
      <w:r w:rsidR="001F5180" w:rsidRPr="001E3C8E">
        <w:rPr>
          <w:szCs w:val="24"/>
          <w:lang w:val="fr-FR"/>
        </w:rPr>
        <w:t xml:space="preserve"> sphères nationales de compétence et sous leur juridiction.</w:t>
      </w:r>
    </w:p>
    <w:p w14:paraId="666E7BD4" w14:textId="232989A5" w:rsidR="001F5180" w:rsidRPr="001E3C8E" w:rsidRDefault="001F5180" w:rsidP="00430901">
      <w:pPr>
        <w:pStyle w:val="ListParagraph"/>
        <w:numPr>
          <w:ilvl w:val="0"/>
          <w:numId w:val="9"/>
        </w:numPr>
        <w:rPr>
          <w:szCs w:val="24"/>
          <w:lang w:val="fr-FR"/>
        </w:rPr>
      </w:pPr>
      <w:r w:rsidRPr="001E3C8E">
        <w:rPr>
          <w:szCs w:val="24"/>
          <w:lang w:val="fr-FR"/>
        </w:rPr>
        <w:t xml:space="preserve">La </w:t>
      </w:r>
      <w:r w:rsidR="003F2C3B" w:rsidRPr="001E3C8E">
        <w:rPr>
          <w:szCs w:val="24"/>
          <w:lang w:val="fr-FR"/>
        </w:rPr>
        <w:t>décentralisation</w:t>
      </w:r>
      <w:r w:rsidRPr="001E3C8E">
        <w:rPr>
          <w:szCs w:val="24"/>
          <w:lang w:val="fr-FR"/>
        </w:rPr>
        <w:t xml:space="preserve"> n’est pas toujours </w:t>
      </w:r>
      <w:r w:rsidR="003F2C3B" w:rsidRPr="001E3C8E">
        <w:rPr>
          <w:szCs w:val="24"/>
          <w:lang w:val="fr-FR"/>
        </w:rPr>
        <w:t>favorable</w:t>
      </w:r>
      <w:r w:rsidRPr="001E3C8E">
        <w:rPr>
          <w:szCs w:val="24"/>
          <w:lang w:val="fr-FR"/>
        </w:rPr>
        <w:t xml:space="preserve"> </w:t>
      </w:r>
      <w:r w:rsidR="003F2C3B" w:rsidRPr="001E3C8E">
        <w:rPr>
          <w:szCs w:val="24"/>
          <w:lang w:val="fr-FR"/>
        </w:rPr>
        <w:t xml:space="preserve">au respect </w:t>
      </w:r>
      <w:r w:rsidRPr="001E3C8E">
        <w:rPr>
          <w:szCs w:val="24"/>
          <w:lang w:val="fr-FR"/>
        </w:rPr>
        <w:t>des droits humains</w:t>
      </w:r>
      <w:r w:rsidR="003F2C3B" w:rsidRPr="001E3C8E">
        <w:rPr>
          <w:szCs w:val="24"/>
          <w:lang w:val="fr-FR"/>
        </w:rPr>
        <w:t>. Elle peut être particulièrement contraignante</w:t>
      </w:r>
      <w:r w:rsidRPr="001E3C8E">
        <w:rPr>
          <w:szCs w:val="24"/>
          <w:lang w:val="fr-FR"/>
        </w:rPr>
        <w:t xml:space="preserve"> lorsqu’elle ne s’accompagne pas de</w:t>
      </w:r>
      <w:r w:rsidR="00155B63" w:rsidRPr="001E3C8E">
        <w:rPr>
          <w:szCs w:val="24"/>
          <w:lang w:val="fr-FR"/>
        </w:rPr>
        <w:t>s</w:t>
      </w:r>
      <w:r w:rsidRPr="001E3C8E">
        <w:rPr>
          <w:szCs w:val="24"/>
          <w:lang w:val="fr-FR"/>
        </w:rPr>
        <w:t xml:space="preserve"> ressources ou </w:t>
      </w:r>
      <w:r w:rsidR="00155B63" w:rsidRPr="001E3C8E">
        <w:rPr>
          <w:szCs w:val="24"/>
          <w:lang w:val="fr-FR"/>
        </w:rPr>
        <w:t>de l’</w:t>
      </w:r>
      <w:r w:rsidR="003F2C3B" w:rsidRPr="001E3C8E">
        <w:rPr>
          <w:szCs w:val="24"/>
          <w:lang w:val="fr-FR"/>
        </w:rPr>
        <w:t xml:space="preserve">espace politique </w:t>
      </w:r>
      <w:r w:rsidR="00155B63" w:rsidRPr="001E3C8E">
        <w:rPr>
          <w:szCs w:val="24"/>
          <w:lang w:val="fr-FR"/>
        </w:rPr>
        <w:t>nécessaires</w:t>
      </w:r>
      <w:r w:rsidR="003F2C3B" w:rsidRPr="001E3C8E">
        <w:rPr>
          <w:szCs w:val="24"/>
          <w:lang w:val="fr-FR"/>
        </w:rPr>
        <w:t xml:space="preserve"> pour</w:t>
      </w:r>
      <w:r w:rsidRPr="001E3C8E">
        <w:rPr>
          <w:szCs w:val="24"/>
          <w:lang w:val="fr-FR"/>
        </w:rPr>
        <w:t xml:space="preserve"> </w:t>
      </w:r>
      <w:r w:rsidR="003F2C3B" w:rsidRPr="001E3C8E">
        <w:rPr>
          <w:szCs w:val="24"/>
          <w:lang w:val="fr-FR"/>
        </w:rPr>
        <w:t>leur</w:t>
      </w:r>
      <w:r w:rsidRPr="001E3C8E">
        <w:rPr>
          <w:szCs w:val="24"/>
          <w:lang w:val="fr-FR"/>
        </w:rPr>
        <w:t xml:space="preserve"> </w:t>
      </w:r>
      <w:r w:rsidR="003F2C3B" w:rsidRPr="001E3C8E">
        <w:rPr>
          <w:szCs w:val="24"/>
          <w:lang w:val="fr-FR"/>
        </w:rPr>
        <w:t>mise en œuvre. Il est crucial de reconnaître les différents niveaux de</w:t>
      </w:r>
      <w:r w:rsidRPr="001E3C8E">
        <w:rPr>
          <w:szCs w:val="24"/>
          <w:lang w:val="fr-FR"/>
        </w:rPr>
        <w:t xml:space="preserve"> gouvernance dans des domaines </w:t>
      </w:r>
      <w:r w:rsidR="003F2C3B" w:rsidRPr="001E3C8E">
        <w:rPr>
          <w:szCs w:val="24"/>
          <w:lang w:val="fr-FR"/>
        </w:rPr>
        <w:t xml:space="preserve">aussi essentiels </w:t>
      </w:r>
      <w:r w:rsidRPr="001E3C8E">
        <w:rPr>
          <w:szCs w:val="24"/>
          <w:lang w:val="fr-FR"/>
        </w:rPr>
        <w:t xml:space="preserve">que la collecte de </w:t>
      </w:r>
      <w:r w:rsidR="003F2C3B" w:rsidRPr="001E3C8E">
        <w:rPr>
          <w:szCs w:val="24"/>
          <w:lang w:val="fr-FR"/>
        </w:rPr>
        <w:t>recettes</w:t>
      </w:r>
      <w:r w:rsidRPr="001E3C8E">
        <w:rPr>
          <w:szCs w:val="24"/>
          <w:lang w:val="fr-FR"/>
        </w:rPr>
        <w:t>, la pol</w:t>
      </w:r>
      <w:r w:rsidR="003F2C3B" w:rsidRPr="001E3C8E">
        <w:rPr>
          <w:szCs w:val="24"/>
          <w:lang w:val="fr-FR"/>
        </w:rPr>
        <w:t xml:space="preserve">itique fiscale, les réformes </w:t>
      </w:r>
      <w:r w:rsidRPr="001E3C8E">
        <w:rPr>
          <w:szCs w:val="24"/>
          <w:lang w:val="fr-FR"/>
        </w:rPr>
        <w:t xml:space="preserve">du travail et </w:t>
      </w:r>
      <w:r w:rsidR="003F2C3B" w:rsidRPr="001E3C8E">
        <w:rPr>
          <w:szCs w:val="24"/>
          <w:lang w:val="fr-FR"/>
        </w:rPr>
        <w:t>la solidarité entre les régions.</w:t>
      </w:r>
      <w:r w:rsidR="003F2C3B" w:rsidRPr="001E3C8E">
        <w:rPr>
          <w:rStyle w:val="FootnoteReference"/>
          <w:szCs w:val="24"/>
          <w:lang w:val="fr-FR"/>
        </w:rPr>
        <w:footnoteReference w:id="3"/>
      </w:r>
    </w:p>
    <w:p w14:paraId="5AF9C265" w14:textId="1CEC4F03" w:rsidR="001F5180" w:rsidRPr="001E3C8E" w:rsidRDefault="001F5180" w:rsidP="00155B63">
      <w:pPr>
        <w:pStyle w:val="Heading1"/>
        <w:ind w:left="0"/>
        <w:rPr>
          <w:szCs w:val="24"/>
          <w:lang w:val="fr-FR"/>
        </w:rPr>
      </w:pPr>
      <w:bookmarkStart w:id="17" w:name="_Toc520805082"/>
      <w:bookmarkStart w:id="18" w:name="_Toc520809579"/>
      <w:bookmarkStart w:id="19" w:name="_Toc520811100"/>
      <w:bookmarkStart w:id="20" w:name="_Toc520811923"/>
      <w:bookmarkStart w:id="21" w:name="_Toc520813941"/>
      <w:bookmarkStart w:id="22" w:name="_Toc520816352"/>
      <w:bookmarkStart w:id="23" w:name="_Toc520817524"/>
      <w:bookmarkStart w:id="24" w:name="_Toc520820361"/>
      <w:bookmarkStart w:id="25" w:name="_Toc520982930"/>
      <w:bookmarkStart w:id="26" w:name="_Toc520989993"/>
      <w:bookmarkStart w:id="27" w:name="_Toc520991667"/>
      <w:bookmarkStart w:id="28" w:name="_Toc520993158"/>
      <w:bookmarkStart w:id="29" w:name="_Toc370768223"/>
      <w:bookmarkEnd w:id="17"/>
      <w:bookmarkEnd w:id="18"/>
      <w:bookmarkEnd w:id="19"/>
      <w:bookmarkEnd w:id="20"/>
      <w:bookmarkEnd w:id="21"/>
      <w:bookmarkEnd w:id="22"/>
      <w:bookmarkEnd w:id="23"/>
      <w:bookmarkEnd w:id="24"/>
      <w:bookmarkEnd w:id="25"/>
      <w:bookmarkEnd w:id="26"/>
      <w:bookmarkEnd w:id="27"/>
      <w:bookmarkEnd w:id="28"/>
    </w:p>
    <w:p w14:paraId="16492F5D" w14:textId="027CC65C" w:rsidR="006C5608" w:rsidRPr="001E3C8E" w:rsidRDefault="001F5180" w:rsidP="00D741B8">
      <w:pPr>
        <w:pStyle w:val="Heading1"/>
        <w:numPr>
          <w:ilvl w:val="0"/>
          <w:numId w:val="27"/>
        </w:numPr>
        <w:rPr>
          <w:szCs w:val="24"/>
          <w:lang w:val="fr-FR"/>
        </w:rPr>
      </w:pPr>
      <w:bookmarkStart w:id="30" w:name="_Toc522789722"/>
      <w:r w:rsidRPr="001E3C8E">
        <w:rPr>
          <w:szCs w:val="24"/>
          <w:lang w:val="fr-FR"/>
        </w:rPr>
        <w:t>Obligations des cr</w:t>
      </w:r>
      <w:r w:rsidR="00155B63" w:rsidRPr="001E3C8E">
        <w:rPr>
          <w:szCs w:val="24"/>
          <w:lang w:val="fr-FR"/>
        </w:rPr>
        <w:t>éditeurs et donateurs publics</w:t>
      </w:r>
      <w:r w:rsidR="004B677C" w:rsidRPr="001E3C8E">
        <w:rPr>
          <w:rStyle w:val="FootnoteReference"/>
          <w:szCs w:val="24"/>
          <w:lang w:val="fr-FR"/>
        </w:rPr>
        <w:footnoteReference w:id="4"/>
      </w:r>
      <w:bookmarkEnd w:id="30"/>
    </w:p>
    <w:p w14:paraId="15555E65" w14:textId="77777777" w:rsidR="006C5608" w:rsidRPr="001E3C8E" w:rsidRDefault="006C5608" w:rsidP="00E27A1F">
      <w:pPr>
        <w:pStyle w:val="Heading2"/>
        <w:ind w:left="1398" w:firstLine="0"/>
        <w:jc w:val="both"/>
        <w:rPr>
          <w:lang w:val="fr-FR"/>
        </w:rPr>
      </w:pPr>
    </w:p>
    <w:p w14:paraId="447E22E2" w14:textId="39CCDE32" w:rsidR="00BD6508" w:rsidRPr="001E3C8E" w:rsidRDefault="001F5180" w:rsidP="003B1333">
      <w:pPr>
        <w:pStyle w:val="BodyText"/>
        <w:rPr>
          <w:szCs w:val="24"/>
          <w:lang w:val="fr-FR"/>
        </w:rPr>
      </w:pPr>
      <w:r w:rsidRPr="001E3C8E">
        <w:rPr>
          <w:szCs w:val="24"/>
          <w:lang w:val="fr-FR"/>
        </w:rPr>
        <w:t>Les institutions financières internationales, les bailleurs de fonds</w:t>
      </w:r>
      <w:r w:rsidR="0001129B" w:rsidRPr="001E3C8E">
        <w:rPr>
          <w:szCs w:val="24"/>
          <w:lang w:val="fr-FR"/>
        </w:rPr>
        <w:t xml:space="preserve"> bilatéraux</w:t>
      </w:r>
      <w:r w:rsidRPr="001E3C8E">
        <w:rPr>
          <w:szCs w:val="24"/>
          <w:lang w:val="fr-FR"/>
        </w:rPr>
        <w:t xml:space="preserve"> et les donateurs publics doivent s’assurer que les termes de leurs transactions et, le cas échéant, leurs propositions </w:t>
      </w:r>
      <w:r w:rsidR="008C1F97" w:rsidRPr="001E3C8E">
        <w:rPr>
          <w:szCs w:val="24"/>
          <w:lang w:val="fr-FR"/>
        </w:rPr>
        <w:t>de réformes et les conditions leur</w:t>
      </w:r>
      <w:r w:rsidRPr="001E3C8E">
        <w:rPr>
          <w:szCs w:val="24"/>
          <w:lang w:val="fr-FR"/>
        </w:rPr>
        <w:t xml:space="preserve"> soutien financier ne </w:t>
      </w:r>
      <w:r w:rsidR="00155B63" w:rsidRPr="001E3C8E">
        <w:rPr>
          <w:szCs w:val="24"/>
          <w:lang w:val="fr-FR"/>
        </w:rPr>
        <w:t>constituent</w:t>
      </w:r>
      <w:r w:rsidRPr="001E3C8E">
        <w:rPr>
          <w:szCs w:val="24"/>
          <w:lang w:val="fr-FR"/>
        </w:rPr>
        <w:t xml:space="preserve"> pas </w:t>
      </w:r>
      <w:r w:rsidR="00155B63" w:rsidRPr="001E3C8E">
        <w:rPr>
          <w:szCs w:val="24"/>
          <w:lang w:val="fr-FR"/>
        </w:rPr>
        <w:t xml:space="preserve">un </w:t>
      </w:r>
      <w:r w:rsidRPr="001E3C8E">
        <w:rPr>
          <w:szCs w:val="24"/>
          <w:lang w:val="fr-FR"/>
        </w:rPr>
        <w:t>obstacle à la capacité de l’emprunteur/de l’</w:t>
      </w:r>
      <w:r w:rsidR="00155B63" w:rsidRPr="001E3C8E">
        <w:rPr>
          <w:szCs w:val="24"/>
          <w:lang w:val="fr-FR"/>
        </w:rPr>
        <w:t>État</w:t>
      </w:r>
      <w:r w:rsidRPr="001E3C8E">
        <w:rPr>
          <w:szCs w:val="24"/>
          <w:lang w:val="fr-FR"/>
        </w:rPr>
        <w:t xml:space="preserve"> bénéficiaire à respecter, protéger et </w:t>
      </w:r>
      <w:r w:rsidR="009D1755" w:rsidRPr="001E3C8E">
        <w:rPr>
          <w:szCs w:val="24"/>
          <w:lang w:val="fr-FR"/>
        </w:rPr>
        <w:t>mettre en œuvre ses</w:t>
      </w:r>
      <w:r w:rsidRPr="001E3C8E">
        <w:rPr>
          <w:szCs w:val="24"/>
          <w:lang w:val="fr-FR"/>
        </w:rPr>
        <w:t xml:space="preserve"> obligation</w:t>
      </w:r>
      <w:r w:rsidR="00155B63" w:rsidRPr="001E3C8E">
        <w:rPr>
          <w:szCs w:val="24"/>
          <w:lang w:val="fr-FR"/>
        </w:rPr>
        <w:t>s en matière de droits humains.</w:t>
      </w:r>
    </w:p>
    <w:p w14:paraId="3BB612BF" w14:textId="77777777" w:rsidR="00155B63" w:rsidRPr="001E3C8E" w:rsidRDefault="00155B63" w:rsidP="003B1333">
      <w:pPr>
        <w:pStyle w:val="BodyText"/>
        <w:rPr>
          <w:szCs w:val="24"/>
          <w:lang w:val="fr-FR"/>
        </w:rPr>
      </w:pPr>
    </w:p>
    <w:p w14:paraId="4F9704F4" w14:textId="3EF72609" w:rsidR="001F5180" w:rsidRPr="001E3C8E" w:rsidRDefault="001F5180" w:rsidP="003B1333">
      <w:pPr>
        <w:pStyle w:val="BodyText"/>
        <w:rPr>
          <w:szCs w:val="24"/>
          <w:lang w:val="fr-FR"/>
        </w:rPr>
      </w:pPr>
      <w:r w:rsidRPr="001E3C8E">
        <w:rPr>
          <w:szCs w:val="24"/>
          <w:lang w:val="fr-FR"/>
        </w:rPr>
        <w:t xml:space="preserve">Les </w:t>
      </w:r>
      <w:r w:rsidR="00155B63" w:rsidRPr="001E3C8E">
        <w:rPr>
          <w:szCs w:val="24"/>
          <w:lang w:val="fr-FR"/>
        </w:rPr>
        <w:t>États</w:t>
      </w:r>
      <w:r w:rsidRPr="001E3C8E">
        <w:rPr>
          <w:szCs w:val="24"/>
          <w:lang w:val="fr-FR"/>
        </w:rPr>
        <w:t xml:space="preserve">, qu’ils agissent seuls ou au sein d’institutions financières internationales, et </w:t>
      </w:r>
      <w:r w:rsidR="009D1755" w:rsidRPr="001E3C8E">
        <w:rPr>
          <w:szCs w:val="24"/>
          <w:lang w:val="fr-FR"/>
        </w:rPr>
        <w:t xml:space="preserve">les </w:t>
      </w:r>
      <w:r w:rsidRPr="001E3C8E">
        <w:rPr>
          <w:szCs w:val="24"/>
          <w:lang w:val="fr-FR"/>
        </w:rPr>
        <w:t>institutions financières internationales e</w:t>
      </w:r>
      <w:r w:rsidR="009D1755" w:rsidRPr="001E3C8E">
        <w:rPr>
          <w:szCs w:val="24"/>
          <w:lang w:val="fr-FR"/>
        </w:rPr>
        <w:t>lles</w:t>
      </w:r>
      <w:r w:rsidRPr="001E3C8E">
        <w:rPr>
          <w:szCs w:val="24"/>
          <w:lang w:val="fr-FR"/>
        </w:rPr>
        <w:t xml:space="preserve">-mêmes, ne doivent contraindre </w:t>
      </w:r>
      <w:r w:rsidR="009D1755" w:rsidRPr="001E3C8E">
        <w:rPr>
          <w:szCs w:val="24"/>
          <w:lang w:val="fr-FR"/>
        </w:rPr>
        <w:t xml:space="preserve">les États emprunteurs/bénéficiaires que ce soit </w:t>
      </w:r>
      <w:r w:rsidRPr="001E3C8E">
        <w:rPr>
          <w:szCs w:val="24"/>
          <w:lang w:val="fr-FR"/>
        </w:rPr>
        <w:t xml:space="preserve">directement </w:t>
      </w:r>
      <w:r w:rsidR="009D1755" w:rsidRPr="001E3C8E">
        <w:rPr>
          <w:szCs w:val="24"/>
          <w:lang w:val="fr-FR"/>
        </w:rPr>
        <w:t xml:space="preserve">ou </w:t>
      </w:r>
      <w:r w:rsidRPr="001E3C8E">
        <w:rPr>
          <w:szCs w:val="24"/>
          <w:lang w:val="fr-FR"/>
        </w:rPr>
        <w:t xml:space="preserve">indirectement à </w:t>
      </w:r>
      <w:r w:rsidR="00155B63" w:rsidRPr="001E3C8E">
        <w:rPr>
          <w:szCs w:val="24"/>
          <w:lang w:val="fr-FR"/>
        </w:rPr>
        <w:t xml:space="preserve">compromettre </w:t>
      </w:r>
      <w:r w:rsidRPr="001E3C8E">
        <w:rPr>
          <w:szCs w:val="24"/>
          <w:lang w:val="fr-FR"/>
        </w:rPr>
        <w:t>leurs obligations internationales en matière de droits humains. Les institut</w:t>
      </w:r>
      <w:r w:rsidR="00155B63" w:rsidRPr="001E3C8E">
        <w:rPr>
          <w:szCs w:val="24"/>
          <w:lang w:val="fr-FR"/>
        </w:rPr>
        <w:t>i</w:t>
      </w:r>
      <w:r w:rsidRPr="001E3C8E">
        <w:rPr>
          <w:szCs w:val="24"/>
          <w:lang w:val="fr-FR"/>
        </w:rPr>
        <w:t xml:space="preserve">ons financières internationales ont l’obligation d’évaluer l’impact des mesures de réformes économiques </w:t>
      </w:r>
      <w:r w:rsidR="00155B63" w:rsidRPr="001E3C8E">
        <w:rPr>
          <w:szCs w:val="24"/>
          <w:lang w:val="fr-FR"/>
        </w:rPr>
        <w:t>proposées</w:t>
      </w:r>
      <w:r w:rsidRPr="001E3C8E">
        <w:rPr>
          <w:szCs w:val="24"/>
          <w:lang w:val="fr-FR"/>
        </w:rPr>
        <w:t xml:space="preserve"> et mises en œuvre. </w:t>
      </w:r>
    </w:p>
    <w:p w14:paraId="72F136E4" w14:textId="259C50DD" w:rsidR="00816833" w:rsidRPr="001E3C8E" w:rsidRDefault="00816833" w:rsidP="00E27A1F">
      <w:pPr>
        <w:pStyle w:val="ListParagraph"/>
        <w:spacing w:before="0"/>
        <w:ind w:left="720"/>
        <w:rPr>
          <w:b/>
          <w:szCs w:val="24"/>
          <w:lang w:val="fr-FR"/>
        </w:rPr>
      </w:pPr>
    </w:p>
    <w:p w14:paraId="33CB641A" w14:textId="3B9B0984" w:rsidR="001F5180" w:rsidRPr="001E3C8E" w:rsidRDefault="001F5180" w:rsidP="00E27A1F">
      <w:pPr>
        <w:pStyle w:val="ListParagraph"/>
        <w:spacing w:before="0"/>
        <w:ind w:left="720"/>
        <w:rPr>
          <w:i/>
          <w:szCs w:val="24"/>
          <w:lang w:val="fr-FR"/>
        </w:rPr>
      </w:pPr>
      <w:r w:rsidRPr="001E3C8E">
        <w:rPr>
          <w:i/>
          <w:szCs w:val="24"/>
          <w:lang w:val="fr-FR"/>
        </w:rPr>
        <w:t>Commentaire :</w:t>
      </w:r>
    </w:p>
    <w:p w14:paraId="1F5F6A0F" w14:textId="2A7AFF76" w:rsidR="001F5180" w:rsidRPr="001E3C8E" w:rsidRDefault="001F5180" w:rsidP="0011739E">
      <w:pPr>
        <w:pStyle w:val="ListParagraph"/>
        <w:numPr>
          <w:ilvl w:val="0"/>
          <w:numId w:val="12"/>
        </w:numPr>
        <w:rPr>
          <w:szCs w:val="24"/>
          <w:lang w:val="fr-FR"/>
        </w:rPr>
      </w:pPr>
      <w:r w:rsidRPr="001E3C8E">
        <w:rPr>
          <w:szCs w:val="24"/>
          <w:lang w:val="fr-FR"/>
        </w:rPr>
        <w:t xml:space="preserve">Une </w:t>
      </w:r>
      <w:r w:rsidR="00155B63" w:rsidRPr="001E3C8E">
        <w:rPr>
          <w:szCs w:val="24"/>
          <w:lang w:val="fr-FR"/>
        </w:rPr>
        <w:t>étude</w:t>
      </w:r>
      <w:r w:rsidRPr="001E3C8E">
        <w:rPr>
          <w:szCs w:val="24"/>
          <w:lang w:val="fr-FR"/>
        </w:rPr>
        <w:t xml:space="preserve"> d’impact sur les droits humains </w:t>
      </w:r>
      <w:r w:rsidR="00155B63" w:rsidRPr="001E3C8E">
        <w:rPr>
          <w:szCs w:val="24"/>
          <w:lang w:val="fr-FR"/>
        </w:rPr>
        <w:t>doit</w:t>
      </w:r>
      <w:r w:rsidRPr="001E3C8E">
        <w:rPr>
          <w:szCs w:val="24"/>
          <w:lang w:val="fr-FR"/>
        </w:rPr>
        <w:t xml:space="preserve"> constituer un élément obligatoire dans la conception de tout programme d’ajustement et de réforme économique. Ceci s’applique également aux programmes développés </w:t>
      </w:r>
      <w:r w:rsidR="0011739E" w:rsidRPr="001E3C8E">
        <w:rPr>
          <w:szCs w:val="24"/>
          <w:lang w:val="fr-FR"/>
        </w:rPr>
        <w:t>avec des i</w:t>
      </w:r>
      <w:r w:rsidRPr="001E3C8E">
        <w:rPr>
          <w:szCs w:val="24"/>
          <w:lang w:val="fr-FR"/>
        </w:rPr>
        <w:t>nst</w:t>
      </w:r>
      <w:r w:rsidR="00155B63" w:rsidRPr="001E3C8E">
        <w:rPr>
          <w:szCs w:val="24"/>
          <w:lang w:val="fr-FR"/>
        </w:rPr>
        <w:t>it</w:t>
      </w:r>
      <w:r w:rsidRPr="001E3C8E">
        <w:rPr>
          <w:szCs w:val="24"/>
          <w:lang w:val="fr-FR"/>
        </w:rPr>
        <w:t>utions financières</w:t>
      </w:r>
      <w:r w:rsidR="00D1341F" w:rsidRPr="001E3C8E">
        <w:rPr>
          <w:szCs w:val="24"/>
          <w:lang w:val="fr-FR"/>
        </w:rPr>
        <w:t xml:space="preserve"> internationales</w:t>
      </w:r>
      <w:r w:rsidRPr="001E3C8E">
        <w:rPr>
          <w:szCs w:val="24"/>
          <w:lang w:val="fr-FR"/>
        </w:rPr>
        <w:t xml:space="preserve">, </w:t>
      </w:r>
      <w:r w:rsidR="0011739E" w:rsidRPr="001E3C8E">
        <w:rPr>
          <w:szCs w:val="24"/>
          <w:lang w:val="fr-FR"/>
        </w:rPr>
        <w:t>d</w:t>
      </w:r>
      <w:r w:rsidRPr="001E3C8E">
        <w:rPr>
          <w:szCs w:val="24"/>
          <w:lang w:val="fr-FR"/>
        </w:rPr>
        <w:t>es b</w:t>
      </w:r>
      <w:r w:rsidR="0011739E" w:rsidRPr="001E3C8E">
        <w:rPr>
          <w:szCs w:val="24"/>
          <w:lang w:val="fr-FR"/>
        </w:rPr>
        <w:t xml:space="preserve">ailleurs de fonds bilatéraux et des </w:t>
      </w:r>
      <w:r w:rsidRPr="001E3C8E">
        <w:rPr>
          <w:szCs w:val="24"/>
          <w:lang w:val="fr-FR"/>
        </w:rPr>
        <w:t xml:space="preserve">donateurs publics dans </w:t>
      </w:r>
      <w:r w:rsidR="0011739E" w:rsidRPr="001E3C8E">
        <w:rPr>
          <w:szCs w:val="24"/>
          <w:lang w:val="fr-FR"/>
        </w:rPr>
        <w:t xml:space="preserve">le cadre </w:t>
      </w:r>
      <w:r w:rsidRPr="001E3C8E">
        <w:rPr>
          <w:szCs w:val="24"/>
          <w:lang w:val="fr-FR"/>
        </w:rPr>
        <w:t xml:space="preserve">de </w:t>
      </w:r>
      <w:r w:rsidR="0011739E" w:rsidRPr="001E3C8E">
        <w:rPr>
          <w:szCs w:val="24"/>
          <w:lang w:val="fr-FR"/>
        </w:rPr>
        <w:t xml:space="preserve">la </w:t>
      </w:r>
      <w:r w:rsidRPr="001E3C8E">
        <w:rPr>
          <w:szCs w:val="24"/>
          <w:lang w:val="fr-FR"/>
        </w:rPr>
        <w:t xml:space="preserve">gestion de la dette et </w:t>
      </w:r>
      <w:r w:rsidR="0011739E" w:rsidRPr="001E3C8E">
        <w:rPr>
          <w:szCs w:val="24"/>
          <w:lang w:val="fr-FR"/>
        </w:rPr>
        <w:t>d’</w:t>
      </w:r>
      <w:r w:rsidRPr="001E3C8E">
        <w:rPr>
          <w:szCs w:val="24"/>
          <w:lang w:val="fr-FR"/>
        </w:rPr>
        <w:t>act</w:t>
      </w:r>
      <w:r w:rsidR="0011739E" w:rsidRPr="001E3C8E">
        <w:rPr>
          <w:szCs w:val="24"/>
          <w:lang w:val="fr-FR"/>
        </w:rPr>
        <w:t xml:space="preserve">ivités d’assistance financière. </w:t>
      </w:r>
      <w:r w:rsidRPr="001E3C8E">
        <w:rPr>
          <w:szCs w:val="24"/>
          <w:lang w:val="fr-FR"/>
        </w:rPr>
        <w:t>Toutes les</w:t>
      </w:r>
      <w:r w:rsidR="0011739E" w:rsidRPr="001E3C8E">
        <w:rPr>
          <w:szCs w:val="24"/>
          <w:lang w:val="fr-FR"/>
        </w:rPr>
        <w:t xml:space="preserve"> mesures proposées et</w:t>
      </w:r>
      <w:r w:rsidRPr="001E3C8E">
        <w:rPr>
          <w:szCs w:val="24"/>
          <w:lang w:val="fr-FR"/>
        </w:rPr>
        <w:t xml:space="preserve"> conditions impos</w:t>
      </w:r>
      <w:r w:rsidR="002F74CB" w:rsidRPr="001E3C8E">
        <w:rPr>
          <w:szCs w:val="24"/>
          <w:lang w:val="fr-FR"/>
        </w:rPr>
        <w:t>ée</w:t>
      </w:r>
      <w:r w:rsidRPr="001E3C8E">
        <w:rPr>
          <w:szCs w:val="24"/>
          <w:lang w:val="fr-FR"/>
        </w:rPr>
        <w:t>s pour les prêts devrai</w:t>
      </w:r>
      <w:r w:rsidR="0011739E" w:rsidRPr="001E3C8E">
        <w:rPr>
          <w:szCs w:val="24"/>
          <w:lang w:val="fr-FR"/>
        </w:rPr>
        <w:t>en</w:t>
      </w:r>
      <w:r w:rsidRPr="001E3C8E">
        <w:rPr>
          <w:szCs w:val="24"/>
          <w:lang w:val="fr-FR"/>
        </w:rPr>
        <w:t>t être sujette</w:t>
      </w:r>
      <w:r w:rsidR="0011739E" w:rsidRPr="001E3C8E">
        <w:rPr>
          <w:szCs w:val="24"/>
          <w:lang w:val="fr-FR"/>
        </w:rPr>
        <w:t>s</w:t>
      </w:r>
      <w:r w:rsidRPr="001E3C8E">
        <w:rPr>
          <w:szCs w:val="24"/>
          <w:lang w:val="fr-FR"/>
        </w:rPr>
        <w:t xml:space="preserve"> à une </w:t>
      </w:r>
      <w:r w:rsidR="0011739E" w:rsidRPr="001E3C8E">
        <w:rPr>
          <w:szCs w:val="24"/>
          <w:lang w:val="fr-FR"/>
        </w:rPr>
        <w:t>étude</w:t>
      </w:r>
      <w:r w:rsidRPr="001E3C8E">
        <w:rPr>
          <w:szCs w:val="24"/>
          <w:lang w:val="fr-FR"/>
        </w:rPr>
        <w:t xml:space="preserve"> d’impact sur les droits humains. Celle-ci devrait être préparée avant la conclusion des accords et </w:t>
      </w:r>
      <w:r w:rsidR="0011739E" w:rsidRPr="001E3C8E">
        <w:rPr>
          <w:szCs w:val="24"/>
          <w:lang w:val="fr-FR"/>
        </w:rPr>
        <w:t xml:space="preserve">suffisamment tôt </w:t>
      </w:r>
      <w:r w:rsidRPr="001E3C8E">
        <w:rPr>
          <w:szCs w:val="24"/>
          <w:lang w:val="fr-FR"/>
        </w:rPr>
        <w:t>pour pouvoir influencer les résultats des négociations. Dans les situations urgentes</w:t>
      </w:r>
      <w:r w:rsidR="0011739E" w:rsidRPr="001E3C8E">
        <w:rPr>
          <w:szCs w:val="24"/>
          <w:lang w:val="fr-FR"/>
        </w:rPr>
        <w:t xml:space="preserve"> </w:t>
      </w:r>
      <w:r w:rsidR="005640B3" w:rsidRPr="001E3C8E">
        <w:rPr>
          <w:szCs w:val="24"/>
          <w:lang w:val="fr-FR"/>
        </w:rPr>
        <w:t>à tout le moins</w:t>
      </w:r>
      <w:r w:rsidRPr="001E3C8E">
        <w:rPr>
          <w:szCs w:val="24"/>
          <w:lang w:val="fr-FR"/>
        </w:rPr>
        <w:t xml:space="preserve">, des instruments flexibles sans conditionnalité doivent être envisagés pour </w:t>
      </w:r>
      <w:r w:rsidR="0011739E" w:rsidRPr="001E3C8E">
        <w:rPr>
          <w:szCs w:val="24"/>
          <w:lang w:val="fr-FR"/>
        </w:rPr>
        <w:t>accorder</w:t>
      </w:r>
      <w:r w:rsidRPr="001E3C8E">
        <w:rPr>
          <w:szCs w:val="24"/>
          <w:lang w:val="fr-FR"/>
        </w:rPr>
        <w:t xml:space="preserve"> un espace suffisant </w:t>
      </w:r>
      <w:r w:rsidR="0011739E" w:rsidRPr="001E3C8E">
        <w:rPr>
          <w:szCs w:val="24"/>
          <w:lang w:val="fr-FR"/>
        </w:rPr>
        <w:t xml:space="preserve">au développement de </w:t>
      </w:r>
      <w:r w:rsidRPr="001E3C8E">
        <w:rPr>
          <w:szCs w:val="24"/>
          <w:lang w:val="fr-FR"/>
        </w:rPr>
        <w:t xml:space="preserve">mesures d’ajustement </w:t>
      </w:r>
      <w:r w:rsidR="0011739E" w:rsidRPr="001E3C8E">
        <w:rPr>
          <w:szCs w:val="24"/>
          <w:lang w:val="fr-FR"/>
        </w:rPr>
        <w:t>adaptées</w:t>
      </w:r>
      <w:r w:rsidRPr="001E3C8E">
        <w:rPr>
          <w:szCs w:val="24"/>
          <w:lang w:val="fr-FR"/>
        </w:rPr>
        <w:t xml:space="preserve"> qui respectent les droits humains.</w:t>
      </w:r>
      <w:r w:rsidR="002F74CB" w:rsidRPr="001E3C8E">
        <w:rPr>
          <w:szCs w:val="24"/>
          <w:lang w:val="fr-FR"/>
        </w:rPr>
        <w:t xml:space="preserve"> Des clauses libératoires doivent être prévues</w:t>
      </w:r>
      <w:r w:rsidR="0011739E" w:rsidRPr="001E3C8E">
        <w:rPr>
          <w:szCs w:val="24"/>
          <w:lang w:val="fr-FR"/>
        </w:rPr>
        <w:t xml:space="preserve"> pour certaines conditions</w:t>
      </w:r>
      <w:r w:rsidR="002F74CB" w:rsidRPr="001E3C8E">
        <w:rPr>
          <w:szCs w:val="24"/>
          <w:lang w:val="fr-FR"/>
        </w:rPr>
        <w:t xml:space="preserve"> lorsque des impacts réels ou potentiel</w:t>
      </w:r>
      <w:r w:rsidR="0011739E" w:rsidRPr="001E3C8E">
        <w:rPr>
          <w:szCs w:val="24"/>
          <w:lang w:val="fr-FR"/>
        </w:rPr>
        <w:t>s</w:t>
      </w:r>
      <w:r w:rsidR="002F74CB" w:rsidRPr="001E3C8E">
        <w:rPr>
          <w:szCs w:val="24"/>
          <w:lang w:val="fr-FR"/>
        </w:rPr>
        <w:t xml:space="preserve"> </w:t>
      </w:r>
      <w:r w:rsidR="002F74CB" w:rsidRPr="001E3C8E">
        <w:rPr>
          <w:szCs w:val="24"/>
          <w:lang w:val="fr-FR"/>
        </w:rPr>
        <w:lastRenderedPageBreak/>
        <w:t>sur les droits humains sont identifiés.</w:t>
      </w:r>
    </w:p>
    <w:p w14:paraId="14D147D7" w14:textId="4BA723B0" w:rsidR="002F74CB" w:rsidRPr="001E3C8E" w:rsidRDefault="002F74CB" w:rsidP="00430901">
      <w:pPr>
        <w:pStyle w:val="ListParagraph"/>
        <w:numPr>
          <w:ilvl w:val="0"/>
          <w:numId w:val="12"/>
        </w:numPr>
        <w:rPr>
          <w:szCs w:val="24"/>
          <w:lang w:val="fr-FR"/>
        </w:rPr>
      </w:pPr>
      <w:r w:rsidRPr="001E3C8E">
        <w:rPr>
          <w:szCs w:val="24"/>
          <w:lang w:val="fr-FR"/>
        </w:rPr>
        <w:t xml:space="preserve">Ces obligations </w:t>
      </w:r>
      <w:r w:rsidR="000A2714" w:rsidRPr="001E3C8E">
        <w:rPr>
          <w:szCs w:val="24"/>
          <w:lang w:val="fr-FR"/>
        </w:rPr>
        <w:t xml:space="preserve">comprennent </w:t>
      </w:r>
      <w:r w:rsidRPr="001E3C8E">
        <w:rPr>
          <w:szCs w:val="24"/>
          <w:lang w:val="fr-FR"/>
        </w:rPr>
        <w:t>par exemple la participation à des programmes d’allègement de la dette et des négociations de restructuration de bonne foi par le biais d’un processus formel d</w:t>
      </w:r>
      <w:r w:rsidR="0011739E" w:rsidRPr="001E3C8E">
        <w:rPr>
          <w:szCs w:val="24"/>
          <w:lang w:val="fr-FR"/>
        </w:rPr>
        <w:t>’engagement en matière d</w:t>
      </w:r>
      <w:r w:rsidRPr="001E3C8E">
        <w:rPr>
          <w:szCs w:val="24"/>
          <w:lang w:val="fr-FR"/>
        </w:rPr>
        <w:t>e politique délib</w:t>
      </w:r>
      <w:r w:rsidR="0011739E" w:rsidRPr="001E3C8E">
        <w:rPr>
          <w:szCs w:val="24"/>
          <w:lang w:val="fr-FR"/>
        </w:rPr>
        <w:t>érative et de dialogue social</w:t>
      </w:r>
      <w:r w:rsidRPr="001E3C8E">
        <w:rPr>
          <w:szCs w:val="24"/>
          <w:lang w:val="fr-FR"/>
        </w:rPr>
        <w:t>.</w:t>
      </w:r>
      <w:r w:rsidR="00F240D8" w:rsidRPr="001E3C8E">
        <w:rPr>
          <w:szCs w:val="24"/>
          <w:lang w:val="fr-FR"/>
        </w:rPr>
        <w:t xml:space="preserve"> Elles incluent égalemen</w:t>
      </w:r>
      <w:r w:rsidR="0011739E" w:rsidRPr="001E3C8E">
        <w:rPr>
          <w:szCs w:val="24"/>
          <w:lang w:val="fr-FR"/>
        </w:rPr>
        <w:t>t la recherche active d’accords sur la dette</w:t>
      </w:r>
      <w:r w:rsidR="00F240D8" w:rsidRPr="001E3C8E">
        <w:rPr>
          <w:szCs w:val="24"/>
          <w:lang w:val="fr-FR"/>
        </w:rPr>
        <w:t xml:space="preserve"> financièrement </w:t>
      </w:r>
      <w:r w:rsidR="00350DD6" w:rsidRPr="001E3C8E">
        <w:rPr>
          <w:szCs w:val="24"/>
          <w:lang w:val="fr-FR"/>
        </w:rPr>
        <w:t xml:space="preserve">viables et </w:t>
      </w:r>
      <w:r w:rsidR="0011739E" w:rsidRPr="001E3C8E">
        <w:rPr>
          <w:szCs w:val="24"/>
          <w:lang w:val="fr-FR"/>
        </w:rPr>
        <w:t xml:space="preserve">respectant </w:t>
      </w:r>
      <w:r w:rsidR="00350DD6" w:rsidRPr="001E3C8E">
        <w:rPr>
          <w:szCs w:val="24"/>
          <w:lang w:val="fr-FR"/>
        </w:rPr>
        <w:t>les droits humains. Les créditeurs doivent éviter tout comportement prédateur ou obstructi</w:t>
      </w:r>
      <w:r w:rsidR="00437C90" w:rsidRPr="001E3C8E">
        <w:rPr>
          <w:szCs w:val="24"/>
          <w:lang w:val="fr-FR"/>
        </w:rPr>
        <w:t>onniste</w:t>
      </w:r>
      <w:r w:rsidR="00350DD6" w:rsidRPr="001E3C8E">
        <w:rPr>
          <w:szCs w:val="24"/>
          <w:lang w:val="fr-FR"/>
        </w:rPr>
        <w:t xml:space="preserve"> </w:t>
      </w:r>
      <w:r w:rsidR="00437C90" w:rsidRPr="001E3C8E">
        <w:rPr>
          <w:szCs w:val="24"/>
          <w:lang w:val="fr-FR"/>
        </w:rPr>
        <w:t xml:space="preserve">susceptible de </w:t>
      </w:r>
      <w:r w:rsidR="00350DD6" w:rsidRPr="001E3C8E">
        <w:rPr>
          <w:szCs w:val="24"/>
          <w:lang w:val="fr-FR"/>
        </w:rPr>
        <w:t xml:space="preserve">forcer les </w:t>
      </w:r>
      <w:r w:rsidR="00437C90" w:rsidRPr="001E3C8E">
        <w:rPr>
          <w:szCs w:val="24"/>
          <w:lang w:val="fr-FR"/>
        </w:rPr>
        <w:t>États</w:t>
      </w:r>
      <w:r w:rsidR="00350DD6" w:rsidRPr="001E3C8E">
        <w:rPr>
          <w:szCs w:val="24"/>
          <w:lang w:val="fr-FR"/>
        </w:rPr>
        <w:t xml:space="preserve"> à agir en contravention avec leurs obligations en matière de droits humains afin de rembourser leurs dettes ou </w:t>
      </w:r>
      <w:r w:rsidR="00437C90" w:rsidRPr="001E3C8E">
        <w:rPr>
          <w:szCs w:val="24"/>
          <w:lang w:val="fr-FR"/>
        </w:rPr>
        <w:t xml:space="preserve">ayant </w:t>
      </w:r>
      <w:r w:rsidR="00350DD6" w:rsidRPr="001E3C8E">
        <w:rPr>
          <w:szCs w:val="24"/>
          <w:lang w:val="fr-FR"/>
        </w:rPr>
        <w:t xml:space="preserve">un impact direct sur la capacité des </w:t>
      </w:r>
      <w:r w:rsidR="00437C90" w:rsidRPr="001E3C8E">
        <w:rPr>
          <w:szCs w:val="24"/>
          <w:lang w:val="fr-FR"/>
        </w:rPr>
        <w:t>États</w:t>
      </w:r>
      <w:r w:rsidR="00350DD6" w:rsidRPr="001E3C8E">
        <w:rPr>
          <w:szCs w:val="24"/>
          <w:lang w:val="fr-FR"/>
        </w:rPr>
        <w:t xml:space="preserve"> à satisfaire à leurs obligations.</w:t>
      </w:r>
    </w:p>
    <w:p w14:paraId="42AD2B4E" w14:textId="1FC77EE9" w:rsidR="00350DD6" w:rsidRPr="001E3C8E" w:rsidRDefault="00350DD6" w:rsidP="00430901">
      <w:pPr>
        <w:pStyle w:val="ListParagraph"/>
        <w:numPr>
          <w:ilvl w:val="0"/>
          <w:numId w:val="12"/>
        </w:numPr>
        <w:rPr>
          <w:szCs w:val="24"/>
          <w:lang w:val="fr-FR"/>
        </w:rPr>
      </w:pPr>
      <w:r w:rsidRPr="001E3C8E">
        <w:rPr>
          <w:szCs w:val="24"/>
          <w:lang w:val="fr-FR"/>
        </w:rPr>
        <w:t xml:space="preserve">Les </w:t>
      </w:r>
      <w:r w:rsidR="00437C90" w:rsidRPr="001E3C8E">
        <w:rPr>
          <w:szCs w:val="24"/>
          <w:lang w:val="fr-FR"/>
        </w:rPr>
        <w:t>États</w:t>
      </w:r>
      <w:r w:rsidRPr="001E3C8E">
        <w:rPr>
          <w:szCs w:val="24"/>
          <w:lang w:val="fr-FR"/>
        </w:rPr>
        <w:t xml:space="preserve"> et les institutions financières internationales doivent </w:t>
      </w:r>
      <w:r w:rsidR="00437C90" w:rsidRPr="001E3C8E">
        <w:rPr>
          <w:szCs w:val="24"/>
          <w:lang w:val="fr-FR"/>
        </w:rPr>
        <w:t xml:space="preserve">tenter de </w:t>
      </w:r>
      <w:r w:rsidRPr="001E3C8E">
        <w:rPr>
          <w:szCs w:val="24"/>
          <w:lang w:val="fr-FR"/>
        </w:rPr>
        <w:t xml:space="preserve">développer des analyses de risque plus </w:t>
      </w:r>
      <w:r w:rsidR="00437C90" w:rsidRPr="001E3C8E">
        <w:rPr>
          <w:szCs w:val="24"/>
          <w:lang w:val="fr-FR"/>
        </w:rPr>
        <w:t>effectives</w:t>
      </w:r>
      <w:r w:rsidRPr="001E3C8E">
        <w:rPr>
          <w:szCs w:val="24"/>
          <w:lang w:val="fr-FR"/>
        </w:rPr>
        <w:t xml:space="preserve">, </w:t>
      </w:r>
      <w:r w:rsidR="00437C90" w:rsidRPr="001E3C8E">
        <w:rPr>
          <w:szCs w:val="24"/>
          <w:lang w:val="fr-FR"/>
        </w:rPr>
        <w:t>responsables</w:t>
      </w:r>
      <w:r w:rsidRPr="001E3C8E">
        <w:rPr>
          <w:szCs w:val="24"/>
          <w:lang w:val="fr-FR"/>
        </w:rPr>
        <w:t xml:space="preserve"> et indép</w:t>
      </w:r>
      <w:r w:rsidR="00437C90" w:rsidRPr="001E3C8E">
        <w:rPr>
          <w:szCs w:val="24"/>
          <w:lang w:val="fr-FR"/>
        </w:rPr>
        <w:t>endantes : l’explosion de la cri</w:t>
      </w:r>
      <w:r w:rsidRPr="001E3C8E">
        <w:rPr>
          <w:szCs w:val="24"/>
          <w:lang w:val="fr-FR"/>
        </w:rPr>
        <w:t>se financière en 2007-2008</w:t>
      </w:r>
      <w:r w:rsidR="00C86E64" w:rsidRPr="001E3C8E">
        <w:rPr>
          <w:szCs w:val="24"/>
          <w:lang w:val="fr-FR"/>
        </w:rPr>
        <w:t xml:space="preserve"> a </w:t>
      </w:r>
      <w:r w:rsidR="00437C90" w:rsidRPr="001E3C8E">
        <w:rPr>
          <w:szCs w:val="24"/>
          <w:lang w:val="fr-FR"/>
        </w:rPr>
        <w:t xml:space="preserve">en effet </w:t>
      </w:r>
      <w:r w:rsidR="00C86E64" w:rsidRPr="001E3C8E">
        <w:rPr>
          <w:szCs w:val="24"/>
          <w:lang w:val="fr-FR"/>
        </w:rPr>
        <w:t xml:space="preserve">montré l’existence de </w:t>
      </w:r>
      <w:r w:rsidR="00437C90" w:rsidRPr="001E3C8E">
        <w:rPr>
          <w:szCs w:val="24"/>
          <w:lang w:val="fr-FR"/>
        </w:rPr>
        <w:t>lacunes</w:t>
      </w:r>
      <w:r w:rsidR="00C86E64" w:rsidRPr="001E3C8E">
        <w:rPr>
          <w:szCs w:val="24"/>
          <w:lang w:val="fr-FR"/>
        </w:rPr>
        <w:t xml:space="preserve"> graves </w:t>
      </w:r>
      <w:r w:rsidR="00437C90" w:rsidRPr="001E3C8E">
        <w:rPr>
          <w:szCs w:val="24"/>
          <w:lang w:val="fr-FR"/>
        </w:rPr>
        <w:t>dans les</w:t>
      </w:r>
      <w:r w:rsidR="00C86E64" w:rsidRPr="001E3C8E">
        <w:rPr>
          <w:szCs w:val="24"/>
          <w:lang w:val="fr-FR"/>
        </w:rPr>
        <w:t xml:space="preserve"> pratiques actuelles d’évaluation des risques.</w:t>
      </w:r>
    </w:p>
    <w:p w14:paraId="3D80AC27" w14:textId="6610FE43" w:rsidR="00C86E64" w:rsidRPr="001E3C8E" w:rsidRDefault="00C86E64" w:rsidP="00430901">
      <w:pPr>
        <w:pStyle w:val="ListParagraph"/>
        <w:numPr>
          <w:ilvl w:val="0"/>
          <w:numId w:val="12"/>
        </w:numPr>
        <w:rPr>
          <w:szCs w:val="24"/>
          <w:lang w:val="fr-FR"/>
        </w:rPr>
      </w:pPr>
      <w:r w:rsidRPr="001E3C8E">
        <w:rPr>
          <w:szCs w:val="24"/>
          <w:lang w:val="fr-FR"/>
        </w:rPr>
        <w:t>Les mesures de consolidation fiscale, qu’elles soient adoptées</w:t>
      </w:r>
      <w:r w:rsidR="00437C90" w:rsidRPr="001E3C8E">
        <w:rPr>
          <w:szCs w:val="24"/>
          <w:lang w:val="fr-FR"/>
        </w:rPr>
        <w:t xml:space="preserve"> pour remplir les conditions d’un prêt ou non</w:t>
      </w:r>
      <w:r w:rsidRPr="001E3C8E">
        <w:rPr>
          <w:szCs w:val="24"/>
          <w:lang w:val="fr-FR"/>
        </w:rPr>
        <w:t xml:space="preserve">, doivent respecter les obligations nationales et internationales des </w:t>
      </w:r>
      <w:r w:rsidR="00437C90" w:rsidRPr="001E3C8E">
        <w:rPr>
          <w:szCs w:val="24"/>
          <w:lang w:val="fr-FR"/>
        </w:rPr>
        <w:t>États</w:t>
      </w:r>
      <w:r w:rsidRPr="001E3C8E">
        <w:rPr>
          <w:szCs w:val="24"/>
          <w:lang w:val="fr-FR"/>
        </w:rPr>
        <w:t xml:space="preserve"> et des institutions financières internationales en matière de droits humains. Toute mesure de consolidation fiscale doit être </w:t>
      </w:r>
      <w:r w:rsidR="00437C90" w:rsidRPr="001E3C8E">
        <w:rPr>
          <w:szCs w:val="24"/>
          <w:lang w:val="fr-FR"/>
        </w:rPr>
        <w:t>soumise</w:t>
      </w:r>
      <w:r w:rsidRPr="001E3C8E">
        <w:rPr>
          <w:szCs w:val="24"/>
          <w:lang w:val="fr-FR"/>
        </w:rPr>
        <w:t xml:space="preserve"> à une </w:t>
      </w:r>
      <w:r w:rsidR="00437C90" w:rsidRPr="001E3C8E">
        <w:rPr>
          <w:szCs w:val="24"/>
          <w:lang w:val="fr-FR"/>
        </w:rPr>
        <w:t>étude</w:t>
      </w:r>
      <w:r w:rsidRPr="001E3C8E">
        <w:rPr>
          <w:szCs w:val="24"/>
          <w:lang w:val="fr-FR"/>
        </w:rPr>
        <w:t xml:space="preserve"> d’impact sur les droits humains avant sa mise en œuvre.</w:t>
      </w:r>
    </w:p>
    <w:p w14:paraId="04284D90" w14:textId="587C1C49" w:rsidR="00C86E64" w:rsidRPr="001E3C8E" w:rsidRDefault="00C86E64" w:rsidP="00430901">
      <w:pPr>
        <w:pStyle w:val="ListParagraph"/>
        <w:numPr>
          <w:ilvl w:val="0"/>
          <w:numId w:val="12"/>
        </w:numPr>
        <w:rPr>
          <w:szCs w:val="24"/>
          <w:lang w:val="fr-FR"/>
        </w:rPr>
      </w:pPr>
      <w:r w:rsidRPr="001E3C8E">
        <w:rPr>
          <w:szCs w:val="24"/>
          <w:lang w:val="fr-FR"/>
        </w:rPr>
        <w:t xml:space="preserve">Les </w:t>
      </w:r>
      <w:r w:rsidR="00D52AEE" w:rsidRPr="001E3C8E">
        <w:rPr>
          <w:szCs w:val="24"/>
          <w:lang w:val="fr-FR"/>
        </w:rPr>
        <w:t>États</w:t>
      </w:r>
      <w:r w:rsidRPr="001E3C8E">
        <w:rPr>
          <w:szCs w:val="24"/>
          <w:lang w:val="fr-FR"/>
        </w:rPr>
        <w:t xml:space="preserve"> ne peuvent pas </w:t>
      </w:r>
      <w:r w:rsidR="00D52AEE" w:rsidRPr="001E3C8E">
        <w:rPr>
          <w:szCs w:val="24"/>
          <w:lang w:val="fr-FR"/>
        </w:rPr>
        <w:t>se soustraire</w:t>
      </w:r>
      <w:r w:rsidRPr="001E3C8E">
        <w:rPr>
          <w:szCs w:val="24"/>
          <w:lang w:val="fr-FR"/>
        </w:rPr>
        <w:t xml:space="preserve"> à </w:t>
      </w:r>
      <w:r w:rsidR="00526678" w:rsidRPr="001E3C8E">
        <w:rPr>
          <w:szCs w:val="24"/>
          <w:lang w:val="fr-FR"/>
        </w:rPr>
        <w:t xml:space="preserve">leurs responsabilités pour les mesures qu’ils délèguent à des institutions internationales : </w:t>
      </w:r>
      <w:r w:rsidR="00D52AEE" w:rsidRPr="001E3C8E">
        <w:rPr>
          <w:szCs w:val="24"/>
          <w:lang w:val="fr-FR"/>
        </w:rPr>
        <w:t>cette</w:t>
      </w:r>
      <w:r w:rsidR="00526678" w:rsidRPr="001E3C8E">
        <w:rPr>
          <w:szCs w:val="24"/>
          <w:lang w:val="fr-FR"/>
        </w:rPr>
        <w:t xml:space="preserve"> délégation ne peut pas </w:t>
      </w:r>
      <w:r w:rsidR="00D52AEE" w:rsidRPr="001E3C8E">
        <w:rPr>
          <w:szCs w:val="24"/>
          <w:lang w:val="fr-FR"/>
        </w:rPr>
        <w:t xml:space="preserve">justifier le non-respect de leurs </w:t>
      </w:r>
      <w:r w:rsidR="00526678" w:rsidRPr="001E3C8E">
        <w:rPr>
          <w:szCs w:val="24"/>
          <w:lang w:val="fr-FR"/>
        </w:rPr>
        <w:t>obligations en matière de droits humains.</w:t>
      </w:r>
    </w:p>
    <w:p w14:paraId="32EF96A4" w14:textId="77777777" w:rsidR="00D57582" w:rsidRPr="001E3C8E" w:rsidRDefault="00D57582" w:rsidP="00D57582">
      <w:pPr>
        <w:ind w:left="360"/>
        <w:rPr>
          <w:szCs w:val="24"/>
          <w:lang w:val="fr-FR"/>
        </w:rPr>
      </w:pPr>
    </w:p>
    <w:p w14:paraId="7B9F3C64" w14:textId="718F4F76" w:rsidR="007B736D" w:rsidRPr="001E3C8E" w:rsidRDefault="001D4DF6" w:rsidP="00D741B8">
      <w:pPr>
        <w:pStyle w:val="Heading1"/>
        <w:numPr>
          <w:ilvl w:val="0"/>
          <w:numId w:val="27"/>
        </w:numPr>
        <w:rPr>
          <w:szCs w:val="24"/>
          <w:lang w:val="fr-FR"/>
        </w:rPr>
      </w:pPr>
      <w:bookmarkStart w:id="31" w:name="_Toc520991669"/>
      <w:bookmarkStart w:id="32" w:name="_Toc520993160"/>
      <w:bookmarkStart w:id="33" w:name="_Toc522789723"/>
      <w:bookmarkEnd w:id="31"/>
      <w:bookmarkEnd w:id="32"/>
      <w:r w:rsidRPr="001E3C8E">
        <w:rPr>
          <w:szCs w:val="24"/>
          <w:lang w:val="fr-FR"/>
        </w:rPr>
        <w:t>Responsabilités des créditeurs privés</w:t>
      </w:r>
      <w:r w:rsidR="00211D52" w:rsidRPr="001E3C8E">
        <w:rPr>
          <w:szCs w:val="24"/>
          <w:vertAlign w:val="superscript"/>
          <w:lang w:val="fr-FR"/>
        </w:rPr>
        <w:footnoteReference w:id="5"/>
      </w:r>
      <w:bookmarkEnd w:id="33"/>
    </w:p>
    <w:p w14:paraId="572B2042" w14:textId="77777777" w:rsidR="00BD6508" w:rsidRPr="001E3C8E" w:rsidRDefault="00BD6508" w:rsidP="00BD6508">
      <w:pPr>
        <w:pStyle w:val="BodyText"/>
        <w:rPr>
          <w:szCs w:val="24"/>
          <w:lang w:val="fr-FR"/>
        </w:rPr>
      </w:pPr>
    </w:p>
    <w:p w14:paraId="6B2F5C79" w14:textId="3DEAC948" w:rsidR="001D4DF6" w:rsidRPr="001E3C8E" w:rsidRDefault="001D4DF6" w:rsidP="00BD6508">
      <w:pPr>
        <w:pStyle w:val="BodyText"/>
        <w:rPr>
          <w:szCs w:val="24"/>
          <w:lang w:val="fr-FR"/>
        </w:rPr>
      </w:pPr>
      <w:r w:rsidRPr="001E3C8E">
        <w:rPr>
          <w:szCs w:val="24"/>
          <w:lang w:val="fr-FR"/>
        </w:rPr>
        <w:t xml:space="preserve">Les créditeurs privés doivent s’assurer que les termes de leurs transactions </w:t>
      </w:r>
      <w:r w:rsidR="00D52AEE" w:rsidRPr="001E3C8E">
        <w:rPr>
          <w:szCs w:val="24"/>
          <w:lang w:val="fr-FR"/>
        </w:rPr>
        <w:t xml:space="preserve">sont conformes aux droits humains et ne poussent </w:t>
      </w:r>
      <w:r w:rsidRPr="001E3C8E">
        <w:rPr>
          <w:szCs w:val="24"/>
          <w:lang w:val="fr-FR"/>
        </w:rPr>
        <w:t>pas</w:t>
      </w:r>
      <w:r w:rsidR="00D52AEE" w:rsidRPr="001E3C8E">
        <w:rPr>
          <w:szCs w:val="24"/>
          <w:lang w:val="fr-FR"/>
        </w:rPr>
        <w:t>, directement ou indirectement,</w:t>
      </w:r>
      <w:r w:rsidRPr="001E3C8E">
        <w:rPr>
          <w:szCs w:val="24"/>
          <w:lang w:val="fr-FR"/>
        </w:rPr>
        <w:t xml:space="preserve"> les </w:t>
      </w:r>
      <w:r w:rsidR="00D52AEE" w:rsidRPr="001E3C8E">
        <w:rPr>
          <w:szCs w:val="24"/>
          <w:lang w:val="fr-FR"/>
        </w:rPr>
        <w:t>États</w:t>
      </w:r>
      <w:r w:rsidRPr="001E3C8E">
        <w:rPr>
          <w:szCs w:val="24"/>
          <w:lang w:val="fr-FR"/>
        </w:rPr>
        <w:t xml:space="preserve"> débiteurs à </w:t>
      </w:r>
      <w:r w:rsidR="00D52AEE" w:rsidRPr="001E3C8E">
        <w:rPr>
          <w:szCs w:val="24"/>
          <w:lang w:val="fr-FR"/>
        </w:rPr>
        <w:t xml:space="preserve">compromettre le respect </w:t>
      </w:r>
      <w:r w:rsidR="00164C08" w:rsidRPr="001E3C8E">
        <w:rPr>
          <w:szCs w:val="24"/>
          <w:lang w:val="fr-FR"/>
        </w:rPr>
        <w:t xml:space="preserve">de </w:t>
      </w:r>
      <w:r w:rsidRPr="001E3C8E">
        <w:rPr>
          <w:szCs w:val="24"/>
          <w:lang w:val="fr-FR"/>
        </w:rPr>
        <w:t>leurs obligatio</w:t>
      </w:r>
      <w:r w:rsidR="00D52AEE" w:rsidRPr="001E3C8E">
        <w:rPr>
          <w:szCs w:val="24"/>
          <w:lang w:val="fr-FR"/>
        </w:rPr>
        <w:t>ns en la matière</w:t>
      </w:r>
      <w:r w:rsidRPr="001E3C8E">
        <w:rPr>
          <w:szCs w:val="24"/>
          <w:lang w:val="fr-FR"/>
        </w:rPr>
        <w:t>. Ils ont l’obligation d’évaluer l’impact des</w:t>
      </w:r>
      <w:r w:rsidR="00D52AEE" w:rsidRPr="001E3C8E">
        <w:rPr>
          <w:szCs w:val="24"/>
          <w:lang w:val="fr-FR"/>
        </w:rPr>
        <w:t xml:space="preserve"> activités financées par le</w:t>
      </w:r>
      <w:r w:rsidR="00164C08" w:rsidRPr="001E3C8E">
        <w:rPr>
          <w:szCs w:val="24"/>
          <w:lang w:val="fr-FR"/>
        </w:rPr>
        <w:t>ur</w:t>
      </w:r>
      <w:r w:rsidR="00D52AEE" w:rsidRPr="001E3C8E">
        <w:rPr>
          <w:szCs w:val="24"/>
          <w:lang w:val="fr-FR"/>
        </w:rPr>
        <w:t>s prê</w:t>
      </w:r>
      <w:r w:rsidRPr="001E3C8E">
        <w:rPr>
          <w:szCs w:val="24"/>
          <w:lang w:val="fr-FR"/>
        </w:rPr>
        <w:t xml:space="preserve">ts lorsque des </w:t>
      </w:r>
      <w:r w:rsidR="00D52AEE" w:rsidRPr="001E3C8E">
        <w:rPr>
          <w:szCs w:val="24"/>
          <w:lang w:val="fr-FR"/>
        </w:rPr>
        <w:t>conséquences significatives sont prévisibles pour les droits humains</w:t>
      </w:r>
      <w:r w:rsidRPr="001E3C8E">
        <w:rPr>
          <w:szCs w:val="24"/>
          <w:lang w:val="fr-FR"/>
        </w:rPr>
        <w:t>.</w:t>
      </w:r>
    </w:p>
    <w:p w14:paraId="73ECA181" w14:textId="77777777" w:rsidR="00921807" w:rsidRPr="001E3C8E" w:rsidRDefault="00921807" w:rsidP="00BD6508">
      <w:pPr>
        <w:pStyle w:val="BodyText"/>
        <w:rPr>
          <w:szCs w:val="24"/>
          <w:lang w:val="fr-FR"/>
        </w:rPr>
      </w:pPr>
    </w:p>
    <w:p w14:paraId="2D791A84" w14:textId="2293BFFF" w:rsidR="00783AAA" w:rsidRPr="001E3C8E" w:rsidRDefault="00D107DF" w:rsidP="00D107DF">
      <w:pPr>
        <w:pStyle w:val="ListParagraph"/>
        <w:spacing w:before="0"/>
        <w:ind w:left="720"/>
        <w:rPr>
          <w:i/>
          <w:szCs w:val="24"/>
          <w:lang w:val="fr-FR"/>
        </w:rPr>
      </w:pPr>
      <w:r w:rsidRPr="001E3C8E">
        <w:rPr>
          <w:i/>
          <w:szCs w:val="24"/>
          <w:lang w:val="fr-FR"/>
        </w:rPr>
        <w:t>Commentaire :</w:t>
      </w:r>
    </w:p>
    <w:p w14:paraId="3ECF08D1" w14:textId="34F73CB0" w:rsidR="00D107DF" w:rsidRPr="001E3C8E" w:rsidRDefault="00D107DF" w:rsidP="00430901">
      <w:pPr>
        <w:pStyle w:val="ListParagraph"/>
        <w:numPr>
          <w:ilvl w:val="0"/>
          <w:numId w:val="16"/>
        </w:numPr>
        <w:rPr>
          <w:lang w:val="fr-FR"/>
        </w:rPr>
      </w:pPr>
      <w:r w:rsidRPr="001E3C8E">
        <w:rPr>
          <w:lang w:val="fr-FR"/>
        </w:rPr>
        <w:t xml:space="preserve">Les </w:t>
      </w:r>
      <w:r w:rsidR="001A0E85" w:rsidRPr="001E3C8E">
        <w:rPr>
          <w:lang w:val="fr-FR"/>
        </w:rPr>
        <w:t>créditeurs privés</w:t>
      </w:r>
      <w:r w:rsidRPr="001E3C8E">
        <w:rPr>
          <w:lang w:val="fr-FR"/>
        </w:rPr>
        <w:t xml:space="preserve"> doivent faire preuve d’une diligence raisonnable au sujet des droits humains afin d’éviter ou d’atténuer les impacts négatifs éventuels et d’expliquer </w:t>
      </w:r>
      <w:r w:rsidRPr="001E3C8E">
        <w:rPr>
          <w:lang w:val="fr-FR"/>
        </w:rPr>
        <w:lastRenderedPageBreak/>
        <w:t>leur gestion.</w:t>
      </w:r>
    </w:p>
    <w:p w14:paraId="2B47D107" w14:textId="77777777" w:rsidR="00D57582" w:rsidRPr="001E3C8E" w:rsidRDefault="00D57582" w:rsidP="00D57582">
      <w:pPr>
        <w:ind w:left="709"/>
        <w:rPr>
          <w:szCs w:val="24"/>
          <w:lang w:val="fr-FR"/>
        </w:rPr>
      </w:pPr>
    </w:p>
    <w:p w14:paraId="42CE7737" w14:textId="731ADB6E" w:rsidR="006C5608" w:rsidRPr="001E3C8E" w:rsidRDefault="001D4DF6" w:rsidP="00D741B8">
      <w:pPr>
        <w:pStyle w:val="Heading1"/>
        <w:numPr>
          <w:ilvl w:val="0"/>
          <w:numId w:val="27"/>
        </w:numPr>
        <w:rPr>
          <w:szCs w:val="24"/>
          <w:lang w:val="fr-FR"/>
        </w:rPr>
      </w:pPr>
      <w:bookmarkStart w:id="34" w:name="_Toc520991671"/>
      <w:bookmarkStart w:id="35" w:name="_Toc520993162"/>
      <w:bookmarkStart w:id="36" w:name="_Toc521078059"/>
      <w:bookmarkStart w:id="37" w:name="_Toc522789724"/>
      <w:bookmarkEnd w:id="34"/>
      <w:bookmarkEnd w:id="35"/>
      <w:bookmarkEnd w:id="36"/>
      <w:r w:rsidRPr="001E3C8E">
        <w:rPr>
          <w:szCs w:val="24"/>
          <w:lang w:val="fr-FR"/>
        </w:rPr>
        <w:t>Interférence extérieure injustifiée</w:t>
      </w:r>
      <w:r w:rsidR="00AF0F83" w:rsidRPr="001E3C8E">
        <w:rPr>
          <w:rStyle w:val="FootnoteReference"/>
          <w:szCs w:val="24"/>
          <w:lang w:val="fr-FR"/>
        </w:rPr>
        <w:footnoteReference w:id="6"/>
      </w:r>
      <w:bookmarkEnd w:id="37"/>
    </w:p>
    <w:p w14:paraId="038B6F7C" w14:textId="77777777" w:rsidR="007A2DC9" w:rsidRPr="001E3C8E" w:rsidRDefault="007A2DC9" w:rsidP="00E27A1F">
      <w:pPr>
        <w:pStyle w:val="ListParagraph"/>
        <w:spacing w:before="0"/>
        <w:ind w:left="720"/>
        <w:rPr>
          <w:b/>
          <w:szCs w:val="24"/>
          <w:lang w:val="fr-FR"/>
        </w:rPr>
      </w:pPr>
    </w:p>
    <w:p w14:paraId="69EE2A5B" w14:textId="4FAE6BFB" w:rsidR="001D4DF6" w:rsidRPr="001E3C8E" w:rsidRDefault="00F62324" w:rsidP="003B1333">
      <w:pPr>
        <w:pStyle w:val="BodyText"/>
        <w:rPr>
          <w:szCs w:val="24"/>
          <w:lang w:val="fr-FR"/>
        </w:rPr>
      </w:pPr>
      <w:r w:rsidRPr="001E3C8E">
        <w:rPr>
          <w:szCs w:val="24"/>
          <w:lang w:val="fr-FR"/>
        </w:rPr>
        <w:t>Même lorsqu’ils font face à la gestion d’une crise, l</w:t>
      </w:r>
      <w:r w:rsidR="001D4DF6" w:rsidRPr="001E3C8E">
        <w:rPr>
          <w:szCs w:val="24"/>
          <w:lang w:val="fr-FR"/>
        </w:rPr>
        <w:t xml:space="preserve">es </w:t>
      </w:r>
      <w:r w:rsidRPr="001E3C8E">
        <w:rPr>
          <w:szCs w:val="24"/>
          <w:lang w:val="fr-FR"/>
        </w:rPr>
        <w:t>États</w:t>
      </w:r>
      <w:r w:rsidR="001D4DF6" w:rsidRPr="001E3C8E">
        <w:rPr>
          <w:szCs w:val="24"/>
          <w:lang w:val="fr-FR"/>
        </w:rPr>
        <w:t xml:space="preserve"> doivent concevoir et me</w:t>
      </w:r>
      <w:r w:rsidR="00C17375" w:rsidRPr="001E3C8E">
        <w:rPr>
          <w:szCs w:val="24"/>
          <w:lang w:val="fr-FR"/>
        </w:rPr>
        <w:t>t</w:t>
      </w:r>
      <w:r w:rsidR="001D4DF6" w:rsidRPr="001E3C8E">
        <w:rPr>
          <w:szCs w:val="24"/>
          <w:lang w:val="fr-FR"/>
        </w:rPr>
        <w:t>tre en œu</w:t>
      </w:r>
      <w:r w:rsidRPr="001E3C8E">
        <w:rPr>
          <w:szCs w:val="24"/>
          <w:lang w:val="fr-FR"/>
        </w:rPr>
        <w:t>vre des programmes économiques</w:t>
      </w:r>
      <w:r w:rsidR="00C17375" w:rsidRPr="001E3C8E">
        <w:rPr>
          <w:szCs w:val="24"/>
          <w:lang w:val="fr-FR"/>
        </w:rPr>
        <w:t xml:space="preserve"> </w:t>
      </w:r>
      <w:r w:rsidRPr="001E3C8E">
        <w:rPr>
          <w:szCs w:val="24"/>
          <w:lang w:val="fr-FR"/>
        </w:rPr>
        <w:t xml:space="preserve">libres </w:t>
      </w:r>
      <w:r w:rsidR="00C17375" w:rsidRPr="001E3C8E">
        <w:rPr>
          <w:szCs w:val="24"/>
          <w:lang w:val="fr-FR"/>
        </w:rPr>
        <w:t>de toute pression ou influence externe injustifiée et de toute interférence</w:t>
      </w:r>
      <w:r w:rsidRPr="001E3C8E">
        <w:rPr>
          <w:szCs w:val="24"/>
          <w:lang w:val="fr-FR"/>
        </w:rPr>
        <w:t xml:space="preserve"> de la part </w:t>
      </w:r>
      <w:r w:rsidR="00C17375" w:rsidRPr="001E3C8E">
        <w:rPr>
          <w:szCs w:val="24"/>
          <w:lang w:val="fr-FR"/>
        </w:rPr>
        <w:t xml:space="preserve">d’autres </w:t>
      </w:r>
      <w:r w:rsidRPr="001E3C8E">
        <w:rPr>
          <w:szCs w:val="24"/>
          <w:lang w:val="fr-FR"/>
        </w:rPr>
        <w:t>États</w:t>
      </w:r>
      <w:r w:rsidR="00C17375" w:rsidRPr="001E3C8E">
        <w:rPr>
          <w:szCs w:val="24"/>
          <w:lang w:val="fr-FR"/>
        </w:rPr>
        <w:t xml:space="preserve">, d’institutions financières internationales et </w:t>
      </w:r>
      <w:r w:rsidR="000813B0" w:rsidRPr="001E3C8E">
        <w:rPr>
          <w:szCs w:val="24"/>
          <w:lang w:val="fr-FR"/>
        </w:rPr>
        <w:t>de parties prenantes</w:t>
      </w:r>
      <w:r w:rsidR="00C17375" w:rsidRPr="001E3C8E">
        <w:rPr>
          <w:szCs w:val="24"/>
          <w:lang w:val="fr-FR"/>
        </w:rPr>
        <w:t xml:space="preserve"> non-étatiques.</w:t>
      </w:r>
    </w:p>
    <w:bookmarkEnd w:id="29"/>
    <w:p w14:paraId="4CC62928" w14:textId="77777777" w:rsidR="00C869A9" w:rsidRPr="001E3C8E" w:rsidRDefault="00C869A9" w:rsidP="00E27A1F">
      <w:pPr>
        <w:tabs>
          <w:tab w:val="left" w:pos="1950"/>
        </w:tabs>
        <w:jc w:val="both"/>
        <w:rPr>
          <w:sz w:val="24"/>
          <w:szCs w:val="24"/>
          <w:lang w:val="fr-FR"/>
        </w:rPr>
      </w:pPr>
    </w:p>
    <w:p w14:paraId="396FFCE9" w14:textId="738AE114" w:rsidR="00C17375" w:rsidRPr="001E3C8E" w:rsidRDefault="00C17375" w:rsidP="00E27A1F">
      <w:pPr>
        <w:pStyle w:val="ListParagraph"/>
        <w:spacing w:before="0"/>
        <w:ind w:left="720"/>
        <w:rPr>
          <w:i/>
          <w:szCs w:val="24"/>
          <w:lang w:val="fr-FR"/>
        </w:rPr>
      </w:pPr>
      <w:r w:rsidRPr="001E3C8E">
        <w:rPr>
          <w:i/>
          <w:szCs w:val="24"/>
          <w:lang w:val="fr-FR"/>
        </w:rPr>
        <w:t>Commentaire :</w:t>
      </w:r>
    </w:p>
    <w:p w14:paraId="6F773356" w14:textId="5A5ECB34" w:rsidR="00C17375" w:rsidRPr="001E3C8E" w:rsidRDefault="00C17375" w:rsidP="00430901">
      <w:pPr>
        <w:pStyle w:val="ListParagraph"/>
        <w:numPr>
          <w:ilvl w:val="0"/>
          <w:numId w:val="24"/>
        </w:numPr>
        <w:rPr>
          <w:lang w:val="fr-FR"/>
        </w:rPr>
      </w:pPr>
      <w:r w:rsidRPr="001E3C8E">
        <w:rPr>
          <w:lang w:val="fr-FR"/>
        </w:rPr>
        <w:t>Par interférence extérieure injustifiée, on enten</w:t>
      </w:r>
      <w:r w:rsidR="00F62324" w:rsidRPr="001E3C8E">
        <w:rPr>
          <w:lang w:val="fr-FR"/>
        </w:rPr>
        <w:t>d</w:t>
      </w:r>
      <w:r w:rsidRPr="001E3C8E">
        <w:rPr>
          <w:lang w:val="fr-FR"/>
        </w:rPr>
        <w:t xml:space="preserve"> un</w:t>
      </w:r>
      <w:r w:rsidR="00BB3C86" w:rsidRPr="001E3C8E">
        <w:rPr>
          <w:lang w:val="fr-FR"/>
        </w:rPr>
        <w:t>e</w:t>
      </w:r>
      <w:r w:rsidRPr="001E3C8E">
        <w:rPr>
          <w:lang w:val="fr-FR"/>
        </w:rPr>
        <w:t xml:space="preserve"> intervention directe ou indirecte dans les affaires économiques d’un </w:t>
      </w:r>
      <w:r w:rsidR="00BB3C86" w:rsidRPr="001E3C8E">
        <w:rPr>
          <w:lang w:val="fr-FR"/>
        </w:rPr>
        <w:t>État</w:t>
      </w:r>
      <w:r w:rsidRPr="001E3C8E">
        <w:rPr>
          <w:lang w:val="fr-FR"/>
        </w:rPr>
        <w:t xml:space="preserve"> en utilisant ou en encourageant l’utilisation de mesures de politique économique pour l’obliger </w:t>
      </w:r>
      <w:r w:rsidR="00BB3C86" w:rsidRPr="001E3C8E">
        <w:rPr>
          <w:lang w:val="fr-FR"/>
        </w:rPr>
        <w:t xml:space="preserve">à </w:t>
      </w:r>
      <w:r w:rsidRPr="001E3C8E">
        <w:rPr>
          <w:lang w:val="fr-FR"/>
        </w:rPr>
        <w:t xml:space="preserve">prendre et/ou </w:t>
      </w:r>
      <w:r w:rsidR="00BB3C86" w:rsidRPr="001E3C8E">
        <w:rPr>
          <w:lang w:val="fr-FR"/>
        </w:rPr>
        <w:t xml:space="preserve">à </w:t>
      </w:r>
      <w:r w:rsidRPr="001E3C8E">
        <w:rPr>
          <w:lang w:val="fr-FR"/>
        </w:rPr>
        <w:t>mettre en œuvre certaines politique</w:t>
      </w:r>
      <w:r w:rsidR="00D107DF" w:rsidRPr="001E3C8E">
        <w:rPr>
          <w:lang w:val="fr-FR"/>
        </w:rPr>
        <w:t>s</w:t>
      </w:r>
      <w:r w:rsidRPr="001E3C8E">
        <w:rPr>
          <w:lang w:val="fr-FR"/>
        </w:rPr>
        <w:t xml:space="preserve"> économique</w:t>
      </w:r>
      <w:r w:rsidR="00D107DF" w:rsidRPr="001E3C8E">
        <w:rPr>
          <w:lang w:val="fr-FR"/>
        </w:rPr>
        <w:t>s</w:t>
      </w:r>
      <w:r w:rsidRPr="001E3C8E">
        <w:rPr>
          <w:lang w:val="fr-FR"/>
        </w:rPr>
        <w:t xml:space="preserve">. </w:t>
      </w:r>
      <w:r w:rsidR="00BB3C86" w:rsidRPr="001E3C8E">
        <w:rPr>
          <w:lang w:val="fr-FR"/>
        </w:rPr>
        <w:t>Elle</w:t>
      </w:r>
      <w:r w:rsidRPr="001E3C8E">
        <w:rPr>
          <w:lang w:val="fr-FR"/>
        </w:rPr>
        <w:t xml:space="preserve"> peut inclure </w:t>
      </w:r>
      <w:r w:rsidR="00A10C7E" w:rsidRPr="001E3C8E">
        <w:rPr>
          <w:lang w:val="fr-FR"/>
        </w:rPr>
        <w:t xml:space="preserve">à la fois </w:t>
      </w:r>
      <w:r w:rsidR="00D107DF" w:rsidRPr="001E3C8E">
        <w:rPr>
          <w:lang w:val="fr-FR"/>
        </w:rPr>
        <w:t>la conditionnalité</w:t>
      </w:r>
      <w:r w:rsidR="00A10C7E" w:rsidRPr="001E3C8E">
        <w:rPr>
          <w:lang w:val="fr-FR"/>
        </w:rPr>
        <w:t xml:space="preserve"> </w:t>
      </w:r>
      <w:r w:rsidR="00D107DF" w:rsidRPr="001E3C8E">
        <w:rPr>
          <w:lang w:val="fr-FR"/>
        </w:rPr>
        <w:t>des</w:t>
      </w:r>
      <w:r w:rsidR="00A10C7E" w:rsidRPr="001E3C8E">
        <w:rPr>
          <w:lang w:val="fr-FR"/>
        </w:rPr>
        <w:t xml:space="preserve"> programmes d’assistance financière et les conditions implicites imposées de manière non-officielle par les institutions supranationales a</w:t>
      </w:r>
      <w:r w:rsidR="00D107DF" w:rsidRPr="001E3C8E">
        <w:rPr>
          <w:lang w:val="fr-FR"/>
        </w:rPr>
        <w:t>u moyen de stratégies dites « de la carotte et du</w:t>
      </w:r>
      <w:r w:rsidR="00A10C7E" w:rsidRPr="001E3C8E">
        <w:rPr>
          <w:lang w:val="fr-FR"/>
        </w:rPr>
        <w:t xml:space="preserve"> bâton</w:t>
      </w:r>
      <w:r w:rsidR="00D107DF" w:rsidRPr="001E3C8E">
        <w:rPr>
          <w:lang w:val="fr-FR"/>
        </w:rPr>
        <w:t> </w:t>
      </w:r>
      <w:r w:rsidR="00A10C7E" w:rsidRPr="001E3C8E">
        <w:rPr>
          <w:lang w:val="fr-FR"/>
        </w:rPr>
        <w:t>».</w:t>
      </w:r>
    </w:p>
    <w:p w14:paraId="176FCC61" w14:textId="67459A30" w:rsidR="00A10C7E" w:rsidRPr="001E3C8E" w:rsidRDefault="00A10C7E" w:rsidP="00430901">
      <w:pPr>
        <w:pStyle w:val="ListParagraph"/>
        <w:numPr>
          <w:ilvl w:val="0"/>
          <w:numId w:val="24"/>
        </w:numPr>
        <w:rPr>
          <w:lang w:val="fr-FR"/>
        </w:rPr>
      </w:pPr>
      <w:r w:rsidRPr="001E3C8E">
        <w:rPr>
          <w:lang w:val="fr-FR"/>
        </w:rPr>
        <w:t xml:space="preserve">L’utilisation systématique des </w:t>
      </w:r>
      <w:r w:rsidR="00BB3C86" w:rsidRPr="001E3C8E">
        <w:rPr>
          <w:lang w:val="fr-FR"/>
        </w:rPr>
        <w:t>études</w:t>
      </w:r>
      <w:r w:rsidRPr="001E3C8E">
        <w:rPr>
          <w:lang w:val="fr-FR"/>
        </w:rPr>
        <w:t xml:space="preserve"> d’impact sur les droits humains dans le développement de programmes de réformes économiques liés à </w:t>
      </w:r>
      <w:r w:rsidR="00BB3C86" w:rsidRPr="001E3C8E">
        <w:rPr>
          <w:lang w:val="fr-FR"/>
        </w:rPr>
        <w:t xml:space="preserve">des prêts internationaux </w:t>
      </w:r>
      <w:r w:rsidR="00EB7F02" w:rsidRPr="001E3C8E">
        <w:rPr>
          <w:lang w:val="fr-FR"/>
        </w:rPr>
        <w:t>doit</w:t>
      </w:r>
      <w:r w:rsidRPr="001E3C8E">
        <w:rPr>
          <w:lang w:val="fr-FR"/>
        </w:rPr>
        <w:t xml:space="preserve"> </w:t>
      </w:r>
      <w:r w:rsidR="00BB3C86" w:rsidRPr="001E3C8E">
        <w:rPr>
          <w:lang w:val="fr-FR"/>
        </w:rPr>
        <w:t>servir</w:t>
      </w:r>
      <w:r w:rsidRPr="001E3C8E">
        <w:rPr>
          <w:lang w:val="fr-FR"/>
        </w:rPr>
        <w:t xml:space="preserve"> à soutenir les </w:t>
      </w:r>
      <w:r w:rsidR="00BB3C86" w:rsidRPr="001E3C8E">
        <w:rPr>
          <w:lang w:val="fr-FR"/>
        </w:rPr>
        <w:t>États</w:t>
      </w:r>
      <w:r w:rsidRPr="001E3C8E">
        <w:rPr>
          <w:lang w:val="fr-FR"/>
        </w:rPr>
        <w:t xml:space="preserve"> débiteurs dans la mise en œuvre </w:t>
      </w:r>
      <w:r w:rsidR="00BB3C86" w:rsidRPr="001E3C8E">
        <w:rPr>
          <w:lang w:val="fr-FR"/>
        </w:rPr>
        <w:t>de</w:t>
      </w:r>
      <w:r w:rsidRPr="001E3C8E">
        <w:rPr>
          <w:lang w:val="fr-FR"/>
        </w:rPr>
        <w:t xml:space="preserve"> programme</w:t>
      </w:r>
      <w:r w:rsidR="00BB3C86" w:rsidRPr="001E3C8E">
        <w:rPr>
          <w:lang w:val="fr-FR"/>
        </w:rPr>
        <w:t>s</w:t>
      </w:r>
      <w:r w:rsidRPr="001E3C8E">
        <w:rPr>
          <w:lang w:val="fr-FR"/>
        </w:rPr>
        <w:t xml:space="preserve"> de </w:t>
      </w:r>
      <w:r w:rsidR="00BB3C86" w:rsidRPr="001E3C8E">
        <w:rPr>
          <w:lang w:val="fr-FR"/>
        </w:rPr>
        <w:t>gestion de</w:t>
      </w:r>
      <w:r w:rsidRPr="001E3C8E">
        <w:rPr>
          <w:lang w:val="fr-FR"/>
        </w:rPr>
        <w:t xml:space="preserve"> crise libre</w:t>
      </w:r>
      <w:r w:rsidR="00BB3C86" w:rsidRPr="001E3C8E">
        <w:rPr>
          <w:lang w:val="fr-FR"/>
        </w:rPr>
        <w:t>s</w:t>
      </w:r>
      <w:r w:rsidRPr="001E3C8E">
        <w:rPr>
          <w:lang w:val="fr-FR"/>
        </w:rPr>
        <w:t xml:space="preserve"> de toute pression extérieure et qui leur permette</w:t>
      </w:r>
      <w:r w:rsidR="00BB3C86" w:rsidRPr="001E3C8E">
        <w:rPr>
          <w:lang w:val="fr-FR"/>
        </w:rPr>
        <w:t>nt</w:t>
      </w:r>
      <w:r w:rsidRPr="001E3C8E">
        <w:rPr>
          <w:lang w:val="fr-FR"/>
        </w:rPr>
        <w:t xml:space="preserve"> de satisfaire à leurs obligations en matière de droits humains.</w:t>
      </w:r>
    </w:p>
    <w:p w14:paraId="539C42A4" w14:textId="03ADCDD4" w:rsidR="00A10C7E" w:rsidRPr="001E3C8E" w:rsidRDefault="00A10C7E" w:rsidP="00430901">
      <w:pPr>
        <w:pStyle w:val="ListParagraph"/>
        <w:numPr>
          <w:ilvl w:val="0"/>
          <w:numId w:val="24"/>
        </w:numPr>
        <w:rPr>
          <w:lang w:val="fr-FR"/>
        </w:rPr>
      </w:pPr>
      <w:r w:rsidRPr="001E3C8E">
        <w:rPr>
          <w:lang w:val="fr-FR"/>
        </w:rPr>
        <w:t xml:space="preserve">Les </w:t>
      </w:r>
      <w:r w:rsidR="00BB3C86" w:rsidRPr="001E3C8E">
        <w:rPr>
          <w:lang w:val="fr-FR"/>
        </w:rPr>
        <w:t>États</w:t>
      </w:r>
      <w:r w:rsidRPr="001E3C8E">
        <w:rPr>
          <w:lang w:val="fr-FR"/>
        </w:rPr>
        <w:t xml:space="preserve"> doivent avoir accès </w:t>
      </w:r>
      <w:r w:rsidR="00BB3C86" w:rsidRPr="001E3C8E">
        <w:rPr>
          <w:lang w:val="fr-FR"/>
        </w:rPr>
        <w:t>à des</w:t>
      </w:r>
      <w:r w:rsidRPr="001E3C8E">
        <w:rPr>
          <w:lang w:val="fr-FR"/>
        </w:rPr>
        <w:t xml:space="preserve"> sources diversifiées de financement (</w:t>
      </w:r>
      <w:r w:rsidR="00BB3C86" w:rsidRPr="001E3C8E">
        <w:rPr>
          <w:lang w:val="fr-FR"/>
        </w:rPr>
        <w:t xml:space="preserve">sur une base concessionnelle ou de marché) </w:t>
      </w:r>
      <w:r w:rsidRPr="001E3C8E">
        <w:rPr>
          <w:lang w:val="fr-FR"/>
        </w:rPr>
        <w:t xml:space="preserve">dans le cadre d’un marché réellement concurrentiel. </w:t>
      </w:r>
      <w:r w:rsidR="00BB3C86" w:rsidRPr="001E3C8E">
        <w:rPr>
          <w:lang w:val="fr-FR"/>
        </w:rPr>
        <w:t>Étant</w:t>
      </w:r>
      <w:r w:rsidRPr="001E3C8E">
        <w:rPr>
          <w:lang w:val="fr-FR"/>
        </w:rPr>
        <w:t xml:space="preserve"> donné les </w:t>
      </w:r>
      <w:r w:rsidR="00BB3C86" w:rsidRPr="001E3C8E">
        <w:rPr>
          <w:lang w:val="fr-FR"/>
        </w:rPr>
        <w:t>conséquences sociales et politiques des</w:t>
      </w:r>
      <w:r w:rsidRPr="001E3C8E">
        <w:rPr>
          <w:lang w:val="fr-FR"/>
        </w:rPr>
        <w:t xml:space="preserve"> financement</w:t>
      </w:r>
      <w:r w:rsidR="00BB3C86" w:rsidRPr="001E3C8E">
        <w:rPr>
          <w:lang w:val="fr-FR"/>
        </w:rPr>
        <w:t>s</w:t>
      </w:r>
      <w:r w:rsidRPr="001E3C8E">
        <w:rPr>
          <w:lang w:val="fr-FR"/>
        </w:rPr>
        <w:t xml:space="preserve">, les institutions financières </w:t>
      </w:r>
      <w:r w:rsidR="00BB3C86" w:rsidRPr="001E3C8E">
        <w:rPr>
          <w:lang w:val="fr-FR"/>
        </w:rPr>
        <w:t>internationales et les marchés n</w:t>
      </w:r>
      <w:r w:rsidRPr="001E3C8E">
        <w:rPr>
          <w:lang w:val="fr-FR"/>
        </w:rPr>
        <w:t xml:space="preserve">e </w:t>
      </w:r>
      <w:r w:rsidR="00EB7F02" w:rsidRPr="001E3C8E">
        <w:rPr>
          <w:lang w:val="fr-FR"/>
        </w:rPr>
        <w:t>doivent</w:t>
      </w:r>
      <w:r w:rsidRPr="001E3C8E">
        <w:rPr>
          <w:lang w:val="fr-FR"/>
        </w:rPr>
        <w:t xml:space="preserve"> pas automatiquement </w:t>
      </w:r>
      <w:r w:rsidR="00EB7F02" w:rsidRPr="001E3C8E">
        <w:rPr>
          <w:lang w:val="fr-FR"/>
        </w:rPr>
        <w:t>imposer le respect de règles strictes pour</w:t>
      </w:r>
      <w:r w:rsidRPr="001E3C8E">
        <w:rPr>
          <w:lang w:val="fr-FR"/>
        </w:rPr>
        <w:t xml:space="preserve"> leur</w:t>
      </w:r>
      <w:r w:rsidR="00BB3C86" w:rsidRPr="001E3C8E">
        <w:rPr>
          <w:lang w:val="fr-FR"/>
        </w:rPr>
        <w:t>s</w:t>
      </w:r>
      <w:r w:rsidRPr="001E3C8E">
        <w:rPr>
          <w:lang w:val="fr-FR"/>
        </w:rPr>
        <w:t xml:space="preserve"> </w:t>
      </w:r>
      <w:r w:rsidR="00BB3C86" w:rsidRPr="001E3C8E">
        <w:rPr>
          <w:lang w:val="fr-FR"/>
        </w:rPr>
        <w:t>versements</w:t>
      </w:r>
      <w:r w:rsidRPr="001E3C8E">
        <w:rPr>
          <w:lang w:val="fr-FR"/>
        </w:rPr>
        <w:t xml:space="preserve"> </w:t>
      </w:r>
      <w:r w:rsidR="00BB3C86" w:rsidRPr="001E3C8E">
        <w:rPr>
          <w:lang w:val="fr-FR"/>
        </w:rPr>
        <w:t>dans le cadre d’acc</w:t>
      </w:r>
      <w:r w:rsidRPr="001E3C8E">
        <w:rPr>
          <w:lang w:val="fr-FR"/>
        </w:rPr>
        <w:t>ords avec les institutions financières internationales.</w:t>
      </w:r>
    </w:p>
    <w:p w14:paraId="50999B84" w14:textId="73B55FE5" w:rsidR="00A10C7E" w:rsidRPr="001E3C8E" w:rsidRDefault="00A10C7E" w:rsidP="00430901">
      <w:pPr>
        <w:pStyle w:val="ListParagraph"/>
        <w:numPr>
          <w:ilvl w:val="0"/>
          <w:numId w:val="24"/>
        </w:numPr>
        <w:rPr>
          <w:lang w:val="fr-FR"/>
        </w:rPr>
      </w:pPr>
      <w:r w:rsidRPr="001E3C8E">
        <w:rPr>
          <w:lang w:val="fr-FR"/>
        </w:rPr>
        <w:t xml:space="preserve">Les </w:t>
      </w:r>
      <w:r w:rsidR="00BB3C86" w:rsidRPr="001E3C8E">
        <w:rPr>
          <w:lang w:val="fr-FR"/>
        </w:rPr>
        <w:t>États</w:t>
      </w:r>
      <w:r w:rsidRPr="001E3C8E">
        <w:rPr>
          <w:lang w:val="fr-FR"/>
        </w:rPr>
        <w:t xml:space="preserve"> </w:t>
      </w:r>
      <w:r w:rsidR="00EB7F02" w:rsidRPr="001E3C8E">
        <w:rPr>
          <w:lang w:val="fr-FR"/>
        </w:rPr>
        <w:t>doivent</w:t>
      </w:r>
      <w:r w:rsidRPr="001E3C8E">
        <w:rPr>
          <w:lang w:val="fr-FR"/>
        </w:rPr>
        <w:t xml:space="preserve"> être en mesure de concevoir et de mettre en œuvre </w:t>
      </w:r>
      <w:r w:rsidR="00E60DFD" w:rsidRPr="001E3C8E">
        <w:rPr>
          <w:lang w:val="fr-FR"/>
        </w:rPr>
        <w:t xml:space="preserve">des mesures de </w:t>
      </w:r>
      <w:r w:rsidR="00EB7F02" w:rsidRPr="001E3C8E">
        <w:rPr>
          <w:lang w:val="fr-FR"/>
        </w:rPr>
        <w:t>gestion de</w:t>
      </w:r>
      <w:r w:rsidR="00BB3C86" w:rsidRPr="001E3C8E">
        <w:rPr>
          <w:lang w:val="fr-FR"/>
        </w:rPr>
        <w:t xml:space="preserve"> crise</w:t>
      </w:r>
      <w:r w:rsidR="00E60DFD" w:rsidRPr="001E3C8E">
        <w:rPr>
          <w:lang w:val="fr-FR"/>
        </w:rPr>
        <w:t xml:space="preserve"> </w:t>
      </w:r>
      <w:r w:rsidR="00BB3C86" w:rsidRPr="001E3C8E">
        <w:rPr>
          <w:lang w:val="fr-FR"/>
        </w:rPr>
        <w:t xml:space="preserve">libres de tout </w:t>
      </w:r>
      <w:r w:rsidR="00E60DFD" w:rsidRPr="001E3C8E">
        <w:rPr>
          <w:lang w:val="fr-FR"/>
        </w:rPr>
        <w:t xml:space="preserve">accaparement par les grandes entreprises (c’est-à-dire </w:t>
      </w:r>
      <w:r w:rsidR="00BB3C86" w:rsidRPr="001E3C8E">
        <w:rPr>
          <w:lang w:val="fr-FR"/>
        </w:rPr>
        <w:t xml:space="preserve">les obstacles posés par </w:t>
      </w:r>
      <w:r w:rsidR="00E60DFD" w:rsidRPr="001E3C8E">
        <w:rPr>
          <w:lang w:val="fr-FR"/>
        </w:rPr>
        <w:t>les élites économiques, nationales et/ou transnationales</w:t>
      </w:r>
      <w:r w:rsidR="00BB3C86" w:rsidRPr="001E3C8E">
        <w:rPr>
          <w:lang w:val="fr-FR"/>
        </w:rPr>
        <w:t>,</w:t>
      </w:r>
      <w:r w:rsidR="00E60DFD" w:rsidRPr="001E3C8E">
        <w:rPr>
          <w:lang w:val="fr-FR"/>
        </w:rPr>
        <w:t xml:space="preserve"> à la </w:t>
      </w:r>
      <w:r w:rsidR="00346BC8" w:rsidRPr="001E3C8E">
        <w:rPr>
          <w:lang w:val="fr-FR"/>
        </w:rPr>
        <w:t>garantie de l’exercice</w:t>
      </w:r>
      <w:r w:rsidR="00E60DFD" w:rsidRPr="001E3C8E">
        <w:rPr>
          <w:lang w:val="fr-FR"/>
        </w:rPr>
        <w:t xml:space="preserve"> des droits humains, notamment le droit à un environnement sain</w:t>
      </w:r>
      <w:r w:rsidR="00BB3C86" w:rsidRPr="001E3C8E">
        <w:rPr>
          <w:rStyle w:val="FootnoteReference"/>
          <w:szCs w:val="24"/>
          <w:shd w:val="clear" w:color="auto" w:fill="FFFFFF"/>
          <w:lang w:val="fr-FR"/>
        </w:rPr>
        <w:footnoteReference w:id="7"/>
      </w:r>
      <w:r w:rsidR="00BB3C86" w:rsidRPr="001E3C8E">
        <w:rPr>
          <w:shd w:val="clear" w:color="auto" w:fill="FFFFFF"/>
          <w:lang w:val="fr-FR"/>
        </w:rPr>
        <w:t>,</w:t>
      </w:r>
      <w:r w:rsidR="00E60DFD" w:rsidRPr="001E3C8E">
        <w:rPr>
          <w:lang w:val="fr-FR"/>
        </w:rPr>
        <w:t xml:space="preserve"> </w:t>
      </w:r>
      <w:r w:rsidR="00EB7F02" w:rsidRPr="001E3C8E">
        <w:rPr>
          <w:lang w:val="fr-FR"/>
        </w:rPr>
        <w:t>par le biais d’</w:t>
      </w:r>
      <w:r w:rsidR="00E60DFD" w:rsidRPr="001E3C8E">
        <w:rPr>
          <w:lang w:val="fr-FR"/>
        </w:rPr>
        <w:t>une influence excessive</w:t>
      </w:r>
      <w:r w:rsidR="00BB3C86" w:rsidRPr="001E3C8E">
        <w:rPr>
          <w:lang w:val="fr-FR"/>
        </w:rPr>
        <w:t xml:space="preserve"> sur les institutions publiques).</w:t>
      </w:r>
    </w:p>
    <w:p w14:paraId="59357A6D" w14:textId="77777777" w:rsidR="00C869A9" w:rsidRPr="001E3C8E" w:rsidRDefault="00C869A9" w:rsidP="00E27A1F">
      <w:pPr>
        <w:jc w:val="both"/>
        <w:rPr>
          <w:sz w:val="24"/>
          <w:szCs w:val="24"/>
          <w:lang w:val="fr-FR"/>
        </w:rPr>
      </w:pPr>
    </w:p>
    <w:p w14:paraId="7D9C3981" w14:textId="4CAF180E" w:rsidR="00082D17" w:rsidRPr="001E3C8E" w:rsidRDefault="00A74C8A" w:rsidP="00D741B8">
      <w:pPr>
        <w:pStyle w:val="Heading1"/>
        <w:numPr>
          <w:ilvl w:val="0"/>
          <w:numId w:val="27"/>
        </w:numPr>
        <w:rPr>
          <w:szCs w:val="24"/>
          <w:lang w:val="fr-FR"/>
        </w:rPr>
      </w:pPr>
      <w:bookmarkStart w:id="38" w:name="_Toc522789725"/>
      <w:r w:rsidRPr="001E3C8E">
        <w:rPr>
          <w:szCs w:val="24"/>
          <w:lang w:val="fr-FR"/>
        </w:rPr>
        <w:t>Fardeau de la preuve</w:t>
      </w:r>
      <w:bookmarkEnd w:id="38"/>
      <w:r w:rsidRPr="001E3C8E">
        <w:rPr>
          <w:szCs w:val="24"/>
          <w:lang w:val="fr-FR"/>
        </w:rPr>
        <w:t xml:space="preserve"> </w:t>
      </w:r>
    </w:p>
    <w:p w14:paraId="626EFADA" w14:textId="77777777" w:rsidR="00547FE8" w:rsidRPr="001E3C8E" w:rsidRDefault="00547FE8" w:rsidP="00547FE8">
      <w:pPr>
        <w:ind w:firstLine="678"/>
        <w:jc w:val="both"/>
        <w:rPr>
          <w:b/>
          <w:sz w:val="24"/>
          <w:szCs w:val="24"/>
          <w:lang w:val="fr-FR"/>
        </w:rPr>
      </w:pPr>
    </w:p>
    <w:p w14:paraId="6461B58A" w14:textId="24F917FE" w:rsidR="00462DB0" w:rsidRPr="001E3C8E" w:rsidRDefault="00462DB0" w:rsidP="00547FE8">
      <w:pPr>
        <w:ind w:firstLine="678"/>
        <w:jc w:val="both"/>
        <w:rPr>
          <w:b/>
          <w:sz w:val="24"/>
          <w:szCs w:val="24"/>
          <w:lang w:val="fr-FR"/>
        </w:rPr>
      </w:pPr>
      <w:r w:rsidRPr="001E3C8E">
        <w:rPr>
          <w:b/>
          <w:sz w:val="24"/>
          <w:szCs w:val="24"/>
          <w:lang w:val="fr-FR"/>
        </w:rPr>
        <w:t xml:space="preserve">Il est de la </w:t>
      </w:r>
      <w:r w:rsidRPr="001E3C8E">
        <w:rPr>
          <w:b/>
          <w:i/>
          <w:sz w:val="24"/>
          <w:szCs w:val="24"/>
          <w:lang w:val="fr-FR"/>
        </w:rPr>
        <w:t>responsabilité</w:t>
      </w:r>
      <w:r w:rsidR="00F15D03" w:rsidRPr="001E3C8E">
        <w:rPr>
          <w:b/>
          <w:sz w:val="24"/>
          <w:szCs w:val="24"/>
          <w:lang w:val="fr-FR"/>
        </w:rPr>
        <w:t xml:space="preserve"> des </w:t>
      </w:r>
      <w:r w:rsidR="00155E83" w:rsidRPr="001E3C8E">
        <w:rPr>
          <w:b/>
          <w:sz w:val="24"/>
          <w:szCs w:val="24"/>
          <w:lang w:val="fr-FR"/>
        </w:rPr>
        <w:t>États</w:t>
      </w:r>
      <w:r w:rsidR="00F15D03" w:rsidRPr="001E3C8E">
        <w:rPr>
          <w:b/>
          <w:sz w:val="24"/>
          <w:szCs w:val="24"/>
          <w:lang w:val="fr-FR"/>
        </w:rPr>
        <w:t xml:space="preserve"> et, le cas échéant, des créditeurs, de dé</w:t>
      </w:r>
      <w:r w:rsidR="0070544A" w:rsidRPr="001E3C8E">
        <w:rPr>
          <w:b/>
          <w:sz w:val="24"/>
          <w:szCs w:val="24"/>
          <w:lang w:val="fr-FR"/>
        </w:rPr>
        <w:t>montrer que les mesures d</w:t>
      </w:r>
      <w:r w:rsidR="00560E82" w:rsidRPr="001E3C8E">
        <w:rPr>
          <w:b/>
          <w:sz w:val="24"/>
          <w:szCs w:val="24"/>
          <w:lang w:val="fr-FR"/>
        </w:rPr>
        <w:t>’intervention</w:t>
      </w:r>
      <w:r w:rsidR="007C0338" w:rsidRPr="001E3C8E">
        <w:rPr>
          <w:b/>
          <w:sz w:val="24"/>
          <w:szCs w:val="24"/>
          <w:lang w:val="fr-FR"/>
        </w:rPr>
        <w:t xml:space="preserve"> proposées satisferont à leurs obligations en matière de droits humains.</w:t>
      </w:r>
    </w:p>
    <w:p w14:paraId="7CD585BC" w14:textId="77777777" w:rsidR="00547FE8" w:rsidRPr="001E3C8E" w:rsidRDefault="00547FE8" w:rsidP="00547FE8">
      <w:pPr>
        <w:ind w:left="360"/>
        <w:jc w:val="both"/>
        <w:rPr>
          <w:b/>
          <w:sz w:val="24"/>
          <w:szCs w:val="24"/>
          <w:lang w:val="fr-FR"/>
        </w:rPr>
      </w:pPr>
    </w:p>
    <w:p w14:paraId="710EC464" w14:textId="1EE4E23D" w:rsidR="002B5ADE" w:rsidRPr="001E3C8E" w:rsidRDefault="002B5ADE" w:rsidP="00547FE8">
      <w:pPr>
        <w:ind w:firstLine="678"/>
        <w:jc w:val="both"/>
        <w:rPr>
          <w:i/>
          <w:sz w:val="24"/>
          <w:szCs w:val="24"/>
          <w:lang w:val="fr-FR"/>
        </w:rPr>
      </w:pPr>
      <w:r w:rsidRPr="001E3C8E">
        <w:rPr>
          <w:i/>
          <w:sz w:val="24"/>
          <w:szCs w:val="24"/>
          <w:lang w:val="fr-FR"/>
        </w:rPr>
        <w:t>Commentaire :</w:t>
      </w:r>
    </w:p>
    <w:p w14:paraId="0CCF91E5" w14:textId="732D515A" w:rsidR="002B5ADE" w:rsidRPr="001E3C8E" w:rsidRDefault="002B5ADE" w:rsidP="00430901">
      <w:pPr>
        <w:pStyle w:val="ListParagraph"/>
        <w:numPr>
          <w:ilvl w:val="0"/>
          <w:numId w:val="20"/>
        </w:numPr>
        <w:rPr>
          <w:lang w:val="fr-FR"/>
        </w:rPr>
      </w:pPr>
      <w:r w:rsidRPr="001E3C8E">
        <w:rPr>
          <w:lang w:val="fr-FR"/>
        </w:rPr>
        <w:t xml:space="preserve">Les </w:t>
      </w:r>
      <w:r w:rsidR="00155E83" w:rsidRPr="001E3C8E">
        <w:rPr>
          <w:lang w:val="fr-FR"/>
        </w:rPr>
        <w:t>États</w:t>
      </w:r>
      <w:r w:rsidRPr="001E3C8E">
        <w:rPr>
          <w:lang w:val="fr-FR"/>
        </w:rPr>
        <w:t xml:space="preserve"> et, le cas échéant, les institutions financières </w:t>
      </w:r>
      <w:r w:rsidR="00AC2A7E" w:rsidRPr="001E3C8E">
        <w:rPr>
          <w:lang w:val="fr-FR"/>
        </w:rPr>
        <w:t>internationales</w:t>
      </w:r>
      <w:r w:rsidRPr="001E3C8E">
        <w:rPr>
          <w:lang w:val="fr-FR"/>
        </w:rPr>
        <w:t xml:space="preserve"> et </w:t>
      </w:r>
      <w:r w:rsidR="00AC2A7E" w:rsidRPr="001E3C8E">
        <w:rPr>
          <w:lang w:val="fr-FR"/>
        </w:rPr>
        <w:t xml:space="preserve">les </w:t>
      </w:r>
      <w:r w:rsidRPr="001E3C8E">
        <w:rPr>
          <w:lang w:val="fr-FR"/>
        </w:rPr>
        <w:t xml:space="preserve">autres créditeurs doivent </w:t>
      </w:r>
      <w:r w:rsidR="00155E83" w:rsidRPr="001E3C8E">
        <w:rPr>
          <w:lang w:val="fr-FR"/>
        </w:rPr>
        <w:t>tenir compte de</w:t>
      </w:r>
      <w:r w:rsidR="008E397F" w:rsidRPr="001E3C8E">
        <w:rPr>
          <w:lang w:val="fr-FR"/>
        </w:rPr>
        <w:t xml:space="preserve"> </w:t>
      </w:r>
      <w:r w:rsidR="00155E83" w:rsidRPr="001E3C8E">
        <w:rPr>
          <w:lang w:val="fr-FR"/>
        </w:rPr>
        <w:t>l’étude d’impact</w:t>
      </w:r>
      <w:r w:rsidR="007D6ADD" w:rsidRPr="001E3C8E">
        <w:rPr>
          <w:lang w:val="fr-FR"/>
        </w:rPr>
        <w:t xml:space="preserve"> sur les droits humains avant de me</w:t>
      </w:r>
      <w:r w:rsidR="00155E83" w:rsidRPr="001E3C8E">
        <w:rPr>
          <w:lang w:val="fr-FR"/>
        </w:rPr>
        <w:t>t</w:t>
      </w:r>
      <w:r w:rsidR="007D6ADD" w:rsidRPr="001E3C8E">
        <w:rPr>
          <w:lang w:val="fr-FR"/>
        </w:rPr>
        <w:t xml:space="preserve">tre en </w:t>
      </w:r>
      <w:r w:rsidR="00155E83" w:rsidRPr="001E3C8E">
        <w:rPr>
          <w:lang w:val="fr-FR"/>
        </w:rPr>
        <w:t>œuvre</w:t>
      </w:r>
      <w:r w:rsidR="007D6ADD" w:rsidRPr="001E3C8E">
        <w:rPr>
          <w:lang w:val="fr-FR"/>
        </w:rPr>
        <w:t xml:space="preserve"> des réformes économiques susceptibles de nuire </w:t>
      </w:r>
      <w:r w:rsidR="00AC2A7E" w:rsidRPr="001E3C8E">
        <w:rPr>
          <w:lang w:val="fr-FR"/>
        </w:rPr>
        <w:t xml:space="preserve">à la jouissance </w:t>
      </w:r>
      <w:r w:rsidR="007D6ADD" w:rsidRPr="001E3C8E">
        <w:rPr>
          <w:lang w:val="fr-FR"/>
        </w:rPr>
        <w:t>des droits humains.</w:t>
      </w:r>
    </w:p>
    <w:p w14:paraId="6327BE3A" w14:textId="77777777" w:rsidR="00644FCD" w:rsidRPr="001E3C8E" w:rsidRDefault="00644FCD" w:rsidP="0015444C">
      <w:pPr>
        <w:rPr>
          <w:lang w:val="fr-FR"/>
        </w:rPr>
      </w:pPr>
    </w:p>
    <w:p w14:paraId="107C1421" w14:textId="4246C168" w:rsidR="00AC2A7E" w:rsidRPr="001E3C8E" w:rsidRDefault="00AC2A7E" w:rsidP="00D741B8">
      <w:pPr>
        <w:pStyle w:val="Heading1"/>
        <w:numPr>
          <w:ilvl w:val="0"/>
          <w:numId w:val="27"/>
        </w:numPr>
        <w:rPr>
          <w:szCs w:val="24"/>
          <w:lang w:val="fr-FR"/>
        </w:rPr>
      </w:pPr>
      <w:bookmarkStart w:id="39" w:name="_Toc522789726"/>
      <w:r w:rsidRPr="001E3C8E">
        <w:rPr>
          <w:szCs w:val="24"/>
          <w:lang w:val="fr-FR"/>
        </w:rPr>
        <w:t xml:space="preserve">Normes </w:t>
      </w:r>
      <w:r w:rsidR="00155E83" w:rsidRPr="001E3C8E">
        <w:rPr>
          <w:szCs w:val="24"/>
          <w:lang w:val="fr-FR"/>
        </w:rPr>
        <w:t>et lois</w:t>
      </w:r>
      <w:r w:rsidR="0058642C" w:rsidRPr="001E3C8E">
        <w:rPr>
          <w:szCs w:val="24"/>
          <w:lang w:val="fr-FR"/>
        </w:rPr>
        <w:t xml:space="preserve"> applicables en matière de </w:t>
      </w:r>
      <w:r w:rsidRPr="001E3C8E">
        <w:rPr>
          <w:szCs w:val="24"/>
          <w:lang w:val="fr-FR"/>
        </w:rPr>
        <w:t xml:space="preserve">droits </w:t>
      </w:r>
      <w:r w:rsidR="00155E83" w:rsidRPr="001E3C8E">
        <w:rPr>
          <w:szCs w:val="24"/>
          <w:lang w:val="fr-FR"/>
        </w:rPr>
        <w:t>humains</w:t>
      </w:r>
      <w:bookmarkEnd w:id="39"/>
    </w:p>
    <w:p w14:paraId="4DFCBEA3" w14:textId="77777777" w:rsidR="00783AAA" w:rsidRPr="001E3C8E" w:rsidRDefault="00783AAA" w:rsidP="00E27A1F">
      <w:pPr>
        <w:ind w:firstLine="678"/>
        <w:jc w:val="both"/>
        <w:rPr>
          <w:b/>
          <w:sz w:val="24"/>
          <w:szCs w:val="24"/>
          <w:lang w:val="fr-FR"/>
        </w:rPr>
      </w:pPr>
    </w:p>
    <w:p w14:paraId="7A8B6678" w14:textId="46B13DAB" w:rsidR="00022D46" w:rsidRPr="001E3C8E" w:rsidRDefault="00155E83" w:rsidP="003B1333">
      <w:pPr>
        <w:pStyle w:val="BodyText"/>
        <w:rPr>
          <w:szCs w:val="24"/>
          <w:lang w:val="fr-FR"/>
        </w:rPr>
      </w:pPr>
      <w:r w:rsidRPr="001E3C8E">
        <w:rPr>
          <w:szCs w:val="24"/>
          <w:lang w:val="fr-FR"/>
        </w:rPr>
        <w:t>Lorsqu’ils décident de mesures économiques</w:t>
      </w:r>
      <w:r w:rsidR="00022D46" w:rsidRPr="001E3C8E">
        <w:rPr>
          <w:szCs w:val="24"/>
          <w:lang w:val="fr-FR"/>
        </w:rPr>
        <w:t xml:space="preserve">, les </w:t>
      </w:r>
      <w:r w:rsidRPr="001E3C8E">
        <w:rPr>
          <w:szCs w:val="24"/>
          <w:lang w:val="fr-FR"/>
        </w:rPr>
        <w:t>États</w:t>
      </w:r>
      <w:r w:rsidR="00022D46" w:rsidRPr="001E3C8E">
        <w:rPr>
          <w:szCs w:val="24"/>
          <w:lang w:val="fr-FR"/>
        </w:rPr>
        <w:t xml:space="preserve"> et les créditeurs doivent être guidés par le droit international et les </w:t>
      </w:r>
      <w:r w:rsidR="00536200" w:rsidRPr="001E3C8E">
        <w:rPr>
          <w:szCs w:val="24"/>
          <w:lang w:val="fr-FR"/>
        </w:rPr>
        <w:t xml:space="preserve">normes </w:t>
      </w:r>
      <w:r w:rsidR="00022D46" w:rsidRPr="001E3C8E">
        <w:rPr>
          <w:szCs w:val="24"/>
          <w:lang w:val="fr-FR"/>
        </w:rPr>
        <w:t>existant</w:t>
      </w:r>
      <w:r w:rsidR="00536200" w:rsidRPr="001E3C8E">
        <w:rPr>
          <w:szCs w:val="24"/>
          <w:lang w:val="fr-FR"/>
        </w:rPr>
        <w:t>e</w:t>
      </w:r>
      <w:r w:rsidR="00022D46" w:rsidRPr="001E3C8E">
        <w:rPr>
          <w:szCs w:val="24"/>
          <w:lang w:val="fr-FR"/>
        </w:rPr>
        <w:t>s relatif</w:t>
      </w:r>
      <w:r w:rsidRPr="001E3C8E">
        <w:rPr>
          <w:szCs w:val="24"/>
          <w:lang w:val="fr-FR"/>
        </w:rPr>
        <w:t>s</w:t>
      </w:r>
      <w:r w:rsidR="00022D46" w:rsidRPr="001E3C8E">
        <w:rPr>
          <w:szCs w:val="24"/>
          <w:lang w:val="fr-FR"/>
        </w:rPr>
        <w:t xml:space="preserve"> aux droits humains </w:t>
      </w:r>
      <w:r w:rsidR="005F1D19" w:rsidRPr="001E3C8E">
        <w:rPr>
          <w:szCs w:val="24"/>
          <w:lang w:val="fr-FR"/>
        </w:rPr>
        <w:t>en matière de droits civils, culturels, économiques, politiques et sociaux, aux niveaux mondial et régional.</w:t>
      </w:r>
    </w:p>
    <w:p w14:paraId="4F928448" w14:textId="77777777" w:rsidR="00783AAA" w:rsidRPr="001E3C8E" w:rsidRDefault="00783AAA" w:rsidP="00E27A1F">
      <w:pPr>
        <w:pStyle w:val="ListParagraph"/>
        <w:spacing w:before="0"/>
        <w:ind w:left="720"/>
        <w:rPr>
          <w:szCs w:val="24"/>
          <w:lang w:val="fr-FR"/>
        </w:rPr>
      </w:pPr>
    </w:p>
    <w:p w14:paraId="3B0CE838" w14:textId="68724CA1" w:rsidR="00692E01" w:rsidRPr="001E3C8E" w:rsidRDefault="00692E01" w:rsidP="009C3347">
      <w:pPr>
        <w:rPr>
          <w:i/>
          <w:sz w:val="24"/>
          <w:szCs w:val="24"/>
          <w:lang w:val="fr-FR"/>
        </w:rPr>
      </w:pPr>
      <w:bookmarkStart w:id="40" w:name="_Toc517164447"/>
      <w:bookmarkStart w:id="41" w:name="_Toc517164541"/>
      <w:r w:rsidRPr="001E3C8E">
        <w:rPr>
          <w:i/>
          <w:sz w:val="24"/>
          <w:szCs w:val="24"/>
          <w:lang w:val="fr-FR"/>
        </w:rPr>
        <w:t>Commentaire</w:t>
      </w:r>
      <w:r w:rsidR="00155E83" w:rsidRPr="001E3C8E">
        <w:rPr>
          <w:i/>
          <w:sz w:val="24"/>
          <w:szCs w:val="24"/>
          <w:lang w:val="fr-FR"/>
        </w:rPr>
        <w:t> :</w:t>
      </w:r>
    </w:p>
    <w:p w14:paraId="1C5FF2A8" w14:textId="104B4799" w:rsidR="00692E01" w:rsidRPr="001E3C8E" w:rsidRDefault="00692E01" w:rsidP="00430901">
      <w:pPr>
        <w:pStyle w:val="ListParagraph"/>
        <w:numPr>
          <w:ilvl w:val="0"/>
          <w:numId w:val="21"/>
        </w:numPr>
        <w:rPr>
          <w:lang w:val="fr-FR"/>
        </w:rPr>
      </w:pPr>
      <w:r w:rsidRPr="001E3C8E">
        <w:rPr>
          <w:lang w:val="fr-FR"/>
        </w:rPr>
        <w:t xml:space="preserve">Ceci inclut les principaux traités internationaux et régionaux </w:t>
      </w:r>
      <w:r w:rsidR="00155E83" w:rsidRPr="001E3C8E">
        <w:rPr>
          <w:lang w:val="fr-FR"/>
        </w:rPr>
        <w:t>ainsi</w:t>
      </w:r>
      <w:r w:rsidRPr="001E3C8E">
        <w:rPr>
          <w:lang w:val="fr-FR"/>
        </w:rPr>
        <w:t xml:space="preserve"> que leur interprétation autorisée dans les commentaires généraux, les déclarations, les décisions, les observations finales et les recommandations formulées par les organes de </w:t>
      </w:r>
      <w:r w:rsidR="00155E83" w:rsidRPr="001E3C8E">
        <w:rPr>
          <w:lang w:val="fr-FR"/>
        </w:rPr>
        <w:t>surveillance</w:t>
      </w:r>
      <w:r w:rsidRPr="001E3C8E">
        <w:rPr>
          <w:lang w:val="fr-FR"/>
        </w:rPr>
        <w:t xml:space="preserve"> de l’application</w:t>
      </w:r>
      <w:r w:rsidR="00155E83" w:rsidRPr="001E3C8E">
        <w:rPr>
          <w:lang w:val="fr-FR"/>
        </w:rPr>
        <w:t xml:space="preserve"> des traités</w:t>
      </w:r>
      <w:r w:rsidRPr="001E3C8E">
        <w:rPr>
          <w:lang w:val="fr-FR"/>
        </w:rPr>
        <w:t>. Ceci inclut aussi d’autres outils d’interprétation, principes directeurs et recommandations développés par différents mécanismes mondiaux et régionaux en matière de droits humains.</w:t>
      </w:r>
    </w:p>
    <w:p w14:paraId="72B1D111" w14:textId="6807D04E" w:rsidR="00692E01" w:rsidRPr="001E3C8E" w:rsidRDefault="00692E01" w:rsidP="00430901">
      <w:pPr>
        <w:pStyle w:val="ListParagraph"/>
        <w:numPr>
          <w:ilvl w:val="0"/>
          <w:numId w:val="21"/>
        </w:numPr>
        <w:rPr>
          <w:lang w:val="fr-FR"/>
        </w:rPr>
      </w:pPr>
      <w:r w:rsidRPr="001E3C8E">
        <w:rPr>
          <w:lang w:val="fr-FR"/>
        </w:rPr>
        <w:t xml:space="preserve">Conformément au </w:t>
      </w:r>
      <w:r w:rsidR="00155E83" w:rsidRPr="001E3C8E">
        <w:rPr>
          <w:lang w:val="fr-FR"/>
        </w:rPr>
        <w:t>principe</w:t>
      </w:r>
      <w:r w:rsidRPr="001E3C8E">
        <w:rPr>
          <w:lang w:val="fr-FR"/>
        </w:rPr>
        <w:t xml:space="preserve"> </w:t>
      </w:r>
      <w:r w:rsidRPr="001E3C8E">
        <w:rPr>
          <w:i/>
          <w:lang w:val="fr-FR"/>
        </w:rPr>
        <w:t>pro homine</w:t>
      </w:r>
      <w:r w:rsidRPr="001E3C8E">
        <w:rPr>
          <w:lang w:val="fr-FR"/>
        </w:rPr>
        <w:t>, les normes les plus protectrices en matière de droits humains (qu’elles soient nationales ou internationales</w:t>
      </w:r>
      <w:r w:rsidR="00155E83" w:rsidRPr="001E3C8E">
        <w:rPr>
          <w:lang w:val="fr-FR"/>
        </w:rPr>
        <w:t>)</w:t>
      </w:r>
      <w:r w:rsidRPr="001E3C8E">
        <w:rPr>
          <w:lang w:val="fr-FR"/>
        </w:rPr>
        <w:t xml:space="preserve"> doivent guider les </w:t>
      </w:r>
      <w:r w:rsidR="00155E83" w:rsidRPr="001E3C8E">
        <w:rPr>
          <w:lang w:val="fr-FR"/>
        </w:rPr>
        <w:t>États</w:t>
      </w:r>
      <w:r w:rsidRPr="001E3C8E">
        <w:rPr>
          <w:lang w:val="fr-FR"/>
        </w:rPr>
        <w:t xml:space="preserve"> et les créditeurs dans leurs politiques de réforme économique.</w:t>
      </w:r>
    </w:p>
    <w:bookmarkEnd w:id="40"/>
    <w:bookmarkEnd w:id="41"/>
    <w:p w14:paraId="0585833C" w14:textId="35D4C1BB" w:rsidR="00CC4644" w:rsidRPr="001E3C8E" w:rsidRDefault="00155E83" w:rsidP="00430901">
      <w:pPr>
        <w:pStyle w:val="ListParagraph"/>
        <w:numPr>
          <w:ilvl w:val="0"/>
          <w:numId w:val="21"/>
        </w:numPr>
        <w:rPr>
          <w:szCs w:val="24"/>
          <w:lang w:val="fr-FR"/>
        </w:rPr>
      </w:pPr>
      <w:r w:rsidRPr="001E3C8E">
        <w:rPr>
          <w:lang w:val="fr-FR"/>
        </w:rPr>
        <w:t>Parmi les</w:t>
      </w:r>
      <w:r w:rsidR="00CC4644" w:rsidRPr="001E3C8E">
        <w:rPr>
          <w:szCs w:val="24"/>
          <w:lang w:val="fr-FR"/>
        </w:rPr>
        <w:t xml:space="preserve"> normes</w:t>
      </w:r>
      <w:r w:rsidRPr="001E3C8E">
        <w:rPr>
          <w:szCs w:val="24"/>
          <w:lang w:val="fr-FR"/>
        </w:rPr>
        <w:t xml:space="preserve"> relatives aux droits humains</w:t>
      </w:r>
      <w:r w:rsidR="00CC4644" w:rsidRPr="001E3C8E">
        <w:rPr>
          <w:szCs w:val="24"/>
          <w:lang w:val="fr-FR"/>
        </w:rPr>
        <w:t xml:space="preserve"> particulièrement pertinentes pour concevoir les mesures de </w:t>
      </w:r>
      <w:r w:rsidRPr="001E3C8E">
        <w:rPr>
          <w:szCs w:val="24"/>
          <w:lang w:val="fr-FR"/>
        </w:rPr>
        <w:t xml:space="preserve">gestion de </w:t>
      </w:r>
      <w:r w:rsidR="00CC4644" w:rsidRPr="001E3C8E">
        <w:rPr>
          <w:szCs w:val="24"/>
          <w:lang w:val="fr-FR"/>
        </w:rPr>
        <w:t xml:space="preserve">crises et pour guider les politiques de réforme économique conformément aux obligations internationales relatives aux droits humains </w:t>
      </w:r>
      <w:r w:rsidRPr="001E3C8E">
        <w:rPr>
          <w:szCs w:val="24"/>
          <w:lang w:val="fr-FR"/>
        </w:rPr>
        <w:t>comptent</w:t>
      </w:r>
      <w:r w:rsidR="00CC4644" w:rsidRPr="001E3C8E">
        <w:rPr>
          <w:szCs w:val="24"/>
          <w:lang w:val="fr-FR"/>
        </w:rPr>
        <w:t> :</w:t>
      </w:r>
    </w:p>
    <w:p w14:paraId="30E047FE" w14:textId="7844CBF0" w:rsidR="00B30033" w:rsidRPr="001E3C8E" w:rsidRDefault="00155E83" w:rsidP="00CC4644">
      <w:pPr>
        <w:pStyle w:val="ListParagraph"/>
        <w:numPr>
          <w:ilvl w:val="0"/>
          <w:numId w:val="7"/>
        </w:numPr>
        <w:rPr>
          <w:i/>
          <w:szCs w:val="24"/>
          <w:u w:val="single"/>
          <w:lang w:val="fr-FR"/>
        </w:rPr>
      </w:pPr>
      <w:r w:rsidRPr="001E3C8E">
        <w:rPr>
          <w:i/>
          <w:szCs w:val="24"/>
          <w:u w:val="single"/>
          <w:lang w:val="fr-FR"/>
        </w:rPr>
        <w:t>L’é</w:t>
      </w:r>
      <w:r w:rsidR="00CC4644" w:rsidRPr="001E3C8E">
        <w:rPr>
          <w:i/>
          <w:szCs w:val="24"/>
          <w:u w:val="single"/>
          <w:lang w:val="fr-FR"/>
        </w:rPr>
        <w:t>galité et</w:t>
      </w:r>
      <w:r w:rsidRPr="001E3C8E">
        <w:rPr>
          <w:i/>
          <w:szCs w:val="24"/>
          <w:u w:val="single"/>
          <w:lang w:val="fr-FR"/>
        </w:rPr>
        <w:t xml:space="preserve"> la</w:t>
      </w:r>
      <w:r w:rsidR="00CC4644" w:rsidRPr="001E3C8E">
        <w:rPr>
          <w:i/>
          <w:szCs w:val="24"/>
          <w:u w:val="single"/>
          <w:lang w:val="fr-FR"/>
        </w:rPr>
        <w:t xml:space="preserve"> non-discrimination</w:t>
      </w:r>
      <w:r w:rsidR="00567232" w:rsidRPr="001E3C8E">
        <w:rPr>
          <w:vertAlign w:val="superscript"/>
          <w:lang w:val="fr-FR"/>
        </w:rPr>
        <w:footnoteReference w:id="8"/>
      </w:r>
      <w:r w:rsidR="00567232" w:rsidRPr="001E3C8E">
        <w:rPr>
          <w:szCs w:val="24"/>
          <w:lang w:val="fr-FR"/>
        </w:rPr>
        <w:t xml:space="preserve"> </w:t>
      </w:r>
    </w:p>
    <w:p w14:paraId="0250A084" w14:textId="77777777" w:rsidR="00155E83" w:rsidRPr="001E3C8E" w:rsidRDefault="00155E83" w:rsidP="00155E83">
      <w:pPr>
        <w:pStyle w:val="ListParagraph"/>
        <w:ind w:left="1996"/>
        <w:rPr>
          <w:i/>
          <w:szCs w:val="24"/>
          <w:u w:val="single"/>
          <w:lang w:val="fr-FR"/>
        </w:rPr>
      </w:pPr>
    </w:p>
    <w:p w14:paraId="1C7CC452" w14:textId="5469A7A4" w:rsidR="00CC4644" w:rsidRPr="001E3C8E" w:rsidRDefault="00CC4644" w:rsidP="009E2119">
      <w:pPr>
        <w:ind w:left="720"/>
        <w:jc w:val="both"/>
        <w:rPr>
          <w:sz w:val="24"/>
          <w:szCs w:val="24"/>
          <w:lang w:val="fr-FR"/>
        </w:rPr>
      </w:pPr>
      <w:r w:rsidRPr="001E3C8E">
        <w:rPr>
          <w:sz w:val="24"/>
          <w:szCs w:val="24"/>
          <w:lang w:val="fr-FR"/>
        </w:rPr>
        <w:t xml:space="preserve">Les politiques et mesures de réforme économique ne doivent pas être discriminatoires, et doivent tenter de garantir l’égalité </w:t>
      </w:r>
      <w:r w:rsidR="00155E83" w:rsidRPr="001E3C8E">
        <w:rPr>
          <w:sz w:val="24"/>
          <w:szCs w:val="24"/>
          <w:lang w:val="fr-FR"/>
        </w:rPr>
        <w:t>de</w:t>
      </w:r>
      <w:r w:rsidR="00863510" w:rsidRPr="001E3C8E">
        <w:rPr>
          <w:sz w:val="24"/>
          <w:szCs w:val="24"/>
          <w:lang w:val="fr-FR"/>
        </w:rPr>
        <w:t xml:space="preserve"> tous. C</w:t>
      </w:r>
      <w:r w:rsidRPr="001E3C8E">
        <w:rPr>
          <w:sz w:val="24"/>
          <w:szCs w:val="24"/>
          <w:lang w:val="fr-FR"/>
        </w:rPr>
        <w:t xml:space="preserve">es mesures doivent </w:t>
      </w:r>
      <w:r w:rsidR="00687244" w:rsidRPr="001E3C8E">
        <w:rPr>
          <w:sz w:val="24"/>
          <w:szCs w:val="24"/>
          <w:lang w:val="fr-FR"/>
        </w:rPr>
        <w:t>utiliser</w:t>
      </w:r>
      <w:r w:rsidRPr="001E3C8E">
        <w:rPr>
          <w:sz w:val="24"/>
          <w:szCs w:val="24"/>
          <w:lang w:val="fr-FR"/>
        </w:rPr>
        <w:t xml:space="preserve"> tous les moyens possibles, notamment en matière de politique fisc</w:t>
      </w:r>
      <w:r w:rsidR="00687244" w:rsidRPr="001E3C8E">
        <w:rPr>
          <w:sz w:val="24"/>
          <w:szCs w:val="24"/>
          <w:lang w:val="fr-FR"/>
        </w:rPr>
        <w:t xml:space="preserve">ale, pour soutenir les </w:t>
      </w:r>
      <w:r w:rsidR="00687244" w:rsidRPr="001E3C8E">
        <w:rPr>
          <w:sz w:val="24"/>
          <w:szCs w:val="24"/>
          <w:lang w:val="fr-FR"/>
        </w:rPr>
        <w:lastRenderedPageBreak/>
        <w:t>transferts</w:t>
      </w:r>
      <w:r w:rsidRPr="001E3C8E">
        <w:rPr>
          <w:sz w:val="24"/>
          <w:szCs w:val="24"/>
          <w:lang w:val="fr-FR"/>
        </w:rPr>
        <w:t xml:space="preserve"> sociaux afin d’atténuer les inégalités qui peuvent </w:t>
      </w:r>
      <w:r w:rsidR="00863510" w:rsidRPr="001E3C8E">
        <w:rPr>
          <w:sz w:val="24"/>
          <w:szCs w:val="24"/>
          <w:lang w:val="fr-FR"/>
        </w:rPr>
        <w:t>augmenter</w:t>
      </w:r>
      <w:r w:rsidRPr="001E3C8E">
        <w:rPr>
          <w:sz w:val="24"/>
          <w:szCs w:val="24"/>
          <w:lang w:val="fr-FR"/>
        </w:rPr>
        <w:t xml:space="preserve"> en période de crise. </w:t>
      </w:r>
      <w:r w:rsidR="00863510" w:rsidRPr="001E3C8E">
        <w:rPr>
          <w:sz w:val="24"/>
          <w:szCs w:val="24"/>
          <w:lang w:val="fr-FR"/>
        </w:rPr>
        <w:t>L</w:t>
      </w:r>
      <w:r w:rsidRPr="001E3C8E">
        <w:rPr>
          <w:sz w:val="24"/>
          <w:szCs w:val="24"/>
          <w:lang w:val="fr-FR"/>
        </w:rPr>
        <w:t xml:space="preserve">es </w:t>
      </w:r>
      <w:r w:rsidR="00863510" w:rsidRPr="001E3C8E">
        <w:rPr>
          <w:sz w:val="24"/>
          <w:szCs w:val="24"/>
          <w:lang w:val="fr-FR"/>
        </w:rPr>
        <w:t>États</w:t>
      </w:r>
      <w:r w:rsidRPr="001E3C8E">
        <w:rPr>
          <w:sz w:val="24"/>
          <w:szCs w:val="24"/>
          <w:lang w:val="fr-FR"/>
        </w:rPr>
        <w:t xml:space="preserve"> doivent </w:t>
      </w:r>
      <w:r w:rsidR="00687244" w:rsidRPr="001E3C8E">
        <w:rPr>
          <w:sz w:val="24"/>
          <w:szCs w:val="24"/>
          <w:lang w:val="fr-FR"/>
        </w:rPr>
        <w:t>évaluer</w:t>
      </w:r>
      <w:r w:rsidR="00863510" w:rsidRPr="001E3C8E">
        <w:rPr>
          <w:sz w:val="24"/>
          <w:szCs w:val="24"/>
          <w:lang w:val="fr-FR"/>
        </w:rPr>
        <w:t xml:space="preserve"> à cette fin les </w:t>
      </w:r>
      <w:r w:rsidRPr="001E3C8E">
        <w:rPr>
          <w:sz w:val="24"/>
          <w:szCs w:val="24"/>
          <w:lang w:val="fr-FR"/>
        </w:rPr>
        <w:t>impact</w:t>
      </w:r>
      <w:r w:rsidR="00863510" w:rsidRPr="001E3C8E">
        <w:rPr>
          <w:sz w:val="24"/>
          <w:szCs w:val="24"/>
          <w:lang w:val="fr-FR"/>
        </w:rPr>
        <w:t>s</w:t>
      </w:r>
      <w:r w:rsidRPr="001E3C8E">
        <w:rPr>
          <w:sz w:val="24"/>
          <w:szCs w:val="24"/>
          <w:lang w:val="fr-FR"/>
        </w:rPr>
        <w:t xml:space="preserve"> discriminatoire</w:t>
      </w:r>
      <w:r w:rsidR="00863510" w:rsidRPr="001E3C8E">
        <w:rPr>
          <w:sz w:val="24"/>
          <w:szCs w:val="24"/>
          <w:lang w:val="fr-FR"/>
        </w:rPr>
        <w:t>s</w:t>
      </w:r>
      <w:r w:rsidRPr="001E3C8E">
        <w:rPr>
          <w:sz w:val="24"/>
          <w:szCs w:val="24"/>
          <w:lang w:val="fr-FR"/>
        </w:rPr>
        <w:t xml:space="preserve"> direct</w:t>
      </w:r>
      <w:r w:rsidR="00863510" w:rsidRPr="001E3C8E">
        <w:rPr>
          <w:sz w:val="24"/>
          <w:szCs w:val="24"/>
          <w:lang w:val="fr-FR"/>
        </w:rPr>
        <w:t>s</w:t>
      </w:r>
      <w:r w:rsidRPr="001E3C8E">
        <w:rPr>
          <w:sz w:val="24"/>
          <w:szCs w:val="24"/>
          <w:lang w:val="fr-FR"/>
        </w:rPr>
        <w:t xml:space="preserve"> et indirect</w:t>
      </w:r>
      <w:r w:rsidR="00863510" w:rsidRPr="001E3C8E">
        <w:rPr>
          <w:sz w:val="24"/>
          <w:szCs w:val="24"/>
          <w:lang w:val="fr-FR"/>
        </w:rPr>
        <w:t>s</w:t>
      </w:r>
      <w:r w:rsidRPr="001E3C8E">
        <w:rPr>
          <w:sz w:val="24"/>
          <w:szCs w:val="24"/>
          <w:lang w:val="fr-FR"/>
        </w:rPr>
        <w:t xml:space="preserve"> </w:t>
      </w:r>
      <w:r w:rsidR="00687244" w:rsidRPr="001E3C8E">
        <w:rPr>
          <w:sz w:val="24"/>
          <w:szCs w:val="24"/>
          <w:lang w:val="fr-FR"/>
        </w:rPr>
        <w:t xml:space="preserve">des mesures nécessitant une </w:t>
      </w:r>
      <w:r w:rsidR="00863510" w:rsidRPr="001E3C8E">
        <w:rPr>
          <w:sz w:val="24"/>
          <w:szCs w:val="24"/>
          <w:lang w:val="fr-FR"/>
        </w:rPr>
        <w:t>étude</w:t>
      </w:r>
      <w:r w:rsidR="00687244" w:rsidRPr="001E3C8E">
        <w:rPr>
          <w:sz w:val="24"/>
          <w:szCs w:val="24"/>
          <w:lang w:val="fr-FR"/>
        </w:rPr>
        <w:t xml:space="preserve"> d’imp</w:t>
      </w:r>
      <w:r w:rsidR="00863510" w:rsidRPr="001E3C8E">
        <w:rPr>
          <w:sz w:val="24"/>
          <w:szCs w:val="24"/>
          <w:lang w:val="fr-FR"/>
        </w:rPr>
        <w:t>act sur les droits humains d</w:t>
      </w:r>
      <w:r w:rsidR="00687244" w:rsidRPr="001E3C8E">
        <w:rPr>
          <w:sz w:val="24"/>
          <w:szCs w:val="24"/>
          <w:lang w:val="fr-FR"/>
        </w:rPr>
        <w:t xml:space="preserve">es individus les plus marginalisés et les plus exclus et </w:t>
      </w:r>
      <w:r w:rsidR="00863510" w:rsidRPr="001E3C8E">
        <w:rPr>
          <w:sz w:val="24"/>
          <w:szCs w:val="24"/>
          <w:lang w:val="fr-FR"/>
        </w:rPr>
        <w:t>étudier</w:t>
      </w:r>
      <w:r w:rsidR="00687244" w:rsidRPr="001E3C8E">
        <w:rPr>
          <w:sz w:val="24"/>
          <w:szCs w:val="24"/>
          <w:lang w:val="fr-FR"/>
        </w:rPr>
        <w:t xml:space="preserve"> les mesures alternatives capables de compenser ces impacts de manière adaptée.</w:t>
      </w:r>
    </w:p>
    <w:p w14:paraId="4C7733B2" w14:textId="5AF51F2B" w:rsidR="00961FD5" w:rsidRPr="001E3C8E" w:rsidRDefault="00961FD5" w:rsidP="00410B44">
      <w:pPr>
        <w:pStyle w:val="ListParagraph"/>
        <w:numPr>
          <w:ilvl w:val="0"/>
          <w:numId w:val="7"/>
        </w:numPr>
        <w:rPr>
          <w:i/>
          <w:szCs w:val="24"/>
          <w:u w:val="single"/>
          <w:lang w:val="fr-FR"/>
        </w:rPr>
      </w:pPr>
      <w:r w:rsidRPr="001E3C8E">
        <w:rPr>
          <w:i/>
          <w:szCs w:val="24"/>
          <w:u w:val="single"/>
          <w:lang w:val="fr-FR"/>
        </w:rPr>
        <w:t>La p</w:t>
      </w:r>
      <w:r w:rsidR="00687244" w:rsidRPr="001E3C8E">
        <w:rPr>
          <w:i/>
          <w:szCs w:val="24"/>
          <w:u w:val="single"/>
          <w:lang w:val="fr-FR"/>
        </w:rPr>
        <w:t>rise de mesures</w:t>
      </w:r>
    </w:p>
    <w:p w14:paraId="55864967" w14:textId="77777777" w:rsidR="003E7C51" w:rsidRPr="001E3C8E" w:rsidRDefault="003E7C51" w:rsidP="001C6FAF">
      <w:pPr>
        <w:ind w:left="720"/>
        <w:rPr>
          <w:sz w:val="24"/>
          <w:szCs w:val="24"/>
          <w:lang w:val="fr-FR"/>
        </w:rPr>
      </w:pPr>
    </w:p>
    <w:p w14:paraId="48BD8D5A" w14:textId="21C88877" w:rsidR="004A06AD" w:rsidRPr="001E3C8E" w:rsidRDefault="004A06AD" w:rsidP="001C6FAF">
      <w:pPr>
        <w:ind w:left="720"/>
        <w:rPr>
          <w:sz w:val="24"/>
          <w:szCs w:val="24"/>
          <w:lang w:val="fr-FR"/>
        </w:rPr>
      </w:pPr>
      <w:r w:rsidRPr="001E3C8E">
        <w:rPr>
          <w:sz w:val="24"/>
          <w:szCs w:val="24"/>
          <w:lang w:val="fr-FR"/>
        </w:rPr>
        <w:t xml:space="preserve">Les </w:t>
      </w:r>
      <w:r w:rsidR="003E7C51" w:rsidRPr="001E3C8E">
        <w:rPr>
          <w:sz w:val="24"/>
          <w:szCs w:val="24"/>
          <w:lang w:val="fr-FR"/>
        </w:rPr>
        <w:t>États</w:t>
      </w:r>
      <w:r w:rsidRPr="001E3C8E">
        <w:rPr>
          <w:sz w:val="24"/>
          <w:szCs w:val="24"/>
          <w:lang w:val="fr-FR"/>
        </w:rPr>
        <w:t xml:space="preserve"> doivent pren</w:t>
      </w:r>
      <w:r w:rsidR="003E7C51" w:rsidRPr="001E3C8E">
        <w:rPr>
          <w:sz w:val="24"/>
          <w:szCs w:val="24"/>
          <w:lang w:val="fr-FR"/>
        </w:rPr>
        <w:t xml:space="preserve">dre des mesures pour assurer la </w:t>
      </w:r>
      <w:r w:rsidR="00357C0C" w:rsidRPr="001E3C8E">
        <w:rPr>
          <w:sz w:val="24"/>
          <w:szCs w:val="24"/>
          <w:lang w:val="fr-FR"/>
        </w:rPr>
        <w:t>garantie</w:t>
      </w:r>
      <w:r w:rsidR="003E7C51" w:rsidRPr="001E3C8E">
        <w:rPr>
          <w:sz w:val="24"/>
          <w:szCs w:val="24"/>
          <w:lang w:val="fr-FR"/>
        </w:rPr>
        <w:t xml:space="preserve"> progressive</w:t>
      </w:r>
      <w:r w:rsidRPr="001E3C8E">
        <w:rPr>
          <w:sz w:val="24"/>
          <w:szCs w:val="24"/>
          <w:lang w:val="fr-FR"/>
        </w:rPr>
        <w:t xml:space="preserve"> </w:t>
      </w:r>
      <w:r w:rsidR="00357C0C" w:rsidRPr="001E3C8E">
        <w:rPr>
          <w:sz w:val="24"/>
          <w:szCs w:val="24"/>
          <w:lang w:val="fr-FR"/>
        </w:rPr>
        <w:t xml:space="preserve">de l’exercice </w:t>
      </w:r>
      <w:r w:rsidRPr="001E3C8E">
        <w:rPr>
          <w:sz w:val="24"/>
          <w:szCs w:val="24"/>
          <w:lang w:val="fr-FR"/>
        </w:rPr>
        <w:t xml:space="preserve">des droits humains dans le cadre du Pacte international relatif aux droits économiques, sociaux et culturels. </w:t>
      </w:r>
      <w:r w:rsidR="00961FD5" w:rsidRPr="001E3C8E">
        <w:rPr>
          <w:sz w:val="24"/>
          <w:szCs w:val="24"/>
          <w:lang w:val="fr-FR"/>
        </w:rPr>
        <w:t>Ces</w:t>
      </w:r>
      <w:r w:rsidRPr="001E3C8E">
        <w:rPr>
          <w:sz w:val="24"/>
          <w:szCs w:val="24"/>
          <w:lang w:val="fr-FR"/>
        </w:rPr>
        <w:t xml:space="preserve"> mesures doivent être délibérées, concrètes et cib</w:t>
      </w:r>
      <w:r w:rsidR="00961FD5" w:rsidRPr="001E3C8E">
        <w:rPr>
          <w:sz w:val="24"/>
          <w:szCs w:val="24"/>
          <w:lang w:val="fr-FR"/>
        </w:rPr>
        <w:t xml:space="preserve">lées, et avoir pour finalité le respect </w:t>
      </w:r>
      <w:r w:rsidRPr="001E3C8E">
        <w:rPr>
          <w:sz w:val="24"/>
          <w:szCs w:val="24"/>
          <w:lang w:val="fr-FR"/>
        </w:rPr>
        <w:t>des droits.</w:t>
      </w:r>
    </w:p>
    <w:p w14:paraId="2D5CA908" w14:textId="1EE24000" w:rsidR="004A06AD" w:rsidRPr="001E3C8E" w:rsidRDefault="00961FD5" w:rsidP="004A06AD">
      <w:pPr>
        <w:pStyle w:val="ListParagraph"/>
        <w:numPr>
          <w:ilvl w:val="0"/>
          <w:numId w:val="7"/>
        </w:numPr>
        <w:rPr>
          <w:i/>
          <w:szCs w:val="24"/>
          <w:u w:val="single"/>
          <w:lang w:val="fr-FR"/>
        </w:rPr>
      </w:pPr>
      <w:bookmarkStart w:id="42" w:name="_Toc517081072"/>
      <w:bookmarkStart w:id="43" w:name="_Toc517082638"/>
      <w:bookmarkStart w:id="44" w:name="_Toc517083999"/>
      <w:bookmarkStart w:id="45" w:name="_Toc517101441"/>
      <w:bookmarkStart w:id="46" w:name="_Toc517101529"/>
      <w:bookmarkStart w:id="47" w:name="_Toc517101675"/>
      <w:bookmarkStart w:id="48" w:name="_Toc517101794"/>
      <w:bookmarkStart w:id="49" w:name="_Toc517164405"/>
      <w:bookmarkStart w:id="50" w:name="_Toc517164449"/>
      <w:bookmarkStart w:id="51" w:name="_Toc517164499"/>
      <w:bookmarkStart w:id="52" w:name="_Toc517164543"/>
      <w:bookmarkEnd w:id="42"/>
      <w:bookmarkEnd w:id="43"/>
      <w:bookmarkEnd w:id="44"/>
      <w:bookmarkEnd w:id="45"/>
      <w:bookmarkEnd w:id="46"/>
      <w:bookmarkEnd w:id="47"/>
      <w:bookmarkEnd w:id="48"/>
      <w:bookmarkEnd w:id="49"/>
      <w:bookmarkEnd w:id="50"/>
      <w:bookmarkEnd w:id="51"/>
      <w:bookmarkEnd w:id="52"/>
      <w:r w:rsidRPr="001E3C8E">
        <w:rPr>
          <w:i/>
          <w:szCs w:val="24"/>
          <w:u w:val="single"/>
          <w:lang w:val="fr-FR"/>
        </w:rPr>
        <w:t>L’utilisation maximale des</w:t>
      </w:r>
      <w:r w:rsidR="004A06AD" w:rsidRPr="001E3C8E">
        <w:rPr>
          <w:i/>
          <w:szCs w:val="24"/>
          <w:u w:val="single"/>
          <w:lang w:val="fr-FR"/>
        </w:rPr>
        <w:t xml:space="preserve"> ressources disponibles</w:t>
      </w:r>
    </w:p>
    <w:p w14:paraId="1A053A22" w14:textId="77777777" w:rsidR="004A06AD" w:rsidRPr="001E3C8E" w:rsidRDefault="004A06AD" w:rsidP="004A06AD">
      <w:pPr>
        <w:pStyle w:val="ListParagraph"/>
        <w:ind w:left="1996"/>
        <w:rPr>
          <w:i/>
          <w:szCs w:val="24"/>
          <w:u w:val="single"/>
          <w:lang w:val="fr-FR"/>
        </w:rPr>
      </w:pPr>
    </w:p>
    <w:p w14:paraId="2760E0C8" w14:textId="1B17928F" w:rsidR="004A06AD" w:rsidRPr="001E3C8E" w:rsidRDefault="004A06AD" w:rsidP="002F2830">
      <w:pPr>
        <w:ind w:left="720"/>
        <w:jc w:val="both"/>
        <w:rPr>
          <w:lang w:val="fr-FR"/>
        </w:rPr>
      </w:pPr>
      <w:r w:rsidRPr="001E3C8E">
        <w:rPr>
          <w:lang w:val="fr-FR"/>
        </w:rPr>
        <w:t xml:space="preserve">Les </w:t>
      </w:r>
      <w:r w:rsidR="0013144A" w:rsidRPr="001E3C8E">
        <w:rPr>
          <w:lang w:val="fr-FR"/>
        </w:rPr>
        <w:t>États</w:t>
      </w:r>
      <w:r w:rsidRPr="001E3C8E">
        <w:rPr>
          <w:lang w:val="fr-FR"/>
        </w:rPr>
        <w:t xml:space="preserve"> doivent maximiser leur utilisation des ressources disponibles po</w:t>
      </w:r>
      <w:r w:rsidR="0013144A" w:rsidRPr="001E3C8E">
        <w:rPr>
          <w:lang w:val="fr-FR"/>
        </w:rPr>
        <w:t xml:space="preserve">ur atteindre progressivement le respect total </w:t>
      </w:r>
      <w:r w:rsidRPr="001E3C8E">
        <w:rPr>
          <w:lang w:val="fr-FR"/>
        </w:rPr>
        <w:t>des droits économiques, sociaux et culturels</w:t>
      </w:r>
      <w:r w:rsidR="0013144A" w:rsidRPr="001E3C8E">
        <w:rPr>
          <w:lang w:val="fr-FR"/>
        </w:rPr>
        <w:t>.</w:t>
      </w:r>
      <w:r w:rsidR="0013144A" w:rsidRPr="001E3C8E">
        <w:rPr>
          <w:vertAlign w:val="superscript"/>
          <w:lang w:val="fr-FR"/>
        </w:rPr>
        <w:footnoteReference w:id="9"/>
      </w:r>
      <w:r w:rsidRPr="001E3C8E">
        <w:rPr>
          <w:lang w:val="fr-FR"/>
        </w:rPr>
        <w:t xml:space="preserve"> </w:t>
      </w:r>
      <w:r w:rsidR="0013144A" w:rsidRPr="001E3C8E">
        <w:rPr>
          <w:lang w:val="fr-FR"/>
        </w:rPr>
        <w:t>Dans le cas contraire</w:t>
      </w:r>
      <w:r w:rsidRPr="001E3C8E">
        <w:rPr>
          <w:lang w:val="fr-FR"/>
        </w:rPr>
        <w:t xml:space="preserve">, les </w:t>
      </w:r>
      <w:r w:rsidR="0013144A" w:rsidRPr="001E3C8E">
        <w:rPr>
          <w:lang w:val="fr-FR"/>
        </w:rPr>
        <w:t>États</w:t>
      </w:r>
      <w:r w:rsidRPr="001E3C8E">
        <w:rPr>
          <w:lang w:val="fr-FR"/>
        </w:rPr>
        <w:t xml:space="preserve"> doivent </w:t>
      </w:r>
      <w:r w:rsidR="0013144A" w:rsidRPr="001E3C8E">
        <w:rPr>
          <w:lang w:val="fr-FR"/>
        </w:rPr>
        <w:t>pouvoir</w:t>
      </w:r>
      <w:r w:rsidRPr="001E3C8E">
        <w:rPr>
          <w:lang w:val="fr-FR"/>
        </w:rPr>
        <w:t xml:space="preserve"> justifier leur décision de ne pas le faire conformément aux critères stricts établis par le Comité sur les DESC </w:t>
      </w:r>
      <w:r w:rsidR="0013144A" w:rsidRPr="001E3C8E">
        <w:rPr>
          <w:lang w:val="fr-FR"/>
        </w:rPr>
        <w:t>quant à</w:t>
      </w:r>
      <w:r w:rsidRPr="001E3C8E">
        <w:rPr>
          <w:lang w:val="fr-FR"/>
        </w:rPr>
        <w:t xml:space="preserve"> la justification des mesures</w:t>
      </w:r>
      <w:r w:rsidR="00B63505" w:rsidRPr="001E3C8E">
        <w:rPr>
          <w:lang w:val="fr-FR"/>
        </w:rPr>
        <w:t xml:space="preserve"> adoptées</w:t>
      </w:r>
      <w:r w:rsidRPr="001E3C8E">
        <w:rPr>
          <w:lang w:val="fr-FR"/>
        </w:rPr>
        <w:t xml:space="preserve">. Dans tous les cas, les </w:t>
      </w:r>
      <w:r w:rsidR="0013144A" w:rsidRPr="001E3C8E">
        <w:rPr>
          <w:lang w:val="fr-FR"/>
        </w:rPr>
        <w:t>États</w:t>
      </w:r>
      <w:r w:rsidRPr="001E3C8E">
        <w:rPr>
          <w:lang w:val="fr-FR"/>
        </w:rPr>
        <w:t xml:space="preserve"> doivent prouver </w:t>
      </w:r>
      <w:r w:rsidR="0013144A" w:rsidRPr="001E3C8E">
        <w:rPr>
          <w:lang w:val="fr-FR"/>
        </w:rPr>
        <w:t xml:space="preserve">qu’ils ont fourni tous </w:t>
      </w:r>
      <w:r w:rsidRPr="001E3C8E">
        <w:rPr>
          <w:lang w:val="fr-FR"/>
        </w:rPr>
        <w:t xml:space="preserve">les efforts possibles pour mobiliser </w:t>
      </w:r>
      <w:r w:rsidR="0013144A" w:rsidRPr="001E3C8E">
        <w:rPr>
          <w:lang w:val="fr-FR"/>
        </w:rPr>
        <w:t>un maximum de</w:t>
      </w:r>
      <w:r w:rsidRPr="001E3C8E">
        <w:rPr>
          <w:lang w:val="fr-FR"/>
        </w:rPr>
        <w:t xml:space="preserve"> ressources</w:t>
      </w:r>
      <w:r w:rsidR="00B63505" w:rsidRPr="001E3C8E">
        <w:rPr>
          <w:lang w:val="fr-FR"/>
        </w:rPr>
        <w:t xml:space="preserve"> disponibles</w:t>
      </w:r>
      <w:r w:rsidRPr="001E3C8E">
        <w:rPr>
          <w:lang w:val="fr-FR"/>
        </w:rPr>
        <w:t>, même en période de crise économique</w:t>
      </w:r>
      <w:r w:rsidR="0013144A" w:rsidRPr="001E3C8E">
        <w:rPr>
          <w:lang w:val="fr-FR"/>
        </w:rPr>
        <w:t>.</w:t>
      </w:r>
      <w:r w:rsidR="0013144A" w:rsidRPr="001E3C8E">
        <w:rPr>
          <w:vertAlign w:val="superscript"/>
          <w:lang w:val="fr-FR"/>
        </w:rPr>
        <w:footnoteReference w:id="10"/>
      </w:r>
      <w:r w:rsidRPr="001E3C8E">
        <w:rPr>
          <w:lang w:val="fr-FR"/>
        </w:rPr>
        <w:t xml:space="preserve"> Les </w:t>
      </w:r>
      <w:r w:rsidR="0013144A" w:rsidRPr="001E3C8E">
        <w:rPr>
          <w:lang w:val="fr-FR"/>
        </w:rPr>
        <w:t xml:space="preserve">politiques fiscales, monétaires, commerciales ou relatives </w:t>
      </w:r>
      <w:r w:rsidRPr="001E3C8E">
        <w:rPr>
          <w:lang w:val="fr-FR"/>
        </w:rPr>
        <w:t>à la de</w:t>
      </w:r>
      <w:r w:rsidR="0013144A" w:rsidRPr="001E3C8E">
        <w:rPr>
          <w:lang w:val="fr-FR"/>
        </w:rPr>
        <w:t xml:space="preserve">tte, au commerce, ou à l’aide doivent chercher à garantir le respect </w:t>
      </w:r>
      <w:r w:rsidRPr="001E3C8E">
        <w:rPr>
          <w:lang w:val="fr-FR"/>
        </w:rPr>
        <w:t xml:space="preserve">des droits humains. </w:t>
      </w:r>
    </w:p>
    <w:p w14:paraId="286456DD" w14:textId="0F308810" w:rsidR="004A06AD" w:rsidRPr="001E3C8E" w:rsidRDefault="00B63505" w:rsidP="00430901">
      <w:pPr>
        <w:pStyle w:val="ListParagraph"/>
        <w:numPr>
          <w:ilvl w:val="0"/>
          <w:numId w:val="7"/>
        </w:numPr>
        <w:rPr>
          <w:i/>
          <w:szCs w:val="24"/>
          <w:u w:val="single"/>
          <w:lang w:val="fr-FR"/>
        </w:rPr>
      </w:pPr>
      <w:r w:rsidRPr="001E3C8E">
        <w:rPr>
          <w:i/>
          <w:szCs w:val="24"/>
          <w:u w:val="single"/>
          <w:lang w:val="fr-FR"/>
        </w:rPr>
        <w:t xml:space="preserve">Réalisation </w:t>
      </w:r>
      <w:r w:rsidR="004A06AD" w:rsidRPr="001E3C8E">
        <w:rPr>
          <w:i/>
          <w:szCs w:val="24"/>
          <w:u w:val="single"/>
          <w:lang w:val="fr-FR"/>
        </w:rPr>
        <w:t xml:space="preserve">progressive </w:t>
      </w:r>
      <w:r w:rsidR="00BE0A37" w:rsidRPr="001E3C8E">
        <w:rPr>
          <w:i/>
          <w:szCs w:val="24"/>
          <w:u w:val="single"/>
          <w:lang w:val="fr-FR"/>
        </w:rPr>
        <w:t xml:space="preserve">de l’exercice des droits </w:t>
      </w:r>
      <w:r w:rsidR="004A06AD" w:rsidRPr="001E3C8E">
        <w:rPr>
          <w:i/>
          <w:szCs w:val="24"/>
          <w:u w:val="single"/>
          <w:lang w:val="fr-FR"/>
        </w:rPr>
        <w:t>et interdiction des reculs inacceptables</w:t>
      </w:r>
    </w:p>
    <w:p w14:paraId="2EFAA32D" w14:textId="77777777" w:rsidR="00AE29AB" w:rsidRPr="001E3C8E" w:rsidRDefault="00AE29AB" w:rsidP="00AE29AB">
      <w:pPr>
        <w:ind w:left="1636"/>
        <w:rPr>
          <w:i/>
          <w:szCs w:val="24"/>
          <w:u w:val="single"/>
          <w:lang w:val="fr-FR"/>
        </w:rPr>
      </w:pPr>
    </w:p>
    <w:p w14:paraId="7AD11639" w14:textId="128339A9" w:rsidR="004A06AD" w:rsidRPr="001E3C8E" w:rsidRDefault="004A06AD" w:rsidP="00C206BE">
      <w:pPr>
        <w:ind w:left="720"/>
        <w:jc w:val="both"/>
        <w:rPr>
          <w:sz w:val="24"/>
          <w:szCs w:val="24"/>
          <w:lang w:val="fr-FR"/>
        </w:rPr>
      </w:pPr>
      <w:r w:rsidRPr="001E3C8E">
        <w:rPr>
          <w:sz w:val="24"/>
          <w:szCs w:val="24"/>
          <w:lang w:val="fr-FR"/>
        </w:rPr>
        <w:t xml:space="preserve">Les </w:t>
      </w:r>
      <w:r w:rsidR="00AE29AB" w:rsidRPr="001E3C8E">
        <w:rPr>
          <w:sz w:val="24"/>
          <w:szCs w:val="24"/>
          <w:lang w:val="fr-FR"/>
        </w:rPr>
        <w:t>États</w:t>
      </w:r>
      <w:r w:rsidRPr="001E3C8E">
        <w:rPr>
          <w:sz w:val="24"/>
          <w:szCs w:val="24"/>
          <w:lang w:val="fr-FR"/>
        </w:rPr>
        <w:t xml:space="preserve"> étant dans l’obligation de </w:t>
      </w:r>
      <w:r w:rsidR="0097482F" w:rsidRPr="001E3C8E">
        <w:rPr>
          <w:sz w:val="24"/>
          <w:szCs w:val="24"/>
          <w:lang w:val="fr-FR"/>
        </w:rPr>
        <w:t xml:space="preserve">réaliser </w:t>
      </w:r>
      <w:r w:rsidR="00B23450" w:rsidRPr="001E3C8E">
        <w:rPr>
          <w:sz w:val="24"/>
          <w:szCs w:val="24"/>
          <w:lang w:val="fr-FR"/>
        </w:rPr>
        <w:t>progressivement l</w:t>
      </w:r>
      <w:r w:rsidRPr="001E3C8E">
        <w:rPr>
          <w:sz w:val="24"/>
          <w:szCs w:val="24"/>
          <w:lang w:val="fr-FR"/>
        </w:rPr>
        <w:t>es droits économiques,</w:t>
      </w:r>
      <w:r w:rsidR="00B23450" w:rsidRPr="001E3C8E">
        <w:rPr>
          <w:sz w:val="24"/>
          <w:szCs w:val="24"/>
          <w:lang w:val="fr-FR"/>
        </w:rPr>
        <w:t xml:space="preserve"> sociaux et culturels</w:t>
      </w:r>
      <w:r w:rsidRPr="001E3C8E">
        <w:rPr>
          <w:sz w:val="24"/>
          <w:szCs w:val="24"/>
          <w:lang w:val="fr-FR"/>
        </w:rPr>
        <w:t xml:space="preserve">, tout recul inacceptable sera considéré </w:t>
      </w:r>
      <w:r w:rsidRPr="001E3C8E">
        <w:rPr>
          <w:i/>
          <w:sz w:val="24"/>
          <w:szCs w:val="24"/>
          <w:lang w:val="fr-FR"/>
        </w:rPr>
        <w:t>prima facie</w:t>
      </w:r>
      <w:r w:rsidRPr="001E3C8E">
        <w:rPr>
          <w:sz w:val="24"/>
          <w:szCs w:val="24"/>
          <w:lang w:val="fr-FR"/>
        </w:rPr>
        <w:t xml:space="preserve"> comme une violation des droits </w:t>
      </w:r>
      <w:r w:rsidR="00AE29AB" w:rsidRPr="001E3C8E">
        <w:rPr>
          <w:sz w:val="24"/>
          <w:szCs w:val="24"/>
          <w:lang w:val="fr-FR"/>
        </w:rPr>
        <w:t xml:space="preserve">accordés par le </w:t>
      </w:r>
      <w:r w:rsidRPr="001E3C8E">
        <w:rPr>
          <w:sz w:val="24"/>
          <w:szCs w:val="24"/>
          <w:lang w:val="fr-FR"/>
        </w:rPr>
        <w:t>Pacte.</w:t>
      </w:r>
      <w:r w:rsidR="003A170B" w:rsidRPr="001E3C8E">
        <w:rPr>
          <w:sz w:val="24"/>
          <w:szCs w:val="24"/>
          <w:lang w:val="fr-FR"/>
        </w:rPr>
        <w:t xml:space="preserve"> L</w:t>
      </w:r>
      <w:r w:rsidR="00AE29AB" w:rsidRPr="001E3C8E">
        <w:rPr>
          <w:sz w:val="24"/>
          <w:szCs w:val="24"/>
          <w:lang w:val="fr-FR"/>
        </w:rPr>
        <w:t xml:space="preserve">a clé de voûte de </w:t>
      </w:r>
      <w:r w:rsidR="003A170B" w:rsidRPr="001E3C8E">
        <w:rPr>
          <w:sz w:val="24"/>
          <w:szCs w:val="24"/>
          <w:lang w:val="fr-FR"/>
        </w:rPr>
        <w:t>l’évaluation des réformes économiques est l’int</w:t>
      </w:r>
      <w:r w:rsidR="00B23450" w:rsidRPr="001E3C8E">
        <w:rPr>
          <w:sz w:val="24"/>
          <w:szCs w:val="24"/>
          <w:lang w:val="fr-FR"/>
        </w:rPr>
        <w:t>erdiction de tout recul dans l</w:t>
      </w:r>
      <w:r w:rsidR="0097482F" w:rsidRPr="001E3C8E">
        <w:rPr>
          <w:sz w:val="24"/>
          <w:szCs w:val="24"/>
          <w:lang w:val="fr-FR"/>
        </w:rPr>
        <w:t xml:space="preserve">a protection </w:t>
      </w:r>
      <w:r w:rsidR="003A170B" w:rsidRPr="001E3C8E">
        <w:rPr>
          <w:sz w:val="24"/>
          <w:szCs w:val="24"/>
          <w:lang w:val="fr-FR"/>
        </w:rPr>
        <w:t xml:space="preserve">des droits économiques, sociaux et culturels. </w:t>
      </w:r>
      <w:r w:rsidR="00AE29AB" w:rsidRPr="001E3C8E">
        <w:rPr>
          <w:sz w:val="24"/>
          <w:szCs w:val="24"/>
          <w:lang w:val="fr-FR"/>
        </w:rPr>
        <w:t>Conformément aux déclarations du</w:t>
      </w:r>
      <w:r w:rsidR="003A170B" w:rsidRPr="001E3C8E">
        <w:rPr>
          <w:sz w:val="24"/>
          <w:szCs w:val="24"/>
          <w:lang w:val="fr-FR"/>
        </w:rPr>
        <w:t xml:space="preserve"> Comité sur les Droits économiques, sociaux et culturels</w:t>
      </w:r>
      <w:r w:rsidR="00AE29AB" w:rsidRPr="001E3C8E">
        <w:rPr>
          <w:sz w:val="24"/>
          <w:szCs w:val="24"/>
          <w:vertAlign w:val="superscript"/>
          <w:lang w:val="fr-FR"/>
        </w:rPr>
        <w:footnoteReference w:id="11"/>
      </w:r>
      <w:r w:rsidR="003A170B" w:rsidRPr="001E3C8E">
        <w:rPr>
          <w:sz w:val="24"/>
          <w:szCs w:val="24"/>
          <w:lang w:val="fr-FR"/>
        </w:rPr>
        <w:t xml:space="preserve">, </w:t>
      </w:r>
      <w:r w:rsidR="00AE29AB" w:rsidRPr="001E3C8E">
        <w:rPr>
          <w:sz w:val="24"/>
          <w:szCs w:val="24"/>
          <w:lang w:val="fr-FR"/>
        </w:rPr>
        <w:t>les mesure</w:t>
      </w:r>
      <w:r w:rsidR="0069461E" w:rsidRPr="001E3C8E">
        <w:rPr>
          <w:sz w:val="24"/>
          <w:szCs w:val="24"/>
          <w:lang w:val="fr-FR"/>
        </w:rPr>
        <w:t>s</w:t>
      </w:r>
      <w:r w:rsidR="00AE29AB" w:rsidRPr="001E3C8E">
        <w:rPr>
          <w:sz w:val="24"/>
          <w:szCs w:val="24"/>
          <w:lang w:val="fr-FR"/>
        </w:rPr>
        <w:t xml:space="preserve"> susceptibles de nuire à la jouissance </w:t>
      </w:r>
      <w:r w:rsidR="003A170B" w:rsidRPr="001E3C8E">
        <w:rPr>
          <w:sz w:val="24"/>
          <w:szCs w:val="24"/>
          <w:lang w:val="fr-FR"/>
        </w:rPr>
        <w:t>de ces droit</w:t>
      </w:r>
      <w:r w:rsidR="0069461E" w:rsidRPr="001E3C8E">
        <w:rPr>
          <w:sz w:val="24"/>
          <w:szCs w:val="24"/>
          <w:lang w:val="fr-FR"/>
        </w:rPr>
        <w:t>s</w:t>
      </w:r>
      <w:r w:rsidR="003A170B" w:rsidRPr="001E3C8E">
        <w:rPr>
          <w:sz w:val="24"/>
          <w:szCs w:val="24"/>
          <w:lang w:val="fr-FR"/>
        </w:rPr>
        <w:t xml:space="preserve"> </w:t>
      </w:r>
      <w:r w:rsidR="00AE29AB" w:rsidRPr="001E3C8E">
        <w:rPr>
          <w:sz w:val="24"/>
          <w:szCs w:val="24"/>
          <w:lang w:val="fr-FR"/>
        </w:rPr>
        <w:t>ne seront</w:t>
      </w:r>
      <w:r w:rsidR="003A170B" w:rsidRPr="001E3C8E">
        <w:rPr>
          <w:sz w:val="24"/>
          <w:szCs w:val="24"/>
          <w:lang w:val="fr-FR"/>
        </w:rPr>
        <w:t xml:space="preserve"> acceptable</w:t>
      </w:r>
      <w:r w:rsidR="00AE29AB" w:rsidRPr="001E3C8E">
        <w:rPr>
          <w:sz w:val="24"/>
          <w:szCs w:val="24"/>
          <w:lang w:val="fr-FR"/>
        </w:rPr>
        <w:t>s</w:t>
      </w:r>
      <w:r w:rsidR="003A170B" w:rsidRPr="001E3C8E">
        <w:rPr>
          <w:sz w:val="24"/>
          <w:szCs w:val="24"/>
          <w:lang w:val="fr-FR"/>
        </w:rPr>
        <w:t xml:space="preserve"> que si les </w:t>
      </w:r>
      <w:r w:rsidR="00AE29AB" w:rsidRPr="001E3C8E">
        <w:rPr>
          <w:sz w:val="24"/>
          <w:szCs w:val="24"/>
          <w:lang w:val="fr-FR"/>
        </w:rPr>
        <w:t>États</w:t>
      </w:r>
      <w:r w:rsidR="003A170B" w:rsidRPr="001E3C8E">
        <w:rPr>
          <w:sz w:val="24"/>
          <w:szCs w:val="24"/>
          <w:lang w:val="fr-FR"/>
        </w:rPr>
        <w:t xml:space="preserve"> peuvent prouver </w:t>
      </w:r>
      <w:r w:rsidR="00AE29AB" w:rsidRPr="001E3C8E">
        <w:rPr>
          <w:sz w:val="24"/>
          <w:szCs w:val="24"/>
          <w:lang w:val="fr-FR"/>
        </w:rPr>
        <w:t xml:space="preserve">qu’elles </w:t>
      </w:r>
      <w:r w:rsidR="003A170B" w:rsidRPr="001E3C8E">
        <w:rPr>
          <w:sz w:val="24"/>
          <w:szCs w:val="24"/>
          <w:lang w:val="fr-FR"/>
        </w:rPr>
        <w:t>sont :</w:t>
      </w:r>
      <w:r w:rsidRPr="001E3C8E">
        <w:rPr>
          <w:sz w:val="24"/>
          <w:szCs w:val="24"/>
          <w:lang w:val="fr-FR"/>
        </w:rPr>
        <w:t xml:space="preserve"> </w:t>
      </w:r>
    </w:p>
    <w:p w14:paraId="4B44B50D" w14:textId="0BA72DF7" w:rsidR="003A170B" w:rsidRPr="001E3C8E" w:rsidRDefault="003A170B" w:rsidP="00430901">
      <w:pPr>
        <w:pStyle w:val="ListParagraph"/>
        <w:numPr>
          <w:ilvl w:val="0"/>
          <w:numId w:val="13"/>
        </w:numPr>
        <w:rPr>
          <w:szCs w:val="24"/>
          <w:lang w:val="fr-FR"/>
        </w:rPr>
      </w:pPr>
      <w:r w:rsidRPr="001E3C8E">
        <w:rPr>
          <w:szCs w:val="24"/>
          <w:lang w:val="fr-FR"/>
        </w:rPr>
        <w:t>Temporaires, et ne restent en place que le temps nécessaire ;</w:t>
      </w:r>
    </w:p>
    <w:p w14:paraId="016AE2B5" w14:textId="2AE9682F" w:rsidR="003A170B" w:rsidRPr="001E3C8E" w:rsidRDefault="00AE29AB" w:rsidP="00430901">
      <w:pPr>
        <w:pStyle w:val="ListParagraph"/>
        <w:numPr>
          <w:ilvl w:val="0"/>
          <w:numId w:val="13"/>
        </w:numPr>
        <w:rPr>
          <w:szCs w:val="24"/>
          <w:lang w:val="fr-FR"/>
        </w:rPr>
      </w:pPr>
      <w:r w:rsidRPr="001E3C8E">
        <w:rPr>
          <w:szCs w:val="24"/>
          <w:lang w:val="fr-FR"/>
        </w:rPr>
        <w:lastRenderedPageBreak/>
        <w:t>Légitimes,</w:t>
      </w:r>
      <w:r w:rsidR="003A170B" w:rsidRPr="001E3C8E">
        <w:rPr>
          <w:szCs w:val="24"/>
          <w:lang w:val="fr-FR"/>
        </w:rPr>
        <w:t xml:space="preserve"> et ont pour objectif ultime de protéger la totalité des droits humains ;</w:t>
      </w:r>
    </w:p>
    <w:p w14:paraId="47B50442" w14:textId="6139607D" w:rsidR="003A170B" w:rsidRPr="001E3C8E" w:rsidRDefault="003A170B" w:rsidP="00430901">
      <w:pPr>
        <w:pStyle w:val="ListParagraph"/>
        <w:numPr>
          <w:ilvl w:val="0"/>
          <w:numId w:val="13"/>
        </w:numPr>
        <w:rPr>
          <w:szCs w:val="24"/>
          <w:lang w:val="fr-FR"/>
        </w:rPr>
      </w:pPr>
      <w:r w:rsidRPr="001E3C8E">
        <w:rPr>
          <w:szCs w:val="24"/>
          <w:lang w:val="fr-FR"/>
        </w:rPr>
        <w:t>Raisonnables : les moyens choisis sont les plus adaptés et les mieux capables d’atteindre l’objectif légitime ;</w:t>
      </w:r>
    </w:p>
    <w:p w14:paraId="78911ECC" w14:textId="1E7E8013" w:rsidR="003A170B" w:rsidRPr="001E3C8E" w:rsidRDefault="003A170B" w:rsidP="00430901">
      <w:pPr>
        <w:pStyle w:val="ListParagraph"/>
        <w:numPr>
          <w:ilvl w:val="0"/>
          <w:numId w:val="13"/>
        </w:numPr>
        <w:rPr>
          <w:szCs w:val="24"/>
          <w:lang w:val="fr-FR"/>
        </w:rPr>
      </w:pPr>
      <w:r w:rsidRPr="001E3C8E">
        <w:rPr>
          <w:szCs w:val="24"/>
          <w:lang w:val="fr-FR"/>
        </w:rPr>
        <w:t xml:space="preserve">Nécessaires : les moyens sont </w:t>
      </w:r>
      <w:r w:rsidR="00AE29AB" w:rsidRPr="001E3C8E">
        <w:rPr>
          <w:szCs w:val="24"/>
          <w:lang w:val="fr-FR"/>
        </w:rPr>
        <w:t>considérés comme justifiés</w:t>
      </w:r>
      <w:r w:rsidRPr="001E3C8E">
        <w:rPr>
          <w:szCs w:val="24"/>
          <w:lang w:val="fr-FR"/>
        </w:rPr>
        <w:t xml:space="preserve"> après considération</w:t>
      </w:r>
      <w:r w:rsidR="00AE29AB" w:rsidRPr="001E3C8E">
        <w:rPr>
          <w:szCs w:val="24"/>
          <w:lang w:val="fr-FR"/>
        </w:rPr>
        <w:t xml:space="preserve"> attentive</w:t>
      </w:r>
      <w:r w:rsidRPr="001E3C8E">
        <w:rPr>
          <w:szCs w:val="24"/>
          <w:lang w:val="fr-FR"/>
        </w:rPr>
        <w:t xml:space="preserve"> de toutes les autres alternatives moins restrictives ;</w:t>
      </w:r>
    </w:p>
    <w:p w14:paraId="6890175E" w14:textId="0DB7EB5A" w:rsidR="003A170B" w:rsidRPr="001E3C8E" w:rsidRDefault="00AE29AB" w:rsidP="00430901">
      <w:pPr>
        <w:pStyle w:val="ListParagraph"/>
        <w:numPr>
          <w:ilvl w:val="0"/>
          <w:numId w:val="13"/>
        </w:numPr>
        <w:rPr>
          <w:szCs w:val="24"/>
          <w:lang w:val="fr-FR"/>
        </w:rPr>
      </w:pPr>
      <w:r w:rsidRPr="001E3C8E">
        <w:rPr>
          <w:szCs w:val="24"/>
          <w:lang w:val="fr-FR"/>
        </w:rPr>
        <w:t>Proportionné</w:t>
      </w:r>
      <w:r w:rsidR="007634A0" w:rsidRPr="001E3C8E">
        <w:rPr>
          <w:szCs w:val="24"/>
          <w:lang w:val="fr-FR"/>
        </w:rPr>
        <w:t>e</w:t>
      </w:r>
      <w:r w:rsidRPr="001E3C8E">
        <w:rPr>
          <w:szCs w:val="24"/>
          <w:lang w:val="fr-FR"/>
        </w:rPr>
        <w:t>s :</w:t>
      </w:r>
      <w:r w:rsidR="003A170B" w:rsidRPr="001E3C8E">
        <w:rPr>
          <w:szCs w:val="24"/>
          <w:lang w:val="fr-FR"/>
        </w:rPr>
        <w:t xml:space="preserve"> l’adoption de toute autre politique ou l’absence de mesure</w:t>
      </w:r>
      <w:r w:rsidRPr="001E3C8E">
        <w:rPr>
          <w:szCs w:val="24"/>
          <w:lang w:val="fr-FR"/>
        </w:rPr>
        <w:t xml:space="preserve"> serait plus nuisible encore à la jouissance </w:t>
      </w:r>
      <w:r w:rsidR="003A170B" w:rsidRPr="001E3C8E">
        <w:rPr>
          <w:szCs w:val="24"/>
          <w:lang w:val="fr-FR"/>
        </w:rPr>
        <w:t>des droits économiques, sociaux et culturels</w:t>
      </w:r>
      <w:r w:rsidRPr="001E3C8E">
        <w:rPr>
          <w:szCs w:val="24"/>
          <w:lang w:val="fr-FR"/>
        </w:rPr>
        <w:t> ;</w:t>
      </w:r>
    </w:p>
    <w:p w14:paraId="0B7EA6EB" w14:textId="6EC18B25" w:rsidR="001A07A0" w:rsidRPr="001E3C8E" w:rsidRDefault="0069461E" w:rsidP="00430901">
      <w:pPr>
        <w:pStyle w:val="ListParagraph"/>
        <w:numPr>
          <w:ilvl w:val="0"/>
          <w:numId w:val="13"/>
        </w:numPr>
        <w:rPr>
          <w:szCs w:val="24"/>
          <w:lang w:val="fr-FR"/>
        </w:rPr>
      </w:pPr>
      <w:r w:rsidRPr="001E3C8E">
        <w:rPr>
          <w:szCs w:val="24"/>
          <w:lang w:val="fr-FR"/>
        </w:rPr>
        <w:t>Non-discriminatoires, et rend</w:t>
      </w:r>
      <w:r w:rsidR="001A07A0" w:rsidRPr="001E3C8E">
        <w:rPr>
          <w:szCs w:val="24"/>
          <w:lang w:val="fr-FR"/>
        </w:rPr>
        <w:t>e</w:t>
      </w:r>
      <w:r w:rsidRPr="001E3C8E">
        <w:rPr>
          <w:szCs w:val="24"/>
          <w:lang w:val="fr-FR"/>
        </w:rPr>
        <w:t>nt</w:t>
      </w:r>
      <w:r w:rsidR="001A07A0" w:rsidRPr="001E3C8E">
        <w:rPr>
          <w:szCs w:val="24"/>
          <w:lang w:val="fr-FR"/>
        </w:rPr>
        <w:t xml:space="preserve"> possible une atténuation des inégalités qui peuvent émerger en temps de crise. Elles </w:t>
      </w:r>
      <w:r w:rsidR="007634A0" w:rsidRPr="001E3C8E">
        <w:rPr>
          <w:szCs w:val="24"/>
          <w:lang w:val="fr-FR"/>
        </w:rPr>
        <w:t>garantissent</w:t>
      </w:r>
      <w:r w:rsidR="001A07A0" w:rsidRPr="001E3C8E">
        <w:rPr>
          <w:szCs w:val="24"/>
          <w:lang w:val="fr-FR"/>
        </w:rPr>
        <w:t xml:space="preserve"> </w:t>
      </w:r>
      <w:r w:rsidRPr="001E3C8E">
        <w:rPr>
          <w:szCs w:val="24"/>
          <w:lang w:val="fr-FR"/>
        </w:rPr>
        <w:t xml:space="preserve">également </w:t>
      </w:r>
      <w:r w:rsidR="001A07A0" w:rsidRPr="001E3C8E">
        <w:rPr>
          <w:szCs w:val="24"/>
          <w:lang w:val="fr-FR"/>
        </w:rPr>
        <w:t>que les droits des individus et des groupes désa</w:t>
      </w:r>
      <w:r w:rsidR="007634A0" w:rsidRPr="001E3C8E">
        <w:rPr>
          <w:szCs w:val="24"/>
          <w:lang w:val="fr-FR"/>
        </w:rPr>
        <w:t>vantagés et marginalisés ne so</w:t>
      </w:r>
      <w:r w:rsidR="001A07A0" w:rsidRPr="001E3C8E">
        <w:rPr>
          <w:szCs w:val="24"/>
          <w:lang w:val="fr-FR"/>
        </w:rPr>
        <w:t xml:space="preserve">nt pas affectés de manière </w:t>
      </w:r>
      <w:r w:rsidR="00490BE7" w:rsidRPr="001E3C8E">
        <w:rPr>
          <w:szCs w:val="24"/>
          <w:lang w:val="fr-FR"/>
        </w:rPr>
        <w:t>disproportionnée ;</w:t>
      </w:r>
    </w:p>
    <w:p w14:paraId="5983E552" w14:textId="3D16D059" w:rsidR="000874A2" w:rsidRPr="001E3C8E" w:rsidRDefault="007634A0" w:rsidP="00430901">
      <w:pPr>
        <w:pStyle w:val="ListParagraph"/>
        <w:numPr>
          <w:ilvl w:val="0"/>
          <w:numId w:val="13"/>
        </w:numPr>
        <w:rPr>
          <w:szCs w:val="24"/>
          <w:lang w:val="fr-FR"/>
        </w:rPr>
      </w:pPr>
      <w:r w:rsidRPr="001E3C8E">
        <w:rPr>
          <w:szCs w:val="24"/>
          <w:lang w:val="fr-FR"/>
        </w:rPr>
        <w:t>Respectueuses</w:t>
      </w:r>
      <w:r w:rsidR="000874A2" w:rsidRPr="001E3C8E">
        <w:rPr>
          <w:szCs w:val="24"/>
          <w:lang w:val="fr-FR"/>
        </w:rPr>
        <w:t xml:space="preserve"> </w:t>
      </w:r>
      <w:r w:rsidRPr="001E3C8E">
        <w:rPr>
          <w:szCs w:val="24"/>
          <w:lang w:val="fr-FR"/>
        </w:rPr>
        <w:t>du</w:t>
      </w:r>
      <w:r w:rsidR="000874A2" w:rsidRPr="001E3C8E">
        <w:rPr>
          <w:szCs w:val="24"/>
          <w:lang w:val="fr-FR"/>
        </w:rPr>
        <w:t xml:space="preserve"> contenu fondamental minimum des droits économiques, sociaux et culturels, et basé</w:t>
      </w:r>
      <w:r w:rsidRPr="001E3C8E">
        <w:rPr>
          <w:szCs w:val="24"/>
          <w:lang w:val="fr-FR"/>
        </w:rPr>
        <w:t>e</w:t>
      </w:r>
      <w:r w:rsidR="000874A2" w:rsidRPr="001E3C8E">
        <w:rPr>
          <w:szCs w:val="24"/>
          <w:lang w:val="fr-FR"/>
        </w:rPr>
        <w:t>s sur la transparence et une participation réelle des groupes affectés à l’examen des mesures et alternatives proposées ;</w:t>
      </w:r>
    </w:p>
    <w:p w14:paraId="5AE6F93B" w14:textId="47472DFB" w:rsidR="000874A2" w:rsidRPr="001E3C8E" w:rsidRDefault="000874A2" w:rsidP="00430901">
      <w:pPr>
        <w:pStyle w:val="ListParagraph"/>
        <w:numPr>
          <w:ilvl w:val="0"/>
          <w:numId w:val="13"/>
        </w:numPr>
        <w:rPr>
          <w:szCs w:val="24"/>
          <w:lang w:val="fr-FR"/>
        </w:rPr>
      </w:pPr>
      <w:r w:rsidRPr="001E3C8E">
        <w:rPr>
          <w:szCs w:val="24"/>
          <w:lang w:val="fr-FR"/>
        </w:rPr>
        <w:t>Sujettes à des révisions significatives et à des procédures de redevabilité.</w:t>
      </w:r>
    </w:p>
    <w:p w14:paraId="0EC3D7E4" w14:textId="64C83755" w:rsidR="000874A2" w:rsidRPr="001E3C8E" w:rsidRDefault="000874A2" w:rsidP="00430901">
      <w:pPr>
        <w:pStyle w:val="ListParagraph"/>
        <w:numPr>
          <w:ilvl w:val="0"/>
          <w:numId w:val="7"/>
        </w:numPr>
        <w:rPr>
          <w:i/>
          <w:szCs w:val="24"/>
          <w:u w:val="single"/>
          <w:lang w:val="fr-FR"/>
        </w:rPr>
      </w:pPr>
      <w:r w:rsidRPr="001E3C8E">
        <w:rPr>
          <w:i/>
          <w:szCs w:val="24"/>
          <w:u w:val="single"/>
          <w:lang w:val="fr-FR"/>
        </w:rPr>
        <w:t>Indivisibilité et interdépendance des droits humains</w:t>
      </w:r>
    </w:p>
    <w:p w14:paraId="5C6D6D38" w14:textId="77777777" w:rsidR="007634A0" w:rsidRPr="001E3C8E" w:rsidRDefault="007634A0" w:rsidP="006F3C6D">
      <w:pPr>
        <w:widowControl/>
        <w:shd w:val="clear" w:color="auto" w:fill="FFFFFF"/>
        <w:autoSpaceDE/>
        <w:autoSpaceDN/>
        <w:jc w:val="both"/>
        <w:rPr>
          <w:color w:val="000000"/>
          <w:sz w:val="24"/>
          <w:szCs w:val="24"/>
          <w:lang w:val="fr-FR"/>
        </w:rPr>
      </w:pPr>
    </w:p>
    <w:p w14:paraId="7C607677" w14:textId="621F8C10" w:rsidR="00087E29" w:rsidRPr="001E3C8E" w:rsidRDefault="00087E29" w:rsidP="00901D01">
      <w:pPr>
        <w:widowControl/>
        <w:shd w:val="clear" w:color="auto" w:fill="FFFFFF"/>
        <w:autoSpaceDE/>
        <w:autoSpaceDN/>
        <w:ind w:left="720"/>
        <w:jc w:val="both"/>
        <w:rPr>
          <w:color w:val="000000"/>
          <w:sz w:val="24"/>
          <w:szCs w:val="24"/>
          <w:lang w:val="fr-FR"/>
        </w:rPr>
      </w:pPr>
      <w:r w:rsidRPr="001E3C8E">
        <w:rPr>
          <w:color w:val="000000"/>
          <w:sz w:val="24"/>
          <w:szCs w:val="24"/>
          <w:lang w:val="fr-FR"/>
        </w:rPr>
        <w:t xml:space="preserve">Les politiques de réforme économique peuvent avoir un impact négatif sur tous les droits humains (civils, culturels, économiques, politiques et sociaux.) </w:t>
      </w:r>
      <w:r w:rsidR="007634A0" w:rsidRPr="001E3C8E">
        <w:rPr>
          <w:color w:val="000000"/>
          <w:sz w:val="24"/>
          <w:szCs w:val="24"/>
          <w:lang w:val="fr-FR"/>
        </w:rPr>
        <w:t>L</w:t>
      </w:r>
      <w:r w:rsidRPr="001E3C8E">
        <w:rPr>
          <w:color w:val="000000"/>
          <w:sz w:val="24"/>
          <w:szCs w:val="24"/>
          <w:lang w:val="fr-FR"/>
        </w:rPr>
        <w:t>es coupes budgétaires imposé</w:t>
      </w:r>
      <w:r w:rsidR="007634A0" w:rsidRPr="001E3C8E">
        <w:rPr>
          <w:color w:val="000000"/>
          <w:sz w:val="24"/>
          <w:szCs w:val="24"/>
          <w:lang w:val="fr-FR"/>
        </w:rPr>
        <w:t>es aux programmes d’aide légale, par exemple,</w:t>
      </w:r>
      <w:r w:rsidRPr="001E3C8E">
        <w:rPr>
          <w:color w:val="000000"/>
          <w:sz w:val="24"/>
          <w:szCs w:val="24"/>
          <w:lang w:val="fr-FR"/>
        </w:rPr>
        <w:t xml:space="preserve"> sont aussi fréquen</w:t>
      </w:r>
      <w:r w:rsidR="007634A0" w:rsidRPr="001E3C8E">
        <w:rPr>
          <w:color w:val="000000"/>
          <w:sz w:val="24"/>
          <w:szCs w:val="24"/>
          <w:lang w:val="fr-FR"/>
        </w:rPr>
        <w:t>tes que la réduction</w:t>
      </w:r>
      <w:r w:rsidRPr="001E3C8E">
        <w:rPr>
          <w:color w:val="000000"/>
          <w:sz w:val="24"/>
          <w:szCs w:val="24"/>
          <w:lang w:val="fr-FR"/>
        </w:rPr>
        <w:t xml:space="preserve"> du</w:t>
      </w:r>
      <w:r w:rsidR="007634A0" w:rsidRPr="001E3C8E">
        <w:rPr>
          <w:color w:val="000000"/>
          <w:sz w:val="24"/>
          <w:szCs w:val="24"/>
          <w:lang w:val="fr-FR"/>
        </w:rPr>
        <w:t xml:space="preserve"> nombre de</w:t>
      </w:r>
      <w:r w:rsidRPr="001E3C8E">
        <w:rPr>
          <w:color w:val="000000"/>
          <w:sz w:val="24"/>
          <w:szCs w:val="24"/>
          <w:lang w:val="fr-FR"/>
        </w:rPr>
        <w:t xml:space="preserve"> personnel</w:t>
      </w:r>
      <w:r w:rsidR="007634A0" w:rsidRPr="001E3C8E">
        <w:rPr>
          <w:color w:val="000000"/>
          <w:sz w:val="24"/>
          <w:szCs w:val="24"/>
          <w:lang w:val="fr-FR"/>
        </w:rPr>
        <w:t>s</w:t>
      </w:r>
      <w:r w:rsidRPr="001E3C8E">
        <w:rPr>
          <w:color w:val="000000"/>
          <w:sz w:val="24"/>
          <w:szCs w:val="24"/>
          <w:lang w:val="fr-FR"/>
        </w:rPr>
        <w:t xml:space="preserve"> soignant</w:t>
      </w:r>
      <w:r w:rsidR="007634A0" w:rsidRPr="001E3C8E">
        <w:rPr>
          <w:color w:val="000000"/>
          <w:sz w:val="24"/>
          <w:szCs w:val="24"/>
          <w:lang w:val="fr-FR"/>
        </w:rPr>
        <w:t>s</w:t>
      </w:r>
      <w:r w:rsidRPr="001E3C8E">
        <w:rPr>
          <w:color w:val="000000"/>
          <w:sz w:val="24"/>
          <w:szCs w:val="24"/>
          <w:lang w:val="fr-FR"/>
        </w:rPr>
        <w:t xml:space="preserve"> dans les systèmes de santé publique ; et ces deux types de mesures ont un impact négatif sur un certain nombre de droits prévus par tous les instruments internationaux relatifs aux droits humains. </w:t>
      </w:r>
      <w:r w:rsidR="007634A0" w:rsidRPr="001E3C8E">
        <w:rPr>
          <w:color w:val="000000"/>
          <w:sz w:val="24"/>
          <w:szCs w:val="24"/>
          <w:lang w:val="fr-FR"/>
        </w:rPr>
        <w:t>L</w:t>
      </w:r>
      <w:r w:rsidRPr="001E3C8E">
        <w:rPr>
          <w:color w:val="000000"/>
          <w:sz w:val="24"/>
          <w:szCs w:val="24"/>
          <w:lang w:val="fr-FR"/>
        </w:rPr>
        <w:t xml:space="preserve">es </w:t>
      </w:r>
      <w:r w:rsidR="007634A0" w:rsidRPr="001E3C8E">
        <w:rPr>
          <w:color w:val="000000"/>
          <w:sz w:val="24"/>
          <w:szCs w:val="24"/>
          <w:lang w:val="fr-FR"/>
        </w:rPr>
        <w:t>États-p</w:t>
      </w:r>
      <w:r w:rsidRPr="001E3C8E">
        <w:rPr>
          <w:color w:val="000000"/>
          <w:sz w:val="24"/>
          <w:szCs w:val="24"/>
          <w:lang w:val="fr-FR"/>
        </w:rPr>
        <w:t>arties ont</w:t>
      </w:r>
      <w:r w:rsidR="007634A0" w:rsidRPr="001E3C8E">
        <w:rPr>
          <w:color w:val="000000"/>
          <w:sz w:val="24"/>
          <w:szCs w:val="24"/>
          <w:lang w:val="fr-FR"/>
        </w:rPr>
        <w:t xml:space="preserve"> notamment</w:t>
      </w:r>
      <w:r w:rsidRPr="001E3C8E">
        <w:rPr>
          <w:color w:val="000000"/>
          <w:sz w:val="24"/>
          <w:szCs w:val="24"/>
          <w:lang w:val="fr-FR"/>
        </w:rPr>
        <w:t xml:space="preserve"> la responsabilité de préserver </w:t>
      </w:r>
      <w:r w:rsidR="007634A0" w:rsidRPr="001E3C8E">
        <w:rPr>
          <w:color w:val="000000"/>
          <w:sz w:val="24"/>
          <w:szCs w:val="24"/>
          <w:lang w:val="fr-FR"/>
        </w:rPr>
        <w:t>la</w:t>
      </w:r>
      <w:r w:rsidRPr="001E3C8E">
        <w:rPr>
          <w:color w:val="000000"/>
          <w:sz w:val="24"/>
          <w:szCs w:val="24"/>
          <w:lang w:val="fr-FR"/>
        </w:rPr>
        <w:t xml:space="preserve"> vie et </w:t>
      </w:r>
      <w:r w:rsidR="007634A0" w:rsidRPr="001E3C8E">
        <w:rPr>
          <w:color w:val="000000"/>
          <w:sz w:val="24"/>
          <w:szCs w:val="24"/>
          <w:lang w:val="fr-FR"/>
        </w:rPr>
        <w:t>l’</w:t>
      </w:r>
      <w:r w:rsidRPr="001E3C8E">
        <w:rPr>
          <w:color w:val="000000"/>
          <w:sz w:val="24"/>
          <w:szCs w:val="24"/>
          <w:lang w:val="fr-FR"/>
        </w:rPr>
        <w:t>intégrité physique</w:t>
      </w:r>
      <w:r w:rsidR="007634A0" w:rsidRPr="001E3C8E">
        <w:rPr>
          <w:color w:val="000000"/>
          <w:sz w:val="24"/>
          <w:szCs w:val="24"/>
          <w:lang w:val="fr-FR"/>
        </w:rPr>
        <w:t xml:space="preserve"> des personnes détenues ou en prison</w:t>
      </w:r>
      <w:r w:rsidRPr="001E3C8E">
        <w:rPr>
          <w:color w:val="000000"/>
          <w:sz w:val="24"/>
          <w:szCs w:val="24"/>
          <w:lang w:val="fr-FR"/>
        </w:rPr>
        <w:t>, et</w:t>
      </w:r>
      <w:r w:rsidR="00A22014" w:rsidRPr="001E3C8E">
        <w:rPr>
          <w:color w:val="000000"/>
          <w:sz w:val="24"/>
          <w:szCs w:val="24"/>
          <w:lang w:val="fr-FR"/>
        </w:rPr>
        <w:t>, comme l’a noté le Comité des d</w:t>
      </w:r>
      <w:r w:rsidRPr="001E3C8E">
        <w:rPr>
          <w:color w:val="000000"/>
          <w:sz w:val="24"/>
          <w:szCs w:val="24"/>
          <w:lang w:val="fr-FR"/>
        </w:rPr>
        <w:t>roits de l’Homme</w:t>
      </w:r>
      <w:r w:rsidR="00924AE0" w:rsidRPr="001E3C8E">
        <w:rPr>
          <w:color w:val="000000"/>
          <w:sz w:val="24"/>
          <w:szCs w:val="24"/>
          <w:lang w:val="fr-FR"/>
        </w:rPr>
        <w:t xml:space="preserve">, les </w:t>
      </w:r>
      <w:r w:rsidR="007634A0" w:rsidRPr="001E3C8E">
        <w:rPr>
          <w:color w:val="000000"/>
          <w:sz w:val="24"/>
          <w:szCs w:val="24"/>
          <w:lang w:val="fr-FR"/>
        </w:rPr>
        <w:t>États</w:t>
      </w:r>
      <w:r w:rsidR="00924AE0" w:rsidRPr="001E3C8E">
        <w:rPr>
          <w:color w:val="000000"/>
          <w:sz w:val="24"/>
          <w:szCs w:val="24"/>
          <w:lang w:val="fr-FR"/>
        </w:rPr>
        <w:t xml:space="preserve"> ne peuvent pas </w:t>
      </w:r>
      <w:r w:rsidR="007634A0" w:rsidRPr="001E3C8E">
        <w:rPr>
          <w:color w:val="000000"/>
          <w:sz w:val="24"/>
          <w:szCs w:val="24"/>
          <w:lang w:val="fr-FR"/>
        </w:rPr>
        <w:t>se soustraire</w:t>
      </w:r>
      <w:r w:rsidR="006F3C6D" w:rsidRPr="001E3C8E">
        <w:rPr>
          <w:color w:val="000000"/>
          <w:sz w:val="24"/>
          <w:szCs w:val="24"/>
          <w:lang w:val="fr-FR"/>
        </w:rPr>
        <w:t xml:space="preserve"> à cette responsabilité</w:t>
      </w:r>
      <w:r w:rsidR="007634A0" w:rsidRPr="001E3C8E">
        <w:rPr>
          <w:color w:val="000000"/>
          <w:sz w:val="24"/>
          <w:szCs w:val="24"/>
          <w:lang w:val="fr-FR"/>
        </w:rPr>
        <w:t xml:space="preserve">, même partiellement, </w:t>
      </w:r>
      <w:r w:rsidR="006F3C6D" w:rsidRPr="001E3C8E">
        <w:rPr>
          <w:color w:val="000000"/>
          <w:sz w:val="24"/>
          <w:szCs w:val="24"/>
          <w:lang w:val="fr-FR"/>
        </w:rPr>
        <w:t>au prétexte d’</w:t>
      </w:r>
      <w:r w:rsidR="007634A0" w:rsidRPr="001E3C8E">
        <w:rPr>
          <w:color w:val="000000"/>
          <w:sz w:val="24"/>
          <w:szCs w:val="24"/>
          <w:lang w:val="fr-FR"/>
        </w:rPr>
        <w:t xml:space="preserve">un </w:t>
      </w:r>
      <w:r w:rsidR="00924AE0" w:rsidRPr="001E3C8E">
        <w:rPr>
          <w:color w:val="000000"/>
          <w:sz w:val="24"/>
          <w:szCs w:val="24"/>
          <w:lang w:val="fr-FR"/>
        </w:rPr>
        <w:t>manque de ressource</w:t>
      </w:r>
      <w:r w:rsidR="006F3C6D" w:rsidRPr="001E3C8E">
        <w:rPr>
          <w:color w:val="000000"/>
          <w:sz w:val="24"/>
          <w:szCs w:val="24"/>
          <w:lang w:val="fr-FR"/>
        </w:rPr>
        <w:t>.</w:t>
      </w:r>
      <w:r w:rsidR="006F3C6D" w:rsidRPr="001E3C8E">
        <w:rPr>
          <w:rStyle w:val="FootnoteReference"/>
          <w:sz w:val="24"/>
          <w:szCs w:val="24"/>
          <w:lang w:val="fr-FR"/>
        </w:rPr>
        <w:footnoteReference w:id="12"/>
      </w:r>
      <w:r w:rsidR="00924AE0" w:rsidRPr="001E3C8E">
        <w:rPr>
          <w:color w:val="000000"/>
          <w:sz w:val="24"/>
          <w:szCs w:val="24"/>
          <w:lang w:val="fr-FR"/>
        </w:rPr>
        <w:t xml:space="preserve"> En réalité, les multiples dimensions</w:t>
      </w:r>
      <w:r w:rsidR="00AC61A8" w:rsidRPr="001E3C8E">
        <w:rPr>
          <w:color w:val="000000"/>
          <w:sz w:val="24"/>
          <w:szCs w:val="24"/>
          <w:lang w:val="fr-FR"/>
        </w:rPr>
        <w:t xml:space="preserve"> des politiques de réforme économique </w:t>
      </w:r>
      <w:r w:rsidR="006F3C6D" w:rsidRPr="001E3C8E">
        <w:rPr>
          <w:color w:val="000000"/>
          <w:sz w:val="24"/>
          <w:szCs w:val="24"/>
          <w:lang w:val="fr-FR"/>
        </w:rPr>
        <w:t>sont</w:t>
      </w:r>
      <w:r w:rsidR="00AC61A8" w:rsidRPr="001E3C8E">
        <w:rPr>
          <w:color w:val="000000"/>
          <w:sz w:val="24"/>
          <w:szCs w:val="24"/>
          <w:lang w:val="fr-FR"/>
        </w:rPr>
        <w:t xml:space="preserve"> souvent </w:t>
      </w:r>
      <w:r w:rsidR="006F3C6D" w:rsidRPr="001E3C8E">
        <w:rPr>
          <w:color w:val="000000"/>
          <w:sz w:val="24"/>
          <w:szCs w:val="24"/>
          <w:lang w:val="fr-FR"/>
        </w:rPr>
        <w:t xml:space="preserve">susceptibles de </w:t>
      </w:r>
      <w:r w:rsidR="00AC61A8" w:rsidRPr="001E3C8E">
        <w:rPr>
          <w:color w:val="000000"/>
          <w:sz w:val="24"/>
          <w:szCs w:val="24"/>
          <w:lang w:val="fr-FR"/>
        </w:rPr>
        <w:t xml:space="preserve">mettre en danger un droit humain de manière particulièrement directe, et, ce faisant, </w:t>
      </w:r>
      <w:r w:rsidR="002D13F4" w:rsidRPr="001E3C8E">
        <w:rPr>
          <w:color w:val="000000"/>
          <w:sz w:val="24"/>
          <w:szCs w:val="24"/>
          <w:lang w:val="fr-FR"/>
        </w:rPr>
        <w:t xml:space="preserve">de </w:t>
      </w:r>
      <w:r w:rsidR="00AC61A8" w:rsidRPr="001E3C8E">
        <w:rPr>
          <w:color w:val="000000"/>
          <w:sz w:val="24"/>
          <w:szCs w:val="24"/>
          <w:lang w:val="fr-FR"/>
        </w:rPr>
        <w:t>déclencher une réaction en chaîne sur d’autres droits humains en raison de leur indivisibilité et de leur interdépendance.</w:t>
      </w:r>
    </w:p>
    <w:p w14:paraId="260AC671" w14:textId="7B2B7C76" w:rsidR="0047111A" w:rsidRPr="001E3C8E" w:rsidRDefault="0047111A" w:rsidP="00901D01">
      <w:pPr>
        <w:widowControl/>
        <w:shd w:val="clear" w:color="auto" w:fill="FFFFFF"/>
        <w:autoSpaceDE/>
        <w:autoSpaceDN/>
        <w:jc w:val="both"/>
        <w:rPr>
          <w:color w:val="000000"/>
          <w:sz w:val="24"/>
          <w:szCs w:val="24"/>
          <w:lang w:val="fr-FR"/>
        </w:rPr>
      </w:pPr>
    </w:p>
    <w:p w14:paraId="1751B3B7" w14:textId="3733BEC5" w:rsidR="00AC61A8" w:rsidRPr="001E3C8E" w:rsidRDefault="00511FB8" w:rsidP="00901D01">
      <w:pPr>
        <w:ind w:left="720"/>
        <w:rPr>
          <w:sz w:val="24"/>
          <w:szCs w:val="24"/>
          <w:lang w:val="fr-FR"/>
        </w:rPr>
      </w:pPr>
      <w:r w:rsidRPr="001E3C8E">
        <w:rPr>
          <w:sz w:val="24"/>
          <w:szCs w:val="24"/>
          <w:lang w:val="fr-FR"/>
        </w:rPr>
        <w:t xml:space="preserve">Selon le droit international des droits humains, les </w:t>
      </w:r>
      <w:r w:rsidR="00826B58" w:rsidRPr="001E3C8E">
        <w:rPr>
          <w:sz w:val="24"/>
          <w:szCs w:val="24"/>
          <w:lang w:val="fr-FR"/>
        </w:rPr>
        <w:t>États sont fondamentalement</w:t>
      </w:r>
      <w:r w:rsidRPr="001E3C8E">
        <w:rPr>
          <w:sz w:val="24"/>
          <w:szCs w:val="24"/>
          <w:lang w:val="fr-FR"/>
        </w:rPr>
        <w:t xml:space="preserve"> responsables de la protection du droit</w:t>
      </w:r>
      <w:r w:rsidR="00826B58" w:rsidRPr="001E3C8E">
        <w:rPr>
          <w:sz w:val="24"/>
          <w:szCs w:val="24"/>
          <w:lang w:val="fr-FR"/>
        </w:rPr>
        <w:t xml:space="preserve"> à la vie (Article 6 du PIDCP). Celui-ci est </w:t>
      </w:r>
      <w:r w:rsidR="003521B5" w:rsidRPr="001E3C8E">
        <w:rPr>
          <w:sz w:val="24"/>
          <w:szCs w:val="24"/>
          <w:lang w:val="fr-FR"/>
        </w:rPr>
        <w:t>« </w:t>
      </w:r>
      <w:r w:rsidR="005065BC" w:rsidRPr="001E3C8E">
        <w:rPr>
          <w:sz w:val="24"/>
          <w:szCs w:val="24"/>
          <w:lang w:val="fr-FR"/>
        </w:rPr>
        <w:t xml:space="preserve">extrêmement précieux en lui-même en tant que droit inhérent à toute personne </w:t>
      </w:r>
      <w:r w:rsidR="005065BC" w:rsidRPr="001E3C8E">
        <w:rPr>
          <w:sz w:val="24"/>
          <w:szCs w:val="24"/>
          <w:lang w:val="fr-FR"/>
        </w:rPr>
        <w:lastRenderedPageBreak/>
        <w:t xml:space="preserve">humaine, mais il constitue également un droit fondamental dont la protection effective est la </w:t>
      </w:r>
      <w:r w:rsidR="00ED5F75" w:rsidRPr="001E3C8E">
        <w:rPr>
          <w:sz w:val="24"/>
          <w:szCs w:val="24"/>
          <w:lang w:val="fr-FR"/>
        </w:rPr>
        <w:t>condition indispensable de la jouissance de tous les autres droits de l’homme et dont le contenu peut être éclairé et imprégné pa</w:t>
      </w:r>
      <w:r w:rsidR="00826B58" w:rsidRPr="001E3C8E">
        <w:rPr>
          <w:sz w:val="24"/>
          <w:szCs w:val="24"/>
          <w:lang w:val="fr-FR"/>
        </w:rPr>
        <w:t>r d’autres droits de l’homme. »</w:t>
      </w:r>
      <w:r w:rsidR="00826B58" w:rsidRPr="001E3C8E">
        <w:rPr>
          <w:rStyle w:val="FootnoteReference"/>
          <w:sz w:val="24"/>
          <w:szCs w:val="24"/>
          <w:lang w:val="fr-FR"/>
        </w:rPr>
        <w:t xml:space="preserve"> </w:t>
      </w:r>
      <w:r w:rsidR="00826B58" w:rsidRPr="001E3C8E">
        <w:rPr>
          <w:rStyle w:val="FootnoteReference"/>
          <w:sz w:val="24"/>
          <w:szCs w:val="24"/>
          <w:lang w:val="fr-FR"/>
        </w:rPr>
        <w:footnoteReference w:id="13"/>
      </w:r>
      <w:r w:rsidR="00826B58" w:rsidRPr="001E3C8E">
        <w:rPr>
          <w:sz w:val="24"/>
          <w:szCs w:val="24"/>
          <w:lang w:val="fr-FR"/>
        </w:rPr>
        <w:t xml:space="preserve">. </w:t>
      </w:r>
      <w:r w:rsidR="00ED5F75" w:rsidRPr="001E3C8E">
        <w:rPr>
          <w:sz w:val="24"/>
          <w:szCs w:val="24"/>
          <w:lang w:val="fr-FR"/>
        </w:rPr>
        <w:t xml:space="preserve"> </w:t>
      </w:r>
      <w:r w:rsidR="00826B58" w:rsidRPr="001E3C8E">
        <w:rPr>
          <w:sz w:val="24"/>
          <w:szCs w:val="24"/>
          <w:lang w:val="fr-FR"/>
        </w:rPr>
        <w:t>Dès lors</w:t>
      </w:r>
      <w:r w:rsidR="00ED5F75" w:rsidRPr="001E3C8E">
        <w:rPr>
          <w:sz w:val="24"/>
          <w:szCs w:val="24"/>
          <w:lang w:val="fr-FR"/>
        </w:rPr>
        <w:t xml:space="preserve">, les </w:t>
      </w:r>
      <w:r w:rsidR="00826B58" w:rsidRPr="001E3C8E">
        <w:rPr>
          <w:sz w:val="24"/>
          <w:szCs w:val="24"/>
          <w:lang w:val="fr-FR"/>
        </w:rPr>
        <w:t>États</w:t>
      </w:r>
      <w:r w:rsidR="00ED5F75" w:rsidRPr="001E3C8E">
        <w:rPr>
          <w:sz w:val="24"/>
          <w:szCs w:val="24"/>
          <w:lang w:val="fr-FR"/>
        </w:rPr>
        <w:t xml:space="preserve"> sont responsables de « </w:t>
      </w:r>
      <w:r w:rsidR="00733263" w:rsidRPr="001E3C8E">
        <w:rPr>
          <w:sz w:val="24"/>
          <w:szCs w:val="24"/>
          <w:lang w:val="fr-FR"/>
        </w:rPr>
        <w:t>prendre des mesures appropriées destinées à améliorer certains contextes dans la société susceptibles d’engendrer avec le temps des menaces directes pour la vie ou d’empêcher des personnes de jouir de leur dr</w:t>
      </w:r>
      <w:r w:rsidR="00826B58" w:rsidRPr="001E3C8E">
        <w:rPr>
          <w:sz w:val="24"/>
          <w:szCs w:val="24"/>
          <w:lang w:val="fr-FR"/>
        </w:rPr>
        <w:t>oit à la vie dans la dignité. »</w:t>
      </w:r>
      <w:r w:rsidR="00826B58" w:rsidRPr="001E3C8E">
        <w:rPr>
          <w:rStyle w:val="FootnoteReference"/>
          <w:sz w:val="24"/>
          <w:szCs w:val="24"/>
          <w:lang w:val="fr-FR"/>
        </w:rPr>
        <w:t xml:space="preserve"> </w:t>
      </w:r>
      <w:r w:rsidR="00826B58" w:rsidRPr="001E3C8E">
        <w:rPr>
          <w:rStyle w:val="FootnoteReference"/>
          <w:sz w:val="24"/>
          <w:szCs w:val="24"/>
          <w:lang w:val="fr-FR"/>
        </w:rPr>
        <w:footnoteReference w:id="14"/>
      </w:r>
    </w:p>
    <w:p w14:paraId="04114DB6" w14:textId="77777777" w:rsidR="00F60224" w:rsidRPr="001E3C8E" w:rsidRDefault="00F60224" w:rsidP="00F60224">
      <w:pPr>
        <w:ind w:firstLine="720"/>
        <w:jc w:val="both"/>
        <w:rPr>
          <w:sz w:val="24"/>
          <w:szCs w:val="24"/>
          <w:lang w:val="fr-FR"/>
        </w:rPr>
      </w:pPr>
    </w:p>
    <w:p w14:paraId="1B66A111" w14:textId="1CAA1771" w:rsidR="00EC6A93" w:rsidRPr="001E3C8E" w:rsidRDefault="00826B58" w:rsidP="00FA22A0">
      <w:pPr>
        <w:ind w:left="720"/>
        <w:jc w:val="both"/>
        <w:rPr>
          <w:sz w:val="24"/>
          <w:szCs w:val="24"/>
          <w:lang w:val="fr-FR"/>
        </w:rPr>
      </w:pPr>
      <w:r w:rsidRPr="001E3C8E">
        <w:rPr>
          <w:sz w:val="24"/>
          <w:szCs w:val="24"/>
          <w:lang w:val="fr-FR"/>
        </w:rPr>
        <w:t>L</w:t>
      </w:r>
      <w:r w:rsidR="00733263" w:rsidRPr="001E3C8E">
        <w:rPr>
          <w:sz w:val="24"/>
          <w:szCs w:val="24"/>
          <w:lang w:val="fr-FR"/>
        </w:rPr>
        <w:t xml:space="preserve">’énumération de ces conditions générales peut être longue, </w:t>
      </w:r>
      <w:r w:rsidRPr="001E3C8E">
        <w:rPr>
          <w:sz w:val="24"/>
          <w:szCs w:val="24"/>
          <w:lang w:val="fr-FR"/>
        </w:rPr>
        <w:t xml:space="preserve">mais </w:t>
      </w:r>
      <w:r w:rsidR="00733263" w:rsidRPr="001E3C8E">
        <w:rPr>
          <w:sz w:val="24"/>
          <w:szCs w:val="24"/>
          <w:lang w:val="fr-FR"/>
        </w:rPr>
        <w:t>elle est d’une importance cruciale pour souligner que plusieurs mesures économiques sont clairement et directement liées à ces conditions précises, et, par conséquent, à la protection du droit à la vie, notamment en ce qui concerne la pollution, la prévalence de maladies mortelles, la faim</w:t>
      </w:r>
      <w:r w:rsidR="00DC1978" w:rsidRPr="001E3C8E">
        <w:rPr>
          <w:sz w:val="24"/>
          <w:szCs w:val="24"/>
          <w:lang w:val="fr-FR"/>
        </w:rPr>
        <w:t xml:space="preserve"> et la malnutrition ainsi que l’extrême pauvreté et </w:t>
      </w:r>
      <w:r w:rsidRPr="001E3C8E">
        <w:rPr>
          <w:sz w:val="24"/>
          <w:szCs w:val="24"/>
          <w:lang w:val="fr-FR"/>
        </w:rPr>
        <w:t>l’absence de logement</w:t>
      </w:r>
      <w:r w:rsidR="004F1FF8" w:rsidRPr="001E3C8E">
        <w:rPr>
          <w:sz w:val="24"/>
          <w:szCs w:val="24"/>
          <w:lang w:val="fr-FR"/>
        </w:rPr>
        <w:t xml:space="preserve">. Garantir les conditions adéquates pour protéger le droit à la vie, selon le Comité des </w:t>
      </w:r>
      <w:r w:rsidRPr="001E3C8E">
        <w:rPr>
          <w:sz w:val="24"/>
          <w:szCs w:val="24"/>
          <w:lang w:val="fr-FR"/>
        </w:rPr>
        <w:t>d</w:t>
      </w:r>
      <w:r w:rsidR="004F1FF8" w:rsidRPr="001E3C8E">
        <w:rPr>
          <w:sz w:val="24"/>
          <w:szCs w:val="24"/>
          <w:lang w:val="fr-FR"/>
        </w:rPr>
        <w:t xml:space="preserve">roits de l’Homme, </w:t>
      </w:r>
      <w:r w:rsidRPr="001E3C8E">
        <w:rPr>
          <w:sz w:val="24"/>
          <w:szCs w:val="24"/>
          <w:lang w:val="fr-FR"/>
        </w:rPr>
        <w:t xml:space="preserve">peut </w:t>
      </w:r>
      <w:r w:rsidR="004F1FF8" w:rsidRPr="001E3C8E">
        <w:rPr>
          <w:sz w:val="24"/>
          <w:szCs w:val="24"/>
          <w:lang w:val="fr-FR"/>
        </w:rPr>
        <w:t xml:space="preserve">« notamment comprendre, si besoin, des mesures à court terme propres à garantir l’accès aux biens et services essentiels tels que l’alimentation, l’eau, un abri, les soins de santé, l’électricité et l’assainissement et des mesures à long terme destinées à promouvoir et favoriser des conditions générales adéquates permettant de protéger le droit à la vie </w:t>
      </w:r>
      <w:r w:rsidR="0058516F" w:rsidRPr="001E3C8E">
        <w:rPr>
          <w:sz w:val="24"/>
          <w:szCs w:val="24"/>
          <w:lang w:val="fr-FR"/>
        </w:rPr>
        <w:t>telles que le renforcement de l’efficacité des services de soins d’urgence et d’intervention en cas d’urgence (notamment pompiers, ambulances et forces de police). »</w:t>
      </w:r>
      <w:r w:rsidRPr="001E3C8E">
        <w:rPr>
          <w:sz w:val="24"/>
          <w:szCs w:val="24"/>
          <w:lang w:val="fr-FR"/>
        </w:rPr>
        <w:t xml:space="preserve"> </w:t>
      </w:r>
      <w:r w:rsidRPr="001E3C8E">
        <w:rPr>
          <w:rStyle w:val="FootnoteReference"/>
          <w:sz w:val="24"/>
          <w:szCs w:val="24"/>
          <w:lang w:val="fr-FR"/>
        </w:rPr>
        <w:footnoteReference w:id="15"/>
      </w:r>
    </w:p>
    <w:p w14:paraId="4574EF4D" w14:textId="1BE48B7D" w:rsidR="00826B58" w:rsidRPr="001E3C8E" w:rsidRDefault="008F6535" w:rsidP="00FA22A0">
      <w:pPr>
        <w:pStyle w:val="ListParagraph"/>
        <w:numPr>
          <w:ilvl w:val="0"/>
          <w:numId w:val="7"/>
        </w:numPr>
        <w:rPr>
          <w:i/>
          <w:szCs w:val="24"/>
          <w:u w:val="single"/>
          <w:lang w:val="fr-FR"/>
        </w:rPr>
      </w:pPr>
      <w:r w:rsidRPr="001E3C8E">
        <w:rPr>
          <w:i/>
          <w:szCs w:val="24"/>
          <w:u w:val="single"/>
          <w:lang w:val="fr-FR"/>
        </w:rPr>
        <w:t>Assistance et coopération</w:t>
      </w:r>
      <w:r w:rsidR="00793550" w:rsidRPr="001E3C8E">
        <w:rPr>
          <w:i/>
          <w:szCs w:val="24"/>
          <w:u w:val="single"/>
          <w:lang w:val="fr-FR"/>
        </w:rPr>
        <w:t xml:space="preserve"> internationales</w:t>
      </w:r>
    </w:p>
    <w:p w14:paraId="26DDDE30" w14:textId="77777777" w:rsidR="00826B58" w:rsidRPr="001E3C8E" w:rsidRDefault="00826B58" w:rsidP="00901D01">
      <w:pPr>
        <w:ind w:left="720"/>
        <w:jc w:val="both"/>
        <w:rPr>
          <w:sz w:val="24"/>
          <w:szCs w:val="24"/>
          <w:lang w:val="fr-FR"/>
        </w:rPr>
      </w:pPr>
    </w:p>
    <w:p w14:paraId="0E5EC915" w14:textId="07720F5D" w:rsidR="00473983" w:rsidRPr="001E3C8E" w:rsidRDefault="008F6535" w:rsidP="00DD383D">
      <w:pPr>
        <w:ind w:left="720"/>
        <w:jc w:val="both"/>
        <w:rPr>
          <w:sz w:val="24"/>
          <w:szCs w:val="24"/>
          <w:lang w:val="fr-FR"/>
        </w:rPr>
      </w:pPr>
      <w:r w:rsidRPr="001E3C8E">
        <w:rPr>
          <w:sz w:val="24"/>
          <w:szCs w:val="24"/>
          <w:lang w:val="fr-FR"/>
        </w:rPr>
        <w:t xml:space="preserve">L’assistance et la coopération </w:t>
      </w:r>
      <w:r w:rsidR="00826B58" w:rsidRPr="001E3C8E">
        <w:rPr>
          <w:sz w:val="24"/>
          <w:szCs w:val="24"/>
          <w:lang w:val="fr-FR"/>
        </w:rPr>
        <w:t>internationale</w:t>
      </w:r>
      <w:r w:rsidR="00793550" w:rsidRPr="001E3C8E">
        <w:rPr>
          <w:sz w:val="24"/>
          <w:szCs w:val="24"/>
          <w:lang w:val="fr-FR"/>
        </w:rPr>
        <w:t>s</w:t>
      </w:r>
      <w:r w:rsidR="00826B58" w:rsidRPr="001E3C8E">
        <w:rPr>
          <w:sz w:val="24"/>
          <w:szCs w:val="24"/>
          <w:lang w:val="fr-FR"/>
        </w:rPr>
        <w:t xml:space="preserve"> sont</w:t>
      </w:r>
      <w:r w:rsidRPr="001E3C8E">
        <w:rPr>
          <w:sz w:val="24"/>
          <w:szCs w:val="24"/>
          <w:lang w:val="fr-FR"/>
        </w:rPr>
        <w:t xml:space="preserve"> </w:t>
      </w:r>
      <w:r w:rsidR="00826B58" w:rsidRPr="001E3C8E">
        <w:rPr>
          <w:sz w:val="24"/>
          <w:szCs w:val="24"/>
          <w:lang w:val="fr-FR"/>
        </w:rPr>
        <w:t>des</w:t>
      </w:r>
      <w:r w:rsidRPr="001E3C8E">
        <w:rPr>
          <w:sz w:val="24"/>
          <w:szCs w:val="24"/>
          <w:lang w:val="fr-FR"/>
        </w:rPr>
        <w:t xml:space="preserve"> obligation</w:t>
      </w:r>
      <w:r w:rsidR="00826B58" w:rsidRPr="001E3C8E">
        <w:rPr>
          <w:sz w:val="24"/>
          <w:szCs w:val="24"/>
          <w:lang w:val="fr-FR"/>
        </w:rPr>
        <w:t>s</w:t>
      </w:r>
      <w:r w:rsidRPr="001E3C8E">
        <w:rPr>
          <w:sz w:val="24"/>
          <w:szCs w:val="24"/>
          <w:lang w:val="fr-FR"/>
        </w:rPr>
        <w:t xml:space="preserve"> des </w:t>
      </w:r>
      <w:r w:rsidR="00826B58" w:rsidRPr="001E3C8E">
        <w:rPr>
          <w:sz w:val="24"/>
          <w:szCs w:val="24"/>
          <w:lang w:val="fr-FR"/>
        </w:rPr>
        <w:t>États</w:t>
      </w:r>
      <w:r w:rsidRPr="001E3C8E">
        <w:rPr>
          <w:sz w:val="24"/>
          <w:szCs w:val="24"/>
          <w:lang w:val="fr-FR"/>
        </w:rPr>
        <w:t xml:space="preserve"> </w:t>
      </w:r>
      <w:r w:rsidR="00793550" w:rsidRPr="001E3C8E">
        <w:rPr>
          <w:sz w:val="24"/>
          <w:szCs w:val="24"/>
          <w:lang w:val="fr-FR"/>
        </w:rPr>
        <w:t>d</w:t>
      </w:r>
      <w:r w:rsidRPr="001E3C8E">
        <w:rPr>
          <w:sz w:val="24"/>
          <w:szCs w:val="24"/>
          <w:lang w:val="fr-FR"/>
        </w:rPr>
        <w:t>ont le rôle essentiel</w:t>
      </w:r>
      <w:r w:rsidR="00793550" w:rsidRPr="001E3C8E">
        <w:rPr>
          <w:sz w:val="24"/>
          <w:szCs w:val="24"/>
          <w:lang w:val="fr-FR"/>
        </w:rPr>
        <w:t xml:space="preserve"> est</w:t>
      </w:r>
      <w:r w:rsidRPr="001E3C8E">
        <w:rPr>
          <w:sz w:val="24"/>
          <w:szCs w:val="24"/>
          <w:lang w:val="fr-FR"/>
        </w:rPr>
        <w:t xml:space="preserve"> de faciliter la </w:t>
      </w:r>
      <w:r w:rsidR="00826B58" w:rsidRPr="001E3C8E">
        <w:rPr>
          <w:sz w:val="24"/>
          <w:szCs w:val="24"/>
          <w:lang w:val="fr-FR"/>
        </w:rPr>
        <w:t xml:space="preserve">pleine </w:t>
      </w:r>
      <w:r w:rsidRPr="001E3C8E">
        <w:rPr>
          <w:sz w:val="24"/>
          <w:szCs w:val="24"/>
          <w:lang w:val="fr-FR"/>
        </w:rPr>
        <w:t>jouissance de tous les droits d</w:t>
      </w:r>
      <w:r w:rsidR="00DE0FD5" w:rsidRPr="001E3C8E">
        <w:rPr>
          <w:sz w:val="24"/>
          <w:szCs w:val="24"/>
          <w:lang w:val="fr-FR"/>
        </w:rPr>
        <w:t>u PIDESC. Dans le cadre de la coopération et de l’assistance internationale</w:t>
      </w:r>
      <w:r w:rsidR="00793550" w:rsidRPr="001E3C8E">
        <w:rPr>
          <w:sz w:val="24"/>
          <w:szCs w:val="24"/>
          <w:lang w:val="fr-FR"/>
        </w:rPr>
        <w:t>s</w:t>
      </w:r>
      <w:r w:rsidR="00DE0FD5" w:rsidRPr="001E3C8E">
        <w:rPr>
          <w:sz w:val="24"/>
          <w:szCs w:val="24"/>
          <w:lang w:val="fr-FR"/>
        </w:rPr>
        <w:t xml:space="preserve">, les </w:t>
      </w:r>
      <w:r w:rsidR="00826B58" w:rsidRPr="001E3C8E">
        <w:rPr>
          <w:sz w:val="24"/>
          <w:szCs w:val="24"/>
          <w:lang w:val="fr-FR"/>
        </w:rPr>
        <w:t>États</w:t>
      </w:r>
      <w:r w:rsidR="00DE0FD5" w:rsidRPr="001E3C8E">
        <w:rPr>
          <w:sz w:val="24"/>
          <w:szCs w:val="24"/>
          <w:lang w:val="fr-FR"/>
        </w:rPr>
        <w:t xml:space="preserve"> sont dans l’obligation de respecter et </w:t>
      </w:r>
      <w:r w:rsidR="00826B58" w:rsidRPr="001E3C8E">
        <w:rPr>
          <w:sz w:val="24"/>
          <w:szCs w:val="24"/>
          <w:lang w:val="fr-FR"/>
        </w:rPr>
        <w:t>de protéger l</w:t>
      </w:r>
      <w:r w:rsidR="00DE0FD5" w:rsidRPr="001E3C8E">
        <w:rPr>
          <w:sz w:val="24"/>
          <w:szCs w:val="24"/>
          <w:lang w:val="fr-FR"/>
        </w:rPr>
        <w:t xml:space="preserve">es droits humains, ce qui implique d’éviter toute conduite qui </w:t>
      </w:r>
      <w:r w:rsidR="00826B58" w:rsidRPr="001E3C8E">
        <w:rPr>
          <w:sz w:val="24"/>
          <w:szCs w:val="24"/>
          <w:lang w:val="fr-FR"/>
        </w:rPr>
        <w:t>comporterait</w:t>
      </w:r>
      <w:r w:rsidR="00DE0FD5" w:rsidRPr="001E3C8E">
        <w:rPr>
          <w:sz w:val="24"/>
          <w:szCs w:val="24"/>
          <w:lang w:val="fr-FR"/>
        </w:rPr>
        <w:t xml:space="preserve"> un </w:t>
      </w:r>
      <w:r w:rsidR="00826B58" w:rsidRPr="001E3C8E">
        <w:rPr>
          <w:sz w:val="24"/>
          <w:szCs w:val="24"/>
          <w:lang w:val="fr-FR"/>
        </w:rPr>
        <w:t xml:space="preserve">risque prévisible de nuire au respect </w:t>
      </w:r>
      <w:r w:rsidR="00DE0FD5" w:rsidRPr="001E3C8E">
        <w:rPr>
          <w:sz w:val="24"/>
          <w:szCs w:val="24"/>
          <w:lang w:val="fr-FR"/>
        </w:rPr>
        <w:t xml:space="preserve">des droits humains </w:t>
      </w:r>
      <w:r w:rsidR="00826B58" w:rsidRPr="001E3C8E">
        <w:rPr>
          <w:sz w:val="24"/>
          <w:szCs w:val="24"/>
          <w:lang w:val="fr-FR"/>
        </w:rPr>
        <w:t>d</w:t>
      </w:r>
      <w:r w:rsidR="00DE0FD5" w:rsidRPr="001E3C8E">
        <w:rPr>
          <w:sz w:val="24"/>
          <w:szCs w:val="24"/>
          <w:lang w:val="fr-FR"/>
        </w:rPr>
        <w:t xml:space="preserve">es personnes vivant dans la pauvreté au-delà de leurs frontières et </w:t>
      </w:r>
      <w:r w:rsidR="00826B58" w:rsidRPr="001E3C8E">
        <w:rPr>
          <w:sz w:val="24"/>
          <w:szCs w:val="24"/>
          <w:lang w:val="fr-FR"/>
        </w:rPr>
        <w:t xml:space="preserve">de </w:t>
      </w:r>
      <w:r w:rsidR="00DE0FD5" w:rsidRPr="001E3C8E">
        <w:rPr>
          <w:sz w:val="24"/>
          <w:szCs w:val="24"/>
          <w:lang w:val="fr-FR"/>
        </w:rPr>
        <w:t xml:space="preserve">conduire des </w:t>
      </w:r>
      <w:r w:rsidR="00826B58" w:rsidRPr="001E3C8E">
        <w:rPr>
          <w:sz w:val="24"/>
          <w:szCs w:val="24"/>
          <w:lang w:val="fr-FR"/>
        </w:rPr>
        <w:t>études</w:t>
      </w:r>
      <w:r w:rsidR="00DE0FD5" w:rsidRPr="001E3C8E">
        <w:rPr>
          <w:sz w:val="24"/>
          <w:szCs w:val="24"/>
          <w:lang w:val="fr-FR"/>
        </w:rPr>
        <w:t xml:space="preserve"> de l’impact extraterritorial des l</w:t>
      </w:r>
      <w:r w:rsidR="00826B58" w:rsidRPr="001E3C8E">
        <w:rPr>
          <w:sz w:val="24"/>
          <w:szCs w:val="24"/>
          <w:lang w:val="fr-FR"/>
        </w:rPr>
        <w:t>ois, politiques et pratiques</w:t>
      </w:r>
      <w:r w:rsidR="00826B58" w:rsidRPr="001E3C8E">
        <w:rPr>
          <w:rStyle w:val="FootnoteReference"/>
          <w:sz w:val="24"/>
          <w:szCs w:val="24"/>
          <w:lang w:val="fr-FR"/>
        </w:rPr>
        <w:footnoteReference w:id="16"/>
      </w:r>
      <w:r w:rsidR="00DE0FD5" w:rsidRPr="001E3C8E">
        <w:rPr>
          <w:sz w:val="24"/>
          <w:szCs w:val="24"/>
          <w:lang w:val="fr-FR"/>
        </w:rPr>
        <w:t>.</w:t>
      </w:r>
    </w:p>
    <w:p w14:paraId="047BD60B" w14:textId="77777777" w:rsidR="00826B58" w:rsidRPr="001E3C8E" w:rsidRDefault="00826B58" w:rsidP="00826B58">
      <w:pPr>
        <w:pStyle w:val="Heading1"/>
        <w:ind w:left="1069"/>
        <w:rPr>
          <w:szCs w:val="24"/>
          <w:lang w:val="fr-FR"/>
        </w:rPr>
      </w:pPr>
    </w:p>
    <w:p w14:paraId="7E79C1F6" w14:textId="157BCD51" w:rsidR="00826B58" w:rsidRPr="001E3C8E" w:rsidRDefault="00DE0FD5" w:rsidP="00D741B8">
      <w:pPr>
        <w:pStyle w:val="Heading1"/>
        <w:numPr>
          <w:ilvl w:val="0"/>
          <w:numId w:val="27"/>
        </w:numPr>
        <w:rPr>
          <w:szCs w:val="24"/>
          <w:lang w:val="fr-FR"/>
        </w:rPr>
      </w:pPr>
      <w:bookmarkStart w:id="53" w:name="_Toc522789727"/>
      <w:r w:rsidRPr="001E3C8E">
        <w:rPr>
          <w:szCs w:val="24"/>
          <w:lang w:val="fr-FR"/>
        </w:rPr>
        <w:t xml:space="preserve">Discriminations multiples et </w:t>
      </w:r>
      <w:r w:rsidR="00826B58" w:rsidRPr="001E3C8E">
        <w:rPr>
          <w:szCs w:val="24"/>
          <w:lang w:val="fr-FR"/>
        </w:rPr>
        <w:t>croisées</w:t>
      </w:r>
      <w:bookmarkEnd w:id="53"/>
    </w:p>
    <w:p w14:paraId="49806734" w14:textId="77777777" w:rsidR="00FA22A0" w:rsidRPr="001E3C8E" w:rsidRDefault="00FA22A0" w:rsidP="00FA22A0">
      <w:pPr>
        <w:pStyle w:val="Heading1"/>
        <w:ind w:left="1069"/>
        <w:rPr>
          <w:szCs w:val="24"/>
          <w:lang w:val="fr-FR"/>
        </w:rPr>
      </w:pPr>
    </w:p>
    <w:p w14:paraId="6900B81B" w14:textId="46964C5E" w:rsidR="007B0227" w:rsidRPr="001E3C8E" w:rsidRDefault="00FA22A0" w:rsidP="009C3347">
      <w:pPr>
        <w:pStyle w:val="BodyText"/>
        <w:rPr>
          <w:szCs w:val="24"/>
          <w:lang w:val="fr-FR"/>
        </w:rPr>
      </w:pPr>
      <w:r w:rsidRPr="001E3C8E">
        <w:rPr>
          <w:szCs w:val="24"/>
          <w:lang w:val="fr-FR"/>
        </w:rPr>
        <w:t xml:space="preserve">Les études </w:t>
      </w:r>
      <w:r w:rsidR="00DE0FD5" w:rsidRPr="001E3C8E">
        <w:rPr>
          <w:szCs w:val="24"/>
          <w:lang w:val="fr-FR"/>
        </w:rPr>
        <w:t>d’impact sur les droits humains doi</w:t>
      </w:r>
      <w:r w:rsidRPr="001E3C8E">
        <w:rPr>
          <w:szCs w:val="24"/>
          <w:lang w:val="fr-FR"/>
        </w:rPr>
        <w:t>ven</w:t>
      </w:r>
      <w:r w:rsidR="00DE0FD5" w:rsidRPr="001E3C8E">
        <w:rPr>
          <w:szCs w:val="24"/>
          <w:lang w:val="fr-FR"/>
        </w:rPr>
        <w:t xml:space="preserve">t viser à identifier les </w:t>
      </w:r>
      <w:r w:rsidRPr="001E3C8E">
        <w:rPr>
          <w:szCs w:val="24"/>
          <w:lang w:val="fr-FR"/>
        </w:rPr>
        <w:t>conséquences cumulative</w:t>
      </w:r>
      <w:r w:rsidR="00DE0FD5" w:rsidRPr="001E3C8E">
        <w:rPr>
          <w:szCs w:val="24"/>
          <w:lang w:val="fr-FR"/>
        </w:rPr>
        <w:t>s</w:t>
      </w:r>
      <w:r w:rsidR="00CC67BD" w:rsidRPr="001E3C8E">
        <w:rPr>
          <w:szCs w:val="24"/>
          <w:lang w:val="fr-FR"/>
        </w:rPr>
        <w:t xml:space="preserve"> des politiques de réforme</w:t>
      </w:r>
      <w:r w:rsidR="00B52615" w:rsidRPr="001E3C8E">
        <w:rPr>
          <w:szCs w:val="24"/>
          <w:lang w:val="fr-FR"/>
        </w:rPr>
        <w:t>s</w:t>
      </w:r>
      <w:r w:rsidR="00CC67BD" w:rsidRPr="001E3C8E">
        <w:rPr>
          <w:szCs w:val="24"/>
          <w:lang w:val="fr-FR"/>
        </w:rPr>
        <w:t xml:space="preserve"> économiques sur des individus et groupes spécifiques. Les </w:t>
      </w:r>
      <w:r w:rsidRPr="001E3C8E">
        <w:rPr>
          <w:szCs w:val="24"/>
          <w:lang w:val="fr-FR"/>
        </w:rPr>
        <w:t>États</w:t>
      </w:r>
      <w:r w:rsidR="00CC67BD" w:rsidRPr="001E3C8E">
        <w:rPr>
          <w:szCs w:val="24"/>
          <w:lang w:val="fr-FR"/>
        </w:rPr>
        <w:t xml:space="preserve"> </w:t>
      </w:r>
      <w:r w:rsidRPr="001E3C8E">
        <w:rPr>
          <w:szCs w:val="24"/>
          <w:lang w:val="fr-FR"/>
        </w:rPr>
        <w:t xml:space="preserve">mettant </w:t>
      </w:r>
      <w:r w:rsidR="00CC67BD" w:rsidRPr="001E3C8E">
        <w:rPr>
          <w:szCs w:val="24"/>
          <w:lang w:val="fr-FR"/>
        </w:rPr>
        <w:t xml:space="preserve">en œuvre des mesures de consolidation fiscale tout en adoptant d’autres </w:t>
      </w:r>
      <w:r w:rsidRPr="001E3C8E">
        <w:rPr>
          <w:szCs w:val="24"/>
          <w:lang w:val="fr-FR"/>
        </w:rPr>
        <w:t>réformes</w:t>
      </w:r>
      <w:r w:rsidR="00CC67BD" w:rsidRPr="001E3C8E">
        <w:rPr>
          <w:szCs w:val="24"/>
          <w:lang w:val="fr-FR"/>
        </w:rPr>
        <w:t xml:space="preserve">, </w:t>
      </w:r>
      <w:r w:rsidRPr="001E3C8E">
        <w:rPr>
          <w:szCs w:val="24"/>
          <w:lang w:val="fr-FR"/>
        </w:rPr>
        <w:t xml:space="preserve">notamment </w:t>
      </w:r>
      <w:r w:rsidR="00CC67BD" w:rsidRPr="001E3C8E">
        <w:rPr>
          <w:szCs w:val="24"/>
          <w:lang w:val="fr-FR"/>
        </w:rPr>
        <w:t xml:space="preserve">du marché du travail, de la fiscalité ou des dépenses publiques, devraient </w:t>
      </w:r>
      <w:r w:rsidRPr="001E3C8E">
        <w:rPr>
          <w:szCs w:val="24"/>
          <w:lang w:val="fr-FR"/>
        </w:rPr>
        <w:t>prêter</w:t>
      </w:r>
      <w:r w:rsidR="00CC67BD" w:rsidRPr="001E3C8E">
        <w:rPr>
          <w:szCs w:val="24"/>
          <w:lang w:val="fr-FR"/>
        </w:rPr>
        <w:t xml:space="preserve"> une attention particulière à l’accumulation des </w:t>
      </w:r>
      <w:r w:rsidR="00CC67BD" w:rsidRPr="001E3C8E">
        <w:rPr>
          <w:szCs w:val="24"/>
          <w:lang w:val="fr-FR"/>
        </w:rPr>
        <w:lastRenderedPageBreak/>
        <w:t>impacts les plus graves sur le</w:t>
      </w:r>
      <w:r w:rsidRPr="001E3C8E">
        <w:rPr>
          <w:szCs w:val="24"/>
          <w:lang w:val="fr-FR"/>
        </w:rPr>
        <w:t>(</w:t>
      </w:r>
      <w:r w:rsidR="00CC67BD" w:rsidRPr="001E3C8E">
        <w:rPr>
          <w:szCs w:val="24"/>
          <w:lang w:val="fr-FR"/>
        </w:rPr>
        <w:t>s</w:t>
      </w:r>
      <w:r w:rsidRPr="001E3C8E">
        <w:rPr>
          <w:szCs w:val="24"/>
          <w:lang w:val="fr-FR"/>
        </w:rPr>
        <w:t>)</w:t>
      </w:r>
      <w:r w:rsidR="00CC67BD" w:rsidRPr="001E3C8E">
        <w:rPr>
          <w:szCs w:val="24"/>
          <w:lang w:val="fr-FR"/>
        </w:rPr>
        <w:t xml:space="preserve"> même</w:t>
      </w:r>
      <w:r w:rsidRPr="001E3C8E">
        <w:rPr>
          <w:szCs w:val="24"/>
          <w:lang w:val="fr-FR"/>
        </w:rPr>
        <w:t>(</w:t>
      </w:r>
      <w:r w:rsidR="00CC67BD" w:rsidRPr="001E3C8E">
        <w:rPr>
          <w:szCs w:val="24"/>
          <w:lang w:val="fr-FR"/>
        </w:rPr>
        <w:t>s</w:t>
      </w:r>
      <w:r w:rsidRPr="001E3C8E">
        <w:rPr>
          <w:szCs w:val="24"/>
          <w:lang w:val="fr-FR"/>
        </w:rPr>
        <w:t>)</w:t>
      </w:r>
      <w:r w:rsidR="00CC67BD" w:rsidRPr="001E3C8E">
        <w:rPr>
          <w:szCs w:val="24"/>
          <w:lang w:val="fr-FR"/>
        </w:rPr>
        <w:t xml:space="preserve"> groupe</w:t>
      </w:r>
      <w:r w:rsidRPr="001E3C8E">
        <w:rPr>
          <w:szCs w:val="24"/>
          <w:lang w:val="fr-FR"/>
        </w:rPr>
        <w:t>(</w:t>
      </w:r>
      <w:r w:rsidR="00CC67BD" w:rsidRPr="001E3C8E">
        <w:rPr>
          <w:szCs w:val="24"/>
          <w:lang w:val="fr-FR"/>
        </w:rPr>
        <w:t>s</w:t>
      </w:r>
      <w:r w:rsidRPr="001E3C8E">
        <w:rPr>
          <w:szCs w:val="24"/>
          <w:lang w:val="fr-FR"/>
        </w:rPr>
        <w:t>)</w:t>
      </w:r>
      <w:r w:rsidR="00CC67BD" w:rsidRPr="001E3C8E">
        <w:rPr>
          <w:szCs w:val="24"/>
          <w:lang w:val="fr-FR"/>
        </w:rPr>
        <w:t xml:space="preserve"> de personnes. Les discriminations directes, indirectes, multiples et </w:t>
      </w:r>
      <w:r w:rsidRPr="001E3C8E">
        <w:rPr>
          <w:szCs w:val="24"/>
          <w:lang w:val="fr-FR"/>
        </w:rPr>
        <w:t>croisées</w:t>
      </w:r>
      <w:r w:rsidR="00CC67BD" w:rsidRPr="001E3C8E">
        <w:rPr>
          <w:szCs w:val="24"/>
          <w:lang w:val="fr-FR"/>
        </w:rPr>
        <w:t xml:space="preserve"> doivent être évaluées avec attention et faire l’objet de mesures de prévention.</w:t>
      </w:r>
      <w:r w:rsidR="00547FE8" w:rsidRPr="001E3C8E">
        <w:rPr>
          <w:rStyle w:val="FootnoteReference"/>
          <w:szCs w:val="24"/>
          <w:lang w:val="fr-FR"/>
        </w:rPr>
        <w:footnoteReference w:id="17"/>
      </w:r>
      <w:r w:rsidR="007B0227" w:rsidRPr="001E3C8E">
        <w:rPr>
          <w:szCs w:val="24"/>
          <w:lang w:val="fr-FR"/>
        </w:rPr>
        <w:t xml:space="preserve"> </w:t>
      </w:r>
    </w:p>
    <w:p w14:paraId="5BA3C943" w14:textId="77777777" w:rsidR="007B0227" w:rsidRPr="001E3C8E" w:rsidRDefault="007B0227" w:rsidP="00E27A1F">
      <w:pPr>
        <w:ind w:left="720"/>
        <w:jc w:val="both"/>
        <w:rPr>
          <w:i/>
          <w:sz w:val="24"/>
          <w:szCs w:val="24"/>
          <w:lang w:val="fr-FR"/>
        </w:rPr>
      </w:pPr>
    </w:p>
    <w:p w14:paraId="50BD057F" w14:textId="5DD3F02B" w:rsidR="00CC67BD" w:rsidRPr="001E3C8E" w:rsidRDefault="00CC67BD" w:rsidP="00E27A1F">
      <w:pPr>
        <w:ind w:firstLine="678"/>
        <w:jc w:val="both"/>
        <w:rPr>
          <w:i/>
          <w:sz w:val="24"/>
          <w:szCs w:val="24"/>
          <w:lang w:val="fr-FR"/>
        </w:rPr>
      </w:pPr>
      <w:r w:rsidRPr="001E3C8E">
        <w:rPr>
          <w:i/>
          <w:sz w:val="24"/>
          <w:szCs w:val="24"/>
          <w:lang w:val="fr-FR"/>
        </w:rPr>
        <w:t>Commentaire :</w:t>
      </w:r>
    </w:p>
    <w:p w14:paraId="7A2A3C0B" w14:textId="77777777" w:rsidR="00AC7F0D" w:rsidRPr="001E3C8E" w:rsidRDefault="00AC7F0D" w:rsidP="00AC7F0D">
      <w:pPr>
        <w:rPr>
          <w:szCs w:val="24"/>
          <w:lang w:val="fr-FR"/>
        </w:rPr>
      </w:pPr>
    </w:p>
    <w:p w14:paraId="37976438" w14:textId="4F47B4FA" w:rsidR="00D06025" w:rsidRPr="001E3C8E" w:rsidRDefault="00AC7F0D" w:rsidP="00430901">
      <w:pPr>
        <w:pStyle w:val="ListParagraph"/>
        <w:numPr>
          <w:ilvl w:val="0"/>
          <w:numId w:val="11"/>
        </w:numPr>
        <w:spacing w:before="0"/>
        <w:rPr>
          <w:szCs w:val="24"/>
          <w:lang w:val="fr-FR"/>
        </w:rPr>
      </w:pPr>
      <w:r w:rsidRPr="001E3C8E">
        <w:rPr>
          <w:szCs w:val="24"/>
          <w:lang w:val="fr-FR"/>
        </w:rPr>
        <w:t>En conséquence des principes d</w:t>
      </w:r>
      <w:r w:rsidR="00D06025" w:rsidRPr="001E3C8E">
        <w:rPr>
          <w:szCs w:val="24"/>
          <w:lang w:val="fr-FR"/>
        </w:rPr>
        <w:t>’</w:t>
      </w:r>
      <w:r w:rsidRPr="001E3C8E">
        <w:rPr>
          <w:szCs w:val="24"/>
          <w:lang w:val="fr-FR"/>
        </w:rPr>
        <w:t>indivisibilité et d’interdépendance des droits humain, une étude</w:t>
      </w:r>
      <w:r w:rsidR="00D06025" w:rsidRPr="001E3C8E">
        <w:rPr>
          <w:szCs w:val="24"/>
          <w:lang w:val="fr-FR"/>
        </w:rPr>
        <w:t xml:space="preserve"> d’impact sur les droits humains </w:t>
      </w:r>
      <w:r w:rsidRPr="001E3C8E">
        <w:rPr>
          <w:szCs w:val="24"/>
          <w:lang w:val="fr-FR"/>
        </w:rPr>
        <w:t>doit</w:t>
      </w:r>
      <w:r w:rsidR="00D06025" w:rsidRPr="001E3C8E">
        <w:rPr>
          <w:szCs w:val="24"/>
          <w:lang w:val="fr-FR"/>
        </w:rPr>
        <w:t xml:space="preserve"> se concentrer sur l’ensemble des droits et sur la manière dont ils pourraient être affectés en conséquence des mesures de réforme éco</w:t>
      </w:r>
      <w:r w:rsidRPr="001E3C8E">
        <w:rPr>
          <w:szCs w:val="24"/>
          <w:lang w:val="fr-FR"/>
        </w:rPr>
        <w:t>nomique. La plupart du temps, les dommages sont provoqués par l’accumulation</w:t>
      </w:r>
      <w:r w:rsidR="00D06025" w:rsidRPr="001E3C8E">
        <w:rPr>
          <w:szCs w:val="24"/>
          <w:lang w:val="fr-FR"/>
        </w:rPr>
        <w:t xml:space="preserve"> et la combinaison des décisions </w:t>
      </w:r>
      <w:r w:rsidR="00B52615" w:rsidRPr="001E3C8E">
        <w:rPr>
          <w:szCs w:val="24"/>
          <w:lang w:val="fr-FR"/>
        </w:rPr>
        <w:t xml:space="preserve">individuelles </w:t>
      </w:r>
      <w:r w:rsidR="00D06025" w:rsidRPr="001E3C8E">
        <w:rPr>
          <w:szCs w:val="24"/>
          <w:lang w:val="fr-FR"/>
        </w:rPr>
        <w:t xml:space="preserve">d’un </w:t>
      </w:r>
      <w:r w:rsidRPr="001E3C8E">
        <w:rPr>
          <w:szCs w:val="24"/>
          <w:lang w:val="fr-FR"/>
        </w:rPr>
        <w:t>État, lorsque d</w:t>
      </w:r>
      <w:r w:rsidR="00D06025" w:rsidRPr="001E3C8E">
        <w:rPr>
          <w:szCs w:val="24"/>
          <w:lang w:val="fr-FR"/>
        </w:rPr>
        <w:t xml:space="preserve">es </w:t>
      </w:r>
      <w:r w:rsidRPr="001E3C8E">
        <w:rPr>
          <w:szCs w:val="24"/>
          <w:lang w:val="fr-FR"/>
        </w:rPr>
        <w:t>mesures</w:t>
      </w:r>
      <w:r w:rsidR="00D06025" w:rsidRPr="001E3C8E">
        <w:rPr>
          <w:szCs w:val="24"/>
          <w:lang w:val="fr-FR"/>
        </w:rPr>
        <w:t xml:space="preserve"> prises </w:t>
      </w:r>
      <w:r w:rsidRPr="001E3C8E">
        <w:rPr>
          <w:szCs w:val="24"/>
          <w:lang w:val="fr-FR"/>
        </w:rPr>
        <w:t xml:space="preserve">les unes après les autres </w:t>
      </w:r>
      <w:r w:rsidR="0044225E" w:rsidRPr="001E3C8E">
        <w:rPr>
          <w:szCs w:val="24"/>
          <w:lang w:val="fr-FR"/>
        </w:rPr>
        <w:t>affectent l</w:t>
      </w:r>
      <w:r w:rsidRPr="001E3C8E">
        <w:rPr>
          <w:szCs w:val="24"/>
          <w:lang w:val="fr-FR"/>
        </w:rPr>
        <w:t xml:space="preserve">es </w:t>
      </w:r>
      <w:r w:rsidR="00D06025" w:rsidRPr="001E3C8E">
        <w:rPr>
          <w:szCs w:val="24"/>
          <w:lang w:val="fr-FR"/>
        </w:rPr>
        <w:t xml:space="preserve">mêmes groupes de population. Une approche basée sur les droits humains peut aider à identifier la manière dont les personnes touchées par des inégalités </w:t>
      </w:r>
      <w:r w:rsidRPr="001E3C8E">
        <w:rPr>
          <w:szCs w:val="24"/>
          <w:lang w:val="fr-FR"/>
        </w:rPr>
        <w:t>croisées</w:t>
      </w:r>
      <w:r w:rsidR="00CA4CA7" w:rsidRPr="001E3C8E">
        <w:rPr>
          <w:szCs w:val="24"/>
          <w:lang w:val="fr-FR"/>
        </w:rPr>
        <w:t xml:space="preserve"> </w:t>
      </w:r>
      <w:r w:rsidRPr="001E3C8E">
        <w:rPr>
          <w:szCs w:val="24"/>
          <w:lang w:val="fr-FR"/>
        </w:rPr>
        <w:t>sont susceptibles d’</w:t>
      </w:r>
      <w:r w:rsidR="00CA4CA7" w:rsidRPr="001E3C8E">
        <w:rPr>
          <w:szCs w:val="24"/>
          <w:lang w:val="fr-FR"/>
        </w:rPr>
        <w:t>être affectées.</w:t>
      </w:r>
    </w:p>
    <w:p w14:paraId="200F88BA" w14:textId="77777777" w:rsidR="00CA4CA7" w:rsidRPr="001E3C8E" w:rsidRDefault="00CA4CA7" w:rsidP="00C00FAF">
      <w:pPr>
        <w:rPr>
          <w:szCs w:val="24"/>
          <w:lang w:val="fr-FR"/>
        </w:rPr>
      </w:pPr>
    </w:p>
    <w:p w14:paraId="1C9876BA" w14:textId="0CF6B796" w:rsidR="00CA4CA7" w:rsidRPr="001E3C8E" w:rsidRDefault="00CA4CA7" w:rsidP="00430901">
      <w:pPr>
        <w:pStyle w:val="ListParagraph"/>
        <w:numPr>
          <w:ilvl w:val="0"/>
          <w:numId w:val="11"/>
        </w:numPr>
        <w:spacing w:before="0"/>
        <w:rPr>
          <w:szCs w:val="24"/>
          <w:lang w:val="fr-FR"/>
        </w:rPr>
      </w:pPr>
      <w:r w:rsidRPr="001E3C8E">
        <w:rPr>
          <w:szCs w:val="24"/>
          <w:lang w:val="fr-FR"/>
        </w:rPr>
        <w:t xml:space="preserve">Déterminer </w:t>
      </w:r>
      <w:r w:rsidR="001F0673" w:rsidRPr="001E3C8E">
        <w:rPr>
          <w:szCs w:val="24"/>
          <w:lang w:val="fr-FR"/>
        </w:rPr>
        <w:t xml:space="preserve">quels </w:t>
      </w:r>
      <w:r w:rsidRPr="001E3C8E">
        <w:rPr>
          <w:szCs w:val="24"/>
          <w:lang w:val="fr-FR"/>
        </w:rPr>
        <w:t>individus et groupes particuliers sont le</w:t>
      </w:r>
      <w:r w:rsidR="001F0673" w:rsidRPr="001E3C8E">
        <w:rPr>
          <w:szCs w:val="24"/>
          <w:lang w:val="fr-FR"/>
        </w:rPr>
        <w:t>s</w:t>
      </w:r>
      <w:r w:rsidRPr="001E3C8E">
        <w:rPr>
          <w:szCs w:val="24"/>
          <w:lang w:val="fr-FR"/>
        </w:rPr>
        <w:t xml:space="preserve"> plus marginalisés et la cible des plus grandes discriminations dans un pays donné et dans des circonstances spécifiques nécessite une compréhension profonde et sophistiquée des différents groupes de population et du contexte dans lequel une mesure particulière doit être prise. Certains groupes </w:t>
      </w:r>
      <w:r w:rsidR="001F0673" w:rsidRPr="001E3C8E">
        <w:rPr>
          <w:szCs w:val="24"/>
          <w:lang w:val="fr-FR"/>
        </w:rPr>
        <w:t xml:space="preserve">traditionnellement victimes </w:t>
      </w:r>
      <w:r w:rsidRPr="001E3C8E">
        <w:rPr>
          <w:szCs w:val="24"/>
          <w:lang w:val="fr-FR"/>
        </w:rPr>
        <w:t>de discriminations viennent plus facilement à l’esprit, comme les femmes, les personnes handicap</w:t>
      </w:r>
      <w:r w:rsidR="00437126" w:rsidRPr="00FC433F">
        <w:rPr>
          <w:szCs w:val="24"/>
          <w:lang w:val="fr-FR"/>
        </w:rPr>
        <w:t>ées</w:t>
      </w:r>
      <w:r w:rsidRPr="001E3C8E">
        <w:rPr>
          <w:szCs w:val="24"/>
          <w:lang w:val="fr-FR"/>
        </w:rPr>
        <w:t>, les enfants, les personnes âgées, les populations autochtones, les migrants, les réfugiés, les personnes déplacées internes, les personnes vivant dans la pauvreté, au chômage ou ayant un emploi précaire, ainsi que les minorités ethniques, nationales, linguistiques, religieuses, sexuelles et autres.</w:t>
      </w:r>
    </w:p>
    <w:p w14:paraId="4A683F74" w14:textId="77777777" w:rsidR="003E0323" w:rsidRPr="001E3C8E" w:rsidRDefault="003E0323" w:rsidP="009F6CF1">
      <w:pPr>
        <w:rPr>
          <w:szCs w:val="24"/>
          <w:lang w:val="fr-FR"/>
        </w:rPr>
      </w:pPr>
    </w:p>
    <w:p w14:paraId="01418A6E" w14:textId="6FEDA405" w:rsidR="003E0323" w:rsidRPr="001E3C8E" w:rsidRDefault="003E0323" w:rsidP="00430901">
      <w:pPr>
        <w:pStyle w:val="ListParagraph"/>
        <w:numPr>
          <w:ilvl w:val="0"/>
          <w:numId w:val="11"/>
        </w:numPr>
        <w:spacing w:before="0"/>
        <w:rPr>
          <w:szCs w:val="24"/>
          <w:lang w:val="fr-FR"/>
        </w:rPr>
      </w:pPr>
      <w:r w:rsidRPr="001E3C8E">
        <w:rPr>
          <w:szCs w:val="24"/>
          <w:lang w:val="fr-FR"/>
        </w:rPr>
        <w:t xml:space="preserve">Parmi ces </w:t>
      </w:r>
      <w:r w:rsidR="009F6CF1" w:rsidRPr="001E3C8E">
        <w:rPr>
          <w:szCs w:val="24"/>
          <w:lang w:val="fr-FR"/>
        </w:rPr>
        <w:t>personnes</w:t>
      </w:r>
      <w:r w:rsidRPr="001E3C8E">
        <w:rPr>
          <w:szCs w:val="24"/>
          <w:lang w:val="fr-FR"/>
        </w:rPr>
        <w:t xml:space="preserve">, deux catégories peuvent être distinguées : </w:t>
      </w:r>
      <w:r w:rsidR="009F6CF1" w:rsidRPr="001E3C8E">
        <w:rPr>
          <w:szCs w:val="24"/>
          <w:lang w:val="fr-FR"/>
        </w:rPr>
        <w:t xml:space="preserve">d’une part les groupes qui se trouvent </w:t>
      </w:r>
      <w:r w:rsidRPr="001E3C8E">
        <w:rPr>
          <w:szCs w:val="24"/>
          <w:lang w:val="fr-FR"/>
        </w:rPr>
        <w:t>dans des situations structurellement vulnérables (par exemple les segments de population à faible revenu</w:t>
      </w:r>
      <w:r w:rsidR="0044225E" w:rsidRPr="001E3C8E">
        <w:rPr>
          <w:szCs w:val="24"/>
          <w:lang w:val="fr-FR"/>
        </w:rPr>
        <w:t xml:space="preserve"> ou</w:t>
      </w:r>
      <w:r w:rsidRPr="001E3C8E">
        <w:rPr>
          <w:szCs w:val="24"/>
          <w:lang w:val="fr-FR"/>
        </w:rPr>
        <w:t xml:space="preserve"> les travailleurs du se</w:t>
      </w:r>
      <w:r w:rsidR="009F6CF1" w:rsidRPr="001E3C8E">
        <w:rPr>
          <w:szCs w:val="24"/>
          <w:lang w:val="fr-FR"/>
        </w:rPr>
        <w:t>cteur informel), d’autre part</w:t>
      </w:r>
      <w:r w:rsidRPr="001E3C8E">
        <w:rPr>
          <w:szCs w:val="24"/>
          <w:lang w:val="fr-FR"/>
        </w:rPr>
        <w:t xml:space="preserve"> les groupes  de soins prioritaires (par exemple les personnes âgées, les enfants, les femmes enceintes, les personnes </w:t>
      </w:r>
      <w:r w:rsidR="00437126" w:rsidRPr="001E3C8E">
        <w:rPr>
          <w:szCs w:val="24"/>
          <w:lang w:val="fr-FR"/>
        </w:rPr>
        <w:t>handicapées</w:t>
      </w:r>
      <w:r w:rsidRPr="001E3C8E">
        <w:rPr>
          <w:szCs w:val="24"/>
          <w:lang w:val="fr-FR"/>
        </w:rPr>
        <w:t xml:space="preserve">, privées de liberté et celles qui souffrent de maladies </w:t>
      </w:r>
      <w:r w:rsidR="009F6CF1" w:rsidRPr="001E3C8E">
        <w:rPr>
          <w:szCs w:val="24"/>
          <w:lang w:val="fr-FR"/>
        </w:rPr>
        <w:t>graves ou hautement complexes.</w:t>
      </w:r>
      <w:r w:rsidRPr="001E3C8E">
        <w:rPr>
          <w:szCs w:val="24"/>
          <w:lang w:val="fr-FR"/>
        </w:rPr>
        <w:t>) L’évaluation de ces deux catégories nécessite l’utilisation de critères différents : dans le premier cas, il est essentiel de teni</w:t>
      </w:r>
      <w:r w:rsidR="009F6CF1" w:rsidRPr="001E3C8E">
        <w:rPr>
          <w:szCs w:val="24"/>
          <w:lang w:val="fr-FR"/>
        </w:rPr>
        <w:t>r compte des impacts cumulatifs.</w:t>
      </w:r>
      <w:r w:rsidRPr="001E3C8E">
        <w:rPr>
          <w:szCs w:val="24"/>
          <w:lang w:val="fr-FR"/>
        </w:rPr>
        <w:t xml:space="preserve"> </w:t>
      </w:r>
      <w:r w:rsidR="009F6CF1" w:rsidRPr="001E3C8E">
        <w:rPr>
          <w:szCs w:val="24"/>
          <w:lang w:val="fr-FR"/>
        </w:rPr>
        <w:t>Dans le deuxième cas</w:t>
      </w:r>
      <w:r w:rsidRPr="001E3C8E">
        <w:rPr>
          <w:szCs w:val="24"/>
          <w:lang w:val="fr-FR"/>
        </w:rPr>
        <w:t>, des mesures</w:t>
      </w:r>
      <w:r w:rsidR="009F6CF1" w:rsidRPr="001E3C8E">
        <w:rPr>
          <w:szCs w:val="24"/>
          <w:lang w:val="fr-FR"/>
        </w:rPr>
        <w:t xml:space="preserve"> spécifiques aux groupes </w:t>
      </w:r>
      <w:r w:rsidRPr="001E3C8E">
        <w:rPr>
          <w:szCs w:val="24"/>
          <w:lang w:val="fr-FR"/>
        </w:rPr>
        <w:t>prioritaires doivent être prises.</w:t>
      </w:r>
    </w:p>
    <w:p w14:paraId="3CEBDE1E" w14:textId="77777777" w:rsidR="009F6CF1" w:rsidRPr="001E3C8E" w:rsidRDefault="009F6CF1" w:rsidP="009F6CF1">
      <w:pPr>
        <w:rPr>
          <w:szCs w:val="24"/>
          <w:lang w:val="fr-FR"/>
        </w:rPr>
      </w:pPr>
    </w:p>
    <w:p w14:paraId="39B7C3CB" w14:textId="1F1CCC9F" w:rsidR="003E0323" w:rsidRPr="001E3C8E" w:rsidRDefault="003E0323" w:rsidP="009F6CF1">
      <w:pPr>
        <w:pStyle w:val="ListParagraph"/>
        <w:numPr>
          <w:ilvl w:val="0"/>
          <w:numId w:val="11"/>
        </w:numPr>
        <w:spacing w:before="0"/>
        <w:rPr>
          <w:szCs w:val="24"/>
          <w:lang w:val="fr-FR"/>
        </w:rPr>
      </w:pPr>
      <w:r w:rsidRPr="001E3C8E">
        <w:rPr>
          <w:szCs w:val="24"/>
          <w:lang w:val="fr-FR"/>
        </w:rPr>
        <w:t xml:space="preserve">Une </w:t>
      </w:r>
      <w:r w:rsidR="009F6CF1" w:rsidRPr="001E3C8E">
        <w:rPr>
          <w:szCs w:val="24"/>
          <w:lang w:val="fr-FR"/>
        </w:rPr>
        <w:t>étude</w:t>
      </w:r>
      <w:r w:rsidRPr="001E3C8E">
        <w:rPr>
          <w:szCs w:val="24"/>
          <w:lang w:val="fr-FR"/>
        </w:rPr>
        <w:t xml:space="preserve"> </w:t>
      </w:r>
      <w:r w:rsidR="009F6CF1" w:rsidRPr="001E3C8E">
        <w:rPr>
          <w:szCs w:val="24"/>
          <w:lang w:val="fr-FR"/>
        </w:rPr>
        <w:t>minutieuse</w:t>
      </w:r>
      <w:r w:rsidRPr="001E3C8E">
        <w:rPr>
          <w:szCs w:val="24"/>
          <w:lang w:val="fr-FR"/>
        </w:rPr>
        <w:t xml:space="preserve"> doit aussi </w:t>
      </w:r>
      <w:r w:rsidR="009F6CF1" w:rsidRPr="001E3C8E">
        <w:rPr>
          <w:szCs w:val="24"/>
          <w:lang w:val="fr-FR"/>
        </w:rPr>
        <w:t xml:space="preserve">prendre en </w:t>
      </w:r>
      <w:r w:rsidRPr="001E3C8E">
        <w:rPr>
          <w:szCs w:val="24"/>
          <w:lang w:val="fr-FR"/>
        </w:rPr>
        <w:t xml:space="preserve">compte et </w:t>
      </w:r>
      <w:r w:rsidR="009F6CF1" w:rsidRPr="001E3C8E">
        <w:rPr>
          <w:szCs w:val="24"/>
          <w:lang w:val="fr-FR"/>
        </w:rPr>
        <w:t>signaler</w:t>
      </w:r>
      <w:r w:rsidRPr="001E3C8E">
        <w:rPr>
          <w:szCs w:val="24"/>
          <w:lang w:val="fr-FR"/>
        </w:rPr>
        <w:t xml:space="preserve"> les groupes de population moins évidents qui peuvent courir un risque accru de vulnérabilité, notamment les catégories sociales qui sont le plus affectées par les mesures d’austérité.</w:t>
      </w:r>
    </w:p>
    <w:p w14:paraId="2EE2A018" w14:textId="77777777" w:rsidR="009F6CF1" w:rsidRPr="001E3C8E" w:rsidRDefault="009F6CF1" w:rsidP="009F6CF1">
      <w:pPr>
        <w:rPr>
          <w:szCs w:val="24"/>
          <w:lang w:val="fr-FR"/>
        </w:rPr>
      </w:pPr>
    </w:p>
    <w:p w14:paraId="19C1C538" w14:textId="27900CBA" w:rsidR="003E0323" w:rsidRPr="001E3C8E" w:rsidRDefault="003E0323" w:rsidP="00430901">
      <w:pPr>
        <w:pStyle w:val="ListParagraph"/>
        <w:numPr>
          <w:ilvl w:val="0"/>
          <w:numId w:val="11"/>
        </w:numPr>
        <w:spacing w:before="0"/>
        <w:rPr>
          <w:szCs w:val="24"/>
          <w:lang w:val="fr-FR"/>
        </w:rPr>
      </w:pPr>
      <w:r w:rsidRPr="001E3C8E">
        <w:rPr>
          <w:szCs w:val="24"/>
          <w:lang w:val="fr-FR"/>
        </w:rPr>
        <w:t>La participation significative de tou</w:t>
      </w:r>
      <w:r w:rsidR="000813B0" w:rsidRPr="001E3C8E">
        <w:rPr>
          <w:szCs w:val="24"/>
          <w:lang w:val="fr-FR"/>
        </w:rPr>
        <w:t>te</w:t>
      </w:r>
      <w:r w:rsidRPr="001E3C8E">
        <w:rPr>
          <w:szCs w:val="24"/>
          <w:lang w:val="fr-FR"/>
        </w:rPr>
        <w:t xml:space="preserve">s les </w:t>
      </w:r>
      <w:r w:rsidR="000813B0" w:rsidRPr="001E3C8E">
        <w:rPr>
          <w:szCs w:val="24"/>
          <w:lang w:val="fr-FR"/>
        </w:rPr>
        <w:t>parties prenantes</w:t>
      </w:r>
      <w:r w:rsidRPr="001E3C8E">
        <w:rPr>
          <w:szCs w:val="24"/>
          <w:lang w:val="fr-FR"/>
        </w:rPr>
        <w:t xml:space="preserve"> et des individus et groupes affectés, notamment les groupes </w:t>
      </w:r>
      <w:r w:rsidR="00C7204E" w:rsidRPr="001E3C8E">
        <w:rPr>
          <w:szCs w:val="24"/>
          <w:lang w:val="fr-FR"/>
        </w:rPr>
        <w:t xml:space="preserve">signalés à risque dans les </w:t>
      </w:r>
      <w:r w:rsidR="009F6CF1" w:rsidRPr="001E3C8E">
        <w:rPr>
          <w:szCs w:val="24"/>
          <w:lang w:val="fr-FR"/>
        </w:rPr>
        <w:t>études</w:t>
      </w:r>
      <w:r w:rsidR="00C7204E" w:rsidRPr="001E3C8E">
        <w:rPr>
          <w:szCs w:val="24"/>
          <w:lang w:val="fr-FR"/>
        </w:rPr>
        <w:t xml:space="preserve"> d’impact doit être assurée à toutes les étapes de </w:t>
      </w:r>
      <w:r w:rsidR="009F6CF1" w:rsidRPr="001E3C8E">
        <w:rPr>
          <w:szCs w:val="24"/>
          <w:lang w:val="fr-FR"/>
        </w:rPr>
        <w:t>l’étude</w:t>
      </w:r>
      <w:r w:rsidR="00C7204E" w:rsidRPr="001E3C8E">
        <w:rPr>
          <w:szCs w:val="24"/>
          <w:lang w:val="fr-FR"/>
        </w:rPr>
        <w:t xml:space="preserve">. </w:t>
      </w:r>
      <w:r w:rsidR="009F6CF1" w:rsidRPr="001E3C8E">
        <w:rPr>
          <w:szCs w:val="24"/>
          <w:lang w:val="fr-FR"/>
        </w:rPr>
        <w:t xml:space="preserve">Il est également important d’inclure </w:t>
      </w:r>
      <w:r w:rsidR="00C7204E" w:rsidRPr="001E3C8E">
        <w:rPr>
          <w:szCs w:val="24"/>
          <w:lang w:val="fr-FR"/>
        </w:rPr>
        <w:t>des phases de suivi et d’évaluation pour déterminer si les conclusions fournissent suffisamment d’information pour la mise en œuvre ou la révision de mesures politiques.</w:t>
      </w:r>
    </w:p>
    <w:p w14:paraId="6D7707A9" w14:textId="66EB20B8" w:rsidR="002B4AB0" w:rsidRPr="001E3C8E" w:rsidRDefault="002B4AB0" w:rsidP="009C3347">
      <w:pPr>
        <w:pStyle w:val="Heading1"/>
        <w:rPr>
          <w:szCs w:val="24"/>
          <w:lang w:val="fr-FR"/>
        </w:rPr>
      </w:pPr>
    </w:p>
    <w:p w14:paraId="02BC5E39" w14:textId="0ABA4C4E" w:rsidR="00C7204E" w:rsidRPr="001E3C8E" w:rsidRDefault="00C7204E" w:rsidP="00D741B8">
      <w:pPr>
        <w:pStyle w:val="Heading1"/>
        <w:numPr>
          <w:ilvl w:val="0"/>
          <w:numId w:val="27"/>
        </w:numPr>
        <w:rPr>
          <w:szCs w:val="24"/>
          <w:lang w:val="fr-FR"/>
        </w:rPr>
      </w:pPr>
      <w:bookmarkStart w:id="54" w:name="_Toc522789728"/>
      <w:r w:rsidRPr="001E3C8E">
        <w:rPr>
          <w:szCs w:val="24"/>
          <w:lang w:val="fr-FR"/>
        </w:rPr>
        <w:t xml:space="preserve">Non-discrimination envers les femmes et égalité </w:t>
      </w:r>
      <w:r w:rsidR="004D5449" w:rsidRPr="001E3C8E">
        <w:rPr>
          <w:szCs w:val="24"/>
          <w:lang w:val="fr-FR"/>
        </w:rPr>
        <w:t>substantielle</w:t>
      </w:r>
      <w:bookmarkEnd w:id="54"/>
    </w:p>
    <w:p w14:paraId="2B21372C" w14:textId="77777777" w:rsidR="00B84E25" w:rsidRPr="001E3C8E" w:rsidRDefault="00B84E25" w:rsidP="00E27A1F">
      <w:pPr>
        <w:jc w:val="both"/>
        <w:rPr>
          <w:sz w:val="24"/>
          <w:szCs w:val="24"/>
          <w:lang w:val="fr-FR"/>
        </w:rPr>
      </w:pPr>
    </w:p>
    <w:p w14:paraId="49797C3D" w14:textId="5F64150F" w:rsidR="00C85ECD" w:rsidRPr="001E3C8E" w:rsidRDefault="00C7204E" w:rsidP="00DB747D">
      <w:pPr>
        <w:pStyle w:val="BodyText"/>
        <w:rPr>
          <w:lang w:val="fr-FR"/>
        </w:rPr>
      </w:pPr>
      <w:r w:rsidRPr="001E3C8E">
        <w:rPr>
          <w:lang w:val="fr-FR"/>
        </w:rPr>
        <w:t>Les réformes économiques</w:t>
      </w:r>
      <w:r w:rsidR="00DB747D" w:rsidRPr="001E3C8E">
        <w:rPr>
          <w:lang w:val="fr-FR"/>
        </w:rPr>
        <w:t xml:space="preserve"> devraient prévenir toute forme</w:t>
      </w:r>
      <w:r w:rsidRPr="001E3C8E">
        <w:rPr>
          <w:lang w:val="fr-FR"/>
        </w:rPr>
        <w:t xml:space="preserve"> directe ou indirecte de discrimination envers les femmes de par la loi ou en pratique, et devraient promouvoir l’égalité des </w:t>
      </w:r>
      <w:r w:rsidR="00C85ECD" w:rsidRPr="001E3C8E">
        <w:rPr>
          <w:lang w:val="fr-FR"/>
        </w:rPr>
        <w:t>sexes</w:t>
      </w:r>
      <w:r w:rsidRPr="001E3C8E">
        <w:rPr>
          <w:lang w:val="fr-FR"/>
        </w:rPr>
        <w:t xml:space="preserve">. Les </w:t>
      </w:r>
      <w:r w:rsidR="00C85ECD" w:rsidRPr="001E3C8E">
        <w:rPr>
          <w:lang w:val="fr-FR"/>
        </w:rPr>
        <w:t>études</w:t>
      </w:r>
      <w:r w:rsidRPr="001E3C8E">
        <w:rPr>
          <w:lang w:val="fr-FR"/>
        </w:rPr>
        <w:t xml:space="preserve"> d’impact sur les droits humains </w:t>
      </w:r>
      <w:r w:rsidR="00C85ECD" w:rsidRPr="001E3C8E">
        <w:rPr>
          <w:lang w:val="fr-FR"/>
        </w:rPr>
        <w:t>doivent</w:t>
      </w:r>
      <w:r w:rsidRPr="001E3C8E">
        <w:rPr>
          <w:lang w:val="fr-FR"/>
        </w:rPr>
        <w:t xml:space="preserve"> toujours être sensibles au genre</w:t>
      </w:r>
      <w:r w:rsidR="004D5A5B" w:rsidRPr="001E3C8E">
        <w:rPr>
          <w:lang w:val="fr-FR"/>
        </w:rPr>
        <w:t>.</w:t>
      </w:r>
      <w:r w:rsidR="004D5A5B" w:rsidRPr="001E3C8E">
        <w:rPr>
          <w:vertAlign w:val="superscript"/>
          <w:lang w:val="fr-FR"/>
        </w:rPr>
        <w:footnoteReference w:id="18"/>
      </w:r>
    </w:p>
    <w:p w14:paraId="24C0B3A1" w14:textId="77777777" w:rsidR="00DB747D" w:rsidRPr="001E3C8E" w:rsidRDefault="00DB747D" w:rsidP="004D5A5B">
      <w:pPr>
        <w:pStyle w:val="SingleTxtG"/>
        <w:ind w:left="0"/>
        <w:rPr>
          <w:i/>
          <w:sz w:val="24"/>
          <w:szCs w:val="24"/>
          <w:lang w:val="fr-FR"/>
        </w:rPr>
      </w:pPr>
    </w:p>
    <w:p w14:paraId="56B94753" w14:textId="1C8F5DF3" w:rsidR="00C7204E" w:rsidRPr="001E3C8E" w:rsidRDefault="00C7204E" w:rsidP="004D5A5B">
      <w:pPr>
        <w:pStyle w:val="SingleTxtG"/>
        <w:ind w:left="0"/>
        <w:rPr>
          <w:i/>
          <w:sz w:val="24"/>
          <w:szCs w:val="24"/>
          <w:lang w:val="fr-FR"/>
        </w:rPr>
      </w:pPr>
      <w:r w:rsidRPr="001E3C8E">
        <w:rPr>
          <w:i/>
          <w:sz w:val="24"/>
          <w:szCs w:val="24"/>
          <w:lang w:val="fr-FR"/>
        </w:rPr>
        <w:t>Commentaire</w:t>
      </w:r>
      <w:r w:rsidR="00C85ECD" w:rsidRPr="001E3C8E">
        <w:rPr>
          <w:i/>
          <w:sz w:val="24"/>
          <w:szCs w:val="24"/>
          <w:lang w:val="fr-FR"/>
        </w:rPr>
        <w:t> :</w:t>
      </w:r>
    </w:p>
    <w:p w14:paraId="2785A495" w14:textId="68E51505" w:rsidR="00C7204E" w:rsidRPr="001E3C8E" w:rsidRDefault="00C7204E" w:rsidP="00430901">
      <w:pPr>
        <w:pStyle w:val="ListParagraph"/>
        <w:numPr>
          <w:ilvl w:val="0"/>
          <w:numId w:val="22"/>
        </w:numPr>
        <w:spacing w:before="0"/>
        <w:rPr>
          <w:szCs w:val="24"/>
          <w:lang w:val="fr-FR"/>
        </w:rPr>
      </w:pPr>
      <w:r w:rsidRPr="001E3C8E">
        <w:rPr>
          <w:szCs w:val="24"/>
          <w:lang w:val="fr-FR"/>
        </w:rPr>
        <w:t xml:space="preserve">Le système économique actuel est, </w:t>
      </w:r>
      <w:r w:rsidR="0092070F" w:rsidRPr="001E3C8E">
        <w:rPr>
          <w:szCs w:val="24"/>
          <w:lang w:val="fr-FR"/>
        </w:rPr>
        <w:t>pour la plupart</w:t>
      </w:r>
      <w:r w:rsidRPr="001E3C8E">
        <w:rPr>
          <w:szCs w:val="24"/>
          <w:lang w:val="fr-FR"/>
        </w:rPr>
        <w:t xml:space="preserve">, soutenu par des inégalités entre les </w:t>
      </w:r>
      <w:r w:rsidR="00395EC0" w:rsidRPr="001E3C8E">
        <w:rPr>
          <w:szCs w:val="24"/>
          <w:lang w:val="fr-FR"/>
        </w:rPr>
        <w:t>sexes</w:t>
      </w:r>
      <w:r w:rsidRPr="001E3C8E">
        <w:rPr>
          <w:szCs w:val="24"/>
          <w:lang w:val="fr-FR"/>
        </w:rPr>
        <w:t xml:space="preserve"> et des discriminations </w:t>
      </w:r>
      <w:r w:rsidR="00395EC0" w:rsidRPr="001E3C8E">
        <w:rPr>
          <w:szCs w:val="24"/>
          <w:lang w:val="fr-FR"/>
        </w:rPr>
        <w:t>envers</w:t>
      </w:r>
      <w:r w:rsidRPr="001E3C8E">
        <w:rPr>
          <w:szCs w:val="24"/>
          <w:lang w:val="fr-FR"/>
        </w:rPr>
        <w:t xml:space="preserve"> les femmes sur le marché du travail. Parmi les diverses formes d’inégalité, les soins non-rémunérés apporté</w:t>
      </w:r>
      <w:r w:rsidR="004D5449" w:rsidRPr="001E3C8E">
        <w:rPr>
          <w:szCs w:val="24"/>
          <w:lang w:val="fr-FR"/>
        </w:rPr>
        <w:t>s</w:t>
      </w:r>
      <w:r w:rsidRPr="001E3C8E">
        <w:rPr>
          <w:szCs w:val="24"/>
          <w:lang w:val="fr-FR"/>
        </w:rPr>
        <w:t xml:space="preserve"> par des femmes sont une activité économique cr</w:t>
      </w:r>
      <w:r w:rsidR="00395EC0" w:rsidRPr="001E3C8E">
        <w:rPr>
          <w:szCs w:val="24"/>
          <w:lang w:val="fr-FR"/>
        </w:rPr>
        <w:t>uciale pourtant souvent négligée</w:t>
      </w:r>
      <w:r w:rsidRPr="001E3C8E">
        <w:rPr>
          <w:szCs w:val="24"/>
          <w:lang w:val="fr-FR"/>
        </w:rPr>
        <w:t xml:space="preserve"> dans la conception de politiques et de réformes économiques.</w:t>
      </w:r>
    </w:p>
    <w:p w14:paraId="6C96EA72" w14:textId="77777777" w:rsidR="001C6FAF" w:rsidRPr="001E3C8E" w:rsidRDefault="001C6FAF" w:rsidP="001C6FAF">
      <w:pPr>
        <w:pStyle w:val="ListParagraph"/>
        <w:spacing w:before="0"/>
        <w:ind w:left="1080"/>
        <w:rPr>
          <w:szCs w:val="24"/>
          <w:lang w:val="fr-FR"/>
        </w:rPr>
      </w:pPr>
    </w:p>
    <w:p w14:paraId="36206F5E" w14:textId="08DDA07E" w:rsidR="00C7204E" w:rsidRPr="001E3C8E" w:rsidRDefault="00D66AEC" w:rsidP="00430901">
      <w:pPr>
        <w:pStyle w:val="ListParagraph"/>
        <w:numPr>
          <w:ilvl w:val="0"/>
          <w:numId w:val="22"/>
        </w:numPr>
        <w:spacing w:before="0"/>
        <w:rPr>
          <w:szCs w:val="24"/>
          <w:lang w:val="fr-FR"/>
        </w:rPr>
      </w:pPr>
      <w:r w:rsidRPr="001E3C8E">
        <w:rPr>
          <w:szCs w:val="24"/>
          <w:lang w:val="fr-FR"/>
        </w:rPr>
        <w:t>La</w:t>
      </w:r>
      <w:r w:rsidR="00395EC0" w:rsidRPr="001E3C8E">
        <w:rPr>
          <w:szCs w:val="24"/>
          <w:lang w:val="fr-FR"/>
        </w:rPr>
        <w:t xml:space="preserve"> </w:t>
      </w:r>
      <w:r w:rsidR="00C7204E" w:rsidRPr="001E3C8E">
        <w:rPr>
          <w:szCs w:val="24"/>
          <w:lang w:val="fr-FR"/>
        </w:rPr>
        <w:t xml:space="preserve">flexibilité </w:t>
      </w:r>
      <w:r w:rsidRPr="001E3C8E">
        <w:rPr>
          <w:szCs w:val="24"/>
          <w:lang w:val="fr-FR"/>
        </w:rPr>
        <w:t xml:space="preserve">accrue du </w:t>
      </w:r>
      <w:r w:rsidR="00C7204E" w:rsidRPr="001E3C8E">
        <w:rPr>
          <w:szCs w:val="24"/>
          <w:lang w:val="fr-FR"/>
        </w:rPr>
        <w:t>marché du tra</w:t>
      </w:r>
      <w:r w:rsidRPr="001E3C8E">
        <w:rPr>
          <w:szCs w:val="24"/>
          <w:lang w:val="fr-FR"/>
        </w:rPr>
        <w:t>vail, l</w:t>
      </w:r>
      <w:r w:rsidR="00C7204E" w:rsidRPr="001E3C8E">
        <w:rPr>
          <w:szCs w:val="24"/>
          <w:lang w:val="fr-FR"/>
        </w:rPr>
        <w:t>es réductions dans la couverture par la prote</w:t>
      </w:r>
      <w:r w:rsidRPr="001E3C8E">
        <w:rPr>
          <w:szCs w:val="24"/>
          <w:lang w:val="fr-FR"/>
        </w:rPr>
        <w:t>ction et les services sociaux, l</w:t>
      </w:r>
      <w:r w:rsidR="00C7204E" w:rsidRPr="001E3C8E">
        <w:rPr>
          <w:szCs w:val="24"/>
          <w:lang w:val="fr-FR"/>
        </w:rPr>
        <w:t>es coupes dans les emplois du secteur public et la p</w:t>
      </w:r>
      <w:r w:rsidR="00395EC0" w:rsidRPr="001E3C8E">
        <w:rPr>
          <w:szCs w:val="24"/>
          <w:lang w:val="fr-FR"/>
        </w:rPr>
        <w:t>rivatisation des services tend</w:t>
      </w:r>
      <w:r w:rsidRPr="001E3C8E">
        <w:rPr>
          <w:szCs w:val="24"/>
          <w:lang w:val="fr-FR"/>
        </w:rPr>
        <w:t>ent</w:t>
      </w:r>
      <w:r w:rsidR="00C7204E" w:rsidRPr="001E3C8E">
        <w:rPr>
          <w:szCs w:val="24"/>
          <w:lang w:val="fr-FR"/>
        </w:rPr>
        <w:t xml:space="preserve"> à avoir un impact négatif</w:t>
      </w:r>
      <w:r w:rsidRPr="001E3C8E">
        <w:rPr>
          <w:szCs w:val="24"/>
          <w:lang w:val="fr-FR"/>
        </w:rPr>
        <w:t xml:space="preserve"> plus important</w:t>
      </w:r>
      <w:r w:rsidR="00C7204E" w:rsidRPr="001E3C8E">
        <w:rPr>
          <w:szCs w:val="24"/>
          <w:lang w:val="fr-FR"/>
        </w:rPr>
        <w:t xml:space="preserve"> sur les femmes que sur les hommes. </w:t>
      </w:r>
      <w:r w:rsidRPr="001E3C8E">
        <w:rPr>
          <w:szCs w:val="24"/>
          <w:lang w:val="fr-FR"/>
        </w:rPr>
        <w:t xml:space="preserve">Plutôt que </w:t>
      </w:r>
      <w:r w:rsidR="00C7204E" w:rsidRPr="001E3C8E">
        <w:rPr>
          <w:szCs w:val="24"/>
          <w:lang w:val="fr-FR"/>
        </w:rPr>
        <w:t xml:space="preserve">de créer ce </w:t>
      </w:r>
      <w:r w:rsidRPr="001E3C8E">
        <w:rPr>
          <w:szCs w:val="24"/>
          <w:lang w:val="fr-FR"/>
        </w:rPr>
        <w:t>type de situation</w:t>
      </w:r>
      <w:r w:rsidR="004D5449" w:rsidRPr="001E3C8E">
        <w:rPr>
          <w:szCs w:val="24"/>
          <w:lang w:val="fr-FR"/>
        </w:rPr>
        <w:t>s</w:t>
      </w:r>
      <w:r w:rsidRPr="001E3C8E">
        <w:rPr>
          <w:szCs w:val="24"/>
          <w:lang w:val="fr-FR"/>
        </w:rPr>
        <w:t>, souvent discriminatoire</w:t>
      </w:r>
      <w:r w:rsidR="004D5449" w:rsidRPr="001E3C8E">
        <w:rPr>
          <w:szCs w:val="24"/>
          <w:lang w:val="fr-FR"/>
        </w:rPr>
        <w:t>s</w:t>
      </w:r>
      <w:r w:rsidR="00C7204E" w:rsidRPr="001E3C8E">
        <w:rPr>
          <w:szCs w:val="24"/>
          <w:lang w:val="fr-FR"/>
        </w:rPr>
        <w:t xml:space="preserve">, les politiques </w:t>
      </w:r>
      <w:r w:rsidRPr="001E3C8E">
        <w:rPr>
          <w:szCs w:val="24"/>
          <w:lang w:val="fr-FR"/>
        </w:rPr>
        <w:t xml:space="preserve">des États </w:t>
      </w:r>
      <w:r w:rsidR="00C7204E" w:rsidRPr="001E3C8E">
        <w:rPr>
          <w:szCs w:val="24"/>
          <w:lang w:val="fr-FR"/>
        </w:rPr>
        <w:t>devraient se concentrer sur leur prévention.</w:t>
      </w:r>
    </w:p>
    <w:p w14:paraId="0079B083" w14:textId="77777777" w:rsidR="00C7204E" w:rsidRPr="001E3C8E" w:rsidRDefault="00C7204E" w:rsidP="00D66AEC">
      <w:pPr>
        <w:rPr>
          <w:szCs w:val="24"/>
          <w:lang w:val="fr-FR"/>
        </w:rPr>
      </w:pPr>
    </w:p>
    <w:p w14:paraId="3D15981F" w14:textId="4033EA4C" w:rsidR="00C7204E" w:rsidRPr="001E3C8E" w:rsidRDefault="00C7204E" w:rsidP="00430901">
      <w:pPr>
        <w:pStyle w:val="ListParagraph"/>
        <w:numPr>
          <w:ilvl w:val="0"/>
          <w:numId w:val="22"/>
        </w:numPr>
        <w:spacing w:before="0"/>
        <w:rPr>
          <w:szCs w:val="24"/>
          <w:lang w:val="fr-FR"/>
        </w:rPr>
      </w:pPr>
      <w:r w:rsidRPr="001E3C8E">
        <w:rPr>
          <w:szCs w:val="24"/>
          <w:lang w:val="fr-FR"/>
        </w:rPr>
        <w:t xml:space="preserve">Les </w:t>
      </w:r>
      <w:r w:rsidR="00D66AEC" w:rsidRPr="001E3C8E">
        <w:rPr>
          <w:szCs w:val="24"/>
          <w:lang w:val="fr-FR"/>
        </w:rPr>
        <w:t>études</w:t>
      </w:r>
      <w:r w:rsidRPr="001E3C8E">
        <w:rPr>
          <w:szCs w:val="24"/>
          <w:lang w:val="fr-FR"/>
        </w:rPr>
        <w:t xml:space="preserve"> d</w:t>
      </w:r>
      <w:r w:rsidR="00D66AEC" w:rsidRPr="001E3C8E">
        <w:rPr>
          <w:szCs w:val="24"/>
          <w:lang w:val="fr-FR"/>
        </w:rPr>
        <w:t xml:space="preserve">’impact sur les droits humains, </w:t>
      </w:r>
      <w:r w:rsidRPr="001E3C8E">
        <w:rPr>
          <w:szCs w:val="24"/>
          <w:lang w:val="fr-FR"/>
        </w:rPr>
        <w:t>clairement</w:t>
      </w:r>
      <w:r w:rsidR="00D66AEC" w:rsidRPr="001E3C8E">
        <w:rPr>
          <w:szCs w:val="24"/>
          <w:lang w:val="fr-FR"/>
        </w:rPr>
        <w:t xml:space="preserve"> centrées</w:t>
      </w:r>
      <w:r w:rsidRPr="001E3C8E">
        <w:rPr>
          <w:szCs w:val="24"/>
          <w:lang w:val="fr-FR"/>
        </w:rPr>
        <w:t xml:space="preserve"> sur le genre, peuvent mieux </w:t>
      </w:r>
      <w:r w:rsidR="00D66AEC" w:rsidRPr="001E3C8E">
        <w:rPr>
          <w:szCs w:val="24"/>
          <w:lang w:val="fr-FR"/>
        </w:rPr>
        <w:t>garantir</w:t>
      </w:r>
      <w:r w:rsidRPr="001E3C8E">
        <w:rPr>
          <w:szCs w:val="24"/>
          <w:lang w:val="fr-FR"/>
        </w:rPr>
        <w:t xml:space="preserve"> </w:t>
      </w:r>
      <w:r w:rsidR="00D66AEC" w:rsidRPr="001E3C8E">
        <w:rPr>
          <w:szCs w:val="24"/>
          <w:lang w:val="fr-FR"/>
        </w:rPr>
        <w:t xml:space="preserve">le respect </w:t>
      </w:r>
      <w:r w:rsidRPr="001E3C8E">
        <w:rPr>
          <w:szCs w:val="24"/>
          <w:lang w:val="fr-FR"/>
        </w:rPr>
        <w:t xml:space="preserve">des droits des femmes en </w:t>
      </w:r>
      <w:r w:rsidR="00D66AEC" w:rsidRPr="001E3C8E">
        <w:rPr>
          <w:szCs w:val="24"/>
          <w:lang w:val="fr-FR"/>
        </w:rPr>
        <w:t>trouvant une solution aux</w:t>
      </w:r>
      <w:r w:rsidRPr="001E3C8E">
        <w:rPr>
          <w:szCs w:val="24"/>
          <w:lang w:val="fr-FR"/>
        </w:rPr>
        <w:t xml:space="preserve"> </w:t>
      </w:r>
      <w:r w:rsidR="00D66AEC" w:rsidRPr="001E3C8E">
        <w:rPr>
          <w:szCs w:val="24"/>
          <w:lang w:val="fr-FR"/>
        </w:rPr>
        <w:t>obstacles socioéconomiques structurel</w:t>
      </w:r>
      <w:r w:rsidRPr="001E3C8E">
        <w:rPr>
          <w:szCs w:val="24"/>
          <w:lang w:val="fr-FR"/>
        </w:rPr>
        <w:t xml:space="preserve">s. Les politiques capables d’améliorer les indicateurs sociaux </w:t>
      </w:r>
      <w:r w:rsidR="00D66AEC" w:rsidRPr="001E3C8E">
        <w:rPr>
          <w:szCs w:val="24"/>
          <w:lang w:val="fr-FR"/>
        </w:rPr>
        <w:t>de manière globale n’ont pas toujours un impact positif</w:t>
      </w:r>
      <w:r w:rsidR="00B2497E" w:rsidRPr="001E3C8E">
        <w:rPr>
          <w:szCs w:val="24"/>
          <w:lang w:val="fr-FR"/>
        </w:rPr>
        <w:t xml:space="preserve"> équivalent</w:t>
      </w:r>
      <w:r w:rsidR="00D66AEC" w:rsidRPr="001E3C8E">
        <w:rPr>
          <w:szCs w:val="24"/>
          <w:lang w:val="fr-FR"/>
        </w:rPr>
        <w:t xml:space="preserve"> sur les femmes.</w:t>
      </w:r>
    </w:p>
    <w:p w14:paraId="2071AA3F" w14:textId="77777777" w:rsidR="00C7204E" w:rsidRPr="001E3C8E" w:rsidRDefault="00C7204E" w:rsidP="00D66AEC">
      <w:pPr>
        <w:rPr>
          <w:szCs w:val="24"/>
          <w:lang w:val="fr-FR"/>
        </w:rPr>
      </w:pPr>
    </w:p>
    <w:p w14:paraId="7A3A0F80" w14:textId="53FFEFE3" w:rsidR="00C7204E" w:rsidRPr="001E3C8E" w:rsidRDefault="00D66AEC" w:rsidP="00430901">
      <w:pPr>
        <w:pStyle w:val="ListParagraph"/>
        <w:numPr>
          <w:ilvl w:val="0"/>
          <w:numId w:val="22"/>
        </w:numPr>
        <w:spacing w:before="0"/>
        <w:rPr>
          <w:szCs w:val="24"/>
          <w:lang w:val="fr-FR"/>
        </w:rPr>
      </w:pPr>
      <w:r w:rsidRPr="001E3C8E">
        <w:rPr>
          <w:szCs w:val="24"/>
          <w:lang w:val="fr-FR"/>
        </w:rPr>
        <w:t>En</w:t>
      </w:r>
      <w:r w:rsidR="00C7204E" w:rsidRPr="001E3C8E">
        <w:rPr>
          <w:szCs w:val="24"/>
          <w:lang w:val="fr-FR"/>
        </w:rPr>
        <w:t xml:space="preserve"> période de crise économique, l’investissement public dans la puériculture et les </w:t>
      </w:r>
      <w:r w:rsidRPr="001E3C8E">
        <w:rPr>
          <w:szCs w:val="24"/>
          <w:lang w:val="fr-FR"/>
        </w:rPr>
        <w:t>soins aux personnes âgées crée</w:t>
      </w:r>
      <w:r w:rsidR="00C7204E" w:rsidRPr="001E3C8E">
        <w:rPr>
          <w:szCs w:val="24"/>
          <w:lang w:val="fr-FR"/>
        </w:rPr>
        <w:t xml:space="preserve"> des c</w:t>
      </w:r>
      <w:r w:rsidRPr="001E3C8E">
        <w:rPr>
          <w:szCs w:val="24"/>
          <w:lang w:val="fr-FR"/>
        </w:rPr>
        <w:t xml:space="preserve">ycles vertueux qui permettent </w:t>
      </w:r>
      <w:r w:rsidR="00C7204E" w:rsidRPr="001E3C8E">
        <w:rPr>
          <w:szCs w:val="24"/>
          <w:lang w:val="fr-FR"/>
        </w:rPr>
        <w:t xml:space="preserve">non seulement de gérer le déficit de soin en administrant des services cruciaux, mais peuvent aussi engendrer un effet multiplicateur </w:t>
      </w:r>
      <w:r w:rsidRPr="001E3C8E">
        <w:rPr>
          <w:szCs w:val="24"/>
          <w:lang w:val="fr-FR"/>
        </w:rPr>
        <w:t>dans la génération d’</w:t>
      </w:r>
      <w:r w:rsidR="00C7204E" w:rsidRPr="001E3C8E">
        <w:rPr>
          <w:szCs w:val="24"/>
          <w:lang w:val="fr-FR"/>
        </w:rPr>
        <w:t xml:space="preserve">emplois (généralement </w:t>
      </w:r>
      <w:r w:rsidRPr="001E3C8E">
        <w:rPr>
          <w:szCs w:val="24"/>
          <w:lang w:val="fr-FR"/>
        </w:rPr>
        <w:t>féminins</w:t>
      </w:r>
      <w:r w:rsidR="00C7204E" w:rsidRPr="001E3C8E">
        <w:rPr>
          <w:szCs w:val="24"/>
          <w:lang w:val="fr-FR"/>
        </w:rPr>
        <w:t xml:space="preserve">) qui remettent plus d’argent entre les mains des ménages (généralement à faibles revenus), ce qui </w:t>
      </w:r>
      <w:r w:rsidRPr="001E3C8E">
        <w:rPr>
          <w:szCs w:val="24"/>
          <w:lang w:val="fr-FR"/>
        </w:rPr>
        <w:t>permet</w:t>
      </w:r>
      <w:r w:rsidR="00C7204E" w:rsidRPr="001E3C8E">
        <w:rPr>
          <w:szCs w:val="24"/>
          <w:lang w:val="fr-FR"/>
        </w:rPr>
        <w:t xml:space="preserve"> ensuite </w:t>
      </w:r>
      <w:r w:rsidRPr="001E3C8E">
        <w:rPr>
          <w:szCs w:val="24"/>
          <w:lang w:val="fr-FR"/>
        </w:rPr>
        <w:t xml:space="preserve">de </w:t>
      </w:r>
      <w:r w:rsidR="00C7204E" w:rsidRPr="001E3C8E">
        <w:rPr>
          <w:szCs w:val="24"/>
          <w:lang w:val="fr-FR"/>
        </w:rPr>
        <w:t xml:space="preserve">réduire les dépenses sociales en faisant </w:t>
      </w:r>
      <w:r w:rsidR="00C7204E" w:rsidRPr="001E3C8E">
        <w:rPr>
          <w:szCs w:val="24"/>
          <w:lang w:val="fr-FR"/>
        </w:rPr>
        <w:lastRenderedPageBreak/>
        <w:t>diminuer les versements d</w:t>
      </w:r>
      <w:r w:rsidR="005763B9" w:rsidRPr="001E3C8E">
        <w:rPr>
          <w:szCs w:val="24"/>
          <w:lang w:val="fr-FR"/>
        </w:rPr>
        <w:t xml:space="preserve">’allocations chômage et augmenter les revenus fiscaux liés </w:t>
      </w:r>
      <w:r w:rsidRPr="001E3C8E">
        <w:rPr>
          <w:szCs w:val="24"/>
          <w:lang w:val="fr-FR"/>
        </w:rPr>
        <w:t>aux impôts sur les revenus et aux taxes à la</w:t>
      </w:r>
      <w:r w:rsidR="005763B9" w:rsidRPr="001E3C8E">
        <w:rPr>
          <w:szCs w:val="24"/>
          <w:lang w:val="fr-FR"/>
        </w:rPr>
        <w:t xml:space="preserve"> consommation grâce aux per</w:t>
      </w:r>
      <w:r w:rsidRPr="001E3C8E">
        <w:rPr>
          <w:szCs w:val="24"/>
          <w:lang w:val="fr-FR"/>
        </w:rPr>
        <w:t>sonnes nouvellement employées.</w:t>
      </w:r>
    </w:p>
    <w:p w14:paraId="10BB15D0" w14:textId="77777777" w:rsidR="005763B9" w:rsidRPr="001E3C8E" w:rsidRDefault="005763B9" w:rsidP="00317481">
      <w:pPr>
        <w:rPr>
          <w:lang w:val="fr-FR"/>
        </w:rPr>
      </w:pPr>
    </w:p>
    <w:p w14:paraId="5A768AE3" w14:textId="003A7E07" w:rsidR="005763B9" w:rsidRPr="001E3C8E" w:rsidRDefault="005763B9" w:rsidP="00430901">
      <w:pPr>
        <w:pStyle w:val="ListParagraph"/>
        <w:numPr>
          <w:ilvl w:val="0"/>
          <w:numId w:val="22"/>
        </w:numPr>
        <w:spacing w:before="0"/>
        <w:rPr>
          <w:lang w:val="fr-FR"/>
        </w:rPr>
      </w:pPr>
      <w:r w:rsidRPr="001E3C8E">
        <w:rPr>
          <w:lang w:val="fr-FR"/>
        </w:rPr>
        <w:t xml:space="preserve">Les </w:t>
      </w:r>
      <w:r w:rsidR="00317481" w:rsidRPr="001E3C8E">
        <w:rPr>
          <w:lang w:val="fr-FR"/>
        </w:rPr>
        <w:t>États</w:t>
      </w:r>
      <w:r w:rsidRPr="001E3C8E">
        <w:rPr>
          <w:lang w:val="fr-FR"/>
        </w:rPr>
        <w:t xml:space="preserve"> et autres </w:t>
      </w:r>
      <w:r w:rsidR="000813B0" w:rsidRPr="001E3C8E">
        <w:rPr>
          <w:lang w:val="fr-FR"/>
        </w:rPr>
        <w:t>parties prenantes</w:t>
      </w:r>
      <w:r w:rsidRPr="001E3C8E">
        <w:rPr>
          <w:lang w:val="fr-FR"/>
        </w:rPr>
        <w:t xml:space="preserve"> doivent s’assurer de la participation des femmes aux processus d’évaluation, notamment </w:t>
      </w:r>
      <w:r w:rsidR="00572A56" w:rsidRPr="001E3C8E">
        <w:rPr>
          <w:lang w:val="fr-FR"/>
        </w:rPr>
        <w:t xml:space="preserve">celles </w:t>
      </w:r>
      <w:r w:rsidRPr="001E3C8E">
        <w:rPr>
          <w:lang w:val="fr-FR"/>
        </w:rPr>
        <w:t xml:space="preserve">susceptibles d’être affectées, et les groupes </w:t>
      </w:r>
      <w:r w:rsidR="00317481" w:rsidRPr="001E3C8E">
        <w:rPr>
          <w:lang w:val="fr-FR"/>
        </w:rPr>
        <w:t xml:space="preserve">de femmes </w:t>
      </w:r>
      <w:r w:rsidRPr="001E3C8E">
        <w:rPr>
          <w:lang w:val="fr-FR"/>
        </w:rPr>
        <w:t>les plus exposés aux impacts négatifs des réformes.</w:t>
      </w:r>
    </w:p>
    <w:p w14:paraId="45986FC0" w14:textId="77777777" w:rsidR="00E551CE" w:rsidRPr="001E3C8E" w:rsidRDefault="00E551CE" w:rsidP="00317481">
      <w:pPr>
        <w:rPr>
          <w:lang w:val="fr-FR"/>
        </w:rPr>
      </w:pPr>
    </w:p>
    <w:p w14:paraId="43E178EF" w14:textId="4660BA46" w:rsidR="00D40D2F" w:rsidRPr="001E3C8E" w:rsidRDefault="00D40D2F" w:rsidP="00D741B8">
      <w:pPr>
        <w:pStyle w:val="Heading1"/>
        <w:numPr>
          <w:ilvl w:val="0"/>
          <w:numId w:val="27"/>
        </w:numPr>
        <w:rPr>
          <w:szCs w:val="24"/>
          <w:lang w:val="fr-FR"/>
        </w:rPr>
      </w:pPr>
      <w:bookmarkStart w:id="55" w:name="_Toc522789729"/>
      <w:r w:rsidRPr="001E3C8E">
        <w:rPr>
          <w:szCs w:val="24"/>
          <w:lang w:val="fr-FR"/>
        </w:rPr>
        <w:t xml:space="preserve">Finalité des </w:t>
      </w:r>
      <w:r w:rsidR="00317481" w:rsidRPr="001E3C8E">
        <w:rPr>
          <w:szCs w:val="24"/>
          <w:lang w:val="fr-FR"/>
        </w:rPr>
        <w:t>études</w:t>
      </w:r>
      <w:r w:rsidRPr="001E3C8E">
        <w:rPr>
          <w:szCs w:val="24"/>
          <w:lang w:val="fr-FR"/>
        </w:rPr>
        <w:t xml:space="preserve"> d’impact sur les droits humains</w:t>
      </w:r>
      <w:bookmarkEnd w:id="55"/>
    </w:p>
    <w:p w14:paraId="65E32A96" w14:textId="77777777" w:rsidR="00E551CE" w:rsidRPr="001E3C8E" w:rsidRDefault="00E551CE" w:rsidP="00E551CE">
      <w:pPr>
        <w:ind w:firstLine="678"/>
        <w:jc w:val="both"/>
        <w:rPr>
          <w:b/>
          <w:sz w:val="24"/>
          <w:szCs w:val="24"/>
          <w:lang w:val="fr-FR"/>
        </w:rPr>
      </w:pPr>
    </w:p>
    <w:p w14:paraId="54E3788E" w14:textId="5F5657A2" w:rsidR="00D40D2F" w:rsidRPr="001E3C8E" w:rsidRDefault="00D40D2F" w:rsidP="00E551CE">
      <w:pPr>
        <w:ind w:firstLine="678"/>
        <w:jc w:val="both"/>
        <w:rPr>
          <w:b/>
          <w:sz w:val="24"/>
          <w:szCs w:val="24"/>
          <w:lang w:val="fr-FR"/>
        </w:rPr>
      </w:pPr>
      <w:r w:rsidRPr="001E3C8E">
        <w:rPr>
          <w:b/>
          <w:sz w:val="24"/>
          <w:szCs w:val="24"/>
          <w:lang w:val="fr-FR"/>
        </w:rPr>
        <w:t xml:space="preserve">Une </w:t>
      </w:r>
      <w:r w:rsidR="00317481" w:rsidRPr="001E3C8E">
        <w:rPr>
          <w:b/>
          <w:sz w:val="24"/>
          <w:szCs w:val="24"/>
          <w:lang w:val="fr-FR"/>
        </w:rPr>
        <w:t>étude</w:t>
      </w:r>
      <w:r w:rsidRPr="001E3C8E">
        <w:rPr>
          <w:b/>
          <w:sz w:val="24"/>
          <w:szCs w:val="24"/>
          <w:lang w:val="fr-FR"/>
        </w:rPr>
        <w:t xml:space="preserve"> d’impact sur les droits humains des politiques de réforme économique </w:t>
      </w:r>
      <w:r w:rsidR="00317481" w:rsidRPr="001E3C8E">
        <w:rPr>
          <w:b/>
          <w:sz w:val="24"/>
          <w:szCs w:val="24"/>
          <w:lang w:val="fr-FR"/>
        </w:rPr>
        <w:t>doit</w:t>
      </w:r>
      <w:r w:rsidRPr="001E3C8E">
        <w:rPr>
          <w:b/>
          <w:sz w:val="24"/>
          <w:szCs w:val="24"/>
          <w:lang w:val="fr-FR"/>
        </w:rPr>
        <w:t> :</w:t>
      </w:r>
    </w:p>
    <w:p w14:paraId="63781106" w14:textId="780FF662" w:rsidR="00D40D2F" w:rsidRPr="001E3C8E" w:rsidRDefault="004566F1" w:rsidP="00430901">
      <w:pPr>
        <w:pStyle w:val="ListParagraph"/>
        <w:numPr>
          <w:ilvl w:val="0"/>
          <w:numId w:val="6"/>
        </w:numPr>
        <w:rPr>
          <w:b/>
          <w:szCs w:val="24"/>
          <w:lang w:val="fr-FR"/>
        </w:rPr>
      </w:pPr>
      <w:r w:rsidRPr="001E3C8E">
        <w:rPr>
          <w:rStyle w:val="Heading4Char"/>
          <w:b/>
          <w:szCs w:val="24"/>
          <w:lang w:val="fr-FR"/>
        </w:rPr>
        <w:t>Encourager la recherche d’</w:t>
      </w:r>
      <w:r w:rsidR="00D40D2F" w:rsidRPr="001E3C8E">
        <w:rPr>
          <w:rStyle w:val="Heading4Char"/>
          <w:b/>
          <w:szCs w:val="24"/>
          <w:lang w:val="fr-FR"/>
        </w:rPr>
        <w:t>options politiques</w:t>
      </w:r>
      <w:r w:rsidRPr="001E3C8E">
        <w:rPr>
          <w:rStyle w:val="Heading4Char"/>
          <w:b/>
          <w:szCs w:val="24"/>
          <w:lang w:val="fr-FR"/>
        </w:rPr>
        <w:t xml:space="preserve"> diversifiées pour la gestion de crise, notamment d</w:t>
      </w:r>
      <w:r w:rsidR="00D40D2F" w:rsidRPr="001E3C8E">
        <w:rPr>
          <w:rStyle w:val="Heading4Char"/>
          <w:b/>
          <w:szCs w:val="24"/>
          <w:lang w:val="fr-FR"/>
        </w:rPr>
        <w:t>es mesures permettant d’augmenter</w:t>
      </w:r>
      <w:r w:rsidRPr="001E3C8E">
        <w:rPr>
          <w:rStyle w:val="Heading4Char"/>
          <w:b/>
          <w:szCs w:val="24"/>
          <w:lang w:val="fr-FR"/>
        </w:rPr>
        <w:t xml:space="preserve"> directement et indirectement</w:t>
      </w:r>
      <w:r w:rsidR="00D40D2F" w:rsidRPr="001E3C8E">
        <w:rPr>
          <w:rStyle w:val="Heading4Char"/>
          <w:b/>
          <w:szCs w:val="24"/>
          <w:lang w:val="fr-FR"/>
        </w:rPr>
        <w:t xml:space="preserve"> les </w:t>
      </w:r>
      <w:r w:rsidRPr="001E3C8E">
        <w:rPr>
          <w:rStyle w:val="Heading4Char"/>
          <w:b/>
          <w:szCs w:val="24"/>
          <w:lang w:val="fr-FR"/>
        </w:rPr>
        <w:t>recettes publiques</w:t>
      </w:r>
    </w:p>
    <w:p w14:paraId="1964D477" w14:textId="176C1826" w:rsidR="00D40D2F" w:rsidRPr="001E3C8E" w:rsidRDefault="00D40D2F" w:rsidP="00D40D2F">
      <w:pPr>
        <w:pStyle w:val="ListParagraph"/>
        <w:numPr>
          <w:ilvl w:val="0"/>
          <w:numId w:val="6"/>
        </w:numPr>
        <w:rPr>
          <w:szCs w:val="24"/>
          <w:lang w:val="fr-FR"/>
        </w:rPr>
      </w:pPr>
      <w:r w:rsidRPr="001E3C8E">
        <w:rPr>
          <w:b/>
          <w:szCs w:val="24"/>
          <w:lang w:val="fr-FR"/>
        </w:rPr>
        <w:t xml:space="preserve">Analyser </w:t>
      </w:r>
      <w:r w:rsidR="004566F1" w:rsidRPr="001E3C8E">
        <w:rPr>
          <w:b/>
          <w:szCs w:val="24"/>
          <w:lang w:val="fr-FR"/>
        </w:rPr>
        <w:t xml:space="preserve">dans quelle mesure les décisions prises </w:t>
      </w:r>
      <w:r w:rsidRPr="001E3C8E">
        <w:rPr>
          <w:b/>
          <w:szCs w:val="24"/>
          <w:lang w:val="fr-FR"/>
        </w:rPr>
        <w:t xml:space="preserve">peuvent contribuer à </w:t>
      </w:r>
      <w:r w:rsidR="004566F1" w:rsidRPr="001E3C8E">
        <w:rPr>
          <w:b/>
          <w:szCs w:val="24"/>
          <w:lang w:val="fr-FR"/>
        </w:rPr>
        <w:t>satisfaire aux</w:t>
      </w:r>
      <w:r w:rsidRPr="001E3C8E">
        <w:rPr>
          <w:b/>
          <w:szCs w:val="24"/>
          <w:lang w:val="fr-FR"/>
        </w:rPr>
        <w:t xml:space="preserve"> obligations de l’</w:t>
      </w:r>
      <w:r w:rsidR="004566F1" w:rsidRPr="001E3C8E">
        <w:rPr>
          <w:b/>
          <w:szCs w:val="24"/>
          <w:lang w:val="fr-FR"/>
        </w:rPr>
        <w:t>État</w:t>
      </w:r>
      <w:r w:rsidRPr="001E3C8E">
        <w:rPr>
          <w:b/>
          <w:szCs w:val="24"/>
          <w:lang w:val="fr-FR"/>
        </w:rPr>
        <w:t xml:space="preserve"> en matière de droits humains ou ont le potentiel d’y nuire</w:t>
      </w:r>
    </w:p>
    <w:p w14:paraId="01453D7A" w14:textId="28E717BD" w:rsidR="00E551CE" w:rsidRPr="001E3C8E" w:rsidRDefault="00D40D2F" w:rsidP="00430901">
      <w:pPr>
        <w:pStyle w:val="ListParagraph"/>
        <w:numPr>
          <w:ilvl w:val="0"/>
          <w:numId w:val="6"/>
        </w:numPr>
        <w:rPr>
          <w:b/>
          <w:szCs w:val="24"/>
          <w:lang w:val="fr-FR"/>
        </w:rPr>
      </w:pPr>
      <w:r w:rsidRPr="001E3C8E">
        <w:rPr>
          <w:b/>
          <w:szCs w:val="24"/>
          <w:lang w:val="fr-FR"/>
        </w:rPr>
        <w:t>Servir à comprendre quel impact les mesures proposées auront sur l’égalité et les droits humains de l’ensemble de la population, notamment les individus et les groupes les plus marginalisés</w:t>
      </w:r>
    </w:p>
    <w:p w14:paraId="01D07D9C" w14:textId="36395954" w:rsidR="00D40D2F" w:rsidRPr="001E3C8E" w:rsidRDefault="00D40D2F" w:rsidP="00430901">
      <w:pPr>
        <w:pStyle w:val="ListParagraph"/>
        <w:numPr>
          <w:ilvl w:val="0"/>
          <w:numId w:val="6"/>
        </w:numPr>
        <w:rPr>
          <w:b/>
          <w:szCs w:val="24"/>
          <w:lang w:val="fr-FR"/>
        </w:rPr>
      </w:pPr>
      <w:r w:rsidRPr="001E3C8E">
        <w:rPr>
          <w:b/>
          <w:szCs w:val="24"/>
          <w:lang w:val="fr-FR"/>
        </w:rPr>
        <w:t>Identifier les conséquences négatives réelles ou potentielles sur les droits humains ainsi que d</w:t>
      </w:r>
      <w:r w:rsidR="004566F1" w:rsidRPr="001E3C8E">
        <w:rPr>
          <w:b/>
          <w:szCs w:val="24"/>
          <w:lang w:val="fr-FR"/>
        </w:rPr>
        <w:t>’éventuell</w:t>
      </w:r>
      <w:r w:rsidRPr="001E3C8E">
        <w:rPr>
          <w:b/>
          <w:szCs w:val="24"/>
          <w:lang w:val="fr-FR"/>
        </w:rPr>
        <w:t xml:space="preserve">es mesures préventives </w:t>
      </w:r>
    </w:p>
    <w:p w14:paraId="63FBCCBD" w14:textId="53B5CB77" w:rsidR="00D40D2F" w:rsidRPr="001E3C8E" w:rsidRDefault="004566F1" w:rsidP="00430901">
      <w:pPr>
        <w:pStyle w:val="ListParagraph"/>
        <w:numPr>
          <w:ilvl w:val="0"/>
          <w:numId w:val="6"/>
        </w:numPr>
        <w:rPr>
          <w:b/>
          <w:lang w:val="fr-FR"/>
        </w:rPr>
      </w:pPr>
      <w:r w:rsidRPr="001E3C8E">
        <w:rPr>
          <w:b/>
          <w:lang w:val="fr-FR"/>
        </w:rPr>
        <w:t>Établir</w:t>
      </w:r>
      <w:r w:rsidR="00D40D2F" w:rsidRPr="001E3C8E">
        <w:rPr>
          <w:b/>
          <w:lang w:val="fr-FR"/>
        </w:rPr>
        <w:t xml:space="preserve"> une liste (non-exhaustive) de mesures de prévention ou d’atténuation pour s’assurer de la conformité de la proposition avec les obligations de l’</w:t>
      </w:r>
      <w:r w:rsidRPr="001E3C8E">
        <w:rPr>
          <w:b/>
          <w:lang w:val="fr-FR"/>
        </w:rPr>
        <w:t>État</w:t>
      </w:r>
      <w:r w:rsidR="00D40D2F" w:rsidRPr="001E3C8E">
        <w:rPr>
          <w:b/>
          <w:lang w:val="fr-FR"/>
        </w:rPr>
        <w:t xml:space="preserve"> en matière de droits humains.</w:t>
      </w:r>
    </w:p>
    <w:p w14:paraId="734221B4" w14:textId="685D3F20" w:rsidR="00D40D2F" w:rsidRPr="001E3C8E" w:rsidRDefault="00D40D2F" w:rsidP="00430901">
      <w:pPr>
        <w:pStyle w:val="ListParagraph"/>
        <w:numPr>
          <w:ilvl w:val="0"/>
          <w:numId w:val="6"/>
        </w:numPr>
        <w:rPr>
          <w:b/>
          <w:lang w:val="fr-FR"/>
        </w:rPr>
      </w:pPr>
      <w:r w:rsidRPr="001E3C8E">
        <w:rPr>
          <w:b/>
          <w:lang w:val="fr-FR"/>
        </w:rPr>
        <w:t xml:space="preserve">Fournir des réparations </w:t>
      </w:r>
      <w:r w:rsidR="004566F1" w:rsidRPr="001E3C8E">
        <w:rPr>
          <w:b/>
          <w:lang w:val="fr-FR"/>
        </w:rPr>
        <w:t>si nécessaire</w:t>
      </w:r>
    </w:p>
    <w:p w14:paraId="6DCAC372" w14:textId="77777777" w:rsidR="00E551CE" w:rsidRPr="001E3C8E" w:rsidRDefault="00E551CE" w:rsidP="00E551CE">
      <w:pPr>
        <w:pStyle w:val="BodyText"/>
        <w:rPr>
          <w:szCs w:val="24"/>
          <w:lang w:val="fr-FR"/>
        </w:rPr>
      </w:pPr>
      <w:bookmarkStart w:id="56" w:name="_Toc370768218"/>
    </w:p>
    <w:p w14:paraId="0B77A088" w14:textId="3ECF562C" w:rsidR="00D40D2F" w:rsidRPr="001E3C8E" w:rsidRDefault="00D40D2F" w:rsidP="00E551CE">
      <w:pPr>
        <w:ind w:firstLine="678"/>
        <w:jc w:val="both"/>
        <w:rPr>
          <w:i/>
          <w:sz w:val="24"/>
          <w:szCs w:val="24"/>
          <w:lang w:val="fr-FR"/>
        </w:rPr>
      </w:pPr>
      <w:r w:rsidRPr="001E3C8E">
        <w:rPr>
          <w:i/>
          <w:sz w:val="24"/>
          <w:szCs w:val="24"/>
          <w:lang w:val="fr-FR"/>
        </w:rPr>
        <w:t>Commentaire :</w:t>
      </w:r>
    </w:p>
    <w:p w14:paraId="4CBC8797" w14:textId="77777777" w:rsidR="00E551CE" w:rsidRPr="001E3C8E" w:rsidRDefault="00E551CE" w:rsidP="00E551CE">
      <w:pPr>
        <w:ind w:firstLine="678"/>
        <w:jc w:val="both"/>
        <w:rPr>
          <w:i/>
          <w:sz w:val="24"/>
          <w:szCs w:val="24"/>
          <w:lang w:val="fr-FR"/>
        </w:rPr>
      </w:pPr>
    </w:p>
    <w:p w14:paraId="63140EC2" w14:textId="19A0929B" w:rsidR="00D40D2F" w:rsidRPr="001E3C8E" w:rsidRDefault="00D40D2F" w:rsidP="00430901">
      <w:pPr>
        <w:pStyle w:val="ListParagraph"/>
        <w:numPr>
          <w:ilvl w:val="0"/>
          <w:numId w:val="1"/>
        </w:numPr>
        <w:spacing w:before="0"/>
        <w:ind w:left="1276" w:hanging="567"/>
        <w:rPr>
          <w:szCs w:val="24"/>
          <w:lang w:val="fr-FR"/>
        </w:rPr>
      </w:pPr>
      <w:r w:rsidRPr="001E3C8E">
        <w:rPr>
          <w:szCs w:val="24"/>
          <w:lang w:val="fr-FR"/>
        </w:rPr>
        <w:t xml:space="preserve">Une </w:t>
      </w:r>
      <w:r w:rsidR="00D06E38" w:rsidRPr="001E3C8E">
        <w:rPr>
          <w:szCs w:val="24"/>
          <w:lang w:val="fr-FR"/>
        </w:rPr>
        <w:t>étude</w:t>
      </w:r>
      <w:r w:rsidRPr="001E3C8E">
        <w:rPr>
          <w:szCs w:val="24"/>
          <w:lang w:val="fr-FR"/>
        </w:rPr>
        <w:t xml:space="preserve"> d’impact sur les droits humains </w:t>
      </w:r>
      <w:r w:rsidRPr="001E3C8E">
        <w:rPr>
          <w:i/>
          <w:szCs w:val="24"/>
          <w:lang w:val="fr-FR"/>
        </w:rPr>
        <w:t>ex ante</w:t>
      </w:r>
      <w:r w:rsidRPr="001E3C8E">
        <w:rPr>
          <w:szCs w:val="24"/>
          <w:lang w:val="fr-FR"/>
        </w:rPr>
        <w:t xml:space="preserve"> est un processus structuré qui permet d’évaluer les </w:t>
      </w:r>
      <w:r w:rsidR="00D06E38" w:rsidRPr="001E3C8E">
        <w:rPr>
          <w:szCs w:val="24"/>
          <w:lang w:val="fr-FR"/>
        </w:rPr>
        <w:t>alternatives</w:t>
      </w:r>
      <w:r w:rsidRPr="001E3C8E">
        <w:rPr>
          <w:szCs w:val="24"/>
          <w:lang w:val="fr-FR"/>
        </w:rPr>
        <w:t xml:space="preserve"> politiques et les impacts des mesures proposées sur les droits humains. Le processus contribue à une </w:t>
      </w:r>
      <w:r w:rsidR="00D06E38" w:rsidRPr="001E3C8E">
        <w:rPr>
          <w:szCs w:val="24"/>
          <w:lang w:val="fr-FR"/>
        </w:rPr>
        <w:t>action</w:t>
      </w:r>
      <w:r w:rsidRPr="001E3C8E">
        <w:rPr>
          <w:szCs w:val="24"/>
          <w:lang w:val="fr-FR"/>
        </w:rPr>
        <w:t xml:space="preserve"> politiqu</w:t>
      </w:r>
      <w:r w:rsidR="00D06E38" w:rsidRPr="001E3C8E">
        <w:rPr>
          <w:szCs w:val="24"/>
          <w:lang w:val="fr-FR"/>
        </w:rPr>
        <w:t>e</w:t>
      </w:r>
      <w:r w:rsidRPr="001E3C8E">
        <w:rPr>
          <w:szCs w:val="24"/>
          <w:lang w:val="fr-FR"/>
        </w:rPr>
        <w:t xml:space="preserve"> </w:t>
      </w:r>
      <w:r w:rsidR="00D06E38" w:rsidRPr="001E3C8E">
        <w:rPr>
          <w:szCs w:val="24"/>
          <w:lang w:val="fr-FR"/>
        </w:rPr>
        <w:t>fondée sur d</w:t>
      </w:r>
      <w:r w:rsidRPr="001E3C8E">
        <w:rPr>
          <w:szCs w:val="24"/>
          <w:lang w:val="fr-FR"/>
        </w:rPr>
        <w:t xml:space="preserve">es </w:t>
      </w:r>
      <w:r w:rsidR="00D06E38" w:rsidRPr="001E3C8E">
        <w:rPr>
          <w:szCs w:val="24"/>
          <w:lang w:val="fr-FR"/>
        </w:rPr>
        <w:t>données factuelles</w:t>
      </w:r>
      <w:r w:rsidRPr="001E3C8E">
        <w:rPr>
          <w:szCs w:val="24"/>
          <w:lang w:val="fr-FR"/>
        </w:rPr>
        <w:t xml:space="preserve"> en rendant les </w:t>
      </w:r>
      <w:r w:rsidR="00D06E38" w:rsidRPr="001E3C8E">
        <w:rPr>
          <w:szCs w:val="24"/>
          <w:lang w:val="fr-FR"/>
        </w:rPr>
        <w:t>conséquences</w:t>
      </w:r>
      <w:r w:rsidRPr="001E3C8E">
        <w:rPr>
          <w:szCs w:val="24"/>
          <w:lang w:val="fr-FR"/>
        </w:rPr>
        <w:t xml:space="preserve"> sur les droits humains plus visibles sur la base de l’expérience historique et </w:t>
      </w:r>
      <w:r w:rsidR="00D06E38" w:rsidRPr="001E3C8E">
        <w:rPr>
          <w:szCs w:val="24"/>
          <w:lang w:val="fr-FR"/>
        </w:rPr>
        <w:t>en offrant</w:t>
      </w:r>
      <w:r w:rsidRPr="001E3C8E">
        <w:rPr>
          <w:szCs w:val="24"/>
          <w:lang w:val="fr-FR"/>
        </w:rPr>
        <w:t xml:space="preserve"> une base plus solide pour prévoir les impacts potentiels et évaluer les effets des mesures proposées de prévention, d’atté</w:t>
      </w:r>
      <w:r w:rsidR="00265FF3" w:rsidRPr="001E3C8E">
        <w:rPr>
          <w:szCs w:val="24"/>
          <w:lang w:val="fr-FR"/>
        </w:rPr>
        <w:t>nuation et de compensation</w:t>
      </w:r>
      <w:r w:rsidR="002F48D0" w:rsidRPr="001E3C8E">
        <w:rPr>
          <w:szCs w:val="24"/>
          <w:lang w:val="fr-FR"/>
        </w:rPr>
        <w:t>.</w:t>
      </w:r>
    </w:p>
    <w:bookmarkEnd w:id="56"/>
    <w:p w14:paraId="6F375D60" w14:textId="77777777" w:rsidR="002F48D0" w:rsidRPr="001E3C8E" w:rsidRDefault="002F48D0" w:rsidP="00C52ADE">
      <w:pPr>
        <w:rPr>
          <w:szCs w:val="24"/>
          <w:lang w:val="fr-FR"/>
        </w:rPr>
      </w:pPr>
    </w:p>
    <w:p w14:paraId="3F6A61D1" w14:textId="5B1209B4" w:rsidR="002F48D0" w:rsidRPr="001E3C8E" w:rsidRDefault="002F48D0" w:rsidP="00430901">
      <w:pPr>
        <w:pStyle w:val="ListParagraph"/>
        <w:numPr>
          <w:ilvl w:val="0"/>
          <w:numId w:val="1"/>
        </w:numPr>
        <w:spacing w:before="0"/>
        <w:ind w:left="1276" w:hanging="567"/>
        <w:rPr>
          <w:szCs w:val="24"/>
          <w:lang w:val="fr-FR"/>
        </w:rPr>
      </w:pPr>
      <w:r w:rsidRPr="001E3C8E">
        <w:rPr>
          <w:szCs w:val="24"/>
          <w:lang w:val="fr-FR"/>
        </w:rPr>
        <w:t xml:space="preserve">Les </w:t>
      </w:r>
      <w:r w:rsidR="004D1598" w:rsidRPr="001E3C8E">
        <w:rPr>
          <w:szCs w:val="24"/>
          <w:lang w:val="fr-FR"/>
        </w:rPr>
        <w:t>études</w:t>
      </w:r>
      <w:r w:rsidRPr="001E3C8E">
        <w:rPr>
          <w:szCs w:val="24"/>
          <w:lang w:val="fr-FR"/>
        </w:rPr>
        <w:t xml:space="preserve"> d’impact sur les droits humains peuvent fournir des preuves empiriques pour évaluer correctement la proportionnalité et la légitimité des </w:t>
      </w:r>
      <w:r w:rsidRPr="001E3C8E">
        <w:rPr>
          <w:szCs w:val="24"/>
          <w:lang w:val="fr-FR"/>
        </w:rPr>
        <w:lastRenderedPageBreak/>
        <w:t xml:space="preserve">mesures économiques du point de vue des droits humains. Ainsi, tous les </w:t>
      </w:r>
      <w:r w:rsidR="00C52ADE" w:rsidRPr="001E3C8E">
        <w:rPr>
          <w:szCs w:val="24"/>
          <w:lang w:val="fr-FR"/>
        </w:rPr>
        <w:t>États</w:t>
      </w:r>
      <w:r w:rsidRPr="001E3C8E">
        <w:rPr>
          <w:szCs w:val="24"/>
          <w:lang w:val="fr-FR"/>
        </w:rPr>
        <w:t xml:space="preserve"> doivent préparer des </w:t>
      </w:r>
      <w:r w:rsidR="00C52ADE" w:rsidRPr="001E3C8E">
        <w:rPr>
          <w:szCs w:val="24"/>
          <w:lang w:val="fr-FR"/>
        </w:rPr>
        <w:t>études</w:t>
      </w:r>
      <w:r w:rsidRPr="001E3C8E">
        <w:rPr>
          <w:szCs w:val="24"/>
          <w:lang w:val="fr-FR"/>
        </w:rPr>
        <w:t xml:space="preserve"> d’impact sur les droits humains pour comprendre la cohérence des réformes économiques avec leurs obligations relatives </w:t>
      </w:r>
      <w:r w:rsidR="00C52ADE" w:rsidRPr="001E3C8E">
        <w:rPr>
          <w:szCs w:val="24"/>
          <w:lang w:val="fr-FR"/>
        </w:rPr>
        <w:t>à ces</w:t>
      </w:r>
      <w:r w:rsidRPr="001E3C8E">
        <w:rPr>
          <w:szCs w:val="24"/>
          <w:lang w:val="fr-FR"/>
        </w:rPr>
        <w:t xml:space="preserve"> droits. Les décisions des </w:t>
      </w:r>
      <w:r w:rsidR="00C52ADE" w:rsidRPr="001E3C8E">
        <w:rPr>
          <w:szCs w:val="24"/>
          <w:lang w:val="fr-FR"/>
        </w:rPr>
        <w:t>États</w:t>
      </w:r>
      <w:r w:rsidRPr="001E3C8E">
        <w:rPr>
          <w:szCs w:val="24"/>
          <w:lang w:val="fr-FR"/>
        </w:rPr>
        <w:t xml:space="preserve"> </w:t>
      </w:r>
      <w:r w:rsidR="00C52ADE" w:rsidRPr="001E3C8E">
        <w:rPr>
          <w:szCs w:val="24"/>
          <w:lang w:val="fr-FR"/>
        </w:rPr>
        <w:t>en matière de</w:t>
      </w:r>
      <w:r w:rsidRPr="001E3C8E">
        <w:rPr>
          <w:szCs w:val="24"/>
          <w:lang w:val="fr-FR"/>
        </w:rPr>
        <w:t xml:space="preserve"> politique</w:t>
      </w:r>
      <w:r w:rsidR="00C52ADE" w:rsidRPr="001E3C8E">
        <w:rPr>
          <w:szCs w:val="24"/>
          <w:lang w:val="fr-FR"/>
        </w:rPr>
        <w:t xml:space="preserve"> économique</w:t>
      </w:r>
      <w:r w:rsidRPr="001E3C8E">
        <w:rPr>
          <w:szCs w:val="24"/>
          <w:lang w:val="fr-FR"/>
        </w:rPr>
        <w:t xml:space="preserve"> doivent être cohérentes avec l’issue des </w:t>
      </w:r>
      <w:r w:rsidR="00C52ADE" w:rsidRPr="001E3C8E">
        <w:rPr>
          <w:szCs w:val="24"/>
          <w:lang w:val="fr-FR"/>
        </w:rPr>
        <w:t>études</w:t>
      </w:r>
      <w:r w:rsidRPr="001E3C8E">
        <w:rPr>
          <w:szCs w:val="24"/>
          <w:lang w:val="fr-FR"/>
        </w:rPr>
        <w:t xml:space="preserve"> d’impact sur les droits humains. Ces </w:t>
      </w:r>
      <w:r w:rsidR="00C52ADE" w:rsidRPr="001E3C8E">
        <w:rPr>
          <w:szCs w:val="24"/>
          <w:lang w:val="fr-FR"/>
        </w:rPr>
        <w:t>études</w:t>
      </w:r>
      <w:r w:rsidRPr="001E3C8E">
        <w:rPr>
          <w:szCs w:val="24"/>
          <w:lang w:val="fr-FR"/>
        </w:rPr>
        <w:t xml:space="preserve"> doivent être publiées </w:t>
      </w:r>
      <w:r w:rsidR="0052743F" w:rsidRPr="001E3C8E">
        <w:rPr>
          <w:szCs w:val="24"/>
          <w:lang w:val="fr-FR"/>
        </w:rPr>
        <w:t xml:space="preserve">à grande échelle et </w:t>
      </w:r>
      <w:r w:rsidR="001B5F9A" w:rsidRPr="001E3C8E">
        <w:rPr>
          <w:szCs w:val="24"/>
          <w:lang w:val="fr-FR"/>
        </w:rPr>
        <w:t xml:space="preserve">faire l’objet d’un débat </w:t>
      </w:r>
      <w:r w:rsidR="00C52ADE" w:rsidRPr="001E3C8E">
        <w:rPr>
          <w:szCs w:val="24"/>
          <w:lang w:val="fr-FR"/>
        </w:rPr>
        <w:t xml:space="preserve">avec les </w:t>
      </w:r>
      <w:r w:rsidR="001B5F9A" w:rsidRPr="001E3C8E">
        <w:rPr>
          <w:szCs w:val="24"/>
          <w:lang w:val="fr-FR"/>
        </w:rPr>
        <w:t>citoyen</w:t>
      </w:r>
      <w:r w:rsidR="00C52ADE" w:rsidRPr="001E3C8E">
        <w:rPr>
          <w:szCs w:val="24"/>
          <w:lang w:val="fr-FR"/>
        </w:rPr>
        <w:t>s</w:t>
      </w:r>
      <w:r w:rsidR="001B5F9A" w:rsidRPr="001E3C8E">
        <w:rPr>
          <w:szCs w:val="24"/>
          <w:lang w:val="fr-FR"/>
        </w:rPr>
        <w:t xml:space="preserve">. Les options </w:t>
      </w:r>
      <w:r w:rsidR="00C52ADE" w:rsidRPr="001E3C8E">
        <w:rPr>
          <w:szCs w:val="24"/>
          <w:lang w:val="fr-FR"/>
        </w:rPr>
        <w:t>devront faire</w:t>
      </w:r>
      <w:r w:rsidR="001B5F9A" w:rsidRPr="001E3C8E">
        <w:rPr>
          <w:szCs w:val="24"/>
          <w:lang w:val="fr-FR"/>
        </w:rPr>
        <w:t xml:space="preserve"> l’objet d’une discussion et d’un accord.</w:t>
      </w:r>
    </w:p>
    <w:p w14:paraId="772B620E" w14:textId="77777777" w:rsidR="001B5F9A" w:rsidRPr="001E3C8E" w:rsidRDefault="001B5F9A" w:rsidP="00C52ADE">
      <w:pPr>
        <w:rPr>
          <w:szCs w:val="24"/>
          <w:lang w:val="fr-FR"/>
        </w:rPr>
      </w:pPr>
    </w:p>
    <w:p w14:paraId="03693BE5" w14:textId="405E00B7" w:rsidR="001B5F9A" w:rsidRPr="001E3C8E" w:rsidRDefault="000D5A35" w:rsidP="00430901">
      <w:pPr>
        <w:pStyle w:val="ListParagraph"/>
        <w:numPr>
          <w:ilvl w:val="0"/>
          <w:numId w:val="1"/>
        </w:numPr>
        <w:spacing w:before="0"/>
        <w:ind w:left="1276" w:hanging="567"/>
        <w:rPr>
          <w:szCs w:val="24"/>
          <w:lang w:val="fr-FR"/>
        </w:rPr>
      </w:pPr>
      <w:r w:rsidRPr="001E3C8E">
        <w:rPr>
          <w:szCs w:val="24"/>
          <w:lang w:val="fr-FR"/>
        </w:rPr>
        <w:t>La mise en place de moyen</w:t>
      </w:r>
      <w:r w:rsidR="00C52ADE" w:rsidRPr="001E3C8E">
        <w:rPr>
          <w:szCs w:val="24"/>
          <w:lang w:val="fr-FR"/>
        </w:rPr>
        <w:t>s</w:t>
      </w:r>
      <w:r w:rsidRPr="001E3C8E">
        <w:rPr>
          <w:szCs w:val="24"/>
          <w:lang w:val="fr-FR"/>
        </w:rPr>
        <w:t xml:space="preserve"> de </w:t>
      </w:r>
      <w:r w:rsidR="00C52ADE" w:rsidRPr="001E3C8E">
        <w:rPr>
          <w:szCs w:val="24"/>
          <w:lang w:val="fr-FR"/>
        </w:rPr>
        <w:t>prévention</w:t>
      </w:r>
      <w:r w:rsidRPr="001E3C8E">
        <w:rPr>
          <w:szCs w:val="24"/>
          <w:lang w:val="fr-FR"/>
        </w:rPr>
        <w:t xml:space="preserve"> ou de </w:t>
      </w:r>
      <w:r w:rsidR="00C52ADE" w:rsidRPr="001E3C8E">
        <w:rPr>
          <w:szCs w:val="24"/>
          <w:lang w:val="fr-FR"/>
        </w:rPr>
        <w:t>gestion d’</w:t>
      </w:r>
      <w:r w:rsidRPr="001E3C8E">
        <w:rPr>
          <w:szCs w:val="24"/>
          <w:lang w:val="fr-FR"/>
        </w:rPr>
        <w:t>une crise économique inclu</w:t>
      </w:r>
      <w:r w:rsidR="00C52ADE" w:rsidRPr="001E3C8E">
        <w:rPr>
          <w:szCs w:val="24"/>
          <w:lang w:val="fr-FR"/>
        </w:rPr>
        <w:t>t par exemple des mesures anti</w:t>
      </w:r>
      <w:r w:rsidRPr="001E3C8E">
        <w:rPr>
          <w:szCs w:val="24"/>
          <w:lang w:val="fr-FR"/>
        </w:rPr>
        <w:t>cycliques, un allègement total ou partiel de la dette et des suspensions à moy</w:t>
      </w:r>
      <w:r w:rsidR="00777411" w:rsidRPr="001E3C8E">
        <w:rPr>
          <w:szCs w:val="24"/>
          <w:lang w:val="fr-FR"/>
        </w:rPr>
        <w:t>en ou long terme des versements des créditeurs et des révisions des politiques fiscales.</w:t>
      </w:r>
    </w:p>
    <w:p w14:paraId="0B3DAC87" w14:textId="77777777" w:rsidR="00777411" w:rsidRPr="001E3C8E" w:rsidRDefault="00777411" w:rsidP="00024BE8">
      <w:pPr>
        <w:rPr>
          <w:szCs w:val="24"/>
          <w:lang w:val="fr-FR"/>
        </w:rPr>
      </w:pPr>
    </w:p>
    <w:p w14:paraId="1A8569EF" w14:textId="168528ED" w:rsidR="00777411" w:rsidRPr="001E3C8E" w:rsidRDefault="00024BE8" w:rsidP="00430901">
      <w:pPr>
        <w:pStyle w:val="ListParagraph"/>
        <w:numPr>
          <w:ilvl w:val="0"/>
          <w:numId w:val="1"/>
        </w:numPr>
        <w:spacing w:before="0"/>
        <w:ind w:left="1276" w:hanging="567"/>
        <w:rPr>
          <w:szCs w:val="24"/>
          <w:lang w:val="fr-FR"/>
        </w:rPr>
      </w:pPr>
      <w:r w:rsidRPr="001E3C8E">
        <w:rPr>
          <w:szCs w:val="24"/>
          <w:lang w:val="fr-FR"/>
        </w:rPr>
        <w:t>L’analyse doit inclure les divers changements d’</w:t>
      </w:r>
      <w:r w:rsidR="00777411" w:rsidRPr="001E3C8E">
        <w:rPr>
          <w:szCs w:val="24"/>
          <w:lang w:val="fr-FR"/>
        </w:rPr>
        <w:t>options politiques</w:t>
      </w:r>
      <w:r w:rsidRPr="001E3C8E">
        <w:rPr>
          <w:szCs w:val="24"/>
          <w:lang w:val="fr-FR"/>
        </w:rPr>
        <w:t>,</w:t>
      </w:r>
      <w:r w:rsidR="00777411" w:rsidRPr="001E3C8E">
        <w:rPr>
          <w:szCs w:val="24"/>
          <w:lang w:val="fr-FR"/>
        </w:rPr>
        <w:t xml:space="preserve"> les coupes budgétaires proposées, les nouvelles formes de taxation, les mesures monétaires </w:t>
      </w:r>
      <w:r w:rsidRPr="001E3C8E">
        <w:rPr>
          <w:szCs w:val="24"/>
          <w:lang w:val="fr-FR"/>
        </w:rPr>
        <w:t>envisagées</w:t>
      </w:r>
      <w:r w:rsidR="00777411" w:rsidRPr="001E3C8E">
        <w:rPr>
          <w:szCs w:val="24"/>
          <w:lang w:val="fr-FR"/>
        </w:rPr>
        <w:t xml:space="preserve"> et d’autres mesures d’ajustement comme la </w:t>
      </w:r>
      <w:r w:rsidRPr="001E3C8E">
        <w:rPr>
          <w:szCs w:val="24"/>
          <w:lang w:val="fr-FR"/>
        </w:rPr>
        <w:t>déréglementation</w:t>
      </w:r>
      <w:r w:rsidR="00777411" w:rsidRPr="001E3C8E">
        <w:rPr>
          <w:szCs w:val="24"/>
          <w:lang w:val="fr-FR"/>
        </w:rPr>
        <w:t xml:space="preserve"> du marché du travail</w:t>
      </w:r>
      <w:r w:rsidRPr="001E3C8E">
        <w:rPr>
          <w:szCs w:val="24"/>
          <w:lang w:val="fr-FR"/>
        </w:rPr>
        <w:t>, qui</w:t>
      </w:r>
      <w:r w:rsidR="00777411" w:rsidRPr="001E3C8E">
        <w:rPr>
          <w:szCs w:val="24"/>
          <w:lang w:val="fr-FR"/>
        </w:rPr>
        <w:t xml:space="preserve"> sont susceptibles d’affecter la population, notamment les femmes, </w:t>
      </w:r>
      <w:r w:rsidR="00462444" w:rsidRPr="001E3C8E">
        <w:rPr>
          <w:szCs w:val="24"/>
          <w:lang w:val="fr-FR"/>
        </w:rPr>
        <w:t xml:space="preserve">les personnes </w:t>
      </w:r>
      <w:r w:rsidR="00777411" w:rsidRPr="001E3C8E">
        <w:rPr>
          <w:szCs w:val="24"/>
          <w:lang w:val="fr-FR"/>
        </w:rPr>
        <w:t>qui sont touché</w:t>
      </w:r>
      <w:r w:rsidR="00E439EE" w:rsidRPr="001E3C8E">
        <w:rPr>
          <w:szCs w:val="24"/>
          <w:lang w:val="fr-FR"/>
        </w:rPr>
        <w:t>e</w:t>
      </w:r>
      <w:r w:rsidR="00777411" w:rsidRPr="001E3C8E">
        <w:rPr>
          <w:szCs w:val="24"/>
          <w:lang w:val="fr-FR"/>
        </w:rPr>
        <w:t xml:space="preserve">s par l’impact cumulatif de plusieurs mesures, et les groupes </w:t>
      </w:r>
      <w:r w:rsidR="00462444" w:rsidRPr="001E3C8E">
        <w:rPr>
          <w:szCs w:val="24"/>
          <w:lang w:val="fr-FR"/>
        </w:rPr>
        <w:t>se trouvant dans des situations de vulnérabilité</w:t>
      </w:r>
      <w:r w:rsidR="00B93F80" w:rsidRPr="001E3C8E">
        <w:rPr>
          <w:szCs w:val="24"/>
          <w:lang w:val="fr-FR"/>
        </w:rPr>
        <w:t xml:space="preserve">. Ceci </w:t>
      </w:r>
      <w:r w:rsidR="00777411" w:rsidRPr="001E3C8E">
        <w:rPr>
          <w:szCs w:val="24"/>
          <w:lang w:val="fr-FR"/>
        </w:rPr>
        <w:t>à l’aide d’un ensemble divers d’outils et de méthodes quantitatifs et qualitatif</w:t>
      </w:r>
      <w:r w:rsidRPr="001E3C8E">
        <w:rPr>
          <w:szCs w:val="24"/>
          <w:lang w:val="fr-FR"/>
        </w:rPr>
        <w:t>s</w:t>
      </w:r>
      <w:r w:rsidR="00777411" w:rsidRPr="001E3C8E">
        <w:rPr>
          <w:szCs w:val="24"/>
          <w:lang w:val="fr-FR"/>
        </w:rPr>
        <w:t xml:space="preserve">, notamment participatifs, et </w:t>
      </w:r>
      <w:r w:rsidR="00B93F80" w:rsidRPr="001E3C8E">
        <w:rPr>
          <w:szCs w:val="24"/>
          <w:lang w:val="fr-FR"/>
        </w:rPr>
        <w:t xml:space="preserve">qui </w:t>
      </w:r>
      <w:r w:rsidR="00777411" w:rsidRPr="001E3C8E">
        <w:rPr>
          <w:szCs w:val="24"/>
          <w:lang w:val="fr-FR"/>
        </w:rPr>
        <w:t>compar</w:t>
      </w:r>
      <w:r w:rsidR="00B93F80" w:rsidRPr="001E3C8E">
        <w:rPr>
          <w:szCs w:val="24"/>
          <w:lang w:val="fr-FR"/>
        </w:rPr>
        <w:t>ent</w:t>
      </w:r>
      <w:r w:rsidR="00777411" w:rsidRPr="001E3C8E">
        <w:rPr>
          <w:szCs w:val="24"/>
          <w:lang w:val="fr-FR"/>
        </w:rPr>
        <w:t xml:space="preserve"> </w:t>
      </w:r>
      <w:r w:rsidRPr="001E3C8E">
        <w:rPr>
          <w:szCs w:val="24"/>
          <w:lang w:val="fr-FR"/>
        </w:rPr>
        <w:t xml:space="preserve">minutieusement </w:t>
      </w:r>
      <w:r w:rsidR="00777411" w:rsidRPr="001E3C8E">
        <w:rPr>
          <w:szCs w:val="24"/>
          <w:lang w:val="fr-FR"/>
        </w:rPr>
        <w:t>l’impact sur les droits humains de plusieurs scénarios, notamment les coupes budgétaires, les augmentations d’impôts et les mesures contre l’évasion fiscale.</w:t>
      </w:r>
    </w:p>
    <w:p w14:paraId="14254BF7" w14:textId="77777777" w:rsidR="00777411" w:rsidRPr="001E3C8E" w:rsidRDefault="00777411" w:rsidP="00024BE8">
      <w:pPr>
        <w:rPr>
          <w:szCs w:val="24"/>
          <w:lang w:val="fr-FR"/>
        </w:rPr>
      </w:pPr>
    </w:p>
    <w:p w14:paraId="03489FC0" w14:textId="438D5525" w:rsidR="00777411" w:rsidRPr="001E3C8E" w:rsidRDefault="00777411" w:rsidP="00430901">
      <w:pPr>
        <w:pStyle w:val="ListParagraph"/>
        <w:numPr>
          <w:ilvl w:val="0"/>
          <w:numId w:val="1"/>
        </w:numPr>
        <w:spacing w:before="0"/>
        <w:ind w:left="1276" w:hanging="567"/>
        <w:rPr>
          <w:szCs w:val="24"/>
          <w:lang w:val="fr-FR"/>
        </w:rPr>
      </w:pPr>
      <w:r w:rsidRPr="001E3C8E">
        <w:rPr>
          <w:szCs w:val="24"/>
          <w:lang w:val="fr-FR"/>
        </w:rPr>
        <w:t xml:space="preserve">Les institutions financières internationales doivent s’assurer que les </w:t>
      </w:r>
      <w:r w:rsidR="00024BE8" w:rsidRPr="001E3C8E">
        <w:rPr>
          <w:szCs w:val="24"/>
          <w:lang w:val="fr-FR"/>
        </w:rPr>
        <w:t>études</w:t>
      </w:r>
      <w:r w:rsidRPr="001E3C8E">
        <w:rPr>
          <w:szCs w:val="24"/>
          <w:lang w:val="fr-FR"/>
        </w:rPr>
        <w:t xml:space="preserve"> d’impact sur les droits humains sont reflétées dans leurs recommandations, qu’elles ne poussent les </w:t>
      </w:r>
      <w:r w:rsidR="00024BE8" w:rsidRPr="001E3C8E">
        <w:rPr>
          <w:szCs w:val="24"/>
          <w:lang w:val="fr-FR"/>
        </w:rPr>
        <w:t>États</w:t>
      </w:r>
      <w:r w:rsidRPr="001E3C8E">
        <w:rPr>
          <w:szCs w:val="24"/>
          <w:lang w:val="fr-FR"/>
        </w:rPr>
        <w:t xml:space="preserve"> ni implicitement ni explicitement à </w:t>
      </w:r>
      <w:r w:rsidR="00892367" w:rsidRPr="001E3C8E">
        <w:rPr>
          <w:szCs w:val="24"/>
          <w:lang w:val="fr-FR"/>
        </w:rPr>
        <w:t xml:space="preserve">se soustraire </w:t>
      </w:r>
      <w:r w:rsidRPr="001E3C8E">
        <w:rPr>
          <w:szCs w:val="24"/>
          <w:lang w:val="fr-FR"/>
        </w:rPr>
        <w:t xml:space="preserve">à leurs obligations en matière de droits humains, et rendre publique la manière dont elles ont incorporé les conclusions de ces </w:t>
      </w:r>
      <w:r w:rsidR="00024BE8" w:rsidRPr="001E3C8E">
        <w:rPr>
          <w:szCs w:val="24"/>
          <w:lang w:val="fr-FR"/>
        </w:rPr>
        <w:t>études</w:t>
      </w:r>
      <w:r w:rsidRPr="001E3C8E">
        <w:rPr>
          <w:szCs w:val="24"/>
          <w:lang w:val="fr-FR"/>
        </w:rPr>
        <w:t xml:space="preserve"> dans leurs propositions de réformes et les conditions imposées.</w:t>
      </w:r>
    </w:p>
    <w:p w14:paraId="6E95AA77" w14:textId="77777777" w:rsidR="00777411" w:rsidRPr="001E3C8E" w:rsidRDefault="00777411" w:rsidP="00FD2D85">
      <w:pPr>
        <w:rPr>
          <w:szCs w:val="24"/>
          <w:lang w:val="fr-FR"/>
        </w:rPr>
      </w:pPr>
    </w:p>
    <w:p w14:paraId="477F02A7" w14:textId="370E2975" w:rsidR="00777411" w:rsidRPr="001E3C8E" w:rsidRDefault="00777411" w:rsidP="00430901">
      <w:pPr>
        <w:pStyle w:val="ListParagraph"/>
        <w:numPr>
          <w:ilvl w:val="0"/>
          <w:numId w:val="1"/>
        </w:numPr>
        <w:spacing w:before="0"/>
        <w:ind w:left="1276" w:hanging="567"/>
        <w:rPr>
          <w:szCs w:val="24"/>
          <w:lang w:val="fr-FR"/>
        </w:rPr>
      </w:pPr>
      <w:r w:rsidRPr="001E3C8E">
        <w:rPr>
          <w:szCs w:val="24"/>
          <w:lang w:val="fr-FR"/>
        </w:rPr>
        <w:t>Une analyse tenant compte de la distribution potentielle (et cumulative) des impacts est nécessaire pour s’assurer que les plus vu</w:t>
      </w:r>
      <w:r w:rsidR="00FD2D85" w:rsidRPr="001E3C8E">
        <w:rPr>
          <w:szCs w:val="24"/>
          <w:lang w:val="fr-FR"/>
        </w:rPr>
        <w:t>lnérables ne soien</w:t>
      </w:r>
      <w:r w:rsidRPr="001E3C8E">
        <w:rPr>
          <w:szCs w:val="24"/>
          <w:lang w:val="fr-FR"/>
        </w:rPr>
        <w:t>t pas affectés, directement ou indirectement, par les crises et, au contraire, que l’</w:t>
      </w:r>
      <w:r w:rsidR="00FD2D85" w:rsidRPr="001E3C8E">
        <w:rPr>
          <w:szCs w:val="24"/>
          <w:lang w:val="fr-FR"/>
        </w:rPr>
        <w:t>État</w:t>
      </w:r>
      <w:r w:rsidRPr="001E3C8E">
        <w:rPr>
          <w:szCs w:val="24"/>
          <w:lang w:val="fr-FR"/>
        </w:rPr>
        <w:t xml:space="preserve"> utilise ses ressources au maximu</w:t>
      </w:r>
      <w:r w:rsidR="00FD2D85" w:rsidRPr="001E3C8E">
        <w:rPr>
          <w:szCs w:val="24"/>
          <w:lang w:val="fr-FR"/>
        </w:rPr>
        <w:t>m</w:t>
      </w:r>
      <w:r w:rsidRPr="001E3C8E">
        <w:rPr>
          <w:szCs w:val="24"/>
          <w:lang w:val="fr-FR"/>
        </w:rPr>
        <w:t xml:space="preserve"> pour les protéger. </w:t>
      </w:r>
    </w:p>
    <w:p w14:paraId="5CB6D01A" w14:textId="77777777" w:rsidR="00E551CE" w:rsidRPr="001E3C8E" w:rsidRDefault="00E551CE" w:rsidP="00E551CE">
      <w:pPr>
        <w:rPr>
          <w:szCs w:val="24"/>
          <w:lang w:val="fr-FR"/>
        </w:rPr>
      </w:pPr>
    </w:p>
    <w:p w14:paraId="04DBD03E" w14:textId="7812AE9C" w:rsidR="00777411" w:rsidRPr="001E3C8E" w:rsidRDefault="000B004D" w:rsidP="00430901">
      <w:pPr>
        <w:pStyle w:val="ListParagraph"/>
        <w:numPr>
          <w:ilvl w:val="0"/>
          <w:numId w:val="1"/>
        </w:numPr>
        <w:spacing w:before="0"/>
        <w:ind w:left="1276" w:hanging="567"/>
        <w:rPr>
          <w:szCs w:val="24"/>
          <w:lang w:val="fr-FR"/>
        </w:rPr>
      </w:pPr>
      <w:r w:rsidRPr="001E3C8E">
        <w:rPr>
          <w:szCs w:val="24"/>
          <w:lang w:val="fr-FR"/>
        </w:rPr>
        <w:t>La prise de mesures</w:t>
      </w:r>
      <w:r w:rsidR="00777411" w:rsidRPr="001E3C8E">
        <w:rPr>
          <w:szCs w:val="24"/>
          <w:lang w:val="fr-FR"/>
        </w:rPr>
        <w:t xml:space="preserve"> pendant des périodes de crise économique </w:t>
      </w:r>
      <w:r w:rsidRPr="001E3C8E">
        <w:rPr>
          <w:szCs w:val="24"/>
          <w:lang w:val="fr-FR"/>
        </w:rPr>
        <w:t>impose à l’État</w:t>
      </w:r>
      <w:r w:rsidR="00777411" w:rsidRPr="001E3C8E">
        <w:rPr>
          <w:szCs w:val="24"/>
          <w:lang w:val="fr-FR"/>
        </w:rPr>
        <w:t xml:space="preserve"> </w:t>
      </w:r>
      <w:r w:rsidRPr="001E3C8E">
        <w:rPr>
          <w:szCs w:val="24"/>
          <w:lang w:val="fr-FR"/>
        </w:rPr>
        <w:t>d’</w:t>
      </w:r>
      <w:r w:rsidR="00777411" w:rsidRPr="001E3C8E">
        <w:rPr>
          <w:szCs w:val="24"/>
          <w:lang w:val="fr-FR"/>
        </w:rPr>
        <w:t>équilibre</w:t>
      </w:r>
      <w:r w:rsidRPr="001E3C8E">
        <w:rPr>
          <w:szCs w:val="24"/>
          <w:lang w:val="fr-FR"/>
        </w:rPr>
        <w:t>r</w:t>
      </w:r>
      <w:r w:rsidR="00777411" w:rsidRPr="001E3C8E">
        <w:rPr>
          <w:szCs w:val="24"/>
          <w:lang w:val="fr-FR"/>
        </w:rPr>
        <w:t xml:space="preserve"> les différentes priorités et </w:t>
      </w:r>
      <w:r w:rsidRPr="001E3C8E">
        <w:rPr>
          <w:szCs w:val="24"/>
          <w:lang w:val="fr-FR"/>
        </w:rPr>
        <w:t>de faire</w:t>
      </w:r>
      <w:r w:rsidR="00777411" w:rsidRPr="001E3C8E">
        <w:rPr>
          <w:szCs w:val="24"/>
          <w:lang w:val="fr-FR"/>
        </w:rPr>
        <w:t xml:space="preserve"> les compromis nécessa</w:t>
      </w:r>
      <w:r w:rsidRPr="001E3C8E">
        <w:rPr>
          <w:szCs w:val="24"/>
          <w:lang w:val="fr-FR"/>
        </w:rPr>
        <w:t xml:space="preserve">ires, dans des conditions où les contraintes </w:t>
      </w:r>
      <w:r w:rsidR="00777411" w:rsidRPr="001E3C8E">
        <w:rPr>
          <w:szCs w:val="24"/>
          <w:lang w:val="fr-FR"/>
        </w:rPr>
        <w:t>financière</w:t>
      </w:r>
      <w:r w:rsidRPr="001E3C8E">
        <w:rPr>
          <w:szCs w:val="24"/>
          <w:lang w:val="fr-FR"/>
        </w:rPr>
        <w:t>s</w:t>
      </w:r>
      <w:r w:rsidR="00777411" w:rsidRPr="001E3C8E">
        <w:rPr>
          <w:szCs w:val="24"/>
          <w:lang w:val="fr-FR"/>
        </w:rPr>
        <w:t>, politique</w:t>
      </w:r>
      <w:r w:rsidRPr="001E3C8E">
        <w:rPr>
          <w:szCs w:val="24"/>
          <w:lang w:val="fr-FR"/>
        </w:rPr>
        <w:t>s</w:t>
      </w:r>
      <w:r w:rsidR="00777411" w:rsidRPr="001E3C8E">
        <w:rPr>
          <w:szCs w:val="24"/>
          <w:lang w:val="fr-FR"/>
        </w:rPr>
        <w:t xml:space="preserve"> et temporelle</w:t>
      </w:r>
      <w:r w:rsidRPr="001E3C8E">
        <w:rPr>
          <w:szCs w:val="24"/>
          <w:lang w:val="fr-FR"/>
        </w:rPr>
        <w:t>s</w:t>
      </w:r>
      <w:r w:rsidR="00777411" w:rsidRPr="001E3C8E">
        <w:rPr>
          <w:szCs w:val="24"/>
          <w:lang w:val="fr-FR"/>
        </w:rPr>
        <w:t xml:space="preserve"> peu</w:t>
      </w:r>
      <w:r w:rsidRPr="001E3C8E">
        <w:rPr>
          <w:szCs w:val="24"/>
          <w:lang w:val="fr-FR"/>
        </w:rPr>
        <w:t>ven</w:t>
      </w:r>
      <w:r w:rsidR="00777411" w:rsidRPr="001E3C8E">
        <w:rPr>
          <w:szCs w:val="24"/>
          <w:lang w:val="fr-FR"/>
        </w:rPr>
        <w:t>t être extrêmement forte</w:t>
      </w:r>
      <w:r w:rsidRPr="001E3C8E">
        <w:rPr>
          <w:szCs w:val="24"/>
          <w:lang w:val="fr-FR"/>
        </w:rPr>
        <w:t>s</w:t>
      </w:r>
      <w:r w:rsidR="00777411" w:rsidRPr="001E3C8E">
        <w:rPr>
          <w:szCs w:val="24"/>
          <w:lang w:val="fr-FR"/>
        </w:rPr>
        <w:t>. Un</w:t>
      </w:r>
      <w:r w:rsidRPr="001E3C8E">
        <w:rPr>
          <w:szCs w:val="24"/>
          <w:lang w:val="fr-FR"/>
        </w:rPr>
        <w:t>e</w:t>
      </w:r>
      <w:r w:rsidR="00777411" w:rsidRPr="001E3C8E">
        <w:rPr>
          <w:szCs w:val="24"/>
          <w:lang w:val="fr-FR"/>
        </w:rPr>
        <w:t xml:space="preserve"> </w:t>
      </w:r>
      <w:r w:rsidRPr="001E3C8E">
        <w:rPr>
          <w:szCs w:val="24"/>
          <w:lang w:val="fr-FR"/>
        </w:rPr>
        <w:t xml:space="preserve">étude </w:t>
      </w:r>
      <w:r w:rsidR="00777411" w:rsidRPr="001E3C8E">
        <w:rPr>
          <w:szCs w:val="24"/>
          <w:lang w:val="fr-FR"/>
        </w:rPr>
        <w:t xml:space="preserve">d’impact sur les droits humains peut aider les </w:t>
      </w:r>
      <w:r w:rsidRPr="001E3C8E">
        <w:rPr>
          <w:szCs w:val="24"/>
          <w:lang w:val="fr-FR"/>
        </w:rPr>
        <w:t>États</w:t>
      </w:r>
      <w:r w:rsidR="00777411" w:rsidRPr="001E3C8E">
        <w:rPr>
          <w:szCs w:val="24"/>
          <w:lang w:val="fr-FR"/>
        </w:rPr>
        <w:t xml:space="preserve"> à justifier des choix difficiles s’ils sont conformes aux </w:t>
      </w:r>
      <w:r w:rsidRPr="001E3C8E">
        <w:rPr>
          <w:szCs w:val="24"/>
          <w:lang w:val="fr-FR"/>
        </w:rPr>
        <w:t>orientations</w:t>
      </w:r>
      <w:r w:rsidR="00777411" w:rsidRPr="001E3C8E">
        <w:rPr>
          <w:szCs w:val="24"/>
          <w:lang w:val="fr-FR"/>
        </w:rPr>
        <w:t xml:space="preserve"> normatives relatives aux droits humains et vise</w:t>
      </w:r>
      <w:r w:rsidR="00892367" w:rsidRPr="001E3C8E">
        <w:rPr>
          <w:szCs w:val="24"/>
          <w:lang w:val="fr-FR"/>
        </w:rPr>
        <w:t>nt</w:t>
      </w:r>
      <w:r w:rsidR="00777411" w:rsidRPr="001E3C8E">
        <w:rPr>
          <w:szCs w:val="24"/>
          <w:lang w:val="fr-FR"/>
        </w:rPr>
        <w:t xml:space="preserve"> à éviter </w:t>
      </w:r>
      <w:r w:rsidR="00F9557A" w:rsidRPr="001E3C8E">
        <w:rPr>
          <w:szCs w:val="24"/>
          <w:lang w:val="fr-FR"/>
        </w:rPr>
        <w:t>des mesures discriminatoires ou des conséquences</w:t>
      </w:r>
      <w:r w:rsidR="00777411" w:rsidRPr="001E3C8E">
        <w:rPr>
          <w:szCs w:val="24"/>
          <w:lang w:val="fr-FR"/>
        </w:rPr>
        <w:t xml:space="preserve"> disproportionné</w:t>
      </w:r>
      <w:r w:rsidR="00F9557A" w:rsidRPr="001E3C8E">
        <w:rPr>
          <w:szCs w:val="24"/>
          <w:lang w:val="fr-FR"/>
        </w:rPr>
        <w:t>e</w:t>
      </w:r>
      <w:r w:rsidR="00777411" w:rsidRPr="001E3C8E">
        <w:rPr>
          <w:szCs w:val="24"/>
          <w:lang w:val="fr-FR"/>
        </w:rPr>
        <w:t xml:space="preserve">s sur l’ensemble de la </w:t>
      </w:r>
      <w:r w:rsidR="00777411" w:rsidRPr="001E3C8E">
        <w:rPr>
          <w:szCs w:val="24"/>
          <w:lang w:val="fr-FR"/>
        </w:rPr>
        <w:lastRenderedPageBreak/>
        <w:t>population.</w:t>
      </w:r>
    </w:p>
    <w:p w14:paraId="57ACC185" w14:textId="77777777" w:rsidR="00777411" w:rsidRPr="001E3C8E" w:rsidRDefault="00777411" w:rsidP="0072465D">
      <w:pPr>
        <w:rPr>
          <w:szCs w:val="24"/>
          <w:lang w:val="fr-FR"/>
        </w:rPr>
      </w:pPr>
    </w:p>
    <w:p w14:paraId="76CDFE96" w14:textId="592DD567" w:rsidR="00777411" w:rsidRPr="001E3C8E" w:rsidRDefault="00777411" w:rsidP="00430901">
      <w:pPr>
        <w:pStyle w:val="ListParagraph"/>
        <w:numPr>
          <w:ilvl w:val="0"/>
          <w:numId w:val="1"/>
        </w:numPr>
        <w:spacing w:before="0"/>
        <w:ind w:left="1276" w:hanging="567"/>
        <w:rPr>
          <w:szCs w:val="24"/>
          <w:lang w:val="fr-FR"/>
        </w:rPr>
      </w:pPr>
      <w:r w:rsidRPr="001E3C8E">
        <w:rPr>
          <w:szCs w:val="24"/>
          <w:lang w:val="fr-FR"/>
        </w:rPr>
        <w:t xml:space="preserve">Le processus devrait aussi inclure la mise au point de </w:t>
      </w:r>
      <w:r w:rsidR="0072465D" w:rsidRPr="001E3C8E">
        <w:rPr>
          <w:szCs w:val="24"/>
          <w:lang w:val="fr-FR"/>
        </w:rPr>
        <w:t>mesures</w:t>
      </w:r>
      <w:r w:rsidRPr="001E3C8E">
        <w:rPr>
          <w:szCs w:val="24"/>
          <w:lang w:val="fr-FR"/>
        </w:rPr>
        <w:t xml:space="preserve"> politiques </w:t>
      </w:r>
      <w:r w:rsidR="0072465D" w:rsidRPr="001E3C8E">
        <w:rPr>
          <w:szCs w:val="24"/>
          <w:lang w:val="fr-FR"/>
        </w:rPr>
        <w:t>de prévention</w:t>
      </w:r>
      <w:r w:rsidRPr="001E3C8E">
        <w:rPr>
          <w:szCs w:val="24"/>
          <w:lang w:val="fr-FR"/>
        </w:rPr>
        <w:t xml:space="preserve">, </w:t>
      </w:r>
      <w:r w:rsidR="0072465D" w:rsidRPr="001E3C8E">
        <w:rPr>
          <w:szCs w:val="24"/>
          <w:lang w:val="fr-FR"/>
        </w:rPr>
        <w:t>d’atténuation</w:t>
      </w:r>
      <w:r w:rsidRPr="001E3C8E">
        <w:rPr>
          <w:szCs w:val="24"/>
          <w:lang w:val="fr-FR"/>
        </w:rPr>
        <w:t xml:space="preserve"> ou </w:t>
      </w:r>
      <w:r w:rsidR="0072465D" w:rsidRPr="001E3C8E">
        <w:rPr>
          <w:szCs w:val="24"/>
          <w:lang w:val="fr-FR"/>
        </w:rPr>
        <w:t>de réparation (incluant sans s’y limiter des compensations) en</w:t>
      </w:r>
      <w:r w:rsidRPr="001E3C8E">
        <w:rPr>
          <w:szCs w:val="24"/>
          <w:lang w:val="fr-FR"/>
        </w:rPr>
        <w:t xml:space="preserve"> cas d’impact</w:t>
      </w:r>
      <w:r w:rsidR="0072465D" w:rsidRPr="001E3C8E">
        <w:rPr>
          <w:szCs w:val="24"/>
          <w:lang w:val="fr-FR"/>
        </w:rPr>
        <w:t>s</w:t>
      </w:r>
      <w:r w:rsidRPr="001E3C8E">
        <w:rPr>
          <w:szCs w:val="24"/>
          <w:lang w:val="fr-FR"/>
        </w:rPr>
        <w:t xml:space="preserve"> inévitables, en </w:t>
      </w:r>
      <w:r w:rsidR="0072465D" w:rsidRPr="001E3C8E">
        <w:rPr>
          <w:szCs w:val="24"/>
          <w:lang w:val="fr-FR"/>
        </w:rPr>
        <w:t xml:space="preserve">tenant compte de </w:t>
      </w:r>
      <w:r w:rsidR="00933088" w:rsidRPr="001E3C8E">
        <w:rPr>
          <w:szCs w:val="24"/>
          <w:lang w:val="fr-FR"/>
        </w:rPr>
        <w:t>la totalité</w:t>
      </w:r>
      <w:r w:rsidRPr="001E3C8E">
        <w:rPr>
          <w:szCs w:val="24"/>
          <w:lang w:val="fr-FR"/>
        </w:rPr>
        <w:t xml:space="preserve"> des mesures entreprises pour </w:t>
      </w:r>
      <w:r w:rsidR="0072465D" w:rsidRPr="001E3C8E">
        <w:rPr>
          <w:szCs w:val="24"/>
          <w:lang w:val="fr-FR"/>
        </w:rPr>
        <w:t>répondre à la crise fiscale. La réponse</w:t>
      </w:r>
      <w:r w:rsidRPr="001E3C8E">
        <w:rPr>
          <w:szCs w:val="24"/>
          <w:lang w:val="fr-FR"/>
        </w:rPr>
        <w:t xml:space="preserve"> aux </w:t>
      </w:r>
      <w:r w:rsidR="0072465D" w:rsidRPr="001E3C8E">
        <w:rPr>
          <w:szCs w:val="24"/>
          <w:lang w:val="fr-FR"/>
        </w:rPr>
        <w:t>crises peu</w:t>
      </w:r>
      <w:r w:rsidRPr="001E3C8E">
        <w:rPr>
          <w:szCs w:val="24"/>
          <w:lang w:val="fr-FR"/>
        </w:rPr>
        <w:t xml:space="preserve">t </w:t>
      </w:r>
      <w:r w:rsidR="0072465D" w:rsidRPr="001E3C8E">
        <w:rPr>
          <w:szCs w:val="24"/>
          <w:lang w:val="fr-FR"/>
        </w:rPr>
        <w:t>inclure diverses</w:t>
      </w:r>
      <w:r w:rsidR="00F35D59" w:rsidRPr="001E3C8E">
        <w:rPr>
          <w:szCs w:val="24"/>
          <w:lang w:val="fr-FR"/>
        </w:rPr>
        <w:t xml:space="preserve"> mesures </w:t>
      </w:r>
      <w:r w:rsidR="0072465D" w:rsidRPr="001E3C8E">
        <w:rPr>
          <w:szCs w:val="24"/>
          <w:lang w:val="fr-FR"/>
        </w:rPr>
        <w:t xml:space="preserve">ayant </w:t>
      </w:r>
      <w:r w:rsidR="00F35D59" w:rsidRPr="001E3C8E">
        <w:rPr>
          <w:szCs w:val="24"/>
          <w:lang w:val="fr-FR"/>
        </w:rPr>
        <w:t xml:space="preserve">un impact cumulatif et collectif sur l’ensemble de la population. Les </w:t>
      </w:r>
      <w:r w:rsidR="0072465D" w:rsidRPr="001E3C8E">
        <w:rPr>
          <w:szCs w:val="24"/>
          <w:lang w:val="fr-FR"/>
        </w:rPr>
        <w:t>mesures</w:t>
      </w:r>
      <w:r w:rsidR="00F35D59" w:rsidRPr="001E3C8E">
        <w:rPr>
          <w:szCs w:val="24"/>
          <w:lang w:val="fr-FR"/>
        </w:rPr>
        <w:t xml:space="preserve"> politiques doivent </w:t>
      </w:r>
      <w:r w:rsidR="0072465D" w:rsidRPr="001E3C8E">
        <w:rPr>
          <w:szCs w:val="24"/>
          <w:lang w:val="fr-FR"/>
        </w:rPr>
        <w:t xml:space="preserve">réellement </w:t>
      </w:r>
      <w:r w:rsidR="00F35D59" w:rsidRPr="001E3C8E">
        <w:rPr>
          <w:szCs w:val="24"/>
          <w:lang w:val="fr-FR"/>
        </w:rPr>
        <w:t>protéger les droits économiques et sociaux de l’ensemble de la pop</w:t>
      </w:r>
      <w:r w:rsidR="001B3A6B" w:rsidRPr="001E3C8E">
        <w:rPr>
          <w:szCs w:val="24"/>
          <w:lang w:val="fr-FR"/>
        </w:rPr>
        <w:t>ulation et notamment des plus vulnérables.</w:t>
      </w:r>
    </w:p>
    <w:p w14:paraId="528727DE" w14:textId="77777777" w:rsidR="002E540D" w:rsidRPr="001E3C8E" w:rsidRDefault="002E540D" w:rsidP="0072465D">
      <w:pPr>
        <w:rPr>
          <w:szCs w:val="24"/>
          <w:lang w:val="fr-FR"/>
        </w:rPr>
      </w:pPr>
    </w:p>
    <w:p w14:paraId="0BE45B17" w14:textId="0D7FDA8D" w:rsidR="002E540D" w:rsidRPr="001E3C8E" w:rsidRDefault="002E540D" w:rsidP="00430901">
      <w:pPr>
        <w:pStyle w:val="ListParagraph"/>
        <w:numPr>
          <w:ilvl w:val="0"/>
          <w:numId w:val="1"/>
        </w:numPr>
        <w:spacing w:before="0"/>
        <w:ind w:left="1276" w:hanging="567"/>
        <w:rPr>
          <w:szCs w:val="24"/>
          <w:lang w:val="fr-FR"/>
        </w:rPr>
      </w:pPr>
      <w:r w:rsidRPr="001E3C8E">
        <w:rPr>
          <w:szCs w:val="24"/>
          <w:lang w:val="fr-FR"/>
        </w:rPr>
        <w:t xml:space="preserve">Les </w:t>
      </w:r>
      <w:r w:rsidR="0072465D" w:rsidRPr="001E3C8E">
        <w:rPr>
          <w:szCs w:val="24"/>
          <w:lang w:val="fr-FR"/>
        </w:rPr>
        <w:t>études</w:t>
      </w:r>
      <w:r w:rsidR="001A1CDB" w:rsidRPr="001E3C8E">
        <w:rPr>
          <w:szCs w:val="24"/>
          <w:lang w:val="fr-FR"/>
        </w:rPr>
        <w:t xml:space="preserve"> d’</w:t>
      </w:r>
      <w:r w:rsidRPr="001E3C8E">
        <w:rPr>
          <w:szCs w:val="24"/>
          <w:lang w:val="fr-FR"/>
        </w:rPr>
        <w:t>impact sur les droits humains</w:t>
      </w:r>
      <w:r w:rsidR="001A1CDB" w:rsidRPr="001E3C8E">
        <w:rPr>
          <w:szCs w:val="24"/>
          <w:lang w:val="fr-FR"/>
        </w:rPr>
        <w:t xml:space="preserve"> des réformes économiques </w:t>
      </w:r>
      <w:r w:rsidR="00DB54B8" w:rsidRPr="001E3C8E">
        <w:rPr>
          <w:szCs w:val="24"/>
          <w:lang w:val="fr-FR"/>
        </w:rPr>
        <w:t xml:space="preserve">doivent incorporer des outils complémentaires conçus pour, et mis en œuvre </w:t>
      </w:r>
      <w:r w:rsidR="0072465D" w:rsidRPr="001E3C8E">
        <w:rPr>
          <w:szCs w:val="24"/>
          <w:lang w:val="fr-FR"/>
        </w:rPr>
        <w:t>d</w:t>
      </w:r>
      <w:r w:rsidR="00DB54B8" w:rsidRPr="001E3C8E">
        <w:rPr>
          <w:szCs w:val="24"/>
          <w:lang w:val="fr-FR"/>
        </w:rPr>
        <w:t xml:space="preserve">ans les domaines </w:t>
      </w:r>
      <w:r w:rsidR="00933088" w:rsidRPr="001E3C8E">
        <w:rPr>
          <w:szCs w:val="24"/>
          <w:lang w:val="fr-FR"/>
        </w:rPr>
        <w:t>connexes</w:t>
      </w:r>
      <w:r w:rsidR="00DB54B8" w:rsidRPr="001E3C8E">
        <w:rPr>
          <w:szCs w:val="24"/>
          <w:lang w:val="fr-FR"/>
        </w:rPr>
        <w:t xml:space="preserve">. Une </w:t>
      </w:r>
      <w:r w:rsidR="0072465D" w:rsidRPr="001E3C8E">
        <w:rPr>
          <w:szCs w:val="24"/>
          <w:lang w:val="fr-FR"/>
        </w:rPr>
        <w:t>étude</w:t>
      </w:r>
      <w:r w:rsidR="00DB54B8" w:rsidRPr="001E3C8E">
        <w:rPr>
          <w:szCs w:val="24"/>
          <w:lang w:val="fr-FR"/>
        </w:rPr>
        <w:t xml:space="preserve"> d’impact sur les droits humains, si elle est effectuée correctement, peut inclure des </w:t>
      </w:r>
      <w:r w:rsidR="0072465D" w:rsidRPr="001E3C8E">
        <w:rPr>
          <w:szCs w:val="24"/>
          <w:lang w:val="fr-FR"/>
        </w:rPr>
        <w:t>études</w:t>
      </w:r>
      <w:r w:rsidR="00DB54B8" w:rsidRPr="001E3C8E">
        <w:rPr>
          <w:szCs w:val="24"/>
          <w:lang w:val="fr-FR"/>
        </w:rPr>
        <w:t xml:space="preserve"> d’impact</w:t>
      </w:r>
      <w:r w:rsidR="0072465D" w:rsidRPr="001E3C8E">
        <w:rPr>
          <w:szCs w:val="24"/>
          <w:lang w:val="fr-FR"/>
        </w:rPr>
        <w:t>s</w:t>
      </w:r>
      <w:r w:rsidR="00DB54B8" w:rsidRPr="001E3C8E">
        <w:rPr>
          <w:szCs w:val="24"/>
          <w:lang w:val="fr-FR"/>
        </w:rPr>
        <w:t xml:space="preserve"> réglementaires et sociaux, et </w:t>
      </w:r>
      <w:r w:rsidR="0072465D" w:rsidRPr="001E3C8E">
        <w:rPr>
          <w:szCs w:val="24"/>
          <w:lang w:val="fr-FR"/>
        </w:rPr>
        <w:t>doit</w:t>
      </w:r>
      <w:r w:rsidR="00DB54B8" w:rsidRPr="001E3C8E">
        <w:rPr>
          <w:szCs w:val="24"/>
          <w:lang w:val="fr-FR"/>
        </w:rPr>
        <w:t xml:space="preserve"> contenir une analyse budgétaire basée sur les droits humains.</w:t>
      </w:r>
    </w:p>
    <w:p w14:paraId="2150714F" w14:textId="77777777" w:rsidR="00E551CE" w:rsidRPr="001E3C8E" w:rsidRDefault="00E551CE" w:rsidP="00E551CE">
      <w:pPr>
        <w:jc w:val="both"/>
        <w:rPr>
          <w:sz w:val="24"/>
          <w:szCs w:val="24"/>
          <w:lang w:val="fr-FR"/>
        </w:rPr>
      </w:pPr>
    </w:p>
    <w:p w14:paraId="03E1600A" w14:textId="782E252A" w:rsidR="00DB54B8" w:rsidRPr="001E3C8E" w:rsidRDefault="00DB54B8" w:rsidP="00D741B8">
      <w:pPr>
        <w:pStyle w:val="Heading1"/>
        <w:numPr>
          <w:ilvl w:val="0"/>
          <w:numId w:val="27"/>
        </w:numPr>
        <w:rPr>
          <w:szCs w:val="24"/>
          <w:lang w:val="fr-FR"/>
        </w:rPr>
      </w:pPr>
      <w:bookmarkStart w:id="57" w:name="_Toc522789730"/>
      <w:bookmarkStart w:id="58" w:name="_Toc517164457"/>
      <w:bookmarkStart w:id="59" w:name="_Toc517164551"/>
      <w:r w:rsidRPr="001E3C8E">
        <w:rPr>
          <w:szCs w:val="24"/>
          <w:lang w:val="fr-FR"/>
        </w:rPr>
        <w:t>Participation et transparence</w:t>
      </w:r>
      <w:bookmarkEnd w:id="57"/>
    </w:p>
    <w:p w14:paraId="0D9E6DA6" w14:textId="77777777" w:rsidR="007B0227" w:rsidRPr="001E3C8E" w:rsidRDefault="007B0227" w:rsidP="00E27A1F">
      <w:pPr>
        <w:ind w:left="678"/>
        <w:jc w:val="both"/>
        <w:rPr>
          <w:b/>
          <w:i/>
          <w:sz w:val="24"/>
          <w:szCs w:val="24"/>
          <w:lang w:val="fr-FR"/>
        </w:rPr>
      </w:pPr>
    </w:p>
    <w:p w14:paraId="1D54ABAE" w14:textId="4F3D0F91" w:rsidR="00DB54B8" w:rsidRPr="001E3C8E" w:rsidRDefault="0017621B" w:rsidP="009C3347">
      <w:pPr>
        <w:pStyle w:val="BodyText"/>
        <w:rPr>
          <w:szCs w:val="24"/>
          <w:lang w:val="fr-FR"/>
        </w:rPr>
      </w:pPr>
      <w:r w:rsidRPr="001E3C8E">
        <w:rPr>
          <w:szCs w:val="24"/>
          <w:lang w:val="fr-FR"/>
        </w:rPr>
        <w:t>L</w:t>
      </w:r>
      <w:r w:rsidR="00DB54B8" w:rsidRPr="001E3C8E">
        <w:rPr>
          <w:szCs w:val="24"/>
          <w:lang w:val="fr-FR"/>
        </w:rPr>
        <w:t>es principes de participation et de transparence</w:t>
      </w:r>
      <w:r w:rsidRPr="001E3C8E">
        <w:rPr>
          <w:szCs w:val="24"/>
          <w:lang w:val="fr-FR"/>
        </w:rPr>
        <w:t xml:space="preserve"> des droits humains </w:t>
      </w:r>
      <w:r w:rsidR="00DB54B8" w:rsidRPr="001E3C8E">
        <w:rPr>
          <w:szCs w:val="24"/>
          <w:lang w:val="fr-FR"/>
        </w:rPr>
        <w:t xml:space="preserve">doivent être intégrés dans le processus de développement d’une </w:t>
      </w:r>
      <w:r w:rsidRPr="001E3C8E">
        <w:rPr>
          <w:szCs w:val="24"/>
          <w:lang w:val="fr-FR"/>
        </w:rPr>
        <w:t>étude</w:t>
      </w:r>
      <w:r w:rsidR="00DB54B8" w:rsidRPr="001E3C8E">
        <w:rPr>
          <w:szCs w:val="24"/>
          <w:lang w:val="fr-FR"/>
        </w:rPr>
        <w:t xml:space="preserve"> d’impact sur les droits humains. Ils doivent aussi occuper une place centrale dans l’analyse </w:t>
      </w:r>
      <w:r w:rsidRPr="001E3C8E">
        <w:rPr>
          <w:szCs w:val="24"/>
          <w:lang w:val="fr-FR"/>
        </w:rPr>
        <w:t>des options</w:t>
      </w:r>
      <w:r w:rsidR="00DB54B8" w:rsidRPr="001E3C8E">
        <w:rPr>
          <w:szCs w:val="24"/>
          <w:lang w:val="fr-FR"/>
        </w:rPr>
        <w:t xml:space="preserve"> politiques, dans le(s) document(s)  produit</w:t>
      </w:r>
      <w:r w:rsidRPr="001E3C8E">
        <w:rPr>
          <w:szCs w:val="24"/>
          <w:lang w:val="fr-FR"/>
        </w:rPr>
        <w:t>(</w:t>
      </w:r>
      <w:r w:rsidR="00DB54B8" w:rsidRPr="001E3C8E">
        <w:rPr>
          <w:szCs w:val="24"/>
          <w:lang w:val="fr-FR"/>
        </w:rPr>
        <w:t>s</w:t>
      </w:r>
      <w:r w:rsidRPr="001E3C8E">
        <w:rPr>
          <w:szCs w:val="24"/>
          <w:lang w:val="fr-FR"/>
        </w:rPr>
        <w:t>)</w:t>
      </w:r>
      <w:r w:rsidR="00DB54B8" w:rsidRPr="001E3C8E">
        <w:rPr>
          <w:szCs w:val="24"/>
          <w:lang w:val="fr-FR"/>
        </w:rPr>
        <w:t xml:space="preserve"> –publication et </w:t>
      </w:r>
      <w:r w:rsidRPr="001E3C8E">
        <w:rPr>
          <w:szCs w:val="24"/>
          <w:lang w:val="fr-FR"/>
        </w:rPr>
        <w:t>déclarations sur l</w:t>
      </w:r>
      <w:r w:rsidR="00DB54B8" w:rsidRPr="001E3C8E">
        <w:rPr>
          <w:szCs w:val="24"/>
          <w:lang w:val="fr-FR"/>
        </w:rPr>
        <w:t>es informations</w:t>
      </w:r>
      <w:r w:rsidRPr="001E3C8E">
        <w:rPr>
          <w:szCs w:val="24"/>
          <w:lang w:val="fr-FR"/>
        </w:rPr>
        <w:t xml:space="preserve"> obtenues</w:t>
      </w:r>
      <w:r w:rsidR="00DB54B8" w:rsidRPr="001E3C8E">
        <w:rPr>
          <w:szCs w:val="24"/>
          <w:lang w:val="fr-FR"/>
        </w:rPr>
        <w:t xml:space="preserve"> et </w:t>
      </w:r>
      <w:r w:rsidRPr="001E3C8E">
        <w:rPr>
          <w:szCs w:val="24"/>
          <w:lang w:val="fr-FR"/>
        </w:rPr>
        <w:t>l’étude</w:t>
      </w:r>
      <w:r w:rsidR="00DB54B8" w:rsidRPr="001E3C8E">
        <w:rPr>
          <w:szCs w:val="24"/>
          <w:lang w:val="fr-FR"/>
        </w:rPr>
        <w:t xml:space="preserve">—et dans la mise en œuvre des </w:t>
      </w:r>
      <w:r w:rsidRPr="001E3C8E">
        <w:rPr>
          <w:szCs w:val="24"/>
          <w:lang w:val="fr-FR"/>
        </w:rPr>
        <w:t>mesures</w:t>
      </w:r>
      <w:r w:rsidR="00DB54B8" w:rsidRPr="001E3C8E">
        <w:rPr>
          <w:szCs w:val="24"/>
          <w:lang w:val="fr-FR"/>
        </w:rPr>
        <w:t xml:space="preserve"> politiques.</w:t>
      </w:r>
    </w:p>
    <w:p w14:paraId="0987E36A" w14:textId="77777777" w:rsidR="007B0227" w:rsidRPr="001E3C8E" w:rsidRDefault="007B0227" w:rsidP="00E27A1F">
      <w:pPr>
        <w:ind w:left="720"/>
        <w:jc w:val="both"/>
        <w:rPr>
          <w:b/>
          <w:i/>
          <w:sz w:val="24"/>
          <w:szCs w:val="24"/>
          <w:lang w:val="fr-FR"/>
        </w:rPr>
      </w:pPr>
    </w:p>
    <w:p w14:paraId="22ED451F" w14:textId="5F2F7F40" w:rsidR="00DB54B8" w:rsidRPr="001E3C8E" w:rsidRDefault="00DB54B8" w:rsidP="00E27A1F">
      <w:pPr>
        <w:ind w:firstLine="678"/>
        <w:jc w:val="both"/>
        <w:rPr>
          <w:i/>
          <w:sz w:val="24"/>
          <w:szCs w:val="24"/>
          <w:lang w:val="fr-FR"/>
        </w:rPr>
      </w:pPr>
      <w:r w:rsidRPr="001E3C8E">
        <w:rPr>
          <w:i/>
          <w:sz w:val="24"/>
          <w:szCs w:val="24"/>
          <w:lang w:val="fr-FR"/>
        </w:rPr>
        <w:t>Commentaire :</w:t>
      </w:r>
    </w:p>
    <w:p w14:paraId="5DE3F240" w14:textId="77777777" w:rsidR="007B0227" w:rsidRPr="001E3C8E" w:rsidRDefault="007B0227" w:rsidP="00E27A1F">
      <w:pPr>
        <w:jc w:val="both"/>
        <w:rPr>
          <w:sz w:val="24"/>
          <w:szCs w:val="24"/>
          <w:lang w:val="fr-FR"/>
        </w:rPr>
      </w:pPr>
    </w:p>
    <w:p w14:paraId="3C319E81" w14:textId="68E50349" w:rsidR="00DB54B8" w:rsidRPr="001E3C8E" w:rsidRDefault="00DB54B8" w:rsidP="00430901">
      <w:pPr>
        <w:numPr>
          <w:ilvl w:val="0"/>
          <w:numId w:val="2"/>
        </w:numPr>
        <w:ind w:left="1276" w:hanging="567"/>
        <w:jc w:val="both"/>
        <w:rPr>
          <w:sz w:val="24"/>
          <w:szCs w:val="24"/>
          <w:lang w:val="fr-FR"/>
        </w:rPr>
      </w:pPr>
      <w:r w:rsidRPr="001E3C8E">
        <w:rPr>
          <w:sz w:val="24"/>
          <w:szCs w:val="24"/>
          <w:lang w:val="fr-FR"/>
        </w:rPr>
        <w:t xml:space="preserve">Lorsque des mesures nécessitant une </w:t>
      </w:r>
      <w:r w:rsidR="007F4B26" w:rsidRPr="001E3C8E">
        <w:rPr>
          <w:sz w:val="24"/>
          <w:szCs w:val="24"/>
          <w:lang w:val="fr-FR"/>
        </w:rPr>
        <w:t>étude</w:t>
      </w:r>
      <w:r w:rsidRPr="001E3C8E">
        <w:rPr>
          <w:sz w:val="24"/>
          <w:szCs w:val="24"/>
          <w:lang w:val="fr-FR"/>
        </w:rPr>
        <w:t xml:space="preserve"> d’impact sur les droits humains</w:t>
      </w:r>
      <w:r w:rsidR="007F4B26" w:rsidRPr="001E3C8E">
        <w:rPr>
          <w:sz w:val="24"/>
          <w:szCs w:val="24"/>
          <w:lang w:val="fr-FR"/>
        </w:rPr>
        <w:t xml:space="preserve"> sont formulées</w:t>
      </w:r>
      <w:r w:rsidRPr="001E3C8E">
        <w:rPr>
          <w:sz w:val="24"/>
          <w:szCs w:val="24"/>
          <w:lang w:val="fr-FR"/>
        </w:rPr>
        <w:t xml:space="preserve">, les </w:t>
      </w:r>
      <w:r w:rsidR="007F4B26" w:rsidRPr="001E3C8E">
        <w:rPr>
          <w:sz w:val="24"/>
          <w:szCs w:val="24"/>
          <w:lang w:val="fr-FR"/>
        </w:rPr>
        <w:t>États</w:t>
      </w:r>
      <w:r w:rsidRPr="001E3C8E">
        <w:rPr>
          <w:sz w:val="24"/>
          <w:szCs w:val="24"/>
          <w:lang w:val="fr-FR"/>
        </w:rPr>
        <w:t xml:space="preserve"> et les institutions financières internationales doivent permettre un dialogue national aussi étendu que possible, avec une participation effective et significative à tous les niveaux du gouvernement et de la société civile, notamment </w:t>
      </w:r>
      <w:r w:rsidR="007F4B26" w:rsidRPr="001E3C8E">
        <w:rPr>
          <w:sz w:val="24"/>
          <w:szCs w:val="24"/>
          <w:lang w:val="fr-FR"/>
        </w:rPr>
        <w:t>d</w:t>
      </w:r>
      <w:r w:rsidRPr="001E3C8E">
        <w:rPr>
          <w:sz w:val="24"/>
          <w:szCs w:val="24"/>
          <w:lang w:val="fr-FR"/>
        </w:rPr>
        <w:t>es groupes marginalisés et particulièrement vulnérables face à ce type de politiques.</w:t>
      </w:r>
    </w:p>
    <w:p w14:paraId="1690C2AA" w14:textId="77777777" w:rsidR="00F3781E" w:rsidRPr="001E3C8E" w:rsidRDefault="00F3781E" w:rsidP="00043756">
      <w:pPr>
        <w:rPr>
          <w:szCs w:val="24"/>
          <w:lang w:val="fr-FR"/>
        </w:rPr>
      </w:pPr>
    </w:p>
    <w:p w14:paraId="4DAA1D0C" w14:textId="7CF00D83" w:rsidR="008949CE" w:rsidRPr="001E3C8E" w:rsidRDefault="00043756" w:rsidP="004E37E2">
      <w:pPr>
        <w:numPr>
          <w:ilvl w:val="0"/>
          <w:numId w:val="2"/>
        </w:numPr>
        <w:ind w:left="1276" w:hanging="567"/>
        <w:jc w:val="both"/>
        <w:rPr>
          <w:sz w:val="24"/>
          <w:szCs w:val="24"/>
          <w:lang w:val="fr-FR"/>
        </w:rPr>
      </w:pPr>
      <w:r w:rsidRPr="001E3C8E">
        <w:rPr>
          <w:sz w:val="24"/>
          <w:szCs w:val="24"/>
          <w:lang w:val="fr-FR"/>
        </w:rPr>
        <w:t>Les</w:t>
      </w:r>
      <w:r w:rsidR="00F3781E" w:rsidRPr="001E3C8E">
        <w:rPr>
          <w:sz w:val="24"/>
          <w:szCs w:val="24"/>
          <w:lang w:val="fr-FR"/>
        </w:rPr>
        <w:t xml:space="preserve"> </w:t>
      </w:r>
      <w:r w:rsidR="007F4B26" w:rsidRPr="001E3C8E">
        <w:rPr>
          <w:sz w:val="24"/>
          <w:szCs w:val="24"/>
          <w:lang w:val="fr-FR"/>
        </w:rPr>
        <w:t>États</w:t>
      </w:r>
      <w:r w:rsidR="00F3781E" w:rsidRPr="001E3C8E">
        <w:rPr>
          <w:sz w:val="24"/>
          <w:szCs w:val="24"/>
          <w:lang w:val="fr-FR"/>
        </w:rPr>
        <w:t xml:space="preserve"> </w:t>
      </w:r>
      <w:r w:rsidRPr="001E3C8E">
        <w:rPr>
          <w:sz w:val="24"/>
          <w:szCs w:val="24"/>
          <w:lang w:val="fr-FR"/>
        </w:rPr>
        <w:t xml:space="preserve">ont la responsabilité de </w:t>
      </w:r>
      <w:r w:rsidR="00F3781E" w:rsidRPr="001E3C8E">
        <w:rPr>
          <w:sz w:val="24"/>
          <w:szCs w:val="24"/>
          <w:lang w:val="fr-FR"/>
        </w:rPr>
        <w:t xml:space="preserve">garantir l’existence de directives </w:t>
      </w:r>
      <w:r w:rsidRPr="001E3C8E">
        <w:rPr>
          <w:sz w:val="24"/>
          <w:szCs w:val="24"/>
          <w:lang w:val="fr-FR"/>
        </w:rPr>
        <w:t>exhaustives</w:t>
      </w:r>
      <w:r w:rsidR="00F9276D" w:rsidRPr="001E3C8E">
        <w:rPr>
          <w:sz w:val="24"/>
          <w:szCs w:val="24"/>
          <w:lang w:val="fr-FR"/>
        </w:rPr>
        <w:t xml:space="preserve"> pour assurer </w:t>
      </w:r>
      <w:r w:rsidRPr="001E3C8E">
        <w:rPr>
          <w:sz w:val="24"/>
          <w:szCs w:val="24"/>
          <w:lang w:val="fr-FR"/>
        </w:rPr>
        <w:t>une participation sig</w:t>
      </w:r>
      <w:r w:rsidR="00F3781E" w:rsidRPr="001E3C8E">
        <w:rPr>
          <w:sz w:val="24"/>
          <w:szCs w:val="24"/>
          <w:lang w:val="fr-FR"/>
        </w:rPr>
        <w:t xml:space="preserve">nificative de </w:t>
      </w:r>
      <w:r w:rsidR="000813B0" w:rsidRPr="001E3C8E">
        <w:rPr>
          <w:sz w:val="24"/>
          <w:szCs w:val="24"/>
          <w:lang w:val="fr-FR"/>
        </w:rPr>
        <w:t xml:space="preserve">toutes les parties prenantes </w:t>
      </w:r>
      <w:r w:rsidRPr="001E3C8E">
        <w:rPr>
          <w:sz w:val="24"/>
          <w:szCs w:val="24"/>
          <w:lang w:val="fr-FR"/>
        </w:rPr>
        <w:t>concerné</w:t>
      </w:r>
      <w:r w:rsidR="000813B0" w:rsidRPr="001E3C8E">
        <w:rPr>
          <w:sz w:val="24"/>
          <w:szCs w:val="24"/>
          <w:lang w:val="fr-FR"/>
        </w:rPr>
        <w:t>e</w:t>
      </w:r>
      <w:r w:rsidRPr="001E3C8E">
        <w:rPr>
          <w:sz w:val="24"/>
          <w:szCs w:val="24"/>
          <w:lang w:val="fr-FR"/>
        </w:rPr>
        <w:t>s</w:t>
      </w:r>
      <w:r w:rsidR="00F3781E" w:rsidRPr="001E3C8E">
        <w:rPr>
          <w:sz w:val="24"/>
          <w:szCs w:val="24"/>
          <w:lang w:val="fr-FR"/>
        </w:rPr>
        <w:t xml:space="preserve"> </w:t>
      </w:r>
      <w:r w:rsidRPr="001E3C8E">
        <w:rPr>
          <w:sz w:val="24"/>
          <w:szCs w:val="24"/>
          <w:lang w:val="fr-FR"/>
        </w:rPr>
        <w:t>aux</w:t>
      </w:r>
      <w:r w:rsidR="00F3781E" w:rsidRPr="001E3C8E">
        <w:rPr>
          <w:sz w:val="24"/>
          <w:szCs w:val="24"/>
          <w:lang w:val="fr-FR"/>
        </w:rPr>
        <w:t xml:space="preserve"> politiques de réforme économique </w:t>
      </w:r>
      <w:r w:rsidRPr="001E3C8E">
        <w:rPr>
          <w:sz w:val="24"/>
          <w:szCs w:val="24"/>
          <w:lang w:val="fr-FR"/>
        </w:rPr>
        <w:t>susceptibles de mener à des reculs inadmissibles, notamment l</w:t>
      </w:r>
      <w:r w:rsidR="00F3781E" w:rsidRPr="001E3C8E">
        <w:rPr>
          <w:sz w:val="24"/>
          <w:szCs w:val="24"/>
          <w:lang w:val="fr-FR"/>
        </w:rPr>
        <w:t xml:space="preserve">es individus et groupes affectés, </w:t>
      </w:r>
      <w:r w:rsidRPr="001E3C8E">
        <w:rPr>
          <w:sz w:val="24"/>
          <w:szCs w:val="24"/>
          <w:lang w:val="fr-FR"/>
        </w:rPr>
        <w:t xml:space="preserve">ce qui inclut </w:t>
      </w:r>
      <w:r w:rsidR="00F3781E" w:rsidRPr="001E3C8E">
        <w:rPr>
          <w:sz w:val="24"/>
          <w:szCs w:val="24"/>
          <w:lang w:val="fr-FR"/>
        </w:rPr>
        <w:t xml:space="preserve">les plus </w:t>
      </w:r>
      <w:r w:rsidRPr="001E3C8E">
        <w:rPr>
          <w:sz w:val="24"/>
          <w:szCs w:val="24"/>
          <w:lang w:val="fr-FR"/>
        </w:rPr>
        <w:t>marginalisés.</w:t>
      </w:r>
    </w:p>
    <w:p w14:paraId="710080E0" w14:textId="77777777" w:rsidR="00F3781E" w:rsidRPr="001E3C8E" w:rsidRDefault="00F3781E" w:rsidP="00187E53">
      <w:pPr>
        <w:rPr>
          <w:szCs w:val="24"/>
          <w:lang w:val="fr-FR"/>
        </w:rPr>
      </w:pPr>
    </w:p>
    <w:p w14:paraId="0B55ADFD" w14:textId="7DECE383" w:rsidR="00F3781E" w:rsidRPr="001E3C8E" w:rsidRDefault="00F3781E" w:rsidP="00430901">
      <w:pPr>
        <w:numPr>
          <w:ilvl w:val="0"/>
          <w:numId w:val="2"/>
        </w:numPr>
        <w:ind w:left="1276" w:hanging="567"/>
        <w:jc w:val="both"/>
        <w:rPr>
          <w:sz w:val="24"/>
          <w:szCs w:val="24"/>
          <w:lang w:val="fr-FR"/>
        </w:rPr>
      </w:pPr>
      <w:r w:rsidRPr="001E3C8E">
        <w:rPr>
          <w:sz w:val="24"/>
          <w:szCs w:val="24"/>
          <w:lang w:val="fr-FR"/>
        </w:rPr>
        <w:t>Une</w:t>
      </w:r>
      <w:r w:rsidR="00187E53" w:rsidRPr="001E3C8E">
        <w:rPr>
          <w:sz w:val="24"/>
          <w:szCs w:val="24"/>
          <w:lang w:val="fr-FR"/>
        </w:rPr>
        <w:t xml:space="preserve"> véritable</w:t>
      </w:r>
      <w:r w:rsidRPr="001E3C8E">
        <w:rPr>
          <w:sz w:val="24"/>
          <w:szCs w:val="24"/>
          <w:lang w:val="fr-FR"/>
        </w:rPr>
        <w:t xml:space="preserve"> participation n</w:t>
      </w:r>
      <w:r w:rsidR="00187E53" w:rsidRPr="001E3C8E">
        <w:rPr>
          <w:sz w:val="24"/>
          <w:szCs w:val="24"/>
          <w:lang w:val="fr-FR"/>
        </w:rPr>
        <w:t xml:space="preserve">’est </w:t>
      </w:r>
      <w:r w:rsidRPr="001E3C8E">
        <w:rPr>
          <w:sz w:val="24"/>
          <w:szCs w:val="24"/>
          <w:lang w:val="fr-FR"/>
        </w:rPr>
        <w:t xml:space="preserve">possible que si des informations complètes, à jour, crédibles, accessibles et compréhensibles sont fournies </w:t>
      </w:r>
      <w:r w:rsidR="00187E53" w:rsidRPr="001E3C8E">
        <w:rPr>
          <w:sz w:val="24"/>
          <w:szCs w:val="24"/>
          <w:lang w:val="fr-FR"/>
        </w:rPr>
        <w:t>de manière opportune</w:t>
      </w:r>
      <w:r w:rsidRPr="001E3C8E">
        <w:rPr>
          <w:sz w:val="24"/>
          <w:szCs w:val="24"/>
          <w:lang w:val="fr-FR"/>
        </w:rPr>
        <w:t xml:space="preserve"> à la population en général, et particulièrement à ceux</w:t>
      </w:r>
      <w:r w:rsidR="00187E53" w:rsidRPr="001E3C8E">
        <w:rPr>
          <w:sz w:val="24"/>
          <w:szCs w:val="24"/>
          <w:lang w:val="fr-FR"/>
        </w:rPr>
        <w:t xml:space="preserve"> et celles</w:t>
      </w:r>
      <w:r w:rsidRPr="001E3C8E">
        <w:rPr>
          <w:sz w:val="24"/>
          <w:szCs w:val="24"/>
          <w:lang w:val="fr-FR"/>
        </w:rPr>
        <w:t xml:space="preserve"> qui sont </w:t>
      </w:r>
      <w:r w:rsidRPr="001E3C8E">
        <w:rPr>
          <w:sz w:val="24"/>
          <w:szCs w:val="24"/>
          <w:lang w:val="fr-FR"/>
        </w:rPr>
        <w:lastRenderedPageBreak/>
        <w:t>le plus susceptibles d’être touchés par les réformes.</w:t>
      </w:r>
    </w:p>
    <w:p w14:paraId="551EBC3A" w14:textId="77777777" w:rsidR="00F3781E" w:rsidRPr="001E3C8E" w:rsidRDefault="00F3781E" w:rsidP="00806C7A">
      <w:pPr>
        <w:rPr>
          <w:szCs w:val="24"/>
          <w:lang w:val="fr-FR"/>
        </w:rPr>
      </w:pPr>
    </w:p>
    <w:p w14:paraId="76487789" w14:textId="364A6F59" w:rsidR="00F3781E" w:rsidRPr="001E3C8E" w:rsidRDefault="00F3781E" w:rsidP="00430901">
      <w:pPr>
        <w:numPr>
          <w:ilvl w:val="0"/>
          <w:numId w:val="2"/>
        </w:numPr>
        <w:ind w:left="1276" w:hanging="567"/>
        <w:jc w:val="both"/>
        <w:rPr>
          <w:sz w:val="24"/>
          <w:szCs w:val="24"/>
          <w:lang w:val="fr-FR"/>
        </w:rPr>
      </w:pPr>
      <w:r w:rsidRPr="001E3C8E">
        <w:rPr>
          <w:sz w:val="24"/>
          <w:szCs w:val="24"/>
          <w:lang w:val="fr-FR"/>
        </w:rPr>
        <w:t>Des mesures</w:t>
      </w:r>
      <w:r w:rsidR="00806C7A" w:rsidRPr="001E3C8E">
        <w:rPr>
          <w:sz w:val="24"/>
          <w:szCs w:val="24"/>
          <w:lang w:val="fr-FR"/>
        </w:rPr>
        <w:t xml:space="preserve"> politiques de réforme économique</w:t>
      </w:r>
      <w:r w:rsidRPr="001E3C8E">
        <w:rPr>
          <w:sz w:val="24"/>
          <w:szCs w:val="24"/>
          <w:lang w:val="fr-FR"/>
        </w:rPr>
        <w:t xml:space="preserve"> </w:t>
      </w:r>
      <w:r w:rsidR="00806C7A" w:rsidRPr="001E3C8E">
        <w:rPr>
          <w:sz w:val="24"/>
          <w:szCs w:val="24"/>
          <w:lang w:val="fr-FR"/>
        </w:rPr>
        <w:t>doivent</w:t>
      </w:r>
      <w:r w:rsidRPr="001E3C8E">
        <w:rPr>
          <w:sz w:val="24"/>
          <w:szCs w:val="24"/>
          <w:lang w:val="fr-FR"/>
        </w:rPr>
        <w:t xml:space="preserve"> être </w:t>
      </w:r>
      <w:r w:rsidR="004C5BBB" w:rsidRPr="001E3C8E">
        <w:rPr>
          <w:sz w:val="24"/>
          <w:szCs w:val="24"/>
          <w:lang w:val="fr-FR"/>
        </w:rPr>
        <w:t>adopté</w:t>
      </w:r>
      <w:r w:rsidRPr="001E3C8E">
        <w:rPr>
          <w:sz w:val="24"/>
          <w:szCs w:val="24"/>
          <w:lang w:val="fr-FR"/>
        </w:rPr>
        <w:t xml:space="preserve">es par les organes compétents conformément aux procédures établies dans le droit national. </w:t>
      </w:r>
      <w:r w:rsidR="004C5BBB" w:rsidRPr="001E3C8E">
        <w:rPr>
          <w:sz w:val="24"/>
          <w:szCs w:val="24"/>
          <w:lang w:val="fr-FR"/>
        </w:rPr>
        <w:t xml:space="preserve">Elles doivent faire l’objet d’une analyse et d’une discussion par le Parlement pour permettre une participation politique effective et garantir </w:t>
      </w:r>
      <w:r w:rsidR="00806C7A" w:rsidRPr="001E3C8E">
        <w:rPr>
          <w:sz w:val="24"/>
          <w:szCs w:val="24"/>
          <w:lang w:val="fr-FR"/>
        </w:rPr>
        <w:t>le nécessaire équilibre entre les pouvoirs</w:t>
      </w:r>
      <w:r w:rsidR="004C5BBB" w:rsidRPr="001E3C8E">
        <w:rPr>
          <w:sz w:val="24"/>
          <w:szCs w:val="24"/>
          <w:lang w:val="fr-FR"/>
        </w:rPr>
        <w:t>.</w:t>
      </w:r>
    </w:p>
    <w:p w14:paraId="6BCB8692" w14:textId="77777777" w:rsidR="004C5BBB" w:rsidRPr="001E3C8E" w:rsidRDefault="004C5BBB" w:rsidP="00806C7A">
      <w:pPr>
        <w:rPr>
          <w:szCs w:val="24"/>
          <w:lang w:val="fr-FR"/>
        </w:rPr>
      </w:pPr>
    </w:p>
    <w:p w14:paraId="37BD1496" w14:textId="6BA1AACB" w:rsidR="004C5BBB" w:rsidRPr="001E3C8E" w:rsidRDefault="00327B8A" w:rsidP="00430901">
      <w:pPr>
        <w:numPr>
          <w:ilvl w:val="0"/>
          <w:numId w:val="2"/>
        </w:numPr>
        <w:ind w:left="1276" w:hanging="567"/>
        <w:jc w:val="both"/>
        <w:rPr>
          <w:sz w:val="24"/>
          <w:szCs w:val="24"/>
          <w:lang w:val="fr-FR"/>
        </w:rPr>
      </w:pPr>
      <w:r w:rsidRPr="001E3C8E">
        <w:rPr>
          <w:sz w:val="24"/>
          <w:szCs w:val="24"/>
          <w:lang w:val="fr-FR"/>
        </w:rPr>
        <w:t xml:space="preserve">Les </w:t>
      </w:r>
      <w:r w:rsidR="00806C7A" w:rsidRPr="001E3C8E">
        <w:rPr>
          <w:sz w:val="24"/>
          <w:szCs w:val="24"/>
          <w:lang w:val="fr-FR"/>
        </w:rPr>
        <w:t>études</w:t>
      </w:r>
      <w:r w:rsidRPr="001E3C8E">
        <w:rPr>
          <w:sz w:val="24"/>
          <w:szCs w:val="24"/>
          <w:lang w:val="fr-FR"/>
        </w:rPr>
        <w:t xml:space="preserve"> d’impact sur les droits humains doivent </w:t>
      </w:r>
      <w:r w:rsidR="00806C7A" w:rsidRPr="001E3C8E">
        <w:rPr>
          <w:sz w:val="24"/>
          <w:szCs w:val="24"/>
          <w:lang w:val="fr-FR"/>
        </w:rPr>
        <w:t>envisager</w:t>
      </w:r>
      <w:r w:rsidRPr="001E3C8E">
        <w:rPr>
          <w:sz w:val="24"/>
          <w:szCs w:val="24"/>
          <w:lang w:val="fr-FR"/>
        </w:rPr>
        <w:t xml:space="preserve"> les possibilités de renforcement de la participation et de la transparence, notamment concernant les groupes en situation de vulnérabilité.</w:t>
      </w:r>
      <w:r w:rsidR="00FB60EA" w:rsidRPr="001E3C8E">
        <w:rPr>
          <w:sz w:val="24"/>
          <w:szCs w:val="24"/>
          <w:lang w:val="fr-FR"/>
        </w:rPr>
        <w:t xml:space="preserve"> Les créditeurs </w:t>
      </w:r>
      <w:r w:rsidR="00806C7A" w:rsidRPr="001E3C8E">
        <w:rPr>
          <w:sz w:val="24"/>
          <w:szCs w:val="24"/>
          <w:lang w:val="fr-FR"/>
        </w:rPr>
        <w:t>doivent</w:t>
      </w:r>
      <w:r w:rsidR="00FB60EA" w:rsidRPr="001E3C8E">
        <w:rPr>
          <w:sz w:val="24"/>
          <w:szCs w:val="24"/>
          <w:lang w:val="fr-FR"/>
        </w:rPr>
        <w:t xml:space="preserve"> aussi </w:t>
      </w:r>
      <w:r w:rsidR="00423D2B" w:rsidRPr="001E3C8E">
        <w:rPr>
          <w:sz w:val="24"/>
          <w:szCs w:val="24"/>
          <w:lang w:val="fr-FR"/>
        </w:rPr>
        <w:t>être autorisés à participer au</w:t>
      </w:r>
      <w:r w:rsidR="00FB60EA" w:rsidRPr="001E3C8E">
        <w:rPr>
          <w:sz w:val="24"/>
          <w:szCs w:val="24"/>
          <w:lang w:val="fr-FR"/>
        </w:rPr>
        <w:t xml:space="preserve"> dialogue.</w:t>
      </w:r>
    </w:p>
    <w:p w14:paraId="64C2F30C" w14:textId="77777777" w:rsidR="007B0227" w:rsidRPr="001E3C8E" w:rsidRDefault="007B0227" w:rsidP="00E27A1F">
      <w:pPr>
        <w:ind w:left="1276"/>
        <w:jc w:val="both"/>
        <w:rPr>
          <w:sz w:val="24"/>
          <w:szCs w:val="24"/>
          <w:lang w:val="fr-FR"/>
        </w:rPr>
      </w:pPr>
    </w:p>
    <w:p w14:paraId="5A34217C" w14:textId="240C9765" w:rsidR="002E7EA5" w:rsidRPr="001E3C8E" w:rsidRDefault="002E7EA5" w:rsidP="00430901">
      <w:pPr>
        <w:numPr>
          <w:ilvl w:val="0"/>
          <w:numId w:val="2"/>
        </w:numPr>
        <w:ind w:left="1276" w:hanging="567"/>
        <w:jc w:val="both"/>
        <w:rPr>
          <w:sz w:val="24"/>
          <w:szCs w:val="24"/>
          <w:lang w:val="fr-FR"/>
        </w:rPr>
      </w:pPr>
      <w:r w:rsidRPr="001E3C8E">
        <w:rPr>
          <w:sz w:val="24"/>
          <w:szCs w:val="24"/>
          <w:lang w:val="fr-FR"/>
        </w:rPr>
        <w:t xml:space="preserve">Lorsque des réformes du marché du travail sont envisagées, des efforts particuliers </w:t>
      </w:r>
      <w:r w:rsidR="00E66C4E" w:rsidRPr="001E3C8E">
        <w:rPr>
          <w:sz w:val="24"/>
          <w:szCs w:val="24"/>
          <w:lang w:val="fr-FR"/>
        </w:rPr>
        <w:t>doivent</w:t>
      </w:r>
      <w:r w:rsidRPr="001E3C8E">
        <w:rPr>
          <w:sz w:val="24"/>
          <w:szCs w:val="24"/>
          <w:lang w:val="fr-FR"/>
        </w:rPr>
        <w:t xml:space="preserve"> être entrepris pour consulter dès que possible les syndicats locaux et nationaux et les associations d’employés en utilisant, lorsqu’ils existent, les mécanismes nationaux du dialogue social.</w:t>
      </w:r>
    </w:p>
    <w:p w14:paraId="78119AB1" w14:textId="77777777" w:rsidR="007B0227" w:rsidRPr="001E3C8E" w:rsidRDefault="007B0227" w:rsidP="00E27A1F">
      <w:pPr>
        <w:ind w:left="1276"/>
        <w:jc w:val="both"/>
        <w:rPr>
          <w:sz w:val="24"/>
          <w:szCs w:val="24"/>
          <w:lang w:val="fr-FR"/>
        </w:rPr>
      </w:pPr>
    </w:p>
    <w:p w14:paraId="12DE6B3A" w14:textId="5A407EF0" w:rsidR="002E7EA5" w:rsidRPr="001E3C8E" w:rsidRDefault="002E7EA5" w:rsidP="00430901">
      <w:pPr>
        <w:numPr>
          <w:ilvl w:val="0"/>
          <w:numId w:val="2"/>
        </w:numPr>
        <w:ind w:left="1276" w:hanging="567"/>
        <w:jc w:val="both"/>
        <w:rPr>
          <w:sz w:val="24"/>
          <w:szCs w:val="24"/>
          <w:lang w:val="fr-FR"/>
        </w:rPr>
      </w:pPr>
      <w:r w:rsidRPr="001E3C8E">
        <w:rPr>
          <w:sz w:val="24"/>
          <w:szCs w:val="24"/>
          <w:lang w:val="fr-FR"/>
        </w:rPr>
        <w:t>Le débat et la su</w:t>
      </w:r>
      <w:r w:rsidR="00D9562D" w:rsidRPr="001E3C8E">
        <w:rPr>
          <w:sz w:val="24"/>
          <w:szCs w:val="24"/>
          <w:lang w:val="fr-FR"/>
        </w:rPr>
        <w:t xml:space="preserve">pervision publiques </w:t>
      </w:r>
      <w:r w:rsidRPr="001E3C8E">
        <w:rPr>
          <w:sz w:val="24"/>
          <w:szCs w:val="24"/>
          <w:lang w:val="fr-FR"/>
        </w:rPr>
        <w:t>devrai</w:t>
      </w:r>
      <w:r w:rsidR="00D9562D" w:rsidRPr="001E3C8E">
        <w:rPr>
          <w:sz w:val="24"/>
          <w:szCs w:val="24"/>
          <w:lang w:val="fr-FR"/>
        </w:rPr>
        <w:t>en</w:t>
      </w:r>
      <w:r w:rsidRPr="001E3C8E">
        <w:rPr>
          <w:sz w:val="24"/>
          <w:szCs w:val="24"/>
          <w:lang w:val="fr-FR"/>
        </w:rPr>
        <w:t>t être entamé</w:t>
      </w:r>
      <w:r w:rsidR="00D9562D" w:rsidRPr="001E3C8E">
        <w:rPr>
          <w:sz w:val="24"/>
          <w:szCs w:val="24"/>
          <w:lang w:val="fr-FR"/>
        </w:rPr>
        <w:t>s</w:t>
      </w:r>
      <w:r w:rsidRPr="001E3C8E">
        <w:rPr>
          <w:sz w:val="24"/>
          <w:szCs w:val="24"/>
          <w:lang w:val="fr-FR"/>
        </w:rPr>
        <w:t xml:space="preserve"> aussi rapidement que possible et s’appliquer non seulement aux politiques et aux initiatives </w:t>
      </w:r>
      <w:r w:rsidR="000D3590" w:rsidRPr="001E3C8E">
        <w:rPr>
          <w:sz w:val="24"/>
          <w:szCs w:val="24"/>
          <w:lang w:val="fr-FR"/>
        </w:rPr>
        <w:t xml:space="preserve">de </w:t>
      </w:r>
      <w:r w:rsidRPr="001E3C8E">
        <w:rPr>
          <w:sz w:val="24"/>
          <w:szCs w:val="24"/>
          <w:lang w:val="fr-FR"/>
        </w:rPr>
        <w:t>l’</w:t>
      </w:r>
      <w:r w:rsidR="000D3590" w:rsidRPr="001E3C8E">
        <w:rPr>
          <w:sz w:val="24"/>
          <w:szCs w:val="24"/>
          <w:lang w:val="fr-FR"/>
        </w:rPr>
        <w:t>État</w:t>
      </w:r>
      <w:r w:rsidR="00D9562D" w:rsidRPr="001E3C8E">
        <w:rPr>
          <w:sz w:val="24"/>
          <w:szCs w:val="24"/>
          <w:lang w:val="fr-FR"/>
        </w:rPr>
        <w:t xml:space="preserve"> mais aussi aux accords avec l</w:t>
      </w:r>
      <w:r w:rsidRPr="001E3C8E">
        <w:rPr>
          <w:sz w:val="24"/>
          <w:szCs w:val="24"/>
          <w:lang w:val="fr-FR"/>
        </w:rPr>
        <w:t>es inst</w:t>
      </w:r>
      <w:r w:rsidR="00D9562D" w:rsidRPr="001E3C8E">
        <w:rPr>
          <w:sz w:val="24"/>
          <w:szCs w:val="24"/>
          <w:lang w:val="fr-FR"/>
        </w:rPr>
        <w:t>it</w:t>
      </w:r>
      <w:r w:rsidRPr="001E3C8E">
        <w:rPr>
          <w:sz w:val="24"/>
          <w:szCs w:val="24"/>
          <w:lang w:val="fr-FR"/>
        </w:rPr>
        <w:t xml:space="preserve">utions supranationales et/ou les </w:t>
      </w:r>
      <w:r w:rsidR="00D9562D" w:rsidRPr="001E3C8E">
        <w:rPr>
          <w:sz w:val="24"/>
          <w:szCs w:val="24"/>
          <w:lang w:val="fr-FR"/>
        </w:rPr>
        <w:t>créanciers</w:t>
      </w:r>
      <w:r w:rsidR="00376B08" w:rsidRPr="001E3C8E">
        <w:rPr>
          <w:sz w:val="24"/>
          <w:szCs w:val="24"/>
          <w:lang w:val="fr-FR"/>
        </w:rPr>
        <w:t xml:space="preserve">. Les ensembles de conditions liés aux programmes d’assistance financière doivent être soumis à des discussions à grande échelle, permettant la participation de la population et </w:t>
      </w:r>
      <w:r w:rsidR="00D9562D" w:rsidRPr="001E3C8E">
        <w:rPr>
          <w:sz w:val="24"/>
          <w:szCs w:val="24"/>
          <w:lang w:val="fr-FR"/>
        </w:rPr>
        <w:t>une</w:t>
      </w:r>
      <w:r w:rsidR="00376B08" w:rsidRPr="001E3C8E">
        <w:rPr>
          <w:sz w:val="24"/>
          <w:szCs w:val="24"/>
          <w:lang w:val="fr-FR"/>
        </w:rPr>
        <w:t xml:space="preserve"> supervision et </w:t>
      </w:r>
      <w:r w:rsidR="00D9562D" w:rsidRPr="001E3C8E">
        <w:rPr>
          <w:sz w:val="24"/>
          <w:szCs w:val="24"/>
          <w:lang w:val="fr-FR"/>
        </w:rPr>
        <w:t>un</w:t>
      </w:r>
      <w:r w:rsidR="00376B08" w:rsidRPr="001E3C8E">
        <w:rPr>
          <w:sz w:val="24"/>
          <w:szCs w:val="24"/>
          <w:lang w:val="fr-FR"/>
        </w:rPr>
        <w:t xml:space="preserve"> </w:t>
      </w:r>
      <w:r w:rsidR="00D9562D" w:rsidRPr="001E3C8E">
        <w:rPr>
          <w:sz w:val="24"/>
          <w:szCs w:val="24"/>
          <w:lang w:val="fr-FR"/>
        </w:rPr>
        <w:t xml:space="preserve">débat </w:t>
      </w:r>
      <w:r w:rsidR="00376B08" w:rsidRPr="001E3C8E">
        <w:rPr>
          <w:sz w:val="24"/>
          <w:szCs w:val="24"/>
          <w:lang w:val="fr-FR"/>
        </w:rPr>
        <w:t>parlementaires</w:t>
      </w:r>
      <w:r w:rsidRPr="001E3C8E">
        <w:rPr>
          <w:sz w:val="24"/>
          <w:szCs w:val="24"/>
          <w:lang w:val="fr-FR"/>
        </w:rPr>
        <w:t>.</w:t>
      </w:r>
    </w:p>
    <w:p w14:paraId="3E809241" w14:textId="77777777" w:rsidR="00644FCD" w:rsidRPr="001E3C8E" w:rsidRDefault="00644FCD" w:rsidP="00644FCD">
      <w:pPr>
        <w:pStyle w:val="ListParagraph"/>
        <w:rPr>
          <w:szCs w:val="24"/>
          <w:lang w:val="fr-FR"/>
        </w:rPr>
      </w:pPr>
    </w:p>
    <w:p w14:paraId="28A74013" w14:textId="583A48AD" w:rsidR="007B0227" w:rsidRPr="001E3C8E" w:rsidRDefault="00376B08" w:rsidP="00376B08">
      <w:pPr>
        <w:numPr>
          <w:ilvl w:val="0"/>
          <w:numId w:val="2"/>
        </w:numPr>
        <w:ind w:left="1276" w:hanging="567"/>
        <w:jc w:val="both"/>
        <w:rPr>
          <w:sz w:val="24"/>
          <w:szCs w:val="24"/>
          <w:lang w:val="fr-FR"/>
        </w:rPr>
      </w:pPr>
      <w:r w:rsidRPr="001E3C8E">
        <w:rPr>
          <w:sz w:val="24"/>
          <w:szCs w:val="24"/>
          <w:lang w:val="fr-FR"/>
        </w:rPr>
        <w:t>La transparence et la diffusion</w:t>
      </w:r>
      <w:r w:rsidR="00F36679" w:rsidRPr="001E3C8E">
        <w:rPr>
          <w:sz w:val="24"/>
          <w:szCs w:val="24"/>
          <w:lang w:val="fr-FR"/>
        </w:rPr>
        <w:t xml:space="preserve"> d’information</w:t>
      </w:r>
      <w:r w:rsidRPr="001E3C8E">
        <w:rPr>
          <w:sz w:val="24"/>
          <w:szCs w:val="24"/>
          <w:lang w:val="fr-FR"/>
        </w:rPr>
        <w:t xml:space="preserve"> à grande échelle sont également cruciales lors de </w:t>
      </w:r>
      <w:r w:rsidR="00D9562D" w:rsidRPr="001E3C8E">
        <w:rPr>
          <w:sz w:val="24"/>
          <w:szCs w:val="24"/>
          <w:lang w:val="fr-FR"/>
        </w:rPr>
        <w:t>l’étude</w:t>
      </w:r>
      <w:r w:rsidRPr="001E3C8E">
        <w:rPr>
          <w:sz w:val="24"/>
          <w:szCs w:val="24"/>
          <w:lang w:val="fr-FR"/>
        </w:rPr>
        <w:t xml:space="preserve"> d’impact, ce qui inclut la publi</w:t>
      </w:r>
      <w:r w:rsidR="00D9562D" w:rsidRPr="001E3C8E">
        <w:rPr>
          <w:sz w:val="24"/>
          <w:szCs w:val="24"/>
          <w:lang w:val="fr-FR"/>
        </w:rPr>
        <w:t>cation de la totalité des conclusions, et d</w:t>
      </w:r>
      <w:r w:rsidRPr="001E3C8E">
        <w:rPr>
          <w:sz w:val="24"/>
          <w:szCs w:val="24"/>
          <w:lang w:val="fr-FR"/>
        </w:rPr>
        <w:t xml:space="preserve">es rapports sur </w:t>
      </w:r>
      <w:r w:rsidR="00D9562D" w:rsidRPr="001E3C8E">
        <w:rPr>
          <w:sz w:val="24"/>
          <w:szCs w:val="24"/>
          <w:lang w:val="fr-FR"/>
        </w:rPr>
        <w:t>l’étude, ses conclusions et l</w:t>
      </w:r>
      <w:r w:rsidRPr="001E3C8E">
        <w:rPr>
          <w:sz w:val="24"/>
          <w:szCs w:val="24"/>
          <w:lang w:val="fr-FR"/>
        </w:rPr>
        <w:t>es recommandations</w:t>
      </w:r>
      <w:r w:rsidR="00D9562D" w:rsidRPr="001E3C8E">
        <w:rPr>
          <w:sz w:val="24"/>
          <w:szCs w:val="24"/>
          <w:lang w:val="fr-FR"/>
        </w:rPr>
        <w:t xml:space="preserve"> qu’elle contient</w:t>
      </w:r>
      <w:r w:rsidRPr="001E3C8E">
        <w:rPr>
          <w:sz w:val="24"/>
          <w:szCs w:val="24"/>
          <w:lang w:val="fr-FR"/>
        </w:rPr>
        <w:t>.</w:t>
      </w:r>
    </w:p>
    <w:p w14:paraId="436741F5" w14:textId="77777777" w:rsidR="00644FCD" w:rsidRPr="001E3C8E" w:rsidRDefault="00644FCD" w:rsidP="00644FCD">
      <w:pPr>
        <w:ind w:left="709"/>
        <w:jc w:val="both"/>
        <w:rPr>
          <w:sz w:val="24"/>
          <w:szCs w:val="24"/>
          <w:lang w:val="fr-FR"/>
        </w:rPr>
      </w:pPr>
    </w:p>
    <w:p w14:paraId="7EC8A0ED" w14:textId="061E10D1" w:rsidR="00376B08" w:rsidRPr="001E3C8E" w:rsidRDefault="00376B08" w:rsidP="00D741B8">
      <w:pPr>
        <w:pStyle w:val="Heading1"/>
        <w:numPr>
          <w:ilvl w:val="0"/>
          <w:numId w:val="27"/>
        </w:numPr>
        <w:rPr>
          <w:szCs w:val="24"/>
          <w:lang w:val="fr-FR"/>
        </w:rPr>
      </w:pPr>
      <w:bookmarkStart w:id="60" w:name="_Toc522789731"/>
      <w:r w:rsidRPr="001E3C8E">
        <w:rPr>
          <w:szCs w:val="24"/>
          <w:lang w:val="fr-FR"/>
        </w:rPr>
        <w:t xml:space="preserve">Accès à la justice, </w:t>
      </w:r>
      <w:r w:rsidR="00CC2727" w:rsidRPr="001E3C8E">
        <w:rPr>
          <w:szCs w:val="24"/>
          <w:lang w:val="fr-FR"/>
        </w:rPr>
        <w:t>redevabilité</w:t>
      </w:r>
      <w:r w:rsidRPr="001E3C8E">
        <w:rPr>
          <w:szCs w:val="24"/>
          <w:lang w:val="fr-FR"/>
        </w:rPr>
        <w:t xml:space="preserve"> et recours</w:t>
      </w:r>
      <w:bookmarkEnd w:id="60"/>
    </w:p>
    <w:p w14:paraId="6550E8F1" w14:textId="725166AE" w:rsidR="007B0227" w:rsidRPr="001E3C8E" w:rsidRDefault="007B0227" w:rsidP="00E27A1F">
      <w:pPr>
        <w:jc w:val="both"/>
        <w:rPr>
          <w:sz w:val="24"/>
          <w:szCs w:val="24"/>
          <w:lang w:val="fr-FR"/>
        </w:rPr>
      </w:pPr>
    </w:p>
    <w:p w14:paraId="4BF9349B" w14:textId="47C38CA0" w:rsidR="008A0802" w:rsidRPr="001E3C8E" w:rsidRDefault="008A0802" w:rsidP="00E27A1F">
      <w:pPr>
        <w:jc w:val="both"/>
        <w:rPr>
          <w:b/>
          <w:sz w:val="24"/>
          <w:szCs w:val="24"/>
          <w:lang w:val="fr-FR"/>
        </w:rPr>
      </w:pPr>
      <w:r w:rsidRPr="001E3C8E">
        <w:rPr>
          <w:b/>
          <w:sz w:val="24"/>
          <w:szCs w:val="24"/>
          <w:lang w:val="fr-FR"/>
        </w:rPr>
        <w:t xml:space="preserve">Les </w:t>
      </w:r>
      <w:r w:rsidR="00CC2727" w:rsidRPr="001E3C8E">
        <w:rPr>
          <w:b/>
          <w:sz w:val="24"/>
          <w:szCs w:val="24"/>
          <w:lang w:val="fr-FR"/>
        </w:rPr>
        <w:t>États</w:t>
      </w:r>
      <w:r w:rsidRPr="001E3C8E">
        <w:rPr>
          <w:b/>
          <w:sz w:val="24"/>
          <w:szCs w:val="24"/>
          <w:lang w:val="fr-FR"/>
        </w:rPr>
        <w:t xml:space="preserve"> doivent s’assurer que l’accès à la justice et le droit à un re</w:t>
      </w:r>
      <w:r w:rsidR="00F36679" w:rsidRPr="001E3C8E">
        <w:rPr>
          <w:b/>
          <w:sz w:val="24"/>
          <w:szCs w:val="24"/>
          <w:lang w:val="fr-FR"/>
        </w:rPr>
        <w:t>cours effectif so</w:t>
      </w:r>
      <w:r w:rsidRPr="001E3C8E">
        <w:rPr>
          <w:b/>
          <w:sz w:val="24"/>
          <w:szCs w:val="24"/>
          <w:lang w:val="fr-FR"/>
        </w:rPr>
        <w:t xml:space="preserve">nt garantis par des mécanismes juridiques, quasi-juridiques, administratifs et politiques concernant les actions et les omissions dans la conception et/ou la mise en œuvre de politiques de réforme économiques susceptibles </w:t>
      </w:r>
      <w:r w:rsidR="00CC2727" w:rsidRPr="001E3C8E">
        <w:rPr>
          <w:b/>
          <w:sz w:val="24"/>
          <w:szCs w:val="24"/>
          <w:lang w:val="fr-FR"/>
        </w:rPr>
        <w:t>de nuire au respect</w:t>
      </w:r>
      <w:r w:rsidRPr="001E3C8E">
        <w:rPr>
          <w:b/>
          <w:sz w:val="24"/>
          <w:szCs w:val="24"/>
          <w:lang w:val="fr-FR"/>
        </w:rPr>
        <w:t xml:space="preserve"> des droits humains. Les </w:t>
      </w:r>
      <w:r w:rsidR="00CC2727" w:rsidRPr="001E3C8E">
        <w:rPr>
          <w:b/>
          <w:sz w:val="24"/>
          <w:szCs w:val="24"/>
          <w:lang w:val="fr-FR"/>
        </w:rPr>
        <w:t>États</w:t>
      </w:r>
      <w:r w:rsidRPr="001E3C8E">
        <w:rPr>
          <w:b/>
          <w:sz w:val="24"/>
          <w:szCs w:val="24"/>
          <w:lang w:val="fr-FR"/>
        </w:rPr>
        <w:t xml:space="preserve"> doivent s’assurer que la population est pleinement informée des procédures, mécanismes et recours dont elle dispose, et du fait que ces mécanismes sont physiquement et financièrement accessibles à tous.</w:t>
      </w:r>
    </w:p>
    <w:p w14:paraId="6C21C68B" w14:textId="77777777" w:rsidR="00B336BB" w:rsidRPr="001E3C8E" w:rsidRDefault="00B336BB" w:rsidP="00E27A1F">
      <w:pPr>
        <w:jc w:val="both"/>
        <w:rPr>
          <w:sz w:val="24"/>
          <w:szCs w:val="24"/>
          <w:lang w:val="fr-FR"/>
        </w:rPr>
      </w:pPr>
    </w:p>
    <w:p w14:paraId="5384B654" w14:textId="6E8588B3" w:rsidR="008A0802" w:rsidRPr="00AC1908" w:rsidRDefault="008A0802" w:rsidP="00AC1908">
      <w:pPr>
        <w:tabs>
          <w:tab w:val="left" w:pos="8227"/>
        </w:tabs>
        <w:ind w:left="720"/>
        <w:jc w:val="both"/>
        <w:rPr>
          <w:i/>
          <w:sz w:val="24"/>
          <w:szCs w:val="24"/>
          <w:lang w:val="fr-FR"/>
        </w:rPr>
      </w:pPr>
      <w:r w:rsidRPr="00AC1908">
        <w:rPr>
          <w:i/>
          <w:sz w:val="24"/>
          <w:szCs w:val="24"/>
          <w:lang w:val="fr-FR"/>
        </w:rPr>
        <w:t>Commentaire :</w:t>
      </w:r>
    </w:p>
    <w:p w14:paraId="6FCB4222" w14:textId="77777777" w:rsidR="00770C63" w:rsidRPr="001E3C8E" w:rsidRDefault="00770C63" w:rsidP="00644FCD">
      <w:pPr>
        <w:rPr>
          <w:sz w:val="24"/>
          <w:szCs w:val="24"/>
          <w:lang w:val="fr-FR"/>
        </w:rPr>
      </w:pPr>
      <w:bookmarkStart w:id="61" w:name="_GoBack"/>
      <w:bookmarkEnd w:id="61"/>
    </w:p>
    <w:p w14:paraId="13DA3CBB" w14:textId="78C58F57" w:rsidR="008A0802" w:rsidRPr="001E3C8E" w:rsidRDefault="008A0802" w:rsidP="00CC2727">
      <w:pPr>
        <w:numPr>
          <w:ilvl w:val="0"/>
          <w:numId w:val="26"/>
        </w:numPr>
        <w:ind w:left="1276" w:hanging="567"/>
        <w:jc w:val="both"/>
        <w:rPr>
          <w:sz w:val="24"/>
          <w:szCs w:val="24"/>
          <w:lang w:val="fr-FR"/>
        </w:rPr>
      </w:pPr>
      <w:r w:rsidRPr="001E3C8E">
        <w:rPr>
          <w:sz w:val="24"/>
          <w:szCs w:val="24"/>
          <w:lang w:val="fr-FR"/>
        </w:rPr>
        <w:lastRenderedPageBreak/>
        <w:t xml:space="preserve">Une </w:t>
      </w:r>
      <w:r w:rsidR="00CC2727" w:rsidRPr="001E3C8E">
        <w:rPr>
          <w:sz w:val="24"/>
          <w:szCs w:val="24"/>
          <w:lang w:val="fr-FR"/>
        </w:rPr>
        <w:t>étude</w:t>
      </w:r>
      <w:r w:rsidRPr="001E3C8E">
        <w:rPr>
          <w:sz w:val="24"/>
          <w:szCs w:val="24"/>
          <w:lang w:val="fr-FR"/>
        </w:rPr>
        <w:t xml:space="preserve"> d’impact sur les droits humains peut constituer ou créer une occasion de s’assurer de l’existence de procédures et de mécanismes de responsabilité en imposant des choix politiques justifiés et clairement expliqués</w:t>
      </w:r>
      <w:r w:rsidR="00CC2727" w:rsidRPr="001E3C8E">
        <w:rPr>
          <w:sz w:val="24"/>
          <w:szCs w:val="24"/>
          <w:lang w:val="fr-FR"/>
        </w:rPr>
        <w:t xml:space="preserve">, </w:t>
      </w:r>
      <w:r w:rsidRPr="001E3C8E">
        <w:rPr>
          <w:sz w:val="24"/>
          <w:szCs w:val="24"/>
          <w:lang w:val="fr-FR"/>
        </w:rPr>
        <w:t>développés par le biais d’une participation inclusive de la population potentiellement affectée.</w:t>
      </w:r>
    </w:p>
    <w:p w14:paraId="1E76E076" w14:textId="77777777" w:rsidR="008A0802" w:rsidRPr="001E3C8E" w:rsidRDefault="008A0802" w:rsidP="00CC2727">
      <w:pPr>
        <w:rPr>
          <w:szCs w:val="24"/>
          <w:lang w:val="fr-FR"/>
        </w:rPr>
      </w:pPr>
    </w:p>
    <w:p w14:paraId="34E05DAF" w14:textId="59BB0A08" w:rsidR="008A0802" w:rsidRPr="001E3C8E" w:rsidRDefault="008A0802" w:rsidP="00430901">
      <w:pPr>
        <w:numPr>
          <w:ilvl w:val="0"/>
          <w:numId w:val="26"/>
        </w:numPr>
        <w:ind w:left="1276" w:hanging="567"/>
        <w:jc w:val="both"/>
        <w:rPr>
          <w:sz w:val="24"/>
          <w:szCs w:val="24"/>
          <w:lang w:val="fr-FR"/>
        </w:rPr>
      </w:pPr>
      <w:r w:rsidRPr="001E3C8E">
        <w:rPr>
          <w:sz w:val="24"/>
          <w:szCs w:val="24"/>
          <w:lang w:val="fr-FR"/>
        </w:rPr>
        <w:t>En s’engageant dans un processus de prise de dé</w:t>
      </w:r>
      <w:r w:rsidR="00CC2727" w:rsidRPr="001E3C8E">
        <w:rPr>
          <w:sz w:val="24"/>
          <w:szCs w:val="24"/>
          <w:lang w:val="fr-FR"/>
        </w:rPr>
        <w:t>cision inclusif</w:t>
      </w:r>
      <w:r w:rsidRPr="001E3C8E">
        <w:rPr>
          <w:sz w:val="24"/>
          <w:szCs w:val="24"/>
          <w:lang w:val="fr-FR"/>
        </w:rPr>
        <w:t xml:space="preserve"> et responsable, il est possible de renforcer la légitimité et l’approp</w:t>
      </w:r>
      <w:r w:rsidR="0017407F" w:rsidRPr="001E3C8E">
        <w:rPr>
          <w:sz w:val="24"/>
          <w:szCs w:val="24"/>
          <w:lang w:val="fr-FR"/>
        </w:rPr>
        <w:t>riation des choix effectués</w:t>
      </w:r>
      <w:r w:rsidR="00CC2727" w:rsidRPr="001E3C8E">
        <w:rPr>
          <w:sz w:val="24"/>
          <w:szCs w:val="24"/>
          <w:lang w:val="fr-FR"/>
        </w:rPr>
        <w:t>, ce qui réduit les risques de</w:t>
      </w:r>
      <w:r w:rsidR="0017407F" w:rsidRPr="001E3C8E">
        <w:rPr>
          <w:sz w:val="24"/>
          <w:szCs w:val="24"/>
          <w:lang w:val="fr-FR"/>
        </w:rPr>
        <w:t xml:space="preserve"> conflits sociaux, qui peuvent nuire aux institutions démocratiques et à l’</w:t>
      </w:r>
      <w:r w:rsidR="00CC2727" w:rsidRPr="001E3C8E">
        <w:rPr>
          <w:sz w:val="24"/>
          <w:szCs w:val="24"/>
          <w:lang w:val="fr-FR"/>
        </w:rPr>
        <w:t>État</w:t>
      </w:r>
      <w:r w:rsidR="0017407F" w:rsidRPr="001E3C8E">
        <w:rPr>
          <w:sz w:val="24"/>
          <w:szCs w:val="24"/>
          <w:lang w:val="fr-FR"/>
        </w:rPr>
        <w:t xml:space="preserve"> de droit.</w:t>
      </w:r>
    </w:p>
    <w:p w14:paraId="27D09911" w14:textId="7549B1E1" w:rsidR="001A2CCB" w:rsidRPr="001E3C8E" w:rsidRDefault="001A2CCB" w:rsidP="00430901">
      <w:pPr>
        <w:ind w:left="709"/>
        <w:jc w:val="both"/>
        <w:rPr>
          <w:sz w:val="24"/>
          <w:szCs w:val="24"/>
          <w:lang w:val="fr-FR"/>
        </w:rPr>
      </w:pPr>
    </w:p>
    <w:p w14:paraId="045D4A1C" w14:textId="33F6A5DA" w:rsidR="0017407F" w:rsidRPr="001E3C8E" w:rsidRDefault="0017407F" w:rsidP="00430901">
      <w:pPr>
        <w:numPr>
          <w:ilvl w:val="0"/>
          <w:numId w:val="26"/>
        </w:numPr>
        <w:ind w:left="1276" w:hanging="567"/>
        <w:jc w:val="both"/>
        <w:rPr>
          <w:sz w:val="24"/>
          <w:szCs w:val="24"/>
          <w:lang w:val="fr-FR"/>
        </w:rPr>
      </w:pPr>
      <w:r w:rsidRPr="001E3C8E">
        <w:rPr>
          <w:sz w:val="24"/>
          <w:szCs w:val="24"/>
          <w:lang w:val="fr-FR"/>
        </w:rPr>
        <w:t>Les mesures couvertes par les principes directeurs doivent faire l’objet d’un accord à tous les niveaux du gouvernement, et prêter une attention pa</w:t>
      </w:r>
      <w:r w:rsidR="002A7F76" w:rsidRPr="001E3C8E">
        <w:rPr>
          <w:sz w:val="24"/>
          <w:szCs w:val="24"/>
          <w:lang w:val="fr-FR"/>
        </w:rPr>
        <w:t xml:space="preserve">rticulière à la manière dont la charge </w:t>
      </w:r>
      <w:r w:rsidRPr="001E3C8E">
        <w:rPr>
          <w:sz w:val="24"/>
          <w:szCs w:val="24"/>
          <w:lang w:val="fr-FR"/>
        </w:rPr>
        <w:t xml:space="preserve">est </w:t>
      </w:r>
      <w:r w:rsidR="002A7F76" w:rsidRPr="001E3C8E">
        <w:rPr>
          <w:sz w:val="24"/>
          <w:szCs w:val="24"/>
          <w:lang w:val="fr-FR"/>
        </w:rPr>
        <w:t xml:space="preserve">répartie </w:t>
      </w:r>
      <w:r w:rsidRPr="001E3C8E">
        <w:rPr>
          <w:sz w:val="24"/>
          <w:szCs w:val="24"/>
          <w:lang w:val="fr-FR"/>
        </w:rPr>
        <w:t xml:space="preserve">entre les autorités locales, qui sont souvent les premières pourvoyeuses de services sociaux à la population. Ces mesures </w:t>
      </w:r>
      <w:r w:rsidR="002A7F76" w:rsidRPr="001E3C8E">
        <w:rPr>
          <w:sz w:val="24"/>
          <w:szCs w:val="24"/>
          <w:lang w:val="fr-FR"/>
        </w:rPr>
        <w:t>doivent aussi faire l’objet d’un suivi</w:t>
      </w:r>
      <w:r w:rsidRPr="001E3C8E">
        <w:rPr>
          <w:sz w:val="24"/>
          <w:szCs w:val="24"/>
          <w:lang w:val="fr-FR"/>
        </w:rPr>
        <w:t xml:space="preserve">, avec une surveillance </w:t>
      </w:r>
      <w:r w:rsidR="002A7F76" w:rsidRPr="001E3C8E">
        <w:rPr>
          <w:sz w:val="24"/>
          <w:szCs w:val="24"/>
          <w:lang w:val="fr-FR"/>
        </w:rPr>
        <w:t>juridique</w:t>
      </w:r>
      <w:r w:rsidRPr="001E3C8E">
        <w:rPr>
          <w:sz w:val="24"/>
          <w:szCs w:val="24"/>
          <w:lang w:val="fr-FR"/>
        </w:rPr>
        <w:t xml:space="preserve"> des droits applicables. Les fonctionnaires responsables de la conception et de l’adoption de ce type de mesures doivent être </w:t>
      </w:r>
      <w:r w:rsidR="00F36679" w:rsidRPr="001E3C8E">
        <w:rPr>
          <w:sz w:val="24"/>
          <w:szCs w:val="24"/>
          <w:lang w:val="fr-FR"/>
        </w:rPr>
        <w:t xml:space="preserve">tenus </w:t>
      </w:r>
      <w:r w:rsidRPr="001E3C8E">
        <w:rPr>
          <w:sz w:val="24"/>
          <w:szCs w:val="24"/>
          <w:lang w:val="fr-FR"/>
        </w:rPr>
        <w:t>responsables de toute décision politique suscept</w:t>
      </w:r>
      <w:r w:rsidR="002A7F76" w:rsidRPr="001E3C8E">
        <w:rPr>
          <w:sz w:val="24"/>
          <w:szCs w:val="24"/>
          <w:lang w:val="fr-FR"/>
        </w:rPr>
        <w:t xml:space="preserve">ible de remettre en question le respect </w:t>
      </w:r>
      <w:r w:rsidRPr="001E3C8E">
        <w:rPr>
          <w:sz w:val="24"/>
          <w:szCs w:val="24"/>
          <w:lang w:val="fr-FR"/>
        </w:rPr>
        <w:t>des droits humains.</w:t>
      </w:r>
    </w:p>
    <w:p w14:paraId="25A2D829" w14:textId="77777777" w:rsidR="00644FCD" w:rsidRPr="001E3C8E" w:rsidRDefault="00644FCD" w:rsidP="00430901">
      <w:pPr>
        <w:ind w:left="709"/>
        <w:jc w:val="both"/>
        <w:rPr>
          <w:sz w:val="24"/>
          <w:szCs w:val="24"/>
          <w:lang w:val="fr-FR"/>
        </w:rPr>
      </w:pPr>
    </w:p>
    <w:p w14:paraId="3088D5D2" w14:textId="184559DD" w:rsidR="00DE43DD" w:rsidRPr="001E3C8E" w:rsidRDefault="00DE43DD" w:rsidP="00430901">
      <w:pPr>
        <w:numPr>
          <w:ilvl w:val="0"/>
          <w:numId w:val="26"/>
        </w:numPr>
        <w:ind w:left="1276" w:hanging="567"/>
        <w:jc w:val="both"/>
        <w:rPr>
          <w:sz w:val="24"/>
          <w:szCs w:val="24"/>
          <w:lang w:val="fr-FR"/>
        </w:rPr>
      </w:pPr>
      <w:r w:rsidRPr="001E3C8E">
        <w:rPr>
          <w:sz w:val="24"/>
          <w:szCs w:val="24"/>
          <w:lang w:val="fr-FR"/>
        </w:rPr>
        <w:t>Le droit à un recours effectif inclut des réparations et garanties de non-répétition</w:t>
      </w:r>
      <w:r w:rsidR="00F36679" w:rsidRPr="001E3C8E">
        <w:rPr>
          <w:sz w:val="24"/>
          <w:szCs w:val="24"/>
          <w:lang w:val="fr-FR"/>
        </w:rPr>
        <w:t>.</w:t>
      </w:r>
    </w:p>
    <w:p w14:paraId="7E4B4FD2" w14:textId="77777777" w:rsidR="0049564F" w:rsidRPr="001E3C8E" w:rsidRDefault="0049564F" w:rsidP="00430901">
      <w:pPr>
        <w:ind w:left="709"/>
        <w:jc w:val="both"/>
        <w:rPr>
          <w:sz w:val="24"/>
          <w:szCs w:val="24"/>
          <w:lang w:val="fr-FR"/>
        </w:rPr>
      </w:pPr>
    </w:p>
    <w:p w14:paraId="1882BC0D" w14:textId="617E92E1" w:rsidR="00DE43DD" w:rsidRPr="001E3C8E" w:rsidRDefault="00DE43DD" w:rsidP="00430901">
      <w:pPr>
        <w:numPr>
          <w:ilvl w:val="0"/>
          <w:numId w:val="26"/>
        </w:numPr>
        <w:ind w:left="1276" w:hanging="567"/>
        <w:jc w:val="both"/>
        <w:rPr>
          <w:sz w:val="24"/>
          <w:szCs w:val="24"/>
          <w:lang w:val="fr-FR"/>
        </w:rPr>
      </w:pPr>
      <w:r w:rsidRPr="001E3C8E">
        <w:rPr>
          <w:sz w:val="24"/>
          <w:szCs w:val="24"/>
          <w:lang w:val="fr-FR"/>
        </w:rPr>
        <w:t xml:space="preserve">Dans la mesure où la corruption peut jouer un rôle dans la conception, la mise en œuvre et le suivi des politiques de réforme économique, des mesures et mécanismes clairs permettant de la combattre doivent être mis en place afin de garantir la </w:t>
      </w:r>
      <w:r w:rsidR="00DF13D4" w:rsidRPr="001E3C8E">
        <w:rPr>
          <w:sz w:val="24"/>
          <w:szCs w:val="24"/>
          <w:lang w:val="fr-FR"/>
        </w:rPr>
        <w:t>redevabilité</w:t>
      </w:r>
      <w:r w:rsidRPr="001E3C8E">
        <w:rPr>
          <w:sz w:val="24"/>
          <w:szCs w:val="24"/>
          <w:lang w:val="fr-FR"/>
        </w:rPr>
        <w:t>.</w:t>
      </w:r>
    </w:p>
    <w:bookmarkEnd w:id="58"/>
    <w:bookmarkEnd w:id="59"/>
    <w:p w14:paraId="5AAFA800" w14:textId="77777777" w:rsidR="00A954F3" w:rsidRPr="001E3C8E" w:rsidRDefault="00A954F3" w:rsidP="00E27A1F">
      <w:pPr>
        <w:jc w:val="both"/>
        <w:rPr>
          <w:sz w:val="24"/>
          <w:szCs w:val="24"/>
          <w:lang w:val="fr-FR"/>
        </w:rPr>
      </w:pPr>
    </w:p>
    <w:p w14:paraId="34765BDE" w14:textId="5CFF3864" w:rsidR="00DE43DD" w:rsidRPr="001E3C8E" w:rsidRDefault="00460B5A" w:rsidP="00D741B8">
      <w:pPr>
        <w:pStyle w:val="Heading1"/>
        <w:numPr>
          <w:ilvl w:val="0"/>
          <w:numId w:val="27"/>
        </w:numPr>
        <w:rPr>
          <w:szCs w:val="24"/>
          <w:lang w:val="fr-FR"/>
        </w:rPr>
      </w:pPr>
      <w:bookmarkStart w:id="62" w:name="_Toc522789732"/>
      <w:bookmarkStart w:id="63" w:name="_Toc517164474"/>
      <w:bookmarkStart w:id="64" w:name="_Toc517164568"/>
      <w:r w:rsidRPr="001E3C8E">
        <w:rPr>
          <w:szCs w:val="24"/>
          <w:lang w:val="fr-FR"/>
        </w:rPr>
        <w:t>Évaluations</w:t>
      </w:r>
      <w:r w:rsidR="00DE43DD" w:rsidRPr="001E3C8E">
        <w:rPr>
          <w:szCs w:val="24"/>
          <w:lang w:val="fr-FR"/>
        </w:rPr>
        <w:t xml:space="preserve"> </w:t>
      </w:r>
      <w:r w:rsidR="00DE43DD" w:rsidRPr="001E3C8E">
        <w:rPr>
          <w:i/>
          <w:szCs w:val="24"/>
          <w:lang w:val="fr-FR"/>
        </w:rPr>
        <w:t xml:space="preserve">ex ante </w:t>
      </w:r>
      <w:r w:rsidR="00DE43DD" w:rsidRPr="001E3C8E">
        <w:rPr>
          <w:szCs w:val="24"/>
          <w:lang w:val="fr-FR"/>
        </w:rPr>
        <w:t xml:space="preserve">et </w:t>
      </w:r>
      <w:r w:rsidR="00DE43DD" w:rsidRPr="001E3C8E">
        <w:rPr>
          <w:i/>
          <w:szCs w:val="24"/>
          <w:lang w:val="fr-FR"/>
        </w:rPr>
        <w:t>ex post</w:t>
      </w:r>
      <w:bookmarkEnd w:id="62"/>
    </w:p>
    <w:p w14:paraId="02372BF5" w14:textId="77777777" w:rsidR="00D17A70" w:rsidRPr="001E3C8E" w:rsidRDefault="00D17A70" w:rsidP="00E27A1F">
      <w:pPr>
        <w:ind w:left="678"/>
        <w:jc w:val="both"/>
        <w:rPr>
          <w:b/>
          <w:i/>
          <w:sz w:val="24"/>
          <w:szCs w:val="24"/>
          <w:lang w:val="fr-FR"/>
        </w:rPr>
      </w:pPr>
    </w:p>
    <w:p w14:paraId="6396C9CA" w14:textId="11CBCF42" w:rsidR="00DE43DD" w:rsidRPr="001E3C8E" w:rsidRDefault="00DE43DD" w:rsidP="009C3347">
      <w:pPr>
        <w:pStyle w:val="BodyText"/>
        <w:rPr>
          <w:szCs w:val="24"/>
          <w:lang w:val="fr-FR"/>
        </w:rPr>
      </w:pPr>
      <w:r w:rsidRPr="001E3C8E">
        <w:rPr>
          <w:szCs w:val="24"/>
          <w:lang w:val="fr-FR"/>
        </w:rPr>
        <w:t xml:space="preserve">Les </w:t>
      </w:r>
      <w:r w:rsidR="007F0BC8" w:rsidRPr="001E3C8E">
        <w:rPr>
          <w:szCs w:val="24"/>
          <w:lang w:val="fr-FR"/>
        </w:rPr>
        <w:t>études</w:t>
      </w:r>
      <w:r w:rsidRPr="001E3C8E">
        <w:rPr>
          <w:szCs w:val="24"/>
          <w:lang w:val="fr-FR"/>
        </w:rPr>
        <w:t xml:space="preserve"> d’impact sur les droits humains doivent être effectuées </w:t>
      </w:r>
      <w:r w:rsidRPr="001E3C8E">
        <w:rPr>
          <w:i/>
          <w:szCs w:val="24"/>
          <w:lang w:val="fr-FR"/>
        </w:rPr>
        <w:t>ex ante</w:t>
      </w:r>
      <w:r w:rsidR="005136F7" w:rsidRPr="001E3C8E">
        <w:rPr>
          <w:szCs w:val="24"/>
          <w:lang w:val="fr-FR"/>
        </w:rPr>
        <w:t xml:space="preserve">, </w:t>
      </w:r>
      <w:r w:rsidRPr="001E3C8E">
        <w:rPr>
          <w:szCs w:val="24"/>
          <w:lang w:val="fr-FR"/>
        </w:rPr>
        <w:t>pour prévenir les impacts prévisibles des c</w:t>
      </w:r>
      <w:r w:rsidR="005136F7" w:rsidRPr="001E3C8E">
        <w:rPr>
          <w:szCs w:val="24"/>
          <w:lang w:val="fr-FR"/>
        </w:rPr>
        <w:t xml:space="preserve">hangements politiques proposés, </w:t>
      </w:r>
      <w:r w:rsidRPr="001E3C8E">
        <w:rPr>
          <w:szCs w:val="24"/>
          <w:lang w:val="fr-FR"/>
        </w:rPr>
        <w:t xml:space="preserve">et </w:t>
      </w:r>
      <w:r w:rsidRPr="001E3C8E">
        <w:rPr>
          <w:i/>
          <w:szCs w:val="24"/>
          <w:lang w:val="fr-FR"/>
        </w:rPr>
        <w:t>ex post</w:t>
      </w:r>
      <w:r w:rsidR="005136F7" w:rsidRPr="001E3C8E">
        <w:rPr>
          <w:szCs w:val="24"/>
          <w:lang w:val="fr-FR"/>
        </w:rPr>
        <w:t xml:space="preserve"> (</w:t>
      </w:r>
      <w:r w:rsidRPr="001E3C8E">
        <w:rPr>
          <w:szCs w:val="24"/>
          <w:lang w:val="fr-FR"/>
        </w:rPr>
        <w:t xml:space="preserve">c’est-à-dire </w:t>
      </w:r>
      <w:r w:rsidR="005136F7" w:rsidRPr="001E3C8E">
        <w:rPr>
          <w:szCs w:val="24"/>
          <w:lang w:val="fr-FR"/>
        </w:rPr>
        <w:t>ultérieurement)</w:t>
      </w:r>
      <w:r w:rsidR="007F0BC8" w:rsidRPr="001E3C8E">
        <w:rPr>
          <w:szCs w:val="24"/>
          <w:lang w:val="fr-FR"/>
        </w:rPr>
        <w:t>,</w:t>
      </w:r>
      <w:r w:rsidRPr="001E3C8E">
        <w:rPr>
          <w:szCs w:val="24"/>
          <w:lang w:val="fr-FR"/>
        </w:rPr>
        <w:t xml:space="preserve"> pour évaluer et gérer les impacts réels des changements politiques et de leur mise en œuvre.</w:t>
      </w:r>
    </w:p>
    <w:p w14:paraId="5DEA3059" w14:textId="77777777" w:rsidR="00D17A70" w:rsidRPr="001E3C8E" w:rsidRDefault="00D17A70" w:rsidP="00E27A1F">
      <w:pPr>
        <w:jc w:val="both"/>
        <w:rPr>
          <w:b/>
          <w:sz w:val="24"/>
          <w:szCs w:val="24"/>
          <w:lang w:val="fr-FR"/>
        </w:rPr>
      </w:pPr>
    </w:p>
    <w:p w14:paraId="1D6AFAF2" w14:textId="4E4608FA" w:rsidR="00DE43DD" w:rsidRPr="001E3C8E" w:rsidRDefault="00DE43DD" w:rsidP="00E27A1F">
      <w:pPr>
        <w:tabs>
          <w:tab w:val="left" w:pos="8227"/>
        </w:tabs>
        <w:ind w:left="720"/>
        <w:jc w:val="both"/>
        <w:rPr>
          <w:i/>
          <w:sz w:val="24"/>
          <w:szCs w:val="24"/>
          <w:lang w:val="fr-FR"/>
        </w:rPr>
      </w:pPr>
      <w:r w:rsidRPr="001E3C8E">
        <w:rPr>
          <w:i/>
          <w:sz w:val="24"/>
          <w:szCs w:val="24"/>
          <w:lang w:val="fr-FR"/>
        </w:rPr>
        <w:t>Commentaire :</w:t>
      </w:r>
    </w:p>
    <w:p w14:paraId="4D285A10" w14:textId="77777777" w:rsidR="00D17A70" w:rsidRPr="001E3C8E" w:rsidRDefault="00D17A70" w:rsidP="00E27A1F">
      <w:pPr>
        <w:tabs>
          <w:tab w:val="left" w:pos="8227"/>
        </w:tabs>
        <w:jc w:val="both"/>
        <w:rPr>
          <w:i/>
          <w:sz w:val="24"/>
          <w:szCs w:val="24"/>
          <w:lang w:val="fr-FR"/>
        </w:rPr>
      </w:pPr>
    </w:p>
    <w:p w14:paraId="6FD35056" w14:textId="52DAC73B" w:rsidR="00DE43DD" w:rsidRPr="001E3C8E" w:rsidRDefault="00DE43DD" w:rsidP="00430901">
      <w:pPr>
        <w:numPr>
          <w:ilvl w:val="0"/>
          <w:numId w:val="3"/>
        </w:numPr>
        <w:ind w:left="1276" w:hanging="567"/>
        <w:jc w:val="both"/>
        <w:rPr>
          <w:sz w:val="24"/>
          <w:szCs w:val="24"/>
          <w:lang w:val="fr-FR"/>
        </w:rPr>
      </w:pPr>
      <w:r w:rsidRPr="001E3C8E">
        <w:rPr>
          <w:color w:val="000000" w:themeColor="text1"/>
          <w:sz w:val="24"/>
          <w:szCs w:val="24"/>
          <w:lang w:val="fr-FR"/>
        </w:rPr>
        <w:t xml:space="preserve">Les </w:t>
      </w:r>
      <w:r w:rsidR="00460B5A" w:rsidRPr="001E3C8E">
        <w:rPr>
          <w:color w:val="000000" w:themeColor="text1"/>
          <w:sz w:val="24"/>
          <w:szCs w:val="24"/>
          <w:lang w:val="fr-FR"/>
        </w:rPr>
        <w:t>études</w:t>
      </w:r>
      <w:r w:rsidRPr="001E3C8E">
        <w:rPr>
          <w:color w:val="000000" w:themeColor="text1"/>
          <w:sz w:val="24"/>
          <w:szCs w:val="24"/>
          <w:lang w:val="fr-FR"/>
        </w:rPr>
        <w:t xml:space="preserve"> d’impact sur les droits humains </w:t>
      </w:r>
      <w:r w:rsidR="00460B5A" w:rsidRPr="001E3C8E">
        <w:rPr>
          <w:color w:val="000000" w:themeColor="text1"/>
          <w:sz w:val="24"/>
          <w:szCs w:val="24"/>
          <w:lang w:val="fr-FR"/>
        </w:rPr>
        <w:t>doivent</w:t>
      </w:r>
      <w:r w:rsidRPr="001E3C8E">
        <w:rPr>
          <w:color w:val="000000" w:themeColor="text1"/>
          <w:sz w:val="24"/>
          <w:szCs w:val="24"/>
          <w:lang w:val="fr-FR"/>
        </w:rPr>
        <w:t xml:space="preserve"> </w:t>
      </w:r>
      <w:r w:rsidR="00055430" w:rsidRPr="001E3C8E">
        <w:rPr>
          <w:color w:val="000000" w:themeColor="text1"/>
          <w:sz w:val="24"/>
          <w:szCs w:val="24"/>
          <w:lang w:val="fr-FR"/>
        </w:rPr>
        <w:t>constituer</w:t>
      </w:r>
      <w:r w:rsidRPr="001E3C8E">
        <w:rPr>
          <w:color w:val="000000" w:themeColor="text1"/>
          <w:sz w:val="24"/>
          <w:szCs w:val="24"/>
          <w:lang w:val="fr-FR"/>
        </w:rPr>
        <w:t xml:space="preserve"> un élément </w:t>
      </w:r>
      <w:r w:rsidR="00460B5A" w:rsidRPr="001E3C8E">
        <w:rPr>
          <w:color w:val="000000" w:themeColor="text1"/>
          <w:sz w:val="24"/>
          <w:szCs w:val="24"/>
          <w:lang w:val="fr-FR"/>
        </w:rPr>
        <w:t>standard</w:t>
      </w:r>
      <w:r w:rsidRPr="001E3C8E">
        <w:rPr>
          <w:color w:val="000000" w:themeColor="text1"/>
          <w:sz w:val="24"/>
          <w:szCs w:val="24"/>
          <w:lang w:val="fr-FR"/>
        </w:rPr>
        <w:t xml:space="preserve"> des p</w:t>
      </w:r>
      <w:r w:rsidR="00055430" w:rsidRPr="001E3C8E">
        <w:rPr>
          <w:color w:val="000000" w:themeColor="text1"/>
          <w:sz w:val="24"/>
          <w:szCs w:val="24"/>
          <w:lang w:val="fr-FR"/>
        </w:rPr>
        <w:t>olitiques de réforme économique et démarrer</w:t>
      </w:r>
      <w:r w:rsidRPr="001E3C8E">
        <w:rPr>
          <w:color w:val="000000" w:themeColor="text1"/>
          <w:sz w:val="24"/>
          <w:szCs w:val="24"/>
          <w:lang w:val="fr-FR"/>
        </w:rPr>
        <w:t xml:space="preserve"> aussi rapidement que possible dans le processus de décision politique </w:t>
      </w:r>
      <w:r w:rsidR="00460B5A" w:rsidRPr="001E3C8E">
        <w:rPr>
          <w:color w:val="000000" w:themeColor="text1"/>
          <w:sz w:val="24"/>
          <w:szCs w:val="24"/>
          <w:lang w:val="fr-FR"/>
        </w:rPr>
        <w:t>pour être en mesure d’</w:t>
      </w:r>
      <w:r w:rsidRPr="001E3C8E">
        <w:rPr>
          <w:color w:val="000000" w:themeColor="text1"/>
          <w:sz w:val="24"/>
          <w:szCs w:val="24"/>
          <w:lang w:val="fr-FR"/>
        </w:rPr>
        <w:t xml:space="preserve">influencer le choix d’options politiques alternatives. Les </w:t>
      </w:r>
      <w:r w:rsidR="00460B5A" w:rsidRPr="001E3C8E">
        <w:rPr>
          <w:color w:val="000000" w:themeColor="text1"/>
          <w:sz w:val="24"/>
          <w:szCs w:val="24"/>
          <w:lang w:val="fr-FR"/>
        </w:rPr>
        <w:t>études</w:t>
      </w:r>
      <w:r w:rsidRPr="001E3C8E">
        <w:rPr>
          <w:color w:val="000000" w:themeColor="text1"/>
          <w:sz w:val="24"/>
          <w:szCs w:val="24"/>
          <w:lang w:val="fr-FR"/>
        </w:rPr>
        <w:t xml:space="preserve"> d’impact sur les droits humains doivent être utilisées </w:t>
      </w:r>
      <w:r w:rsidR="00460B5A" w:rsidRPr="001E3C8E">
        <w:rPr>
          <w:color w:val="000000" w:themeColor="text1"/>
          <w:sz w:val="24"/>
          <w:szCs w:val="24"/>
          <w:lang w:val="fr-FR"/>
        </w:rPr>
        <w:t>en continuité</w:t>
      </w:r>
      <w:r w:rsidRPr="001E3C8E">
        <w:rPr>
          <w:color w:val="000000" w:themeColor="text1"/>
          <w:sz w:val="24"/>
          <w:szCs w:val="24"/>
          <w:lang w:val="fr-FR"/>
        </w:rPr>
        <w:t xml:space="preserve">, et </w:t>
      </w:r>
      <w:r w:rsidR="00460B5A" w:rsidRPr="001E3C8E">
        <w:rPr>
          <w:color w:val="000000" w:themeColor="text1"/>
          <w:sz w:val="24"/>
          <w:szCs w:val="24"/>
          <w:lang w:val="fr-FR"/>
        </w:rPr>
        <w:t xml:space="preserve">ne doivent pas constituer </w:t>
      </w:r>
      <w:r w:rsidRPr="001E3C8E">
        <w:rPr>
          <w:color w:val="000000" w:themeColor="text1"/>
          <w:sz w:val="24"/>
          <w:szCs w:val="24"/>
          <w:lang w:val="fr-FR"/>
        </w:rPr>
        <w:t>un processus isolé. Elles doivent servir à prendre du recul et à évaluer les mesur</w:t>
      </w:r>
      <w:r w:rsidR="00460B5A" w:rsidRPr="001E3C8E">
        <w:rPr>
          <w:color w:val="000000" w:themeColor="text1"/>
          <w:sz w:val="24"/>
          <w:szCs w:val="24"/>
          <w:lang w:val="fr-FR"/>
        </w:rPr>
        <w:t>es à court-terme déjà prises,</w:t>
      </w:r>
      <w:r w:rsidRPr="001E3C8E">
        <w:rPr>
          <w:color w:val="000000" w:themeColor="text1"/>
          <w:sz w:val="24"/>
          <w:szCs w:val="24"/>
          <w:lang w:val="fr-FR"/>
        </w:rPr>
        <w:t xml:space="preserve"> proposer des adaptations </w:t>
      </w:r>
      <w:r w:rsidR="00460B5A" w:rsidRPr="001E3C8E">
        <w:rPr>
          <w:color w:val="000000" w:themeColor="text1"/>
          <w:sz w:val="24"/>
          <w:szCs w:val="24"/>
          <w:lang w:val="fr-FR"/>
        </w:rPr>
        <w:t xml:space="preserve">et </w:t>
      </w:r>
      <w:r w:rsidRPr="001E3C8E">
        <w:rPr>
          <w:color w:val="000000" w:themeColor="text1"/>
          <w:sz w:val="24"/>
          <w:szCs w:val="24"/>
          <w:lang w:val="fr-FR"/>
        </w:rPr>
        <w:t xml:space="preserve">fournir des </w:t>
      </w:r>
      <w:r w:rsidR="00460B5A" w:rsidRPr="001E3C8E">
        <w:rPr>
          <w:color w:val="000000" w:themeColor="text1"/>
          <w:sz w:val="24"/>
          <w:szCs w:val="24"/>
          <w:lang w:val="fr-FR"/>
        </w:rPr>
        <w:t>données factuelles</w:t>
      </w:r>
      <w:r w:rsidRPr="001E3C8E">
        <w:rPr>
          <w:color w:val="000000" w:themeColor="text1"/>
          <w:sz w:val="24"/>
          <w:szCs w:val="24"/>
          <w:lang w:val="fr-FR"/>
        </w:rPr>
        <w:t xml:space="preserve"> pour la </w:t>
      </w:r>
      <w:r w:rsidRPr="001E3C8E">
        <w:rPr>
          <w:color w:val="000000" w:themeColor="text1"/>
          <w:sz w:val="24"/>
          <w:szCs w:val="24"/>
          <w:lang w:val="fr-FR"/>
        </w:rPr>
        <w:lastRenderedPageBreak/>
        <w:t>planification à moyen et à plus long terme pour l’avenir.</w:t>
      </w:r>
    </w:p>
    <w:p w14:paraId="165A5BB8" w14:textId="77777777" w:rsidR="00D17A70" w:rsidRPr="001E3C8E" w:rsidRDefault="00D17A70" w:rsidP="00E27A1F">
      <w:pPr>
        <w:jc w:val="both"/>
        <w:rPr>
          <w:sz w:val="24"/>
          <w:szCs w:val="24"/>
          <w:lang w:val="fr-FR"/>
        </w:rPr>
      </w:pPr>
    </w:p>
    <w:p w14:paraId="5006EAF3" w14:textId="6D131645" w:rsidR="00DE43DD" w:rsidRPr="001E3C8E" w:rsidRDefault="00CF72AD" w:rsidP="00430901">
      <w:pPr>
        <w:numPr>
          <w:ilvl w:val="0"/>
          <w:numId w:val="3"/>
        </w:numPr>
        <w:ind w:left="1276" w:hanging="567"/>
        <w:jc w:val="both"/>
        <w:rPr>
          <w:sz w:val="24"/>
          <w:szCs w:val="24"/>
          <w:lang w:val="fr-FR"/>
        </w:rPr>
      </w:pPr>
      <w:r w:rsidRPr="001E3C8E">
        <w:rPr>
          <w:sz w:val="24"/>
          <w:szCs w:val="24"/>
          <w:lang w:val="fr-FR"/>
        </w:rPr>
        <w:t>Pour les réformes à moyen</w:t>
      </w:r>
      <w:r w:rsidR="00DE43DD" w:rsidRPr="001E3C8E">
        <w:rPr>
          <w:sz w:val="24"/>
          <w:szCs w:val="24"/>
          <w:lang w:val="fr-FR"/>
        </w:rPr>
        <w:t xml:space="preserve"> et long</w:t>
      </w:r>
      <w:r w:rsidRPr="001E3C8E">
        <w:rPr>
          <w:sz w:val="24"/>
          <w:szCs w:val="24"/>
          <w:lang w:val="fr-FR"/>
        </w:rPr>
        <w:t xml:space="preserve"> </w:t>
      </w:r>
      <w:r w:rsidR="00DE43DD" w:rsidRPr="001E3C8E">
        <w:rPr>
          <w:sz w:val="24"/>
          <w:szCs w:val="24"/>
          <w:lang w:val="fr-FR"/>
        </w:rPr>
        <w:t xml:space="preserve">terme, une </w:t>
      </w:r>
      <w:r w:rsidR="00460B5A" w:rsidRPr="001E3C8E">
        <w:rPr>
          <w:sz w:val="24"/>
          <w:szCs w:val="24"/>
          <w:lang w:val="fr-FR"/>
        </w:rPr>
        <w:t>étude</w:t>
      </w:r>
      <w:r w:rsidR="00DE43DD" w:rsidRPr="001E3C8E">
        <w:rPr>
          <w:sz w:val="24"/>
          <w:szCs w:val="24"/>
          <w:lang w:val="fr-FR"/>
        </w:rPr>
        <w:t xml:space="preserve"> d’impact sur les droits humains peut aider les </w:t>
      </w:r>
      <w:r w:rsidR="00460B5A" w:rsidRPr="001E3C8E">
        <w:rPr>
          <w:sz w:val="24"/>
          <w:szCs w:val="24"/>
          <w:lang w:val="fr-FR"/>
        </w:rPr>
        <w:t>États</w:t>
      </w:r>
      <w:r w:rsidR="00DE43DD" w:rsidRPr="001E3C8E">
        <w:rPr>
          <w:sz w:val="24"/>
          <w:szCs w:val="24"/>
          <w:lang w:val="fr-FR"/>
        </w:rPr>
        <w:t xml:space="preserve"> et les institutions financières internationales à créer les capacités nécessaires pour </w:t>
      </w:r>
      <w:r w:rsidR="00460B5A" w:rsidRPr="001E3C8E">
        <w:rPr>
          <w:sz w:val="24"/>
          <w:szCs w:val="24"/>
          <w:lang w:val="fr-FR"/>
        </w:rPr>
        <w:t xml:space="preserve">s’adapter aux </w:t>
      </w:r>
      <w:r w:rsidR="00B77F3B" w:rsidRPr="001E3C8E">
        <w:rPr>
          <w:sz w:val="24"/>
          <w:szCs w:val="24"/>
          <w:lang w:val="fr-FR"/>
        </w:rPr>
        <w:t>changeme</w:t>
      </w:r>
      <w:r w:rsidR="00460B5A" w:rsidRPr="001E3C8E">
        <w:rPr>
          <w:sz w:val="24"/>
          <w:szCs w:val="24"/>
          <w:lang w:val="fr-FR"/>
        </w:rPr>
        <w:t xml:space="preserve">nts impératifs en matière de </w:t>
      </w:r>
      <w:r w:rsidR="00B77F3B" w:rsidRPr="001E3C8E">
        <w:rPr>
          <w:sz w:val="24"/>
          <w:szCs w:val="24"/>
          <w:lang w:val="fr-FR"/>
        </w:rPr>
        <w:t xml:space="preserve">politique économique afin de mieux gérer la prochaine crise économique et financière, et d’assurer un </w:t>
      </w:r>
      <w:r w:rsidR="00460B5A" w:rsidRPr="001E3C8E">
        <w:rPr>
          <w:sz w:val="24"/>
          <w:szCs w:val="24"/>
          <w:lang w:val="fr-FR"/>
        </w:rPr>
        <w:t>sentiment</w:t>
      </w:r>
      <w:r w:rsidR="00B77F3B" w:rsidRPr="001E3C8E">
        <w:rPr>
          <w:sz w:val="24"/>
          <w:szCs w:val="24"/>
          <w:lang w:val="fr-FR"/>
        </w:rPr>
        <w:t xml:space="preserve"> solide d’inclusion sociale. </w:t>
      </w:r>
      <w:r w:rsidR="00C24E23" w:rsidRPr="001E3C8E">
        <w:rPr>
          <w:sz w:val="24"/>
          <w:szCs w:val="24"/>
          <w:lang w:val="fr-FR"/>
        </w:rPr>
        <w:t xml:space="preserve">Un suivi précis et bien documenté contribuera également à une prise de décision </w:t>
      </w:r>
      <w:r w:rsidR="00460B5A" w:rsidRPr="001E3C8E">
        <w:rPr>
          <w:sz w:val="24"/>
          <w:szCs w:val="24"/>
          <w:lang w:val="fr-FR"/>
        </w:rPr>
        <w:t>fondée</w:t>
      </w:r>
      <w:r w:rsidR="00C24E23" w:rsidRPr="001E3C8E">
        <w:rPr>
          <w:sz w:val="24"/>
          <w:szCs w:val="24"/>
          <w:lang w:val="fr-FR"/>
        </w:rPr>
        <w:t xml:space="preserve"> sur des </w:t>
      </w:r>
      <w:r w:rsidR="00460B5A" w:rsidRPr="001E3C8E">
        <w:rPr>
          <w:sz w:val="24"/>
          <w:szCs w:val="24"/>
          <w:lang w:val="fr-FR"/>
        </w:rPr>
        <w:t>données factuelles</w:t>
      </w:r>
      <w:r w:rsidR="00C24E23" w:rsidRPr="001E3C8E">
        <w:rPr>
          <w:sz w:val="24"/>
          <w:szCs w:val="24"/>
          <w:lang w:val="fr-FR"/>
        </w:rPr>
        <w:t xml:space="preserve"> de la part de l’</w:t>
      </w:r>
      <w:r w:rsidR="00460B5A" w:rsidRPr="001E3C8E">
        <w:rPr>
          <w:sz w:val="24"/>
          <w:szCs w:val="24"/>
          <w:lang w:val="fr-FR"/>
        </w:rPr>
        <w:t>État</w:t>
      </w:r>
      <w:r w:rsidR="00C24E23" w:rsidRPr="001E3C8E">
        <w:rPr>
          <w:sz w:val="24"/>
          <w:szCs w:val="24"/>
          <w:lang w:val="fr-FR"/>
        </w:rPr>
        <w:t xml:space="preserve"> concerné ou d’autres </w:t>
      </w:r>
      <w:r w:rsidR="00460B5A" w:rsidRPr="001E3C8E">
        <w:rPr>
          <w:sz w:val="24"/>
          <w:szCs w:val="24"/>
          <w:lang w:val="fr-FR"/>
        </w:rPr>
        <w:t>États</w:t>
      </w:r>
      <w:r w:rsidR="00C24E23" w:rsidRPr="001E3C8E">
        <w:rPr>
          <w:sz w:val="24"/>
          <w:szCs w:val="24"/>
          <w:lang w:val="fr-FR"/>
        </w:rPr>
        <w:t xml:space="preserve"> lors </w:t>
      </w:r>
      <w:r w:rsidR="00BF7BAA" w:rsidRPr="001E3C8E">
        <w:rPr>
          <w:sz w:val="24"/>
          <w:szCs w:val="24"/>
          <w:lang w:val="fr-FR"/>
        </w:rPr>
        <w:t>de</w:t>
      </w:r>
      <w:r w:rsidR="00C24E23" w:rsidRPr="001E3C8E">
        <w:rPr>
          <w:sz w:val="24"/>
          <w:szCs w:val="24"/>
          <w:lang w:val="fr-FR"/>
        </w:rPr>
        <w:t xml:space="preserve"> crises</w:t>
      </w:r>
      <w:r w:rsidR="00BF7BAA" w:rsidRPr="001E3C8E">
        <w:rPr>
          <w:sz w:val="24"/>
          <w:szCs w:val="24"/>
          <w:lang w:val="fr-FR"/>
        </w:rPr>
        <w:t xml:space="preserve"> dans l’avenir</w:t>
      </w:r>
      <w:r w:rsidR="00C24E23" w:rsidRPr="001E3C8E">
        <w:rPr>
          <w:sz w:val="24"/>
          <w:szCs w:val="24"/>
          <w:lang w:val="fr-FR"/>
        </w:rPr>
        <w:t>.</w:t>
      </w:r>
    </w:p>
    <w:p w14:paraId="1A10FE88" w14:textId="77777777" w:rsidR="00D17A70" w:rsidRPr="001E3C8E" w:rsidRDefault="00D17A70" w:rsidP="00E27A1F">
      <w:pPr>
        <w:jc w:val="both"/>
        <w:rPr>
          <w:sz w:val="24"/>
          <w:szCs w:val="24"/>
          <w:lang w:val="fr-FR"/>
        </w:rPr>
      </w:pPr>
    </w:p>
    <w:p w14:paraId="312632F0" w14:textId="1D72210E" w:rsidR="00C24E23" w:rsidRPr="001E3C8E" w:rsidRDefault="00C24E23" w:rsidP="00430901">
      <w:pPr>
        <w:numPr>
          <w:ilvl w:val="0"/>
          <w:numId w:val="3"/>
        </w:numPr>
        <w:ind w:left="1276" w:hanging="567"/>
        <w:jc w:val="both"/>
        <w:rPr>
          <w:sz w:val="24"/>
          <w:szCs w:val="24"/>
          <w:lang w:val="fr-FR"/>
        </w:rPr>
      </w:pPr>
      <w:r w:rsidRPr="001E3C8E">
        <w:rPr>
          <w:sz w:val="24"/>
          <w:szCs w:val="24"/>
          <w:lang w:val="fr-FR"/>
        </w:rPr>
        <w:t xml:space="preserve">La fréquence des </w:t>
      </w:r>
      <w:r w:rsidR="00591163" w:rsidRPr="001E3C8E">
        <w:rPr>
          <w:sz w:val="24"/>
          <w:szCs w:val="24"/>
          <w:lang w:val="fr-FR"/>
        </w:rPr>
        <w:t>études</w:t>
      </w:r>
      <w:r w:rsidRPr="001E3C8E">
        <w:rPr>
          <w:sz w:val="24"/>
          <w:szCs w:val="24"/>
          <w:lang w:val="fr-FR"/>
        </w:rPr>
        <w:t xml:space="preserve"> d’impact sur les droits humains dépendra de </w:t>
      </w:r>
      <w:r w:rsidR="00591163" w:rsidRPr="001E3C8E">
        <w:rPr>
          <w:sz w:val="24"/>
          <w:szCs w:val="24"/>
          <w:lang w:val="fr-FR"/>
        </w:rPr>
        <w:t xml:space="preserve">la nature des mesures à évaluer. Ces études doivent être effectuées au moins une fois par an, </w:t>
      </w:r>
      <w:r w:rsidRPr="001E3C8E">
        <w:rPr>
          <w:sz w:val="24"/>
          <w:szCs w:val="24"/>
          <w:lang w:val="fr-FR"/>
        </w:rPr>
        <w:t>selon le</w:t>
      </w:r>
      <w:r w:rsidR="00591163" w:rsidRPr="001E3C8E">
        <w:rPr>
          <w:sz w:val="24"/>
          <w:szCs w:val="24"/>
          <w:lang w:val="fr-FR"/>
        </w:rPr>
        <w:t xml:space="preserve"> cycle de politique fiscale</w:t>
      </w:r>
      <w:r w:rsidRPr="001E3C8E">
        <w:rPr>
          <w:sz w:val="24"/>
          <w:szCs w:val="24"/>
          <w:lang w:val="fr-FR"/>
        </w:rPr>
        <w:t>. Il sera ainsi p</w:t>
      </w:r>
      <w:r w:rsidR="00591163" w:rsidRPr="001E3C8E">
        <w:rPr>
          <w:sz w:val="24"/>
          <w:szCs w:val="24"/>
          <w:lang w:val="fr-FR"/>
        </w:rPr>
        <w:t>ossible d’évaluer notamment si l</w:t>
      </w:r>
      <w:r w:rsidRPr="001E3C8E">
        <w:rPr>
          <w:sz w:val="24"/>
          <w:szCs w:val="24"/>
          <w:lang w:val="fr-FR"/>
        </w:rPr>
        <w:t xml:space="preserve">es mesures </w:t>
      </w:r>
      <w:r w:rsidR="00AB3F87" w:rsidRPr="001E3C8E">
        <w:rPr>
          <w:sz w:val="24"/>
          <w:szCs w:val="24"/>
          <w:lang w:val="fr-FR"/>
        </w:rPr>
        <w:t>régressive</w:t>
      </w:r>
      <w:r w:rsidRPr="001E3C8E">
        <w:rPr>
          <w:sz w:val="24"/>
          <w:szCs w:val="24"/>
          <w:lang w:val="fr-FR"/>
        </w:rPr>
        <w:t>s</w:t>
      </w:r>
      <w:r w:rsidR="00591163" w:rsidRPr="001E3C8E">
        <w:rPr>
          <w:sz w:val="24"/>
          <w:szCs w:val="24"/>
          <w:lang w:val="fr-FR"/>
        </w:rPr>
        <w:t xml:space="preserve"> éventuelles</w:t>
      </w:r>
      <w:r w:rsidRPr="001E3C8E">
        <w:rPr>
          <w:sz w:val="24"/>
          <w:szCs w:val="24"/>
          <w:lang w:val="fr-FR"/>
        </w:rPr>
        <w:t xml:space="preserve"> continuent de respecter </w:t>
      </w:r>
      <w:r w:rsidR="00591163" w:rsidRPr="001E3C8E">
        <w:rPr>
          <w:sz w:val="24"/>
          <w:szCs w:val="24"/>
          <w:lang w:val="fr-FR"/>
        </w:rPr>
        <w:t>les critères, tels que leur nature</w:t>
      </w:r>
      <w:r w:rsidRPr="001E3C8E">
        <w:rPr>
          <w:sz w:val="24"/>
          <w:szCs w:val="24"/>
          <w:lang w:val="fr-FR"/>
        </w:rPr>
        <w:t xml:space="preserve"> temporaire, et justifient la restauration </w:t>
      </w:r>
      <w:r w:rsidR="00591163" w:rsidRPr="001E3C8E">
        <w:rPr>
          <w:sz w:val="24"/>
          <w:szCs w:val="24"/>
          <w:lang w:val="fr-FR"/>
        </w:rPr>
        <w:t xml:space="preserve">rapide </w:t>
      </w:r>
      <w:r w:rsidRPr="001E3C8E">
        <w:rPr>
          <w:sz w:val="24"/>
          <w:szCs w:val="24"/>
          <w:lang w:val="fr-FR"/>
        </w:rPr>
        <w:t xml:space="preserve">de niveaux de financement dès que la </w:t>
      </w:r>
      <w:r w:rsidR="00591163" w:rsidRPr="001E3C8E">
        <w:rPr>
          <w:sz w:val="24"/>
          <w:szCs w:val="24"/>
          <w:lang w:val="fr-FR"/>
        </w:rPr>
        <w:t>marge de manœuvre fiscale le permettra.</w:t>
      </w:r>
    </w:p>
    <w:p w14:paraId="6818F2F5" w14:textId="77777777" w:rsidR="00D17A70" w:rsidRPr="001E3C8E" w:rsidRDefault="00D17A70" w:rsidP="00E27A1F">
      <w:pPr>
        <w:jc w:val="both"/>
        <w:rPr>
          <w:sz w:val="24"/>
          <w:szCs w:val="24"/>
          <w:lang w:val="fr-FR"/>
        </w:rPr>
      </w:pPr>
    </w:p>
    <w:p w14:paraId="6F3C7258" w14:textId="241A6009" w:rsidR="00C24E23" w:rsidRPr="001E3C8E" w:rsidRDefault="00C24E23" w:rsidP="00430901">
      <w:pPr>
        <w:numPr>
          <w:ilvl w:val="0"/>
          <w:numId w:val="3"/>
        </w:numPr>
        <w:ind w:left="1276" w:hanging="567"/>
        <w:jc w:val="both"/>
        <w:rPr>
          <w:sz w:val="24"/>
          <w:szCs w:val="24"/>
          <w:lang w:val="fr-FR"/>
        </w:rPr>
      </w:pPr>
      <w:r w:rsidRPr="001E3C8E">
        <w:rPr>
          <w:sz w:val="24"/>
          <w:szCs w:val="24"/>
          <w:lang w:val="fr-FR"/>
        </w:rPr>
        <w:t>Les progra</w:t>
      </w:r>
      <w:r w:rsidR="00E507BC" w:rsidRPr="001E3C8E">
        <w:rPr>
          <w:sz w:val="24"/>
          <w:szCs w:val="24"/>
          <w:lang w:val="fr-FR"/>
        </w:rPr>
        <w:t>mmes de réforme économique passé</w:t>
      </w:r>
      <w:r w:rsidRPr="001E3C8E">
        <w:rPr>
          <w:sz w:val="24"/>
          <w:szCs w:val="24"/>
          <w:lang w:val="fr-FR"/>
        </w:rPr>
        <w:t xml:space="preserve">s devraient être évalués selon </w:t>
      </w:r>
      <w:r w:rsidR="004E37E2" w:rsidRPr="001E3C8E">
        <w:rPr>
          <w:sz w:val="24"/>
          <w:szCs w:val="24"/>
          <w:lang w:val="fr-FR"/>
        </w:rPr>
        <w:t>leur capacité à assurer</w:t>
      </w:r>
      <w:r w:rsidRPr="001E3C8E">
        <w:rPr>
          <w:sz w:val="24"/>
          <w:szCs w:val="24"/>
          <w:lang w:val="fr-FR"/>
        </w:rPr>
        <w:t xml:space="preserve"> une </w:t>
      </w:r>
      <w:r w:rsidR="004E37E2" w:rsidRPr="001E3C8E">
        <w:rPr>
          <w:sz w:val="24"/>
          <w:szCs w:val="24"/>
          <w:lang w:val="fr-FR"/>
        </w:rPr>
        <w:t xml:space="preserve">répartition équitable et juste du poids </w:t>
      </w:r>
      <w:r w:rsidRPr="001E3C8E">
        <w:rPr>
          <w:sz w:val="24"/>
          <w:szCs w:val="24"/>
          <w:lang w:val="fr-FR"/>
        </w:rPr>
        <w:t xml:space="preserve">de l’ajustement social, et pas seulement selon </w:t>
      </w:r>
      <w:r w:rsidR="004E37E2" w:rsidRPr="001E3C8E">
        <w:rPr>
          <w:sz w:val="24"/>
          <w:szCs w:val="24"/>
          <w:lang w:val="fr-FR"/>
        </w:rPr>
        <w:t>la réduction d</w:t>
      </w:r>
      <w:r w:rsidRPr="001E3C8E">
        <w:rPr>
          <w:sz w:val="24"/>
          <w:szCs w:val="24"/>
          <w:lang w:val="fr-FR"/>
        </w:rPr>
        <w:t xml:space="preserve">es déficits budgétaires et </w:t>
      </w:r>
      <w:r w:rsidR="004E37E2" w:rsidRPr="001E3C8E">
        <w:rPr>
          <w:sz w:val="24"/>
          <w:szCs w:val="24"/>
          <w:lang w:val="fr-FR"/>
        </w:rPr>
        <w:t xml:space="preserve">la restauration de </w:t>
      </w:r>
      <w:r w:rsidRPr="001E3C8E">
        <w:rPr>
          <w:sz w:val="24"/>
          <w:szCs w:val="24"/>
          <w:lang w:val="fr-FR"/>
        </w:rPr>
        <w:t xml:space="preserve">la durabilité de la dette ou </w:t>
      </w:r>
      <w:r w:rsidR="00944881" w:rsidRPr="001E3C8E">
        <w:rPr>
          <w:sz w:val="24"/>
          <w:szCs w:val="24"/>
          <w:lang w:val="fr-FR"/>
        </w:rPr>
        <w:t xml:space="preserve">de </w:t>
      </w:r>
      <w:r w:rsidRPr="001E3C8E">
        <w:rPr>
          <w:sz w:val="24"/>
          <w:szCs w:val="24"/>
          <w:lang w:val="fr-FR"/>
        </w:rPr>
        <w:t>la croissance économique</w:t>
      </w:r>
      <w:r w:rsidR="00944881" w:rsidRPr="001E3C8E">
        <w:rPr>
          <w:sz w:val="24"/>
          <w:szCs w:val="24"/>
          <w:lang w:val="fr-FR"/>
        </w:rPr>
        <w:t xml:space="preserve"> obtenue</w:t>
      </w:r>
      <w:r w:rsidRPr="001E3C8E">
        <w:rPr>
          <w:sz w:val="24"/>
          <w:szCs w:val="24"/>
          <w:lang w:val="fr-FR"/>
        </w:rPr>
        <w:t xml:space="preserve">. </w:t>
      </w:r>
      <w:r w:rsidR="00944881" w:rsidRPr="001E3C8E">
        <w:rPr>
          <w:sz w:val="24"/>
          <w:szCs w:val="24"/>
          <w:lang w:val="fr-FR"/>
        </w:rPr>
        <w:t xml:space="preserve">Les </w:t>
      </w:r>
      <w:r w:rsidRPr="001E3C8E">
        <w:rPr>
          <w:sz w:val="24"/>
          <w:szCs w:val="24"/>
          <w:lang w:val="fr-FR"/>
        </w:rPr>
        <w:t xml:space="preserve">évaluations </w:t>
      </w:r>
      <w:r w:rsidR="00944881" w:rsidRPr="001E3C8E">
        <w:rPr>
          <w:sz w:val="24"/>
          <w:szCs w:val="24"/>
          <w:lang w:val="fr-FR"/>
        </w:rPr>
        <w:t>concernées doivent</w:t>
      </w:r>
      <w:r w:rsidRPr="001E3C8E">
        <w:rPr>
          <w:sz w:val="24"/>
          <w:szCs w:val="24"/>
          <w:lang w:val="fr-FR"/>
        </w:rPr>
        <w:t xml:space="preserve"> tenir compte de la </w:t>
      </w:r>
      <w:r w:rsidR="00944881" w:rsidRPr="001E3C8E">
        <w:rPr>
          <w:sz w:val="24"/>
          <w:szCs w:val="24"/>
          <w:lang w:val="fr-FR"/>
        </w:rPr>
        <w:t>capacité de c</w:t>
      </w:r>
      <w:r w:rsidRPr="001E3C8E">
        <w:rPr>
          <w:sz w:val="24"/>
          <w:szCs w:val="24"/>
          <w:lang w:val="fr-FR"/>
        </w:rPr>
        <w:t xml:space="preserve">es programmes de réformes </w:t>
      </w:r>
      <w:r w:rsidR="00944881" w:rsidRPr="001E3C8E">
        <w:rPr>
          <w:sz w:val="24"/>
          <w:szCs w:val="24"/>
          <w:lang w:val="fr-FR"/>
        </w:rPr>
        <w:t>à protéger</w:t>
      </w:r>
      <w:r w:rsidRPr="001E3C8E">
        <w:rPr>
          <w:sz w:val="24"/>
          <w:szCs w:val="24"/>
          <w:lang w:val="fr-FR"/>
        </w:rPr>
        <w:t xml:space="preserve"> les droits sociaux et économiques et </w:t>
      </w:r>
      <w:r w:rsidR="00944881" w:rsidRPr="001E3C8E">
        <w:rPr>
          <w:sz w:val="24"/>
          <w:szCs w:val="24"/>
          <w:lang w:val="fr-FR"/>
        </w:rPr>
        <w:t>identifier l</w:t>
      </w:r>
      <w:r w:rsidRPr="001E3C8E">
        <w:rPr>
          <w:sz w:val="24"/>
          <w:szCs w:val="24"/>
          <w:lang w:val="fr-FR"/>
        </w:rPr>
        <w:t>es lacunes à combler.</w:t>
      </w:r>
    </w:p>
    <w:p w14:paraId="0C63FB6B" w14:textId="77777777" w:rsidR="00D17A70" w:rsidRPr="001E3C8E" w:rsidRDefault="00D17A70" w:rsidP="00E27A1F">
      <w:pPr>
        <w:jc w:val="both"/>
        <w:rPr>
          <w:sz w:val="24"/>
          <w:szCs w:val="24"/>
          <w:lang w:val="fr-FR"/>
        </w:rPr>
      </w:pPr>
    </w:p>
    <w:p w14:paraId="0E4FF939" w14:textId="413C0975" w:rsidR="00242CAC" w:rsidRPr="001E3C8E" w:rsidRDefault="00C24E23" w:rsidP="004157B1">
      <w:pPr>
        <w:numPr>
          <w:ilvl w:val="0"/>
          <w:numId w:val="3"/>
        </w:numPr>
        <w:ind w:left="1276" w:hanging="567"/>
        <w:jc w:val="both"/>
        <w:rPr>
          <w:sz w:val="24"/>
          <w:szCs w:val="24"/>
          <w:lang w:val="fr-FR"/>
        </w:rPr>
      </w:pPr>
      <w:r w:rsidRPr="001E3C8E">
        <w:rPr>
          <w:sz w:val="24"/>
          <w:szCs w:val="24"/>
          <w:lang w:val="fr-FR"/>
        </w:rPr>
        <w:t xml:space="preserve">Les </w:t>
      </w:r>
      <w:r w:rsidR="00944881" w:rsidRPr="001E3C8E">
        <w:rPr>
          <w:sz w:val="24"/>
          <w:szCs w:val="24"/>
          <w:lang w:val="fr-FR"/>
        </w:rPr>
        <w:t>études</w:t>
      </w:r>
      <w:r w:rsidRPr="001E3C8E">
        <w:rPr>
          <w:sz w:val="24"/>
          <w:szCs w:val="24"/>
          <w:lang w:val="fr-FR"/>
        </w:rPr>
        <w:t xml:space="preserve"> d’impact sur les droits humains ne </w:t>
      </w:r>
      <w:r w:rsidR="00944881" w:rsidRPr="001E3C8E">
        <w:rPr>
          <w:sz w:val="24"/>
          <w:szCs w:val="24"/>
          <w:lang w:val="fr-FR"/>
        </w:rPr>
        <w:t>doivent</w:t>
      </w:r>
      <w:r w:rsidRPr="001E3C8E">
        <w:rPr>
          <w:sz w:val="24"/>
          <w:szCs w:val="24"/>
          <w:lang w:val="fr-FR"/>
        </w:rPr>
        <w:t xml:space="preserve"> pas se limiter </w:t>
      </w:r>
      <w:r w:rsidR="00944881" w:rsidRPr="001E3C8E">
        <w:rPr>
          <w:sz w:val="24"/>
          <w:szCs w:val="24"/>
          <w:lang w:val="fr-FR"/>
        </w:rPr>
        <w:t xml:space="preserve"> aux </w:t>
      </w:r>
      <w:r w:rsidRPr="001E3C8E">
        <w:rPr>
          <w:sz w:val="24"/>
          <w:szCs w:val="24"/>
          <w:lang w:val="fr-FR"/>
        </w:rPr>
        <w:t xml:space="preserve">impacts potentiels ou réels mais </w:t>
      </w:r>
      <w:r w:rsidR="00944881" w:rsidRPr="001E3C8E">
        <w:rPr>
          <w:sz w:val="24"/>
          <w:szCs w:val="24"/>
          <w:lang w:val="fr-FR"/>
        </w:rPr>
        <w:t>doivent</w:t>
      </w:r>
      <w:r w:rsidRPr="001E3C8E">
        <w:rPr>
          <w:sz w:val="24"/>
          <w:szCs w:val="24"/>
          <w:lang w:val="fr-FR"/>
        </w:rPr>
        <w:t xml:space="preserve"> aussi être utilisé</w:t>
      </w:r>
      <w:r w:rsidR="00CF72AD" w:rsidRPr="001E3C8E">
        <w:rPr>
          <w:sz w:val="24"/>
          <w:szCs w:val="24"/>
          <w:lang w:val="fr-FR"/>
        </w:rPr>
        <w:t>e</w:t>
      </w:r>
      <w:r w:rsidRPr="001E3C8E">
        <w:rPr>
          <w:sz w:val="24"/>
          <w:szCs w:val="24"/>
          <w:lang w:val="fr-FR"/>
        </w:rPr>
        <w:t>s pour identifier des mesures pe</w:t>
      </w:r>
      <w:r w:rsidR="00944881" w:rsidRPr="001E3C8E">
        <w:rPr>
          <w:sz w:val="24"/>
          <w:szCs w:val="24"/>
          <w:lang w:val="fr-FR"/>
        </w:rPr>
        <w:t xml:space="preserve">rmettant de faire progresser le respect </w:t>
      </w:r>
      <w:r w:rsidRPr="001E3C8E">
        <w:rPr>
          <w:sz w:val="24"/>
          <w:szCs w:val="24"/>
          <w:lang w:val="fr-FR"/>
        </w:rPr>
        <w:t>des droits humains, et les occasions, pour les personnes qui ont la charge de ce devoir</w:t>
      </w:r>
      <w:r w:rsidR="00944881" w:rsidRPr="001E3C8E">
        <w:rPr>
          <w:sz w:val="24"/>
          <w:szCs w:val="24"/>
          <w:lang w:val="fr-FR"/>
        </w:rPr>
        <w:t xml:space="preserve">, de renforcer progressivement le respect </w:t>
      </w:r>
      <w:r w:rsidRPr="001E3C8E">
        <w:rPr>
          <w:sz w:val="24"/>
          <w:szCs w:val="24"/>
          <w:lang w:val="fr-FR"/>
        </w:rPr>
        <w:t>des droits culturels, économiques et sociaux dans le cadre de la mise en œuvre des réformes économiques.</w:t>
      </w:r>
      <w:bookmarkEnd w:id="63"/>
      <w:bookmarkEnd w:id="64"/>
    </w:p>
    <w:p w14:paraId="7688B3E5" w14:textId="77777777" w:rsidR="00620FA6" w:rsidRPr="001E3C8E" w:rsidRDefault="00620FA6" w:rsidP="009C3347">
      <w:pPr>
        <w:pStyle w:val="Heading1"/>
        <w:rPr>
          <w:szCs w:val="24"/>
          <w:lang w:val="fr-FR"/>
        </w:rPr>
      </w:pPr>
    </w:p>
    <w:p w14:paraId="5459EE66" w14:textId="4FB1C1A5" w:rsidR="00C24E23" w:rsidRPr="001E3C8E" w:rsidRDefault="00C24E23" w:rsidP="00D741B8">
      <w:pPr>
        <w:pStyle w:val="Heading1"/>
        <w:numPr>
          <w:ilvl w:val="0"/>
          <w:numId w:val="27"/>
        </w:numPr>
        <w:rPr>
          <w:szCs w:val="24"/>
          <w:lang w:val="fr-FR"/>
        </w:rPr>
      </w:pPr>
      <w:bookmarkStart w:id="65" w:name="_Toc522789733"/>
      <w:r w:rsidRPr="001E3C8E">
        <w:rPr>
          <w:szCs w:val="24"/>
          <w:lang w:val="fr-FR"/>
        </w:rPr>
        <w:t>Viabilité, allègement et restructuration de la dette</w:t>
      </w:r>
      <w:bookmarkEnd w:id="65"/>
    </w:p>
    <w:p w14:paraId="575B0883" w14:textId="77777777" w:rsidR="00684A76" w:rsidRPr="001E3C8E" w:rsidRDefault="00684A76" w:rsidP="00E27A1F">
      <w:pPr>
        <w:pStyle w:val="BodyText"/>
        <w:ind w:left="678" w:firstLine="42"/>
        <w:rPr>
          <w:szCs w:val="24"/>
          <w:lang w:val="fr-FR"/>
        </w:rPr>
      </w:pPr>
    </w:p>
    <w:p w14:paraId="6D330DE0" w14:textId="77C9B11F" w:rsidR="00A31474" w:rsidRPr="001E3C8E" w:rsidRDefault="00A31474" w:rsidP="009C3347">
      <w:pPr>
        <w:pStyle w:val="BodyText"/>
        <w:rPr>
          <w:szCs w:val="24"/>
          <w:lang w:val="fr-FR"/>
        </w:rPr>
      </w:pPr>
      <w:r w:rsidRPr="001E3C8E">
        <w:rPr>
          <w:szCs w:val="24"/>
          <w:lang w:val="fr-FR"/>
        </w:rPr>
        <w:t xml:space="preserve">Une analyse indépendante de la viabilité de la dette doit </w:t>
      </w:r>
      <w:r w:rsidR="00716F5F" w:rsidRPr="001E3C8E">
        <w:rPr>
          <w:szCs w:val="24"/>
          <w:lang w:val="fr-FR"/>
        </w:rPr>
        <w:t>couvrir</w:t>
      </w:r>
      <w:r w:rsidRPr="001E3C8E">
        <w:rPr>
          <w:szCs w:val="24"/>
          <w:lang w:val="fr-FR"/>
        </w:rPr>
        <w:t xml:space="preserve"> les droits humains et tenir compte d’autres dimensions sociales et environnementales. Les conclusions des </w:t>
      </w:r>
      <w:r w:rsidR="00716F5F" w:rsidRPr="001E3C8E">
        <w:rPr>
          <w:szCs w:val="24"/>
          <w:lang w:val="fr-FR"/>
        </w:rPr>
        <w:t>études</w:t>
      </w:r>
      <w:r w:rsidRPr="001E3C8E">
        <w:rPr>
          <w:szCs w:val="24"/>
          <w:lang w:val="fr-FR"/>
        </w:rPr>
        <w:t xml:space="preserve"> d’impact sur les droits humains devraient être utilisées pour renseigner les stratégies d’endetteme</w:t>
      </w:r>
      <w:r w:rsidR="00716F5F" w:rsidRPr="001E3C8E">
        <w:rPr>
          <w:szCs w:val="24"/>
          <w:lang w:val="fr-FR"/>
        </w:rPr>
        <w:t>n</w:t>
      </w:r>
      <w:r w:rsidRPr="001E3C8E">
        <w:rPr>
          <w:szCs w:val="24"/>
          <w:lang w:val="fr-FR"/>
        </w:rPr>
        <w:t>t, les programmes d’allègement de la dette et les négociations de restructuration.</w:t>
      </w:r>
    </w:p>
    <w:p w14:paraId="2C78E196" w14:textId="77777777" w:rsidR="00C32C3B" w:rsidRPr="001E3C8E" w:rsidRDefault="00C32C3B" w:rsidP="009C3347">
      <w:pPr>
        <w:pStyle w:val="BodyText"/>
        <w:rPr>
          <w:szCs w:val="24"/>
          <w:lang w:val="fr-FR"/>
        </w:rPr>
      </w:pPr>
    </w:p>
    <w:p w14:paraId="5BC2A152" w14:textId="4643B69F" w:rsidR="00A31474" w:rsidRPr="001E3C8E" w:rsidRDefault="00A31474" w:rsidP="00915AAD">
      <w:pPr>
        <w:ind w:left="720"/>
        <w:rPr>
          <w:i/>
          <w:szCs w:val="24"/>
          <w:lang w:val="fr-FR"/>
        </w:rPr>
      </w:pPr>
      <w:r w:rsidRPr="001E3C8E">
        <w:rPr>
          <w:i/>
          <w:szCs w:val="24"/>
          <w:lang w:val="fr-FR"/>
        </w:rPr>
        <w:t>Commentaire :</w:t>
      </w:r>
    </w:p>
    <w:p w14:paraId="7A7334C2" w14:textId="77777777" w:rsidR="00915AAD" w:rsidRPr="001E3C8E" w:rsidRDefault="00915AAD" w:rsidP="00915AAD">
      <w:pPr>
        <w:ind w:left="720"/>
        <w:rPr>
          <w:i/>
          <w:szCs w:val="24"/>
          <w:lang w:val="fr-FR"/>
        </w:rPr>
      </w:pPr>
    </w:p>
    <w:p w14:paraId="2EC1BBDE" w14:textId="57A0DE49" w:rsidR="00A31474" w:rsidRPr="001E3C8E" w:rsidRDefault="0059709F" w:rsidP="00430901">
      <w:pPr>
        <w:numPr>
          <w:ilvl w:val="0"/>
          <w:numId w:val="25"/>
        </w:numPr>
        <w:ind w:left="1276" w:hanging="567"/>
        <w:jc w:val="both"/>
        <w:rPr>
          <w:sz w:val="24"/>
          <w:szCs w:val="24"/>
          <w:lang w:val="fr-FR"/>
        </w:rPr>
      </w:pPr>
      <w:r w:rsidRPr="001E3C8E">
        <w:rPr>
          <w:sz w:val="24"/>
          <w:szCs w:val="24"/>
          <w:lang w:val="fr-FR"/>
        </w:rPr>
        <w:lastRenderedPageBreak/>
        <w:t>Trop souvent, l</w:t>
      </w:r>
      <w:r w:rsidR="00A31474" w:rsidRPr="001E3C8E">
        <w:rPr>
          <w:sz w:val="24"/>
          <w:szCs w:val="24"/>
          <w:lang w:val="fr-FR"/>
        </w:rPr>
        <w:t>es p</w:t>
      </w:r>
      <w:r w:rsidRPr="001E3C8E">
        <w:rPr>
          <w:sz w:val="24"/>
          <w:szCs w:val="24"/>
          <w:lang w:val="fr-FR"/>
        </w:rPr>
        <w:t xml:space="preserve">rogrammes d’ajustement </w:t>
      </w:r>
      <w:r w:rsidR="000F24FC" w:rsidRPr="001E3C8E">
        <w:rPr>
          <w:sz w:val="24"/>
          <w:szCs w:val="24"/>
          <w:lang w:val="fr-FR"/>
        </w:rPr>
        <w:t>stru</w:t>
      </w:r>
      <w:r w:rsidR="00FC433F">
        <w:rPr>
          <w:sz w:val="24"/>
          <w:szCs w:val="24"/>
          <w:lang w:val="fr-FR"/>
        </w:rPr>
        <w:t>c</w:t>
      </w:r>
      <w:r w:rsidRPr="001E3C8E">
        <w:rPr>
          <w:sz w:val="24"/>
          <w:szCs w:val="24"/>
          <w:lang w:val="fr-FR"/>
        </w:rPr>
        <w:t>turel</w:t>
      </w:r>
      <w:r w:rsidR="00A31474" w:rsidRPr="001E3C8E">
        <w:rPr>
          <w:sz w:val="24"/>
          <w:szCs w:val="24"/>
          <w:lang w:val="fr-FR"/>
        </w:rPr>
        <w:t xml:space="preserve"> </w:t>
      </w:r>
      <w:r w:rsidRPr="001E3C8E">
        <w:rPr>
          <w:sz w:val="24"/>
          <w:szCs w:val="24"/>
          <w:lang w:val="fr-FR"/>
        </w:rPr>
        <w:t xml:space="preserve">sont tournés </w:t>
      </w:r>
      <w:r w:rsidR="00A31474" w:rsidRPr="001E3C8E">
        <w:rPr>
          <w:sz w:val="24"/>
          <w:szCs w:val="24"/>
          <w:lang w:val="fr-FR"/>
        </w:rPr>
        <w:t xml:space="preserve">uniquement vers les objectifs fiscaux à court-terme pour retrouver une viabilité de la dette. Les analyses de viabilité de la dette sont toujours basées sur une compréhension étroite de la </w:t>
      </w:r>
      <w:r w:rsidR="000F24FC" w:rsidRPr="001E3C8E">
        <w:rPr>
          <w:sz w:val="24"/>
          <w:szCs w:val="24"/>
          <w:lang w:val="fr-FR"/>
        </w:rPr>
        <w:t>viabilité</w:t>
      </w:r>
      <w:r w:rsidR="00A31474" w:rsidRPr="001E3C8E">
        <w:rPr>
          <w:sz w:val="24"/>
          <w:szCs w:val="24"/>
          <w:lang w:val="fr-FR"/>
        </w:rPr>
        <w:t>, et se concentrent surtout sur la capacité qu’a un pays de rembourser sa dette publi</w:t>
      </w:r>
      <w:r w:rsidRPr="001E3C8E">
        <w:rPr>
          <w:sz w:val="24"/>
          <w:szCs w:val="24"/>
          <w:lang w:val="fr-FR"/>
        </w:rPr>
        <w:t>que</w:t>
      </w:r>
      <w:r w:rsidR="00A31474" w:rsidRPr="001E3C8E">
        <w:rPr>
          <w:sz w:val="24"/>
          <w:szCs w:val="24"/>
          <w:lang w:val="fr-FR"/>
        </w:rPr>
        <w:t xml:space="preserve"> sans avoir à recourir à du financement exceptionnel ou à des ajustements politiques majeurs.</w:t>
      </w:r>
    </w:p>
    <w:p w14:paraId="170D75F7" w14:textId="77777777" w:rsidR="00915AAD" w:rsidRPr="001E3C8E" w:rsidRDefault="00915AAD" w:rsidP="00915AAD">
      <w:pPr>
        <w:ind w:left="709"/>
        <w:jc w:val="both"/>
        <w:rPr>
          <w:sz w:val="24"/>
          <w:szCs w:val="24"/>
          <w:lang w:val="fr-FR"/>
        </w:rPr>
      </w:pPr>
    </w:p>
    <w:p w14:paraId="156CBB8F" w14:textId="227712BD" w:rsidR="00A31474" w:rsidRPr="001E3C8E" w:rsidRDefault="00A31474" w:rsidP="00430901">
      <w:pPr>
        <w:numPr>
          <w:ilvl w:val="0"/>
          <w:numId w:val="25"/>
        </w:numPr>
        <w:ind w:left="1276" w:hanging="567"/>
        <w:jc w:val="both"/>
        <w:rPr>
          <w:sz w:val="24"/>
          <w:szCs w:val="24"/>
          <w:lang w:val="fr-FR"/>
        </w:rPr>
      </w:pPr>
      <w:r w:rsidRPr="001E3C8E">
        <w:rPr>
          <w:sz w:val="24"/>
          <w:szCs w:val="24"/>
          <w:lang w:val="fr-FR"/>
        </w:rPr>
        <w:t xml:space="preserve">En </w:t>
      </w:r>
      <w:r w:rsidR="00C51B0B" w:rsidRPr="001E3C8E">
        <w:rPr>
          <w:sz w:val="24"/>
          <w:szCs w:val="24"/>
          <w:lang w:val="fr-FR"/>
        </w:rPr>
        <w:t>consé</w:t>
      </w:r>
      <w:r w:rsidRPr="001E3C8E">
        <w:rPr>
          <w:sz w:val="24"/>
          <w:szCs w:val="24"/>
          <w:lang w:val="fr-FR"/>
        </w:rPr>
        <w:t xml:space="preserve">quence, </w:t>
      </w:r>
      <w:r w:rsidR="00C51B0B" w:rsidRPr="001E3C8E">
        <w:rPr>
          <w:sz w:val="24"/>
          <w:szCs w:val="24"/>
          <w:lang w:val="fr-FR"/>
        </w:rPr>
        <w:t>le montant de la dette publique peut parfois être considéré comme « viable » même s’il implique que l’</w:t>
      </w:r>
      <w:r w:rsidR="0059709F" w:rsidRPr="001E3C8E">
        <w:rPr>
          <w:sz w:val="24"/>
          <w:szCs w:val="24"/>
          <w:lang w:val="fr-FR"/>
        </w:rPr>
        <w:t>État</w:t>
      </w:r>
      <w:r w:rsidR="00C51B0B" w:rsidRPr="001E3C8E">
        <w:rPr>
          <w:sz w:val="24"/>
          <w:szCs w:val="24"/>
          <w:lang w:val="fr-FR"/>
        </w:rPr>
        <w:t xml:space="preserve"> ne pourra pas faire face à ses obligations fondamentales en matière de droits humains parce que les ressources nécessaires au service de la dette le privent des moyens financiers qui lui permettraient de garantir ces droits.</w:t>
      </w:r>
      <w:r w:rsidR="00DF689C" w:rsidRPr="001E3C8E">
        <w:rPr>
          <w:sz w:val="24"/>
          <w:szCs w:val="24"/>
          <w:lang w:val="fr-FR"/>
        </w:rPr>
        <w:t xml:space="preserve"> Les versements liés au</w:t>
      </w:r>
      <w:r w:rsidR="00C51B0B" w:rsidRPr="001E3C8E">
        <w:rPr>
          <w:sz w:val="24"/>
          <w:szCs w:val="24"/>
          <w:lang w:val="fr-FR"/>
        </w:rPr>
        <w:t xml:space="preserve"> service de la dette ne doivent pas compromettre la promotion et le respect des droits humains </w:t>
      </w:r>
      <w:r w:rsidR="00F855B1" w:rsidRPr="001E3C8E">
        <w:rPr>
          <w:sz w:val="24"/>
          <w:szCs w:val="24"/>
          <w:lang w:val="fr-FR"/>
        </w:rPr>
        <w:t>au fil du temps</w:t>
      </w:r>
      <w:r w:rsidR="00C51B0B" w:rsidRPr="001E3C8E">
        <w:rPr>
          <w:sz w:val="24"/>
          <w:szCs w:val="24"/>
          <w:lang w:val="fr-FR"/>
        </w:rPr>
        <w:t>.</w:t>
      </w:r>
    </w:p>
    <w:p w14:paraId="23EAE614" w14:textId="77777777" w:rsidR="00B7323C" w:rsidRPr="001E3C8E" w:rsidRDefault="00B7323C" w:rsidP="00915AAD">
      <w:pPr>
        <w:ind w:left="709"/>
        <w:jc w:val="both"/>
        <w:rPr>
          <w:sz w:val="24"/>
          <w:szCs w:val="24"/>
          <w:lang w:val="fr-FR"/>
        </w:rPr>
      </w:pPr>
    </w:p>
    <w:p w14:paraId="7A8D43BC" w14:textId="307B4D05" w:rsidR="00C51B0B" w:rsidRPr="001E3C8E" w:rsidRDefault="00DF689C" w:rsidP="00430901">
      <w:pPr>
        <w:numPr>
          <w:ilvl w:val="0"/>
          <w:numId w:val="25"/>
        </w:numPr>
        <w:ind w:left="1276" w:hanging="567"/>
        <w:jc w:val="both"/>
        <w:rPr>
          <w:sz w:val="24"/>
          <w:szCs w:val="24"/>
          <w:lang w:val="fr-FR"/>
        </w:rPr>
      </w:pPr>
      <w:r w:rsidRPr="001E3C8E">
        <w:rPr>
          <w:sz w:val="24"/>
          <w:szCs w:val="24"/>
          <w:lang w:val="fr-FR"/>
        </w:rPr>
        <w:t>Une définition plus complè</w:t>
      </w:r>
      <w:r w:rsidR="00C51B0B" w:rsidRPr="001E3C8E">
        <w:rPr>
          <w:sz w:val="24"/>
          <w:szCs w:val="24"/>
          <w:lang w:val="fr-FR"/>
        </w:rPr>
        <w:t xml:space="preserve">te de la viabilité de la dette inclut la durabilité économique, sociale et environnementale, ce qui signifie que la dette ne peut être </w:t>
      </w:r>
      <w:r w:rsidR="00C84D04" w:rsidRPr="001E3C8E">
        <w:rPr>
          <w:sz w:val="24"/>
          <w:szCs w:val="24"/>
          <w:lang w:val="fr-FR"/>
        </w:rPr>
        <w:t>viable</w:t>
      </w:r>
      <w:r w:rsidR="00C51B0B" w:rsidRPr="001E3C8E">
        <w:rPr>
          <w:sz w:val="24"/>
          <w:szCs w:val="24"/>
          <w:lang w:val="fr-FR"/>
        </w:rPr>
        <w:t xml:space="preserve"> que lorsque le service de celle-ci n’implique pas de faire des sacrifices intolérables pour le bien être de la société, ne mène pas à la violation des droits économiques</w:t>
      </w:r>
      <w:r w:rsidR="000F24FC" w:rsidRPr="001E3C8E">
        <w:rPr>
          <w:sz w:val="24"/>
          <w:szCs w:val="24"/>
          <w:lang w:val="fr-FR"/>
        </w:rPr>
        <w:t>,</w:t>
      </w:r>
      <w:r w:rsidR="00A35B11" w:rsidRPr="001E3C8E">
        <w:rPr>
          <w:sz w:val="24"/>
          <w:szCs w:val="24"/>
          <w:lang w:val="fr-FR"/>
        </w:rPr>
        <w:t xml:space="preserve"> </w:t>
      </w:r>
      <w:r w:rsidR="00C51B0B" w:rsidRPr="001E3C8E">
        <w:rPr>
          <w:sz w:val="24"/>
          <w:szCs w:val="24"/>
          <w:lang w:val="fr-FR"/>
        </w:rPr>
        <w:t>sociaux</w:t>
      </w:r>
      <w:r w:rsidR="00A35B11" w:rsidRPr="001E3C8E">
        <w:rPr>
          <w:sz w:val="24"/>
          <w:szCs w:val="24"/>
          <w:lang w:val="fr-FR"/>
        </w:rPr>
        <w:t xml:space="preserve"> et culturels</w:t>
      </w:r>
      <w:r w:rsidR="00C51B0B" w:rsidRPr="001E3C8E">
        <w:rPr>
          <w:sz w:val="24"/>
          <w:szCs w:val="24"/>
          <w:lang w:val="fr-FR"/>
        </w:rPr>
        <w:t xml:space="preserve"> et n’empêche pas d’atteindre les objectifs de développement internationaux.</w:t>
      </w:r>
    </w:p>
    <w:p w14:paraId="07500560" w14:textId="77777777" w:rsidR="00B7323C" w:rsidRPr="001E3C8E" w:rsidRDefault="00B7323C" w:rsidP="00915AAD">
      <w:pPr>
        <w:ind w:left="709"/>
        <w:jc w:val="both"/>
        <w:rPr>
          <w:sz w:val="24"/>
          <w:szCs w:val="24"/>
          <w:lang w:val="fr-FR"/>
        </w:rPr>
      </w:pPr>
    </w:p>
    <w:p w14:paraId="43B5D486" w14:textId="02BE2DA8" w:rsidR="007F0D8E" w:rsidRPr="001E3C8E" w:rsidRDefault="007F0D8E" w:rsidP="00430901">
      <w:pPr>
        <w:numPr>
          <w:ilvl w:val="0"/>
          <w:numId w:val="25"/>
        </w:numPr>
        <w:ind w:left="1276" w:hanging="567"/>
        <w:jc w:val="both"/>
        <w:rPr>
          <w:sz w:val="24"/>
          <w:szCs w:val="24"/>
          <w:lang w:val="fr-FR"/>
        </w:rPr>
      </w:pPr>
      <w:r w:rsidRPr="001E3C8E">
        <w:rPr>
          <w:sz w:val="24"/>
          <w:szCs w:val="24"/>
          <w:lang w:val="fr-FR"/>
        </w:rPr>
        <w:t>Dans le contexte des débats liés à la restructuration de la dette et aux réformes économiques demandé</w:t>
      </w:r>
      <w:r w:rsidR="00C84D04" w:rsidRPr="001E3C8E">
        <w:rPr>
          <w:sz w:val="24"/>
          <w:szCs w:val="24"/>
          <w:lang w:val="fr-FR"/>
        </w:rPr>
        <w:t>e</w:t>
      </w:r>
      <w:r w:rsidRPr="001E3C8E">
        <w:rPr>
          <w:sz w:val="24"/>
          <w:szCs w:val="24"/>
          <w:lang w:val="fr-FR"/>
        </w:rPr>
        <w:t xml:space="preserve">s par les créditeurs et/ou les institutions financières internationales, une dette ne peut pas être dite « viable » </w:t>
      </w:r>
      <w:r w:rsidR="00C84D04" w:rsidRPr="001E3C8E">
        <w:rPr>
          <w:sz w:val="24"/>
          <w:szCs w:val="24"/>
          <w:lang w:val="fr-FR"/>
        </w:rPr>
        <w:t>si</w:t>
      </w:r>
      <w:r w:rsidRPr="001E3C8E">
        <w:rPr>
          <w:sz w:val="24"/>
          <w:szCs w:val="24"/>
          <w:lang w:val="fr-FR"/>
        </w:rPr>
        <w:t xml:space="preserve"> les dimensions sociales et humain</w:t>
      </w:r>
      <w:r w:rsidR="00C84D04" w:rsidRPr="001E3C8E">
        <w:rPr>
          <w:sz w:val="24"/>
          <w:szCs w:val="24"/>
          <w:lang w:val="fr-FR"/>
        </w:rPr>
        <w:t>e</w:t>
      </w:r>
      <w:r w:rsidRPr="001E3C8E">
        <w:rPr>
          <w:sz w:val="24"/>
          <w:szCs w:val="24"/>
          <w:lang w:val="fr-FR"/>
        </w:rPr>
        <w:t xml:space="preserve">s de </w:t>
      </w:r>
      <w:r w:rsidR="0058206D" w:rsidRPr="001E3C8E">
        <w:rPr>
          <w:sz w:val="24"/>
          <w:szCs w:val="24"/>
          <w:lang w:val="fr-FR"/>
        </w:rPr>
        <w:t>cette</w:t>
      </w:r>
      <w:r w:rsidRPr="001E3C8E">
        <w:rPr>
          <w:sz w:val="24"/>
          <w:szCs w:val="24"/>
          <w:lang w:val="fr-FR"/>
        </w:rPr>
        <w:t xml:space="preserve"> viabilité sont laissées de côté. Les prévisions quant aux capacités de remboursement des </w:t>
      </w:r>
      <w:r w:rsidR="00C84D04" w:rsidRPr="001E3C8E">
        <w:rPr>
          <w:sz w:val="24"/>
          <w:szCs w:val="24"/>
          <w:lang w:val="fr-FR"/>
        </w:rPr>
        <w:t>États</w:t>
      </w:r>
      <w:r w:rsidRPr="001E3C8E">
        <w:rPr>
          <w:sz w:val="24"/>
          <w:szCs w:val="24"/>
          <w:lang w:val="fr-FR"/>
        </w:rPr>
        <w:t xml:space="preserve"> emprunteurs doivent </w:t>
      </w:r>
      <w:r w:rsidR="00C84D04" w:rsidRPr="001E3C8E">
        <w:rPr>
          <w:sz w:val="24"/>
          <w:szCs w:val="24"/>
          <w:lang w:val="fr-FR"/>
        </w:rPr>
        <w:t>garantir</w:t>
      </w:r>
      <w:r w:rsidRPr="001E3C8E">
        <w:rPr>
          <w:sz w:val="24"/>
          <w:szCs w:val="24"/>
          <w:lang w:val="fr-FR"/>
        </w:rPr>
        <w:t xml:space="preserve"> que le</w:t>
      </w:r>
      <w:r w:rsidR="00C84D04" w:rsidRPr="001E3C8E">
        <w:rPr>
          <w:sz w:val="24"/>
          <w:szCs w:val="24"/>
          <w:lang w:val="fr-FR"/>
        </w:rPr>
        <w:t>ur</w:t>
      </w:r>
      <w:r w:rsidRPr="001E3C8E">
        <w:rPr>
          <w:sz w:val="24"/>
          <w:szCs w:val="24"/>
          <w:lang w:val="fr-FR"/>
        </w:rPr>
        <w:t>s obligations de promouvoir les ODD et de garantir les droits culturels, économiques et sociaux fondamentaux de leur population peuvent être satisfaites.</w:t>
      </w:r>
    </w:p>
    <w:p w14:paraId="1677A70B" w14:textId="77777777" w:rsidR="00B7323C" w:rsidRPr="001E3C8E" w:rsidRDefault="00B7323C" w:rsidP="00915AAD">
      <w:pPr>
        <w:ind w:left="709"/>
        <w:jc w:val="both"/>
        <w:rPr>
          <w:sz w:val="24"/>
          <w:szCs w:val="24"/>
          <w:lang w:val="fr-FR"/>
        </w:rPr>
      </w:pPr>
    </w:p>
    <w:p w14:paraId="71B03B82" w14:textId="05850F5F" w:rsidR="007F0D8E" w:rsidRPr="001E3C8E" w:rsidRDefault="0019731F" w:rsidP="00430901">
      <w:pPr>
        <w:numPr>
          <w:ilvl w:val="0"/>
          <w:numId w:val="25"/>
        </w:numPr>
        <w:ind w:left="1276" w:hanging="567"/>
        <w:jc w:val="both"/>
        <w:rPr>
          <w:sz w:val="24"/>
          <w:szCs w:val="24"/>
          <w:lang w:val="fr-FR"/>
        </w:rPr>
      </w:pPr>
      <w:r w:rsidRPr="001E3C8E">
        <w:rPr>
          <w:sz w:val="24"/>
          <w:szCs w:val="24"/>
          <w:lang w:val="fr-FR"/>
        </w:rPr>
        <w:t>L’étude</w:t>
      </w:r>
      <w:r w:rsidR="007F0D8E" w:rsidRPr="001E3C8E">
        <w:rPr>
          <w:sz w:val="24"/>
          <w:szCs w:val="24"/>
          <w:lang w:val="fr-FR"/>
        </w:rPr>
        <w:t xml:space="preserve"> environnementale implique une analyse de l’utilisation des ressources</w:t>
      </w:r>
      <w:r w:rsidRPr="001E3C8E">
        <w:rPr>
          <w:sz w:val="24"/>
          <w:szCs w:val="24"/>
          <w:lang w:val="fr-FR"/>
        </w:rPr>
        <w:t xml:space="preserve"> naturelles du pays, et plus particulièrement des </w:t>
      </w:r>
      <w:r w:rsidR="007F0D8E" w:rsidRPr="001E3C8E">
        <w:rPr>
          <w:sz w:val="24"/>
          <w:szCs w:val="24"/>
          <w:lang w:val="fr-FR"/>
        </w:rPr>
        <w:t xml:space="preserve">ressources </w:t>
      </w:r>
      <w:r w:rsidR="0058206D" w:rsidRPr="001E3C8E">
        <w:rPr>
          <w:sz w:val="24"/>
          <w:szCs w:val="24"/>
          <w:lang w:val="fr-FR"/>
        </w:rPr>
        <w:t>stratégiques comme l’eau ou la richesse minière</w:t>
      </w:r>
      <w:r w:rsidR="007F0D8E" w:rsidRPr="001E3C8E">
        <w:rPr>
          <w:sz w:val="24"/>
          <w:szCs w:val="24"/>
          <w:lang w:val="fr-FR"/>
        </w:rPr>
        <w:t xml:space="preserve">. </w:t>
      </w:r>
      <w:r w:rsidR="00D73CA8" w:rsidRPr="001E3C8E">
        <w:rPr>
          <w:sz w:val="24"/>
          <w:szCs w:val="24"/>
          <w:lang w:val="fr-FR"/>
        </w:rPr>
        <w:t>Dans le cas des versements liés à la dette basés sur l’extraction de ressources naturelles, l</w:t>
      </w:r>
      <w:r w:rsidR="007F0D8E" w:rsidRPr="001E3C8E">
        <w:rPr>
          <w:sz w:val="24"/>
          <w:szCs w:val="24"/>
          <w:lang w:val="fr-FR"/>
        </w:rPr>
        <w:t xml:space="preserve">’impact social, la réhabilitation environnementale et la contribution au changement </w:t>
      </w:r>
      <w:r w:rsidR="00D73CA8" w:rsidRPr="001E3C8E">
        <w:rPr>
          <w:sz w:val="24"/>
          <w:szCs w:val="24"/>
          <w:lang w:val="fr-FR"/>
        </w:rPr>
        <w:t>climatique doivent être établis</w:t>
      </w:r>
      <w:r w:rsidR="007F0D8E" w:rsidRPr="001E3C8E">
        <w:rPr>
          <w:sz w:val="24"/>
          <w:szCs w:val="24"/>
          <w:lang w:val="fr-FR"/>
        </w:rPr>
        <w:t>.</w:t>
      </w:r>
    </w:p>
    <w:p w14:paraId="520149C3" w14:textId="77777777" w:rsidR="00B7323C" w:rsidRPr="001E3C8E" w:rsidRDefault="00B7323C" w:rsidP="00915AAD">
      <w:pPr>
        <w:ind w:left="709"/>
        <w:jc w:val="both"/>
        <w:rPr>
          <w:sz w:val="24"/>
          <w:szCs w:val="24"/>
          <w:lang w:val="fr-FR"/>
        </w:rPr>
      </w:pPr>
    </w:p>
    <w:p w14:paraId="4820E0FE" w14:textId="092C3AF6" w:rsidR="00FC4D16" w:rsidRPr="001E3C8E" w:rsidRDefault="00FC4D16" w:rsidP="00430901">
      <w:pPr>
        <w:numPr>
          <w:ilvl w:val="0"/>
          <w:numId w:val="25"/>
        </w:numPr>
        <w:ind w:left="1276" w:hanging="567"/>
        <w:jc w:val="both"/>
        <w:rPr>
          <w:sz w:val="24"/>
          <w:szCs w:val="24"/>
          <w:lang w:val="fr-FR"/>
        </w:rPr>
      </w:pPr>
      <w:r w:rsidRPr="001E3C8E">
        <w:rPr>
          <w:sz w:val="24"/>
          <w:szCs w:val="24"/>
          <w:lang w:val="fr-FR"/>
        </w:rPr>
        <w:t>L’identification d’impact</w:t>
      </w:r>
      <w:r w:rsidR="00D73CA8" w:rsidRPr="001E3C8E">
        <w:rPr>
          <w:sz w:val="24"/>
          <w:szCs w:val="24"/>
          <w:lang w:val="fr-FR"/>
        </w:rPr>
        <w:t>s</w:t>
      </w:r>
      <w:r w:rsidRPr="001E3C8E">
        <w:rPr>
          <w:sz w:val="24"/>
          <w:szCs w:val="24"/>
          <w:lang w:val="fr-FR"/>
        </w:rPr>
        <w:t xml:space="preserve"> négatifs réels ou potentiels peut permettre de guider la prise de décision</w:t>
      </w:r>
      <w:r w:rsidR="00D73CA8" w:rsidRPr="001E3C8E">
        <w:rPr>
          <w:sz w:val="24"/>
          <w:szCs w:val="24"/>
          <w:lang w:val="fr-FR"/>
        </w:rPr>
        <w:t xml:space="preserve"> concernant</w:t>
      </w:r>
      <w:r w:rsidRPr="001E3C8E">
        <w:rPr>
          <w:sz w:val="24"/>
          <w:szCs w:val="24"/>
          <w:lang w:val="fr-FR"/>
        </w:rPr>
        <w:t xml:space="preserve"> la révision des termes de remboursement, le volume d’allègement de la dette nécessaire pour permettre aux </w:t>
      </w:r>
      <w:r w:rsidR="00D73CA8" w:rsidRPr="001E3C8E">
        <w:rPr>
          <w:sz w:val="24"/>
          <w:szCs w:val="24"/>
          <w:lang w:val="fr-FR"/>
        </w:rPr>
        <w:t>États</w:t>
      </w:r>
      <w:r w:rsidRPr="001E3C8E">
        <w:rPr>
          <w:sz w:val="24"/>
          <w:szCs w:val="24"/>
          <w:lang w:val="fr-FR"/>
        </w:rPr>
        <w:t xml:space="preserve"> de satisfaire à leurs obligations</w:t>
      </w:r>
      <w:r w:rsidR="00D73CA8" w:rsidRPr="001E3C8E">
        <w:rPr>
          <w:sz w:val="24"/>
          <w:szCs w:val="24"/>
          <w:lang w:val="fr-FR"/>
        </w:rPr>
        <w:t xml:space="preserve"> fondamentales minimales, et le montant </w:t>
      </w:r>
      <w:r w:rsidRPr="001E3C8E">
        <w:rPr>
          <w:sz w:val="24"/>
          <w:szCs w:val="24"/>
          <w:lang w:val="fr-FR"/>
        </w:rPr>
        <w:t xml:space="preserve">et la répartition des pertes </w:t>
      </w:r>
      <w:r w:rsidR="00D73CA8" w:rsidRPr="001E3C8E">
        <w:rPr>
          <w:sz w:val="24"/>
          <w:szCs w:val="24"/>
          <w:lang w:val="fr-FR"/>
        </w:rPr>
        <w:t>enregistrées</w:t>
      </w:r>
      <w:r w:rsidRPr="001E3C8E">
        <w:rPr>
          <w:sz w:val="24"/>
          <w:szCs w:val="24"/>
          <w:lang w:val="fr-FR"/>
        </w:rPr>
        <w:t xml:space="preserve"> par les différents groupes de crédit</w:t>
      </w:r>
      <w:r w:rsidR="007161DC" w:rsidRPr="001E3C8E">
        <w:rPr>
          <w:sz w:val="24"/>
          <w:szCs w:val="24"/>
          <w:lang w:val="fr-FR"/>
        </w:rPr>
        <w:t>eurs</w:t>
      </w:r>
      <w:r w:rsidRPr="001E3C8E">
        <w:rPr>
          <w:sz w:val="24"/>
          <w:szCs w:val="24"/>
          <w:lang w:val="fr-FR"/>
        </w:rPr>
        <w:t>.</w:t>
      </w:r>
    </w:p>
    <w:p w14:paraId="206B5DFC" w14:textId="77777777" w:rsidR="00B7323C" w:rsidRPr="001E3C8E" w:rsidRDefault="00B7323C" w:rsidP="00915AAD">
      <w:pPr>
        <w:ind w:left="709"/>
        <w:jc w:val="both"/>
        <w:rPr>
          <w:sz w:val="24"/>
          <w:szCs w:val="24"/>
          <w:lang w:val="fr-FR"/>
        </w:rPr>
      </w:pPr>
    </w:p>
    <w:p w14:paraId="172B494F" w14:textId="7D994D4E" w:rsidR="00FC4D16" w:rsidRPr="001E3C8E" w:rsidRDefault="00FC4D16" w:rsidP="00430901">
      <w:pPr>
        <w:numPr>
          <w:ilvl w:val="0"/>
          <w:numId w:val="25"/>
        </w:numPr>
        <w:ind w:left="1276" w:hanging="567"/>
        <w:jc w:val="both"/>
        <w:rPr>
          <w:sz w:val="24"/>
          <w:szCs w:val="24"/>
          <w:lang w:val="fr-FR"/>
        </w:rPr>
      </w:pPr>
      <w:r w:rsidRPr="001E3C8E">
        <w:rPr>
          <w:sz w:val="24"/>
          <w:szCs w:val="24"/>
          <w:lang w:val="fr-FR"/>
        </w:rPr>
        <w:t xml:space="preserve">Des </w:t>
      </w:r>
      <w:r w:rsidR="005B13E4" w:rsidRPr="001E3C8E">
        <w:rPr>
          <w:sz w:val="24"/>
          <w:szCs w:val="24"/>
          <w:lang w:val="fr-FR"/>
        </w:rPr>
        <w:t>études</w:t>
      </w:r>
      <w:r w:rsidRPr="001E3C8E">
        <w:rPr>
          <w:sz w:val="24"/>
          <w:szCs w:val="24"/>
          <w:lang w:val="fr-FR"/>
        </w:rPr>
        <w:t xml:space="preserve"> indépendantes d’impacts sur les droits humains effectuées </w:t>
      </w:r>
      <w:r w:rsidR="005B13E4" w:rsidRPr="001E3C8E">
        <w:rPr>
          <w:sz w:val="24"/>
          <w:szCs w:val="24"/>
          <w:lang w:val="fr-FR"/>
        </w:rPr>
        <w:t xml:space="preserve">dans le cadre d’un </w:t>
      </w:r>
      <w:r w:rsidRPr="001E3C8E">
        <w:rPr>
          <w:sz w:val="24"/>
          <w:szCs w:val="24"/>
          <w:lang w:val="fr-FR"/>
        </w:rPr>
        <w:t>travail régulier de gestion</w:t>
      </w:r>
      <w:r w:rsidR="00C31425" w:rsidRPr="001E3C8E">
        <w:rPr>
          <w:sz w:val="24"/>
          <w:szCs w:val="24"/>
          <w:lang w:val="fr-FR"/>
        </w:rPr>
        <w:t xml:space="preserve"> </w:t>
      </w:r>
      <w:r w:rsidRPr="001E3C8E">
        <w:rPr>
          <w:sz w:val="24"/>
          <w:szCs w:val="24"/>
          <w:lang w:val="fr-FR"/>
        </w:rPr>
        <w:t>de la</w:t>
      </w:r>
      <w:r w:rsidR="00C31425" w:rsidRPr="001E3C8E">
        <w:rPr>
          <w:sz w:val="24"/>
          <w:szCs w:val="24"/>
          <w:lang w:val="fr-FR"/>
        </w:rPr>
        <w:t xml:space="preserve"> </w:t>
      </w:r>
      <w:r w:rsidR="005B13E4" w:rsidRPr="001E3C8E">
        <w:rPr>
          <w:sz w:val="24"/>
          <w:szCs w:val="24"/>
          <w:lang w:val="fr-FR"/>
        </w:rPr>
        <w:t>dette et d’</w:t>
      </w:r>
      <w:r w:rsidRPr="001E3C8E">
        <w:rPr>
          <w:sz w:val="24"/>
          <w:szCs w:val="24"/>
          <w:lang w:val="fr-FR"/>
        </w:rPr>
        <w:t xml:space="preserve">évaluation de </w:t>
      </w:r>
      <w:r w:rsidR="005B13E4" w:rsidRPr="001E3C8E">
        <w:rPr>
          <w:sz w:val="24"/>
          <w:szCs w:val="24"/>
          <w:lang w:val="fr-FR"/>
        </w:rPr>
        <w:t xml:space="preserve">la </w:t>
      </w:r>
      <w:r w:rsidRPr="001E3C8E">
        <w:rPr>
          <w:sz w:val="24"/>
          <w:szCs w:val="24"/>
          <w:lang w:val="fr-FR"/>
        </w:rPr>
        <w:t>durabilité peuvent aussi particip</w:t>
      </w:r>
      <w:r w:rsidR="0058206D" w:rsidRPr="001E3C8E">
        <w:rPr>
          <w:sz w:val="24"/>
          <w:szCs w:val="24"/>
          <w:lang w:val="fr-FR"/>
        </w:rPr>
        <w:t>er à une identification précoce</w:t>
      </w:r>
      <w:r w:rsidRPr="001E3C8E">
        <w:rPr>
          <w:sz w:val="24"/>
          <w:szCs w:val="24"/>
          <w:lang w:val="fr-FR"/>
        </w:rPr>
        <w:t xml:space="preserve"> des domaines où les contraintes </w:t>
      </w:r>
      <w:r w:rsidR="00C31425" w:rsidRPr="001E3C8E">
        <w:rPr>
          <w:sz w:val="24"/>
          <w:szCs w:val="24"/>
          <w:lang w:val="fr-FR"/>
        </w:rPr>
        <w:t xml:space="preserve">sur </w:t>
      </w:r>
      <w:r w:rsidR="005B13E4" w:rsidRPr="001E3C8E">
        <w:rPr>
          <w:sz w:val="24"/>
          <w:szCs w:val="24"/>
          <w:lang w:val="fr-FR"/>
        </w:rPr>
        <w:t xml:space="preserve">l’espace fiscal </w:t>
      </w:r>
      <w:r w:rsidRPr="001E3C8E">
        <w:rPr>
          <w:sz w:val="24"/>
          <w:szCs w:val="24"/>
          <w:lang w:val="fr-FR"/>
        </w:rPr>
        <w:t>liées au service de la dette vont à l’</w:t>
      </w:r>
      <w:r w:rsidR="00C31425" w:rsidRPr="001E3C8E">
        <w:rPr>
          <w:sz w:val="24"/>
          <w:szCs w:val="24"/>
          <w:lang w:val="fr-FR"/>
        </w:rPr>
        <w:t xml:space="preserve">encontre des obligations d’un </w:t>
      </w:r>
      <w:r w:rsidR="005B13E4" w:rsidRPr="001E3C8E">
        <w:rPr>
          <w:sz w:val="24"/>
          <w:szCs w:val="24"/>
          <w:lang w:val="fr-FR"/>
        </w:rPr>
        <w:t>État</w:t>
      </w:r>
      <w:r w:rsidR="00C31425" w:rsidRPr="001E3C8E">
        <w:rPr>
          <w:sz w:val="24"/>
          <w:szCs w:val="24"/>
          <w:lang w:val="fr-FR"/>
        </w:rPr>
        <w:t xml:space="preserve"> en matière de droits humains. Les conclusions peuvent ainsi contribuer à une restructuration rapide de la dette et éviter ou atténuer la gravité des impacts négatifs des crises économiques sur les droits humains.</w:t>
      </w:r>
    </w:p>
    <w:p w14:paraId="5F53798F" w14:textId="77777777" w:rsidR="00B7323C" w:rsidRPr="001E3C8E" w:rsidRDefault="00B7323C" w:rsidP="00915AAD">
      <w:pPr>
        <w:ind w:left="709"/>
        <w:jc w:val="both"/>
        <w:rPr>
          <w:sz w:val="24"/>
          <w:szCs w:val="24"/>
          <w:lang w:val="fr-FR"/>
        </w:rPr>
      </w:pPr>
    </w:p>
    <w:p w14:paraId="3CCA071C" w14:textId="0BD4F766" w:rsidR="008619D2" w:rsidRPr="001E3C8E" w:rsidRDefault="008619D2" w:rsidP="00430901">
      <w:pPr>
        <w:numPr>
          <w:ilvl w:val="0"/>
          <w:numId w:val="25"/>
        </w:numPr>
        <w:ind w:left="1276" w:hanging="567"/>
        <w:jc w:val="both"/>
        <w:rPr>
          <w:sz w:val="24"/>
          <w:szCs w:val="24"/>
          <w:lang w:val="fr-FR"/>
        </w:rPr>
      </w:pPr>
      <w:r w:rsidRPr="001E3C8E">
        <w:rPr>
          <w:sz w:val="24"/>
          <w:szCs w:val="24"/>
          <w:lang w:val="fr-FR"/>
        </w:rPr>
        <w:t xml:space="preserve">Les créditeurs et débiteurs doivent s’engager pour un soulagement de la dette et des négociations de restructuration </w:t>
      </w:r>
      <w:r w:rsidR="00442961" w:rsidRPr="001E3C8E">
        <w:rPr>
          <w:sz w:val="24"/>
          <w:szCs w:val="24"/>
          <w:lang w:val="fr-FR"/>
        </w:rPr>
        <w:t>ayant aussi</w:t>
      </w:r>
      <w:r w:rsidRPr="001E3C8E">
        <w:rPr>
          <w:sz w:val="24"/>
          <w:szCs w:val="24"/>
          <w:lang w:val="fr-FR"/>
        </w:rPr>
        <w:t xml:space="preserve"> pour objectif de </w:t>
      </w:r>
      <w:r w:rsidR="00442961" w:rsidRPr="001E3C8E">
        <w:rPr>
          <w:sz w:val="24"/>
          <w:szCs w:val="24"/>
          <w:lang w:val="fr-FR"/>
        </w:rPr>
        <w:t xml:space="preserve">libérer </w:t>
      </w:r>
      <w:r w:rsidRPr="001E3C8E">
        <w:rPr>
          <w:sz w:val="24"/>
          <w:szCs w:val="24"/>
          <w:lang w:val="fr-FR"/>
        </w:rPr>
        <w:t xml:space="preserve">un espace fiscal </w:t>
      </w:r>
      <w:r w:rsidR="00442961" w:rsidRPr="001E3C8E">
        <w:rPr>
          <w:sz w:val="24"/>
          <w:szCs w:val="24"/>
          <w:lang w:val="fr-FR"/>
        </w:rPr>
        <w:t>suffisant pour</w:t>
      </w:r>
      <w:r w:rsidRPr="001E3C8E">
        <w:rPr>
          <w:sz w:val="24"/>
          <w:szCs w:val="24"/>
          <w:lang w:val="fr-FR"/>
        </w:rPr>
        <w:t xml:space="preserve"> sauvegarder la capacité des </w:t>
      </w:r>
      <w:r w:rsidR="00442961" w:rsidRPr="001E3C8E">
        <w:rPr>
          <w:sz w:val="24"/>
          <w:szCs w:val="24"/>
          <w:lang w:val="fr-FR"/>
        </w:rPr>
        <w:t>États</w:t>
      </w:r>
      <w:r w:rsidRPr="001E3C8E">
        <w:rPr>
          <w:sz w:val="24"/>
          <w:szCs w:val="24"/>
          <w:lang w:val="fr-FR"/>
        </w:rPr>
        <w:t xml:space="preserve"> à satisfaire à leurs obligations en matière de droits humains.</w:t>
      </w:r>
    </w:p>
    <w:p w14:paraId="2AA03665" w14:textId="77777777" w:rsidR="00B7323C" w:rsidRPr="001E3C8E" w:rsidRDefault="00B7323C" w:rsidP="00915AAD">
      <w:pPr>
        <w:ind w:left="709"/>
        <w:jc w:val="both"/>
        <w:rPr>
          <w:sz w:val="24"/>
          <w:szCs w:val="24"/>
          <w:lang w:val="fr-FR"/>
        </w:rPr>
      </w:pPr>
    </w:p>
    <w:p w14:paraId="1146EA67" w14:textId="6BE54FD0" w:rsidR="00434AD8" w:rsidRPr="001E3C8E" w:rsidRDefault="00434AD8" w:rsidP="00430901">
      <w:pPr>
        <w:numPr>
          <w:ilvl w:val="0"/>
          <w:numId w:val="25"/>
        </w:numPr>
        <w:ind w:left="1276" w:hanging="567"/>
        <w:jc w:val="both"/>
        <w:rPr>
          <w:sz w:val="24"/>
          <w:szCs w:val="24"/>
          <w:lang w:val="fr-FR"/>
        </w:rPr>
      </w:pPr>
      <w:r w:rsidRPr="001E3C8E">
        <w:rPr>
          <w:sz w:val="24"/>
          <w:szCs w:val="24"/>
          <w:lang w:val="fr-FR"/>
        </w:rPr>
        <w:t xml:space="preserve">La garantie que les conclusions des </w:t>
      </w:r>
      <w:r w:rsidR="00442961" w:rsidRPr="001E3C8E">
        <w:rPr>
          <w:sz w:val="24"/>
          <w:szCs w:val="24"/>
          <w:lang w:val="fr-FR"/>
        </w:rPr>
        <w:t>études</w:t>
      </w:r>
      <w:r w:rsidRPr="001E3C8E">
        <w:rPr>
          <w:sz w:val="24"/>
          <w:szCs w:val="24"/>
          <w:lang w:val="fr-FR"/>
        </w:rPr>
        <w:t xml:space="preserve"> d’impact jouent un rôle systématique dans la restructuration de la dette reflète la responsabilité partagée des créditeurs et des débiteurs concernant le fardeau de la dette souveraine.</w:t>
      </w:r>
    </w:p>
    <w:p w14:paraId="4722040E" w14:textId="77777777" w:rsidR="002544B1" w:rsidRPr="001E3C8E" w:rsidRDefault="002544B1" w:rsidP="00915AAD">
      <w:pPr>
        <w:rPr>
          <w:lang w:val="fr-FR"/>
        </w:rPr>
      </w:pPr>
    </w:p>
    <w:p w14:paraId="710A3C2C" w14:textId="30B34D7C" w:rsidR="003E3330" w:rsidRPr="001E3C8E" w:rsidRDefault="003E3330" w:rsidP="00410B44">
      <w:pPr>
        <w:pStyle w:val="Heading1"/>
        <w:numPr>
          <w:ilvl w:val="0"/>
          <w:numId w:val="27"/>
        </w:numPr>
        <w:rPr>
          <w:szCs w:val="24"/>
          <w:lang w:val="fr-FR"/>
        </w:rPr>
      </w:pPr>
      <w:bookmarkStart w:id="66" w:name="_Toc522789734"/>
      <w:r w:rsidRPr="001E3C8E">
        <w:rPr>
          <w:szCs w:val="24"/>
          <w:lang w:val="fr-FR"/>
        </w:rPr>
        <w:t>Cohérence politique</w:t>
      </w:r>
      <w:bookmarkEnd w:id="66"/>
    </w:p>
    <w:p w14:paraId="4BE14DF1" w14:textId="77777777" w:rsidR="00B70A19" w:rsidRPr="001E3C8E" w:rsidRDefault="00B70A19" w:rsidP="00915AAD">
      <w:pPr>
        <w:pStyle w:val="BodyText"/>
        <w:rPr>
          <w:lang w:val="fr-FR"/>
        </w:rPr>
      </w:pPr>
    </w:p>
    <w:p w14:paraId="69B05E4B" w14:textId="29950B4E" w:rsidR="003E3330" w:rsidRPr="001E3C8E" w:rsidRDefault="003E3330" w:rsidP="00D912AD">
      <w:pPr>
        <w:pStyle w:val="BodyText"/>
        <w:rPr>
          <w:lang w:val="fr-FR"/>
        </w:rPr>
      </w:pPr>
      <w:r w:rsidRPr="001E3C8E">
        <w:rPr>
          <w:lang w:val="fr-FR"/>
        </w:rPr>
        <w:t xml:space="preserve">Les </w:t>
      </w:r>
      <w:r w:rsidR="00657035" w:rsidRPr="001E3C8E">
        <w:rPr>
          <w:lang w:val="fr-FR"/>
        </w:rPr>
        <w:t>États</w:t>
      </w:r>
      <w:r w:rsidRPr="001E3C8E">
        <w:rPr>
          <w:lang w:val="fr-FR"/>
        </w:rPr>
        <w:t xml:space="preserve"> doivent s’assurer que les branches et agences gouvernementales, ainsi que les autres institutions étatiques qui participent à et/ou influencent les politiques de réforme</w:t>
      </w:r>
      <w:r w:rsidR="000F24FC" w:rsidRPr="001E3C8E">
        <w:rPr>
          <w:lang w:val="fr-FR"/>
        </w:rPr>
        <w:t>s</w:t>
      </w:r>
      <w:r w:rsidRPr="001E3C8E">
        <w:rPr>
          <w:lang w:val="fr-FR"/>
        </w:rPr>
        <w:t xml:space="preserve"> économiques tiennent compte des obligations des </w:t>
      </w:r>
      <w:r w:rsidR="00657035" w:rsidRPr="001E3C8E">
        <w:rPr>
          <w:lang w:val="fr-FR"/>
        </w:rPr>
        <w:t>États</w:t>
      </w:r>
      <w:r w:rsidRPr="001E3C8E">
        <w:rPr>
          <w:lang w:val="fr-FR"/>
        </w:rPr>
        <w:t xml:space="preserve"> en matières de droi</w:t>
      </w:r>
      <w:r w:rsidR="00657035" w:rsidRPr="001E3C8E">
        <w:rPr>
          <w:lang w:val="fr-FR"/>
        </w:rPr>
        <w:t>ts humains lorsqu’elles remplisse</w:t>
      </w:r>
      <w:r w:rsidRPr="001E3C8E">
        <w:rPr>
          <w:lang w:val="fr-FR"/>
        </w:rPr>
        <w:t>nt leurs rôles respectifs, et que la cohérence politique pour la protection des droits humains est garantie.</w:t>
      </w:r>
    </w:p>
    <w:p w14:paraId="52452141" w14:textId="77777777" w:rsidR="00B70A19" w:rsidRPr="001E3C8E" w:rsidRDefault="00B70A19" w:rsidP="00D912AD">
      <w:pPr>
        <w:pStyle w:val="BodyText"/>
        <w:rPr>
          <w:lang w:val="fr-FR"/>
        </w:rPr>
      </w:pPr>
    </w:p>
    <w:p w14:paraId="2320218B" w14:textId="5A341828" w:rsidR="00162CF0" w:rsidRPr="001E3C8E" w:rsidRDefault="006E04B3" w:rsidP="00D912AD">
      <w:pPr>
        <w:pStyle w:val="BodyText"/>
        <w:rPr>
          <w:lang w:val="fr-FR"/>
        </w:rPr>
      </w:pPr>
      <w:r w:rsidRPr="001E3C8E">
        <w:rPr>
          <w:lang w:val="fr-FR"/>
        </w:rPr>
        <w:t>Plus particulièrement</w:t>
      </w:r>
      <w:r w:rsidR="00162CF0" w:rsidRPr="001E3C8E">
        <w:rPr>
          <w:lang w:val="fr-FR"/>
        </w:rPr>
        <w:t> :</w:t>
      </w:r>
    </w:p>
    <w:p w14:paraId="5D8F48D8" w14:textId="77777777" w:rsidR="00B70A19" w:rsidRPr="001E3C8E" w:rsidRDefault="00B70A19" w:rsidP="00D912AD">
      <w:pPr>
        <w:pStyle w:val="BodyText"/>
        <w:rPr>
          <w:lang w:val="fr-FR"/>
        </w:rPr>
      </w:pPr>
    </w:p>
    <w:p w14:paraId="2B12261B" w14:textId="7C1F4F1C" w:rsidR="00550205" w:rsidRPr="001E3C8E" w:rsidRDefault="00162CF0" w:rsidP="00430901">
      <w:pPr>
        <w:pStyle w:val="BodyText"/>
        <w:numPr>
          <w:ilvl w:val="0"/>
          <w:numId w:val="10"/>
        </w:numPr>
        <w:rPr>
          <w:lang w:val="fr-FR"/>
        </w:rPr>
      </w:pPr>
      <w:r w:rsidRPr="001E3C8E">
        <w:rPr>
          <w:lang w:val="fr-FR"/>
        </w:rPr>
        <w:t>La politique sociale est intimement liée aux r</w:t>
      </w:r>
      <w:r w:rsidR="006E04B3" w:rsidRPr="001E3C8E">
        <w:rPr>
          <w:lang w:val="fr-FR"/>
        </w:rPr>
        <w:t>essources financières allouées pour</w:t>
      </w:r>
      <w:r w:rsidRPr="001E3C8E">
        <w:rPr>
          <w:lang w:val="fr-FR"/>
        </w:rPr>
        <w:t xml:space="preserve"> sa mise en </w:t>
      </w:r>
      <w:r w:rsidR="006E04B3" w:rsidRPr="001E3C8E">
        <w:rPr>
          <w:lang w:val="fr-FR"/>
        </w:rPr>
        <w:t>œuvre</w:t>
      </w:r>
      <w:r w:rsidRPr="001E3C8E">
        <w:rPr>
          <w:lang w:val="fr-FR"/>
        </w:rPr>
        <w:t xml:space="preserve"> </w:t>
      </w:r>
      <w:r w:rsidR="005F0A7E" w:rsidRPr="001E3C8E">
        <w:rPr>
          <w:lang w:val="fr-FR"/>
        </w:rPr>
        <w:t>de même que le sont</w:t>
      </w:r>
      <w:r w:rsidRPr="001E3C8E">
        <w:rPr>
          <w:lang w:val="fr-FR"/>
        </w:rPr>
        <w:t xml:space="preserve"> ses impacts sur la situation économique de la population. </w:t>
      </w:r>
      <w:r w:rsidR="006E04B3" w:rsidRPr="001E3C8E">
        <w:rPr>
          <w:lang w:val="fr-FR"/>
        </w:rPr>
        <w:t>Elle</w:t>
      </w:r>
      <w:r w:rsidRPr="001E3C8E">
        <w:rPr>
          <w:lang w:val="fr-FR"/>
        </w:rPr>
        <w:t xml:space="preserve"> </w:t>
      </w:r>
      <w:r w:rsidR="006E04B3" w:rsidRPr="001E3C8E">
        <w:rPr>
          <w:lang w:val="fr-FR"/>
        </w:rPr>
        <w:t>doit</w:t>
      </w:r>
      <w:r w:rsidRPr="001E3C8E">
        <w:rPr>
          <w:lang w:val="fr-FR"/>
        </w:rPr>
        <w:t xml:space="preserve"> </w:t>
      </w:r>
      <w:r w:rsidR="006E04B3" w:rsidRPr="001E3C8E">
        <w:rPr>
          <w:lang w:val="fr-FR"/>
        </w:rPr>
        <w:t>prendre en compte</w:t>
      </w:r>
      <w:r w:rsidRPr="001E3C8E">
        <w:rPr>
          <w:lang w:val="fr-FR"/>
        </w:rPr>
        <w:t xml:space="preserve"> et inverser les ralentissements économiques tout en garantissant le respect des droits humains</w:t>
      </w:r>
      <w:r w:rsidR="005D5189" w:rsidRPr="001E3C8E">
        <w:rPr>
          <w:lang w:val="fr-FR"/>
        </w:rPr>
        <w:t>.</w:t>
      </w:r>
      <w:r w:rsidR="00206139" w:rsidRPr="001E3C8E">
        <w:rPr>
          <w:rStyle w:val="FootnoteReference"/>
          <w:lang w:val="fr-FR"/>
        </w:rPr>
        <w:footnoteReference w:id="19"/>
      </w:r>
    </w:p>
    <w:p w14:paraId="24996257" w14:textId="582AE141" w:rsidR="00162CF0" w:rsidRPr="001E3C8E" w:rsidRDefault="00162CF0" w:rsidP="00430901">
      <w:pPr>
        <w:pStyle w:val="ListParagraph"/>
        <w:numPr>
          <w:ilvl w:val="0"/>
          <w:numId w:val="10"/>
        </w:numPr>
        <w:rPr>
          <w:i/>
          <w:szCs w:val="24"/>
          <w:lang w:val="fr-FR"/>
        </w:rPr>
      </w:pPr>
      <w:r w:rsidRPr="001E3C8E">
        <w:rPr>
          <w:b/>
          <w:szCs w:val="24"/>
          <w:lang w:val="fr-FR"/>
        </w:rPr>
        <w:t xml:space="preserve">Les politiques fiscales devraient être utilisées comme un outil anticyclique pour éviter et/ou gérer les crises, </w:t>
      </w:r>
      <w:r w:rsidR="006D38C0" w:rsidRPr="001E3C8E">
        <w:rPr>
          <w:b/>
          <w:szCs w:val="24"/>
          <w:lang w:val="fr-FR"/>
        </w:rPr>
        <w:t>améliorer l’égalité des chances</w:t>
      </w:r>
      <w:r w:rsidR="00625730" w:rsidRPr="001E3C8E">
        <w:rPr>
          <w:b/>
          <w:szCs w:val="24"/>
          <w:lang w:val="fr-FR"/>
        </w:rPr>
        <w:t xml:space="preserve"> et maximiser le respect </w:t>
      </w:r>
      <w:r w:rsidRPr="001E3C8E">
        <w:rPr>
          <w:b/>
          <w:szCs w:val="24"/>
          <w:lang w:val="fr-FR"/>
        </w:rPr>
        <w:t xml:space="preserve">des droits humains. Les </w:t>
      </w:r>
      <w:r w:rsidR="00625730" w:rsidRPr="001E3C8E">
        <w:rPr>
          <w:b/>
          <w:szCs w:val="24"/>
          <w:lang w:val="fr-FR"/>
        </w:rPr>
        <w:t>États</w:t>
      </w:r>
      <w:r w:rsidRPr="001E3C8E">
        <w:rPr>
          <w:b/>
          <w:szCs w:val="24"/>
          <w:lang w:val="fr-FR"/>
        </w:rPr>
        <w:t xml:space="preserve"> ont pour obligations de mobiliser des ressources, ce qui </w:t>
      </w:r>
      <w:r w:rsidR="00625730" w:rsidRPr="001E3C8E">
        <w:rPr>
          <w:b/>
          <w:szCs w:val="24"/>
          <w:lang w:val="fr-FR"/>
        </w:rPr>
        <w:t>doit</w:t>
      </w:r>
      <w:r w:rsidRPr="001E3C8E">
        <w:rPr>
          <w:b/>
          <w:szCs w:val="24"/>
          <w:lang w:val="fr-FR"/>
        </w:rPr>
        <w:t xml:space="preserve"> </w:t>
      </w:r>
      <w:r w:rsidRPr="001E3C8E">
        <w:rPr>
          <w:b/>
          <w:szCs w:val="24"/>
          <w:lang w:val="fr-FR"/>
        </w:rPr>
        <w:lastRenderedPageBreak/>
        <w:t xml:space="preserve">inclure un élargissement de </w:t>
      </w:r>
      <w:r w:rsidR="005F0A7E" w:rsidRPr="001E3C8E">
        <w:rPr>
          <w:b/>
          <w:szCs w:val="24"/>
          <w:lang w:val="fr-FR"/>
        </w:rPr>
        <w:t xml:space="preserve">l’assiette </w:t>
      </w:r>
      <w:r w:rsidRPr="001E3C8E">
        <w:rPr>
          <w:b/>
          <w:szCs w:val="24"/>
          <w:lang w:val="fr-FR"/>
        </w:rPr>
        <w:t>fiscale, l’augmentation du taux d’imposition pour les plus riches, l’amélioration de</w:t>
      </w:r>
      <w:r w:rsidR="00625730" w:rsidRPr="001E3C8E">
        <w:rPr>
          <w:b/>
          <w:szCs w:val="24"/>
          <w:lang w:val="fr-FR"/>
        </w:rPr>
        <w:t xml:space="preserve"> l’efficacité de la collecte d’</w:t>
      </w:r>
      <w:r w:rsidRPr="001E3C8E">
        <w:rPr>
          <w:b/>
          <w:szCs w:val="24"/>
          <w:lang w:val="fr-FR"/>
        </w:rPr>
        <w:t>impôts et l’établissement de nouvelles priorités dans les dépenses.</w:t>
      </w:r>
    </w:p>
    <w:p w14:paraId="3504169F" w14:textId="77777777" w:rsidR="00E551CE" w:rsidRPr="001E3C8E" w:rsidRDefault="00E551CE" w:rsidP="00A67C23">
      <w:pPr>
        <w:ind w:left="60"/>
        <w:rPr>
          <w:i/>
          <w:szCs w:val="24"/>
          <w:lang w:val="fr-FR"/>
        </w:rPr>
      </w:pPr>
    </w:p>
    <w:p w14:paraId="4B19EE9B" w14:textId="03E1C10A" w:rsidR="00162CF0" w:rsidRPr="001E3C8E" w:rsidRDefault="00162CF0" w:rsidP="00430901">
      <w:pPr>
        <w:pStyle w:val="BodyText"/>
        <w:numPr>
          <w:ilvl w:val="0"/>
          <w:numId w:val="10"/>
        </w:numPr>
        <w:rPr>
          <w:szCs w:val="24"/>
          <w:lang w:val="fr-FR"/>
        </w:rPr>
      </w:pPr>
      <w:r w:rsidRPr="001E3C8E">
        <w:rPr>
          <w:szCs w:val="24"/>
          <w:lang w:val="fr-FR"/>
        </w:rPr>
        <w:t xml:space="preserve">Les politiques monétaires </w:t>
      </w:r>
      <w:r w:rsidR="00625730" w:rsidRPr="001E3C8E">
        <w:rPr>
          <w:szCs w:val="24"/>
          <w:lang w:val="fr-FR"/>
        </w:rPr>
        <w:t>doivent</w:t>
      </w:r>
      <w:r w:rsidRPr="001E3C8E">
        <w:rPr>
          <w:szCs w:val="24"/>
          <w:lang w:val="fr-FR"/>
        </w:rPr>
        <w:t xml:space="preserve"> être coordonnées et </w:t>
      </w:r>
      <w:r w:rsidR="00625730" w:rsidRPr="001E3C8E">
        <w:rPr>
          <w:szCs w:val="24"/>
          <w:lang w:val="fr-FR"/>
        </w:rPr>
        <w:t>en cohérence</w:t>
      </w:r>
      <w:r w:rsidRPr="001E3C8E">
        <w:rPr>
          <w:szCs w:val="24"/>
          <w:lang w:val="fr-FR"/>
        </w:rPr>
        <w:t xml:space="preserve"> avec d’autres mesures de crise avec pour objectif de respecter et de protéger les droits humains.</w:t>
      </w:r>
    </w:p>
    <w:p w14:paraId="48A8E906" w14:textId="77777777" w:rsidR="002544B1" w:rsidRPr="001E3C8E" w:rsidRDefault="002544B1" w:rsidP="00E27A1F">
      <w:pPr>
        <w:pStyle w:val="BodyText"/>
        <w:ind w:left="678"/>
        <w:rPr>
          <w:color w:val="000000" w:themeColor="text1"/>
          <w:szCs w:val="24"/>
          <w:lang w:val="fr-FR"/>
        </w:rPr>
      </w:pPr>
    </w:p>
    <w:p w14:paraId="5AB53103" w14:textId="74E2EF73" w:rsidR="00162CF0" w:rsidRPr="001E3C8E" w:rsidRDefault="00162CF0" w:rsidP="00E27A1F">
      <w:pPr>
        <w:ind w:firstLine="678"/>
        <w:jc w:val="both"/>
        <w:rPr>
          <w:i/>
          <w:color w:val="000000" w:themeColor="text1"/>
          <w:sz w:val="24"/>
          <w:szCs w:val="24"/>
          <w:lang w:val="fr-FR"/>
        </w:rPr>
      </w:pPr>
      <w:r w:rsidRPr="001E3C8E">
        <w:rPr>
          <w:i/>
          <w:color w:val="000000" w:themeColor="text1"/>
          <w:sz w:val="24"/>
          <w:szCs w:val="24"/>
          <w:lang w:val="fr-FR"/>
        </w:rPr>
        <w:t>Commentaire :</w:t>
      </w:r>
    </w:p>
    <w:p w14:paraId="24607764" w14:textId="77777777" w:rsidR="002544B1" w:rsidRPr="001E3C8E" w:rsidRDefault="002544B1" w:rsidP="00E27A1F">
      <w:pPr>
        <w:pStyle w:val="BodyText"/>
        <w:rPr>
          <w:b w:val="0"/>
          <w:color w:val="000000" w:themeColor="text1"/>
          <w:szCs w:val="24"/>
          <w:lang w:val="fr-FR"/>
        </w:rPr>
      </w:pPr>
    </w:p>
    <w:p w14:paraId="3B93CD0D" w14:textId="0C59C544" w:rsidR="005D380F" w:rsidRPr="001E3C8E" w:rsidRDefault="005D380F" w:rsidP="00430901">
      <w:pPr>
        <w:pStyle w:val="ListParagraph"/>
        <w:numPr>
          <w:ilvl w:val="0"/>
          <w:numId w:val="4"/>
        </w:numPr>
        <w:spacing w:before="0"/>
        <w:ind w:left="1276" w:hanging="567"/>
        <w:rPr>
          <w:szCs w:val="24"/>
          <w:lang w:val="fr-FR"/>
        </w:rPr>
      </w:pPr>
      <w:r w:rsidRPr="001E3C8E">
        <w:rPr>
          <w:szCs w:val="24"/>
          <w:lang w:val="fr-FR"/>
        </w:rPr>
        <w:t xml:space="preserve">La politique sociale </w:t>
      </w:r>
      <w:r w:rsidR="00DF379E" w:rsidRPr="001E3C8E">
        <w:rPr>
          <w:szCs w:val="24"/>
          <w:lang w:val="fr-FR"/>
        </w:rPr>
        <w:t xml:space="preserve">couvre </w:t>
      </w:r>
      <w:r w:rsidRPr="001E3C8E">
        <w:rPr>
          <w:szCs w:val="24"/>
          <w:lang w:val="fr-FR"/>
        </w:rPr>
        <w:t>une large gamme de politique</w:t>
      </w:r>
      <w:r w:rsidR="00DF379E" w:rsidRPr="001E3C8E">
        <w:rPr>
          <w:szCs w:val="24"/>
          <w:lang w:val="fr-FR"/>
        </w:rPr>
        <w:t>s</w:t>
      </w:r>
      <w:r w:rsidRPr="001E3C8E">
        <w:rPr>
          <w:szCs w:val="24"/>
          <w:lang w:val="fr-FR"/>
        </w:rPr>
        <w:t xml:space="preserve">, allant de la sécurité sociale (retraite/pensions et assurances, notamment les allocations chômage) au travail, à l’éducation et à la santé. D’autres domaines </w:t>
      </w:r>
      <w:r w:rsidR="00DF379E" w:rsidRPr="001E3C8E">
        <w:rPr>
          <w:szCs w:val="24"/>
          <w:lang w:val="fr-FR"/>
        </w:rPr>
        <w:t xml:space="preserve">également </w:t>
      </w:r>
      <w:r w:rsidRPr="001E3C8E">
        <w:rPr>
          <w:szCs w:val="24"/>
          <w:lang w:val="fr-FR"/>
        </w:rPr>
        <w:t xml:space="preserve">sont souvent affectés –directement ou indirectement- par les mesures économiques comme la privatisation des ressources en eau, les logements sociaux, les </w:t>
      </w:r>
      <w:r w:rsidR="00DF379E" w:rsidRPr="001E3C8E">
        <w:rPr>
          <w:szCs w:val="24"/>
          <w:lang w:val="fr-FR"/>
        </w:rPr>
        <w:t>prisons et centres de détention</w:t>
      </w:r>
      <w:r w:rsidRPr="001E3C8E">
        <w:rPr>
          <w:szCs w:val="24"/>
          <w:lang w:val="fr-FR"/>
        </w:rPr>
        <w:t xml:space="preserve">, le contrôle des migrations etc. </w:t>
      </w:r>
      <w:r w:rsidR="00DF379E" w:rsidRPr="001E3C8E">
        <w:rPr>
          <w:szCs w:val="24"/>
          <w:lang w:val="fr-FR"/>
        </w:rPr>
        <w:t>Certaines</w:t>
      </w:r>
      <w:r w:rsidRPr="001E3C8E">
        <w:rPr>
          <w:szCs w:val="24"/>
          <w:lang w:val="fr-FR"/>
        </w:rPr>
        <w:t xml:space="preserve"> politiques spécifiques concernent </w:t>
      </w:r>
      <w:r w:rsidR="00DF379E" w:rsidRPr="001E3C8E">
        <w:rPr>
          <w:szCs w:val="24"/>
          <w:lang w:val="fr-FR"/>
        </w:rPr>
        <w:t xml:space="preserve">aussi </w:t>
      </w:r>
      <w:r w:rsidRPr="001E3C8E">
        <w:rPr>
          <w:szCs w:val="24"/>
          <w:lang w:val="fr-FR"/>
        </w:rPr>
        <w:t>des groupes de population particuliers, comme les pe</w:t>
      </w:r>
      <w:r w:rsidR="00DF379E" w:rsidRPr="001E3C8E">
        <w:rPr>
          <w:szCs w:val="24"/>
          <w:lang w:val="fr-FR"/>
        </w:rPr>
        <w:t xml:space="preserve">rsonnes </w:t>
      </w:r>
      <w:r w:rsidR="005F0A7E" w:rsidRPr="001E3C8E">
        <w:rPr>
          <w:szCs w:val="24"/>
          <w:lang w:val="fr-FR"/>
        </w:rPr>
        <w:t>handicapées</w:t>
      </w:r>
      <w:r w:rsidR="00DF379E" w:rsidRPr="001E3C8E">
        <w:rPr>
          <w:szCs w:val="24"/>
          <w:lang w:val="fr-FR"/>
        </w:rPr>
        <w:t>,</w:t>
      </w:r>
      <w:r w:rsidRPr="001E3C8E">
        <w:rPr>
          <w:szCs w:val="24"/>
          <w:lang w:val="fr-FR"/>
        </w:rPr>
        <w:t xml:space="preserve"> les réfugiés ou demandeurs d’</w:t>
      </w:r>
      <w:r w:rsidR="00A510A9" w:rsidRPr="001E3C8E">
        <w:rPr>
          <w:szCs w:val="24"/>
          <w:lang w:val="fr-FR"/>
        </w:rPr>
        <w:t>asi</w:t>
      </w:r>
      <w:r w:rsidRPr="001E3C8E">
        <w:rPr>
          <w:szCs w:val="24"/>
          <w:lang w:val="fr-FR"/>
        </w:rPr>
        <w:t>le, ou les personnes en situation d’extrême pauvreté (transferts de fonds).</w:t>
      </w:r>
    </w:p>
    <w:p w14:paraId="3CBACD58" w14:textId="77777777" w:rsidR="00915AAD" w:rsidRPr="001E3C8E" w:rsidRDefault="00915AAD" w:rsidP="00915AAD">
      <w:pPr>
        <w:ind w:left="709"/>
        <w:rPr>
          <w:szCs w:val="24"/>
          <w:lang w:val="fr-FR"/>
        </w:rPr>
      </w:pPr>
    </w:p>
    <w:p w14:paraId="5AC7A08B" w14:textId="52D154F0" w:rsidR="000131AD" w:rsidRPr="001E3C8E" w:rsidRDefault="000131AD" w:rsidP="00430901">
      <w:pPr>
        <w:pStyle w:val="ListParagraph"/>
        <w:numPr>
          <w:ilvl w:val="0"/>
          <w:numId w:val="4"/>
        </w:numPr>
        <w:spacing w:before="0"/>
        <w:ind w:left="1276" w:hanging="567"/>
        <w:rPr>
          <w:szCs w:val="24"/>
          <w:lang w:val="fr-FR"/>
        </w:rPr>
      </w:pPr>
      <w:r w:rsidRPr="001E3C8E">
        <w:rPr>
          <w:szCs w:val="24"/>
          <w:lang w:val="fr-FR"/>
        </w:rPr>
        <w:t>La politique fiscal</w:t>
      </w:r>
      <w:r w:rsidR="00640368" w:rsidRPr="001E3C8E">
        <w:rPr>
          <w:szCs w:val="24"/>
          <w:lang w:val="fr-FR"/>
        </w:rPr>
        <w:t>e</w:t>
      </w:r>
      <w:r w:rsidRPr="001E3C8E">
        <w:rPr>
          <w:szCs w:val="24"/>
          <w:lang w:val="fr-FR"/>
        </w:rPr>
        <w:t xml:space="preserve"> peut jouer un rôle majeur pour atteindre l’égalité, lutter contre la discrimination et renforcer la gouvernance et la responsabilité, ainsi que pour lutter contre la pauvreté et financer le développement.</w:t>
      </w:r>
      <w:r w:rsidRPr="001E3C8E">
        <w:rPr>
          <w:szCs w:val="24"/>
          <w:vertAlign w:val="superscript"/>
          <w:lang w:val="fr-FR"/>
        </w:rPr>
        <w:footnoteReference w:id="20"/>
      </w:r>
      <w:r w:rsidRPr="001E3C8E">
        <w:rPr>
          <w:szCs w:val="24"/>
          <w:vertAlign w:val="superscript"/>
          <w:lang w:val="fr-FR"/>
        </w:rPr>
        <w:t xml:space="preserve"> </w:t>
      </w:r>
      <w:r w:rsidR="00640368" w:rsidRPr="001E3C8E">
        <w:rPr>
          <w:szCs w:val="24"/>
          <w:lang w:val="fr-FR"/>
        </w:rPr>
        <w:t>La</w:t>
      </w:r>
      <w:r w:rsidRPr="001E3C8E">
        <w:rPr>
          <w:szCs w:val="24"/>
          <w:lang w:val="fr-FR"/>
        </w:rPr>
        <w:t xml:space="preserve"> politique fiscale </w:t>
      </w:r>
      <w:r w:rsidR="00640368" w:rsidRPr="001E3C8E">
        <w:rPr>
          <w:szCs w:val="24"/>
          <w:lang w:val="fr-FR"/>
        </w:rPr>
        <w:t>a</w:t>
      </w:r>
      <w:r w:rsidRPr="001E3C8E">
        <w:rPr>
          <w:szCs w:val="24"/>
          <w:lang w:val="fr-FR"/>
        </w:rPr>
        <w:t xml:space="preserve"> également un effet évident et bien documenté sur la croissance économique</w:t>
      </w:r>
      <w:r w:rsidR="00640368" w:rsidRPr="001E3C8E">
        <w:rPr>
          <w:szCs w:val="24"/>
          <w:lang w:val="fr-FR"/>
        </w:rPr>
        <w:t> </w:t>
      </w:r>
      <w:r w:rsidRPr="001E3C8E">
        <w:rPr>
          <w:szCs w:val="24"/>
          <w:lang w:val="fr-FR"/>
        </w:rPr>
        <w:t xml:space="preserve">: les politiques fiscales récessives </w:t>
      </w:r>
      <w:r w:rsidR="00640368" w:rsidRPr="001E3C8E">
        <w:rPr>
          <w:szCs w:val="24"/>
          <w:lang w:val="fr-FR"/>
        </w:rPr>
        <w:t xml:space="preserve">la </w:t>
      </w:r>
      <w:r w:rsidRPr="001E3C8E">
        <w:rPr>
          <w:szCs w:val="24"/>
          <w:lang w:val="fr-FR"/>
        </w:rPr>
        <w:t>réduisent alors que les politiques fiscales expansionnistes la font augmenter. Les changements positifs et négatifs dans les dépenses gouvernementales sont susceptibles d’avoir un impact plus que propo</w:t>
      </w:r>
      <w:r w:rsidR="00640368" w:rsidRPr="001E3C8E">
        <w:rPr>
          <w:szCs w:val="24"/>
          <w:lang w:val="fr-FR"/>
        </w:rPr>
        <w:t xml:space="preserve">rtionnel sur la croissance. L’évolution de </w:t>
      </w:r>
      <w:r w:rsidRPr="001E3C8E">
        <w:rPr>
          <w:szCs w:val="24"/>
          <w:lang w:val="fr-FR"/>
        </w:rPr>
        <w:t xml:space="preserve">la croissance économique, quant à </w:t>
      </w:r>
      <w:r w:rsidR="00640368" w:rsidRPr="001E3C8E">
        <w:rPr>
          <w:szCs w:val="24"/>
          <w:lang w:val="fr-FR"/>
        </w:rPr>
        <w:t>elle</w:t>
      </w:r>
      <w:r w:rsidRPr="001E3C8E">
        <w:rPr>
          <w:szCs w:val="24"/>
          <w:lang w:val="fr-FR"/>
        </w:rPr>
        <w:t>, affecter</w:t>
      </w:r>
      <w:r w:rsidR="00640368" w:rsidRPr="001E3C8E">
        <w:rPr>
          <w:szCs w:val="24"/>
          <w:lang w:val="fr-FR"/>
        </w:rPr>
        <w:t>a</w:t>
      </w:r>
      <w:r w:rsidRPr="001E3C8E">
        <w:rPr>
          <w:szCs w:val="24"/>
          <w:lang w:val="fr-FR"/>
        </w:rPr>
        <w:t xml:space="preserve"> les revenus fiscaux des gouvernements. La mobilisation des ressources nationales peut</w:t>
      </w:r>
      <w:r w:rsidR="00BE0A37" w:rsidRPr="001E3C8E">
        <w:rPr>
          <w:szCs w:val="24"/>
          <w:lang w:val="fr-FR"/>
        </w:rPr>
        <w:t xml:space="preserve"> être un outil pour garantir l’exercice </w:t>
      </w:r>
      <w:r w:rsidRPr="001E3C8E">
        <w:rPr>
          <w:szCs w:val="24"/>
          <w:lang w:val="fr-FR"/>
        </w:rPr>
        <w:t xml:space="preserve">des droits humains et promouvoir une croissance inclusive. Une augmentation plus directe des revenus gouvernementaux dépend de régimes de taxation redistributifs et progressifs solides. Lorsqu’une consolidation fiscale a été décidée en tant que mesure prioritaire, </w:t>
      </w:r>
      <w:r w:rsidR="00640368" w:rsidRPr="001E3C8E">
        <w:rPr>
          <w:szCs w:val="24"/>
          <w:lang w:val="fr-FR"/>
        </w:rPr>
        <w:t>il faut tenir compte du</w:t>
      </w:r>
      <w:r w:rsidRPr="001E3C8E">
        <w:rPr>
          <w:szCs w:val="24"/>
          <w:lang w:val="fr-FR"/>
        </w:rPr>
        <w:t xml:space="preserve"> renforcement des revenus gouvernementaux </w:t>
      </w:r>
      <w:r w:rsidR="00640368" w:rsidRPr="001E3C8E">
        <w:rPr>
          <w:szCs w:val="24"/>
          <w:lang w:val="fr-FR"/>
        </w:rPr>
        <w:t xml:space="preserve">au même titre que des </w:t>
      </w:r>
      <w:r w:rsidRPr="001E3C8E">
        <w:rPr>
          <w:szCs w:val="24"/>
          <w:lang w:val="fr-FR"/>
        </w:rPr>
        <w:t xml:space="preserve">coupes budgétaires publiques. L’impact </w:t>
      </w:r>
      <w:r w:rsidR="00600B5F" w:rsidRPr="001E3C8E">
        <w:rPr>
          <w:szCs w:val="24"/>
          <w:lang w:val="fr-FR"/>
        </w:rPr>
        <w:t xml:space="preserve">respectif des évolutions </w:t>
      </w:r>
      <w:r w:rsidRPr="001E3C8E">
        <w:rPr>
          <w:szCs w:val="24"/>
          <w:lang w:val="fr-FR"/>
        </w:rPr>
        <w:t>des revenus et des dépenses devrait être évalué sous l’angle des résultats obtenus en termes de croissance économique, de droits humains et de viabilité de la dette à long terme.</w:t>
      </w:r>
    </w:p>
    <w:p w14:paraId="5E967733" w14:textId="77777777" w:rsidR="006F51B0" w:rsidRPr="001E3C8E" w:rsidRDefault="006F51B0" w:rsidP="006F51B0">
      <w:pPr>
        <w:ind w:left="709"/>
        <w:rPr>
          <w:szCs w:val="24"/>
          <w:lang w:val="fr-FR"/>
        </w:rPr>
      </w:pPr>
    </w:p>
    <w:p w14:paraId="04EC4D64" w14:textId="0301F67B" w:rsidR="000131AD" w:rsidRPr="001E3C8E" w:rsidRDefault="00F52868" w:rsidP="00430901">
      <w:pPr>
        <w:pStyle w:val="ListParagraph"/>
        <w:numPr>
          <w:ilvl w:val="0"/>
          <w:numId w:val="4"/>
        </w:numPr>
        <w:spacing w:before="0"/>
        <w:ind w:left="1276" w:hanging="567"/>
        <w:rPr>
          <w:szCs w:val="24"/>
          <w:lang w:val="fr-FR"/>
        </w:rPr>
      </w:pPr>
      <w:r w:rsidRPr="001E3C8E">
        <w:rPr>
          <w:szCs w:val="24"/>
          <w:lang w:val="fr-FR"/>
        </w:rPr>
        <w:t>En matière de politique fiscale, il faut</w:t>
      </w:r>
      <w:r w:rsidR="000131AD" w:rsidRPr="001E3C8E">
        <w:rPr>
          <w:szCs w:val="24"/>
          <w:lang w:val="fr-FR"/>
        </w:rPr>
        <w:t xml:space="preserve"> envisager de ne pa</w:t>
      </w:r>
      <w:r w:rsidRPr="001E3C8E">
        <w:rPr>
          <w:szCs w:val="24"/>
          <w:lang w:val="fr-FR"/>
        </w:rPr>
        <w:t>s prendre de mesures fiscales récessives</w:t>
      </w:r>
      <w:r w:rsidR="000131AD" w:rsidRPr="001E3C8E">
        <w:rPr>
          <w:szCs w:val="24"/>
          <w:lang w:val="fr-FR"/>
        </w:rPr>
        <w:t xml:space="preserve">, comme des coupes budgétaires qui </w:t>
      </w:r>
      <w:r w:rsidRPr="001E3C8E">
        <w:rPr>
          <w:szCs w:val="24"/>
          <w:lang w:val="fr-FR"/>
        </w:rPr>
        <w:t xml:space="preserve">nuisent à la jouissance des </w:t>
      </w:r>
      <w:r w:rsidR="000131AD" w:rsidRPr="001E3C8E">
        <w:rPr>
          <w:szCs w:val="24"/>
          <w:lang w:val="fr-FR"/>
        </w:rPr>
        <w:lastRenderedPageBreak/>
        <w:t>droits, notamment dans des secteurs comme l’éducation, la santé et la sécurité sociale, et de ne pas approfondir les inégalités sociales et la pauvreté par le biais de taxes indirectes et régressives.</w:t>
      </w:r>
    </w:p>
    <w:p w14:paraId="6460B7F7" w14:textId="77777777" w:rsidR="002544B1" w:rsidRPr="001E3C8E" w:rsidRDefault="002544B1" w:rsidP="006F51B0">
      <w:pPr>
        <w:ind w:left="709"/>
        <w:rPr>
          <w:szCs w:val="24"/>
          <w:lang w:val="fr-FR"/>
        </w:rPr>
      </w:pPr>
    </w:p>
    <w:p w14:paraId="5EDB77BD" w14:textId="6AF17B52" w:rsidR="001C72F8" w:rsidRPr="001E3C8E" w:rsidRDefault="00EF2B5D" w:rsidP="00430901">
      <w:pPr>
        <w:pStyle w:val="ListParagraph"/>
        <w:numPr>
          <w:ilvl w:val="0"/>
          <w:numId w:val="4"/>
        </w:numPr>
        <w:spacing w:before="0"/>
        <w:ind w:left="1276" w:hanging="567"/>
        <w:rPr>
          <w:szCs w:val="24"/>
          <w:lang w:val="fr-FR"/>
        </w:rPr>
      </w:pPr>
      <w:r w:rsidRPr="001E3C8E">
        <w:rPr>
          <w:szCs w:val="24"/>
          <w:lang w:val="fr-FR"/>
        </w:rPr>
        <w:t>La priorité doit être donnée à une fiscalité directe et progressive</w:t>
      </w:r>
      <w:r w:rsidR="001C72F8" w:rsidRPr="001E3C8E">
        <w:rPr>
          <w:szCs w:val="24"/>
          <w:lang w:val="fr-FR"/>
        </w:rPr>
        <w:t xml:space="preserve">. La politique fiscale doit promouvoir la redistribution de la richesse pour mettre fin à la situation désavantageuse des populations en situation de vulnérabilité sociale (les pauvres, les minorités ethniques, les femmes) et d’autres groupes prioritaires, notamment les </w:t>
      </w:r>
      <w:r w:rsidRPr="001E3C8E">
        <w:rPr>
          <w:szCs w:val="24"/>
          <w:lang w:val="fr-FR"/>
        </w:rPr>
        <w:t>personnes</w:t>
      </w:r>
      <w:r w:rsidR="001C72F8" w:rsidRPr="001E3C8E">
        <w:rPr>
          <w:szCs w:val="24"/>
          <w:lang w:val="fr-FR"/>
        </w:rPr>
        <w:t xml:space="preserve"> âgé</w:t>
      </w:r>
      <w:r w:rsidR="005F0A7E" w:rsidRPr="001E3C8E">
        <w:rPr>
          <w:szCs w:val="24"/>
          <w:lang w:val="fr-FR"/>
        </w:rPr>
        <w:t>e</w:t>
      </w:r>
      <w:r w:rsidR="001C72F8" w:rsidRPr="001E3C8E">
        <w:rPr>
          <w:szCs w:val="24"/>
          <w:lang w:val="fr-FR"/>
        </w:rPr>
        <w:t>s, les enfants, et les personnes handicap</w:t>
      </w:r>
      <w:r w:rsidR="005F0A7E" w:rsidRPr="001E3C8E">
        <w:rPr>
          <w:szCs w:val="24"/>
          <w:lang w:val="fr-FR"/>
        </w:rPr>
        <w:t>ées</w:t>
      </w:r>
      <w:r w:rsidR="001C72F8" w:rsidRPr="001E3C8E">
        <w:rPr>
          <w:szCs w:val="24"/>
          <w:lang w:val="fr-FR"/>
        </w:rPr>
        <w:t>.</w:t>
      </w:r>
    </w:p>
    <w:p w14:paraId="477C3C25" w14:textId="77777777" w:rsidR="00E1348E" w:rsidRPr="001E3C8E" w:rsidRDefault="00E1348E" w:rsidP="00E1348E">
      <w:pPr>
        <w:pStyle w:val="ListParagraph"/>
        <w:spacing w:before="0"/>
        <w:ind w:left="1276"/>
        <w:rPr>
          <w:szCs w:val="24"/>
          <w:lang w:val="fr-FR"/>
        </w:rPr>
      </w:pPr>
    </w:p>
    <w:p w14:paraId="4E82C10A" w14:textId="4D14FA6F" w:rsidR="00BE612D" w:rsidRPr="001E3C8E" w:rsidRDefault="00BE612D" w:rsidP="00430901">
      <w:pPr>
        <w:pStyle w:val="ListParagraph"/>
        <w:numPr>
          <w:ilvl w:val="0"/>
          <w:numId w:val="4"/>
        </w:numPr>
        <w:spacing w:before="0"/>
        <w:ind w:left="1276" w:hanging="567"/>
        <w:rPr>
          <w:szCs w:val="24"/>
          <w:lang w:val="fr-FR"/>
        </w:rPr>
      </w:pPr>
      <w:r w:rsidRPr="001E3C8E">
        <w:rPr>
          <w:szCs w:val="24"/>
          <w:lang w:val="fr-FR"/>
        </w:rPr>
        <w:t xml:space="preserve">Les mesures de réforme fiscale </w:t>
      </w:r>
      <w:r w:rsidR="005F0A7E" w:rsidRPr="001E3C8E">
        <w:rPr>
          <w:szCs w:val="24"/>
          <w:lang w:val="fr-FR"/>
        </w:rPr>
        <w:t>comprennent</w:t>
      </w:r>
      <w:r w:rsidRPr="001E3C8E">
        <w:rPr>
          <w:szCs w:val="24"/>
          <w:lang w:val="fr-FR"/>
        </w:rPr>
        <w:t>, par exemple, une fiscalité plus lourde pour les catégories supérieures de revenus et de richesse, l’étaiement de l’assiette fiscale et l’amélioration de la collecte d’impôt,</w:t>
      </w:r>
      <w:r w:rsidR="005A0B8B" w:rsidRPr="001E3C8E">
        <w:rPr>
          <w:szCs w:val="24"/>
          <w:lang w:val="fr-FR"/>
        </w:rPr>
        <w:t xml:space="preserve"> de</w:t>
      </w:r>
      <w:r w:rsidRPr="001E3C8E">
        <w:rPr>
          <w:szCs w:val="24"/>
          <w:lang w:val="fr-FR"/>
        </w:rPr>
        <w:t xml:space="preserve"> l’efficacité de l’administration et </w:t>
      </w:r>
      <w:r w:rsidR="005A0B8B" w:rsidRPr="001E3C8E">
        <w:rPr>
          <w:szCs w:val="24"/>
          <w:lang w:val="fr-FR"/>
        </w:rPr>
        <w:t xml:space="preserve">de </w:t>
      </w:r>
      <w:r w:rsidRPr="001E3C8E">
        <w:rPr>
          <w:szCs w:val="24"/>
          <w:lang w:val="fr-FR"/>
        </w:rPr>
        <w:t xml:space="preserve">la lutte contre la fraude et l’évasion fiscales. Seul un système de réglementation international, binational ou régional peut permettre d’améliorer l’efficacité </w:t>
      </w:r>
      <w:r w:rsidR="00E1348E" w:rsidRPr="001E3C8E">
        <w:rPr>
          <w:szCs w:val="24"/>
          <w:lang w:val="fr-FR"/>
        </w:rPr>
        <w:t xml:space="preserve">de la lutte </w:t>
      </w:r>
      <w:r w:rsidRPr="001E3C8E">
        <w:rPr>
          <w:szCs w:val="24"/>
          <w:lang w:val="fr-FR"/>
        </w:rPr>
        <w:t xml:space="preserve">contre l’évasion, l’évitement et la fraude fiscale </w:t>
      </w:r>
      <w:r w:rsidR="00E1348E" w:rsidRPr="001E3C8E">
        <w:rPr>
          <w:szCs w:val="24"/>
          <w:lang w:val="fr-FR"/>
        </w:rPr>
        <w:t>ou les flux financiers illicites. En la matière, d</w:t>
      </w:r>
      <w:r w:rsidRPr="001E3C8E">
        <w:rPr>
          <w:szCs w:val="24"/>
          <w:lang w:val="fr-FR"/>
        </w:rPr>
        <w:t xml:space="preserve">es initiatives comme la </w:t>
      </w:r>
      <w:r w:rsidR="00E1348E" w:rsidRPr="001E3C8E">
        <w:rPr>
          <w:rStyle w:val="Emphasis"/>
          <w:i w:val="0"/>
          <w:lang w:val="fr-FR"/>
        </w:rPr>
        <w:t>Convention m</w:t>
      </w:r>
      <w:r w:rsidR="007B7599" w:rsidRPr="001E3C8E">
        <w:rPr>
          <w:rStyle w:val="Emphasis"/>
          <w:i w:val="0"/>
          <w:lang w:val="fr-FR"/>
        </w:rPr>
        <w:t>ultilatérale</w:t>
      </w:r>
      <w:r w:rsidR="007B7599" w:rsidRPr="001E3C8E">
        <w:rPr>
          <w:rStyle w:val="st"/>
          <w:lang w:val="fr-FR"/>
        </w:rPr>
        <w:t xml:space="preserve"> concernant </w:t>
      </w:r>
      <w:r w:rsidR="007B7599" w:rsidRPr="001E3C8E">
        <w:rPr>
          <w:rStyle w:val="Emphasis"/>
          <w:i w:val="0"/>
          <w:lang w:val="fr-FR"/>
        </w:rPr>
        <w:t>l'assistance administrative mutuelle</w:t>
      </w:r>
      <w:r w:rsidR="007B7599" w:rsidRPr="001E3C8E">
        <w:rPr>
          <w:rStyle w:val="st"/>
          <w:lang w:val="fr-FR"/>
        </w:rPr>
        <w:t xml:space="preserve"> en matière fiscale</w:t>
      </w:r>
      <w:r w:rsidRPr="001E3C8E">
        <w:rPr>
          <w:szCs w:val="24"/>
          <w:lang w:val="fr-FR"/>
        </w:rPr>
        <w:t xml:space="preserve"> et le </w:t>
      </w:r>
      <w:r w:rsidR="007B7599" w:rsidRPr="001E3C8E">
        <w:rPr>
          <w:szCs w:val="24"/>
          <w:lang w:val="fr-FR"/>
        </w:rPr>
        <w:t>Forum mondial sur la transparence et l’échange de renseignements en matière fiscale peuvent aider. L</w:t>
      </w:r>
      <w:r w:rsidR="00E1348E" w:rsidRPr="001E3C8E">
        <w:rPr>
          <w:szCs w:val="24"/>
          <w:lang w:val="fr-FR"/>
        </w:rPr>
        <w:t>es États doivent être encouragés</w:t>
      </w:r>
      <w:r w:rsidR="007B7599" w:rsidRPr="001E3C8E">
        <w:rPr>
          <w:szCs w:val="24"/>
          <w:lang w:val="fr-FR"/>
        </w:rPr>
        <w:t xml:space="preserve"> à développer,</w:t>
      </w:r>
      <w:r w:rsidR="00E1348E" w:rsidRPr="001E3C8E">
        <w:rPr>
          <w:szCs w:val="24"/>
          <w:lang w:val="fr-FR"/>
        </w:rPr>
        <w:t xml:space="preserve"> à appliquer et à</w:t>
      </w:r>
      <w:r w:rsidR="007B7599" w:rsidRPr="001E3C8E">
        <w:rPr>
          <w:szCs w:val="24"/>
          <w:lang w:val="fr-FR"/>
        </w:rPr>
        <w:t xml:space="preserve"> accéder à ces </w:t>
      </w:r>
      <w:r w:rsidR="00E1348E" w:rsidRPr="001E3C8E">
        <w:rPr>
          <w:szCs w:val="24"/>
          <w:lang w:val="fr-FR"/>
        </w:rPr>
        <w:t>standards</w:t>
      </w:r>
      <w:r w:rsidR="007B7599" w:rsidRPr="001E3C8E">
        <w:rPr>
          <w:szCs w:val="24"/>
          <w:lang w:val="fr-FR"/>
        </w:rPr>
        <w:t xml:space="preserve"> et </w:t>
      </w:r>
      <w:r w:rsidR="00E1348E" w:rsidRPr="001E3C8E">
        <w:rPr>
          <w:szCs w:val="24"/>
          <w:lang w:val="fr-FR"/>
        </w:rPr>
        <w:t xml:space="preserve">à </w:t>
      </w:r>
      <w:r w:rsidR="007B7599" w:rsidRPr="001E3C8E">
        <w:rPr>
          <w:szCs w:val="24"/>
          <w:lang w:val="fr-FR"/>
        </w:rPr>
        <w:t xml:space="preserve">d’autres normes similaires afin de renforcer les mécanismes internationaux de </w:t>
      </w:r>
      <w:r w:rsidR="00E1348E" w:rsidRPr="001E3C8E">
        <w:rPr>
          <w:szCs w:val="24"/>
          <w:lang w:val="fr-FR"/>
        </w:rPr>
        <w:t>redevabilité</w:t>
      </w:r>
      <w:r w:rsidR="007B7599" w:rsidRPr="001E3C8E">
        <w:rPr>
          <w:szCs w:val="24"/>
          <w:lang w:val="fr-FR"/>
        </w:rPr>
        <w:t>.</w:t>
      </w:r>
    </w:p>
    <w:p w14:paraId="3BF7C970" w14:textId="77777777" w:rsidR="002544B1" w:rsidRPr="001E3C8E" w:rsidRDefault="002544B1" w:rsidP="006F51B0">
      <w:pPr>
        <w:ind w:left="709"/>
        <w:rPr>
          <w:szCs w:val="24"/>
          <w:lang w:val="fr-FR"/>
        </w:rPr>
      </w:pPr>
    </w:p>
    <w:p w14:paraId="70053113" w14:textId="329D8C92" w:rsidR="007B7599" w:rsidRPr="001E3C8E" w:rsidRDefault="007B7599" w:rsidP="00430901">
      <w:pPr>
        <w:pStyle w:val="ListParagraph"/>
        <w:numPr>
          <w:ilvl w:val="0"/>
          <w:numId w:val="4"/>
        </w:numPr>
        <w:spacing w:before="0"/>
        <w:ind w:left="1276" w:hanging="567"/>
        <w:rPr>
          <w:szCs w:val="24"/>
          <w:lang w:val="fr-FR"/>
        </w:rPr>
      </w:pPr>
      <w:r w:rsidRPr="001E3C8E">
        <w:rPr>
          <w:szCs w:val="24"/>
          <w:lang w:val="fr-FR"/>
        </w:rPr>
        <w:t xml:space="preserve">De ce point de vue, il est nécessaire que les accords d’échange automatique de renseignements soient effectifs afin de déterminer l’identité du bénéficiaire final d’une transaction et d’établir les responsabilités dans le cas de pertes de ressources utiles </w:t>
      </w:r>
      <w:r w:rsidR="007B1AB8" w:rsidRPr="001E3C8E">
        <w:rPr>
          <w:szCs w:val="24"/>
          <w:lang w:val="fr-FR"/>
        </w:rPr>
        <w:t>à la garantie des</w:t>
      </w:r>
      <w:r w:rsidRPr="001E3C8E">
        <w:rPr>
          <w:szCs w:val="24"/>
          <w:lang w:val="fr-FR"/>
        </w:rPr>
        <w:t xml:space="preserve"> droits.</w:t>
      </w:r>
    </w:p>
    <w:p w14:paraId="5697FB14" w14:textId="77777777" w:rsidR="002544B1" w:rsidRPr="001E3C8E" w:rsidRDefault="002544B1" w:rsidP="006F51B0">
      <w:pPr>
        <w:ind w:left="709"/>
        <w:rPr>
          <w:szCs w:val="24"/>
          <w:lang w:val="fr-FR"/>
        </w:rPr>
      </w:pPr>
    </w:p>
    <w:p w14:paraId="3E7DECB5" w14:textId="496EF037" w:rsidR="007B7599" w:rsidRPr="001E3C8E" w:rsidRDefault="007B7599" w:rsidP="00430901">
      <w:pPr>
        <w:pStyle w:val="ListParagraph"/>
        <w:numPr>
          <w:ilvl w:val="0"/>
          <w:numId w:val="4"/>
        </w:numPr>
        <w:spacing w:before="0"/>
        <w:ind w:left="1276" w:hanging="567"/>
        <w:rPr>
          <w:szCs w:val="24"/>
          <w:lang w:val="fr-FR"/>
        </w:rPr>
      </w:pPr>
      <w:r w:rsidRPr="001E3C8E">
        <w:rPr>
          <w:szCs w:val="24"/>
          <w:lang w:val="fr-FR"/>
        </w:rPr>
        <w:t xml:space="preserve">Les processus de prise de décision concernant les politiques fiscales et </w:t>
      </w:r>
      <w:r w:rsidR="00AA1EE8" w:rsidRPr="001E3C8E">
        <w:rPr>
          <w:szCs w:val="24"/>
          <w:lang w:val="fr-FR"/>
        </w:rPr>
        <w:t>la taxation</w:t>
      </w:r>
      <w:r w:rsidRPr="001E3C8E">
        <w:rPr>
          <w:szCs w:val="24"/>
          <w:lang w:val="fr-FR"/>
        </w:rPr>
        <w:t xml:space="preserve"> doivent être ouverts à</w:t>
      </w:r>
      <w:r w:rsidR="00AA1EE8" w:rsidRPr="001E3C8E">
        <w:rPr>
          <w:szCs w:val="24"/>
          <w:lang w:val="fr-FR"/>
        </w:rPr>
        <w:t xml:space="preserve"> un</w:t>
      </w:r>
      <w:r w:rsidRPr="001E3C8E">
        <w:rPr>
          <w:szCs w:val="24"/>
          <w:lang w:val="fr-FR"/>
        </w:rPr>
        <w:t xml:space="preserve"> réel débat public, </w:t>
      </w:r>
      <w:r w:rsidR="00AA1EE8" w:rsidRPr="001E3C8E">
        <w:rPr>
          <w:szCs w:val="24"/>
          <w:lang w:val="fr-FR"/>
        </w:rPr>
        <w:t>alimenté</w:t>
      </w:r>
      <w:r w:rsidRPr="001E3C8E">
        <w:rPr>
          <w:szCs w:val="24"/>
          <w:lang w:val="fr-FR"/>
        </w:rPr>
        <w:t xml:space="preserve"> par des processus de dialogue social inclusif</w:t>
      </w:r>
      <w:r w:rsidR="00AA1EE8" w:rsidRPr="001E3C8E">
        <w:rPr>
          <w:szCs w:val="24"/>
          <w:lang w:val="fr-FR"/>
        </w:rPr>
        <w:t>s</w:t>
      </w:r>
      <w:r w:rsidRPr="001E3C8E">
        <w:rPr>
          <w:szCs w:val="24"/>
          <w:lang w:val="fr-FR"/>
        </w:rPr>
        <w:t xml:space="preserve"> et délibératif</w:t>
      </w:r>
      <w:r w:rsidR="00AA1EE8" w:rsidRPr="001E3C8E">
        <w:rPr>
          <w:szCs w:val="24"/>
          <w:lang w:val="fr-FR"/>
        </w:rPr>
        <w:t>s. Il devrait inclure une large gamme</w:t>
      </w:r>
      <w:r w:rsidRPr="001E3C8E">
        <w:rPr>
          <w:szCs w:val="24"/>
          <w:lang w:val="fr-FR"/>
        </w:rPr>
        <w:t xml:space="preserve"> de </w:t>
      </w:r>
      <w:r w:rsidR="00AA1EE8" w:rsidRPr="001E3C8E">
        <w:rPr>
          <w:szCs w:val="24"/>
          <w:lang w:val="fr-FR"/>
        </w:rPr>
        <w:t>données factuelles</w:t>
      </w:r>
      <w:r w:rsidRPr="001E3C8E">
        <w:rPr>
          <w:szCs w:val="24"/>
          <w:lang w:val="fr-FR"/>
        </w:rPr>
        <w:t xml:space="preserve"> et de théorie économiques.</w:t>
      </w:r>
    </w:p>
    <w:p w14:paraId="2126889F" w14:textId="77777777" w:rsidR="002544B1" w:rsidRPr="001E3C8E" w:rsidRDefault="002544B1" w:rsidP="006F51B0">
      <w:pPr>
        <w:ind w:left="709"/>
        <w:rPr>
          <w:szCs w:val="24"/>
          <w:lang w:val="fr-FR"/>
        </w:rPr>
      </w:pPr>
    </w:p>
    <w:p w14:paraId="7D31029B" w14:textId="47FB19BF" w:rsidR="00FE429B" w:rsidRPr="001E3C8E" w:rsidRDefault="00FE429B" w:rsidP="00430901">
      <w:pPr>
        <w:pStyle w:val="ListParagraph"/>
        <w:numPr>
          <w:ilvl w:val="0"/>
          <w:numId w:val="4"/>
        </w:numPr>
        <w:spacing w:before="0"/>
        <w:ind w:left="1276" w:hanging="567"/>
        <w:rPr>
          <w:szCs w:val="24"/>
          <w:lang w:val="fr-FR"/>
        </w:rPr>
      </w:pPr>
      <w:r w:rsidRPr="001E3C8E">
        <w:rPr>
          <w:szCs w:val="24"/>
          <w:lang w:val="fr-FR"/>
        </w:rPr>
        <w:t xml:space="preserve">Les banques centrales sont des institutions étatiques: elles ont donc </w:t>
      </w:r>
      <w:r w:rsidR="007B448A" w:rsidRPr="001E3C8E">
        <w:rPr>
          <w:szCs w:val="24"/>
          <w:lang w:val="fr-FR"/>
        </w:rPr>
        <w:t xml:space="preserve">une responsabilité par rapport aux </w:t>
      </w:r>
      <w:r w:rsidRPr="001E3C8E">
        <w:rPr>
          <w:szCs w:val="24"/>
          <w:lang w:val="fr-FR"/>
        </w:rPr>
        <w:t xml:space="preserve">droits humains. Les </w:t>
      </w:r>
      <w:r w:rsidR="007B448A" w:rsidRPr="001E3C8E">
        <w:rPr>
          <w:szCs w:val="24"/>
          <w:lang w:val="fr-FR"/>
        </w:rPr>
        <w:t>objectifs</w:t>
      </w:r>
      <w:r w:rsidRPr="001E3C8E">
        <w:rPr>
          <w:szCs w:val="24"/>
          <w:lang w:val="fr-FR"/>
        </w:rPr>
        <w:t xml:space="preserve"> en m</w:t>
      </w:r>
      <w:r w:rsidR="007B448A" w:rsidRPr="001E3C8E">
        <w:rPr>
          <w:szCs w:val="24"/>
          <w:lang w:val="fr-FR"/>
        </w:rPr>
        <w:t>atière d’inflation et d’emploi notamment</w:t>
      </w:r>
      <w:r w:rsidRPr="001E3C8E">
        <w:rPr>
          <w:szCs w:val="24"/>
          <w:lang w:val="fr-FR"/>
        </w:rPr>
        <w:t xml:space="preserve"> doivent être en cohérence avec les obligations des </w:t>
      </w:r>
      <w:r w:rsidR="007B448A" w:rsidRPr="001E3C8E">
        <w:rPr>
          <w:szCs w:val="24"/>
          <w:lang w:val="fr-FR"/>
        </w:rPr>
        <w:t>États</w:t>
      </w:r>
      <w:r w:rsidRPr="001E3C8E">
        <w:rPr>
          <w:szCs w:val="24"/>
          <w:lang w:val="fr-FR"/>
        </w:rPr>
        <w:t xml:space="preserve"> </w:t>
      </w:r>
      <w:r w:rsidR="007B448A" w:rsidRPr="001E3C8E">
        <w:rPr>
          <w:szCs w:val="24"/>
          <w:lang w:val="fr-FR"/>
        </w:rPr>
        <w:t xml:space="preserve">relatives aux </w:t>
      </w:r>
      <w:r w:rsidRPr="001E3C8E">
        <w:rPr>
          <w:szCs w:val="24"/>
          <w:lang w:val="fr-FR"/>
        </w:rPr>
        <w:t xml:space="preserve">droits humains afin d’éviter toute mesure délibérément </w:t>
      </w:r>
      <w:r w:rsidR="00AB3F87" w:rsidRPr="001E3C8E">
        <w:rPr>
          <w:szCs w:val="24"/>
          <w:lang w:val="fr-FR"/>
        </w:rPr>
        <w:t>régressive</w:t>
      </w:r>
      <w:r w:rsidRPr="001E3C8E">
        <w:rPr>
          <w:szCs w:val="24"/>
          <w:lang w:val="fr-FR"/>
        </w:rPr>
        <w:t xml:space="preserve"> qui n’aurait pas été soigneusement réfléchie et justifiée.</w:t>
      </w:r>
    </w:p>
    <w:p w14:paraId="2CB18E59" w14:textId="61F455D4" w:rsidR="004D280E" w:rsidRPr="001E3C8E" w:rsidRDefault="004D280E" w:rsidP="006F51B0">
      <w:pPr>
        <w:ind w:left="709"/>
        <w:rPr>
          <w:szCs w:val="24"/>
          <w:lang w:val="fr-FR"/>
        </w:rPr>
      </w:pPr>
    </w:p>
    <w:p w14:paraId="0E8EA71C" w14:textId="54A48F78" w:rsidR="00FE429B" w:rsidRPr="001E3C8E" w:rsidRDefault="00FE429B" w:rsidP="00430901">
      <w:pPr>
        <w:pStyle w:val="ListParagraph"/>
        <w:numPr>
          <w:ilvl w:val="0"/>
          <w:numId w:val="4"/>
        </w:numPr>
        <w:spacing w:before="0"/>
        <w:ind w:left="1276" w:hanging="567"/>
        <w:rPr>
          <w:szCs w:val="24"/>
          <w:lang w:val="fr-FR"/>
        </w:rPr>
      </w:pPr>
      <w:r w:rsidRPr="001E3C8E">
        <w:rPr>
          <w:szCs w:val="24"/>
          <w:lang w:val="fr-FR"/>
        </w:rPr>
        <w:t>Les</w:t>
      </w:r>
      <w:r w:rsidR="007B448A" w:rsidRPr="001E3C8E">
        <w:rPr>
          <w:szCs w:val="24"/>
          <w:lang w:val="fr-FR"/>
        </w:rPr>
        <w:t xml:space="preserve"> autorités qui interviennent massivement</w:t>
      </w:r>
      <w:r w:rsidRPr="001E3C8E">
        <w:rPr>
          <w:szCs w:val="24"/>
          <w:lang w:val="fr-FR"/>
        </w:rPr>
        <w:t xml:space="preserve"> pour s</w:t>
      </w:r>
      <w:r w:rsidR="007B448A" w:rsidRPr="001E3C8E">
        <w:rPr>
          <w:szCs w:val="24"/>
          <w:lang w:val="fr-FR"/>
        </w:rPr>
        <w:t xml:space="preserve">tabiliser le secteur financier comme </w:t>
      </w:r>
      <w:r w:rsidRPr="001E3C8E">
        <w:rPr>
          <w:szCs w:val="24"/>
          <w:lang w:val="fr-FR"/>
        </w:rPr>
        <w:t>celles qui décident de n’agir que modérément pour gérer les crises de la dette souveraine doivent démontrer si et dans quelle</w:t>
      </w:r>
      <w:r w:rsidR="007B448A" w:rsidRPr="001E3C8E">
        <w:rPr>
          <w:szCs w:val="24"/>
          <w:lang w:val="fr-FR"/>
        </w:rPr>
        <w:t xml:space="preserve"> mesure leurs stratégies éventuelles aid</w:t>
      </w:r>
      <w:r w:rsidRPr="001E3C8E">
        <w:rPr>
          <w:szCs w:val="24"/>
          <w:lang w:val="fr-FR"/>
        </w:rPr>
        <w:t>ent à protéger et à respecter les droits humains.</w:t>
      </w:r>
    </w:p>
    <w:p w14:paraId="61AD6423" w14:textId="2E5ED6CF" w:rsidR="00E40CF9" w:rsidRPr="001E3C8E" w:rsidRDefault="00E40CF9" w:rsidP="006F51B0">
      <w:pPr>
        <w:ind w:left="709"/>
        <w:rPr>
          <w:szCs w:val="24"/>
          <w:lang w:val="fr-FR"/>
        </w:rPr>
      </w:pPr>
    </w:p>
    <w:p w14:paraId="6F5E5D42" w14:textId="3693D7B0" w:rsidR="00FE429B" w:rsidRPr="001E3C8E" w:rsidRDefault="00FE429B" w:rsidP="00430901">
      <w:pPr>
        <w:pStyle w:val="ListParagraph"/>
        <w:numPr>
          <w:ilvl w:val="0"/>
          <w:numId w:val="4"/>
        </w:numPr>
        <w:spacing w:before="0"/>
        <w:ind w:left="1276" w:hanging="567"/>
        <w:rPr>
          <w:lang w:val="fr-FR"/>
        </w:rPr>
      </w:pPr>
      <w:r w:rsidRPr="001E3C8E">
        <w:rPr>
          <w:lang w:val="fr-FR"/>
        </w:rPr>
        <w:t>Une accumulation de réserves étrangères et de</w:t>
      </w:r>
      <w:r w:rsidR="00D741B8" w:rsidRPr="001E3C8E">
        <w:rPr>
          <w:lang w:val="fr-FR"/>
        </w:rPr>
        <w:t>s</w:t>
      </w:r>
      <w:r w:rsidRPr="001E3C8E">
        <w:rPr>
          <w:lang w:val="fr-FR"/>
        </w:rPr>
        <w:t xml:space="preserve"> restrictions sur les flux entrants et sortants de capital à court terme peuvent être considéré</w:t>
      </w:r>
      <w:r w:rsidR="00D741B8" w:rsidRPr="001E3C8E">
        <w:rPr>
          <w:lang w:val="fr-FR"/>
        </w:rPr>
        <w:t>e</w:t>
      </w:r>
      <w:r w:rsidRPr="001E3C8E">
        <w:rPr>
          <w:lang w:val="fr-FR"/>
        </w:rPr>
        <w:t xml:space="preserve">s comme des politiques monétaires </w:t>
      </w:r>
      <w:r w:rsidR="00D741B8" w:rsidRPr="001E3C8E">
        <w:rPr>
          <w:lang w:val="fr-FR"/>
        </w:rPr>
        <w:t>efficaces</w:t>
      </w:r>
      <w:r w:rsidRPr="001E3C8E">
        <w:rPr>
          <w:lang w:val="fr-FR"/>
        </w:rPr>
        <w:t>. Mais une accumulation massive de réserves étrangères, allant au-delà des règles recommandées, menant à une grande quantité de réserves inutilisées accumulées dans les banques centrales, devrait être en équilibre avec les besoins immédiats de l’</w:t>
      </w:r>
      <w:r w:rsidR="00D741B8" w:rsidRPr="001E3C8E">
        <w:rPr>
          <w:lang w:val="fr-FR"/>
        </w:rPr>
        <w:t>État</w:t>
      </w:r>
      <w:r w:rsidRPr="001E3C8E">
        <w:rPr>
          <w:lang w:val="fr-FR"/>
        </w:rPr>
        <w:t xml:space="preserve"> –notamment du point de vue de l’investissement social et des droits humains. D’autre part, limiter les mouvements financiers</w:t>
      </w:r>
      <w:r w:rsidR="00D741B8" w:rsidRPr="001E3C8E">
        <w:rPr>
          <w:lang w:val="fr-FR"/>
        </w:rPr>
        <w:t xml:space="preserve"> spéculatifs pourrait offrir une certaine marge de manœuvre </w:t>
      </w:r>
      <w:r w:rsidRPr="001E3C8E">
        <w:rPr>
          <w:lang w:val="fr-FR"/>
        </w:rPr>
        <w:t>pour mettre en place des politiques visant à faciliter la réalisation des droits humains.</w:t>
      </w:r>
    </w:p>
    <w:p w14:paraId="3D6908F8" w14:textId="3C7CF833" w:rsidR="00507913" w:rsidRPr="001E3C8E" w:rsidRDefault="00507913" w:rsidP="00DA2535">
      <w:pPr>
        <w:rPr>
          <w:lang w:val="fr-FR"/>
        </w:rPr>
      </w:pPr>
    </w:p>
    <w:p w14:paraId="511EACCA" w14:textId="411E03B4" w:rsidR="00FE429B" w:rsidRPr="001E3C8E" w:rsidRDefault="00FE429B" w:rsidP="00D741B8">
      <w:pPr>
        <w:pStyle w:val="Heading1"/>
        <w:numPr>
          <w:ilvl w:val="0"/>
          <w:numId w:val="27"/>
        </w:numPr>
        <w:rPr>
          <w:szCs w:val="24"/>
          <w:lang w:val="fr-FR"/>
        </w:rPr>
      </w:pPr>
      <w:bookmarkStart w:id="67" w:name="_Toc520376403"/>
      <w:bookmarkStart w:id="68" w:name="_Toc520377517"/>
      <w:bookmarkStart w:id="69" w:name="_Toc520377551"/>
      <w:bookmarkStart w:id="70" w:name="_Toc520377585"/>
      <w:bookmarkStart w:id="71" w:name="_Toc520377619"/>
      <w:bookmarkStart w:id="72" w:name="_Toc520377648"/>
      <w:bookmarkStart w:id="73" w:name="_Toc520377676"/>
      <w:bookmarkStart w:id="74" w:name="_Toc520377703"/>
      <w:bookmarkStart w:id="75" w:name="_Toc520378333"/>
      <w:bookmarkStart w:id="76" w:name="_Toc520380208"/>
      <w:bookmarkStart w:id="77" w:name="_Toc520805100"/>
      <w:bookmarkStart w:id="78" w:name="_Toc520809596"/>
      <w:bookmarkStart w:id="79" w:name="_Toc520811116"/>
      <w:bookmarkStart w:id="80" w:name="_Toc520811939"/>
      <w:bookmarkStart w:id="81" w:name="_Toc520813957"/>
      <w:bookmarkStart w:id="82" w:name="_Toc520816368"/>
      <w:bookmarkStart w:id="83" w:name="_Toc520817538"/>
      <w:bookmarkStart w:id="84" w:name="_Toc520820375"/>
      <w:bookmarkStart w:id="85" w:name="_Toc52278973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E3C8E">
        <w:rPr>
          <w:szCs w:val="24"/>
          <w:lang w:val="fr-FR"/>
        </w:rPr>
        <w:t xml:space="preserve">Qui conduit </w:t>
      </w:r>
      <w:r w:rsidR="00D741B8" w:rsidRPr="001E3C8E">
        <w:rPr>
          <w:szCs w:val="24"/>
          <w:lang w:val="fr-FR"/>
        </w:rPr>
        <w:t>l’étude</w:t>
      </w:r>
      <w:bookmarkEnd w:id="85"/>
    </w:p>
    <w:p w14:paraId="171E978D" w14:textId="1B6E20B8" w:rsidR="009B7927" w:rsidRPr="001E3C8E" w:rsidRDefault="009B7927" w:rsidP="00E27A1F">
      <w:pPr>
        <w:ind w:firstLine="678"/>
        <w:jc w:val="both"/>
        <w:rPr>
          <w:b/>
          <w:sz w:val="24"/>
          <w:szCs w:val="24"/>
          <w:lang w:val="fr-FR"/>
        </w:rPr>
      </w:pPr>
    </w:p>
    <w:p w14:paraId="26196000" w14:textId="32E13472" w:rsidR="00E8532F" w:rsidRPr="001E3C8E" w:rsidRDefault="00FE429B" w:rsidP="009C3347">
      <w:pPr>
        <w:pStyle w:val="BodyText"/>
        <w:rPr>
          <w:szCs w:val="24"/>
          <w:lang w:val="fr-FR"/>
        </w:rPr>
      </w:pPr>
      <w:r w:rsidRPr="001E3C8E">
        <w:rPr>
          <w:szCs w:val="24"/>
          <w:lang w:val="fr-FR"/>
        </w:rPr>
        <w:t xml:space="preserve">Les </w:t>
      </w:r>
      <w:r w:rsidR="00D741B8" w:rsidRPr="001E3C8E">
        <w:rPr>
          <w:szCs w:val="24"/>
          <w:lang w:val="fr-FR"/>
        </w:rPr>
        <w:t>études</w:t>
      </w:r>
      <w:r w:rsidRPr="001E3C8E">
        <w:rPr>
          <w:szCs w:val="24"/>
          <w:lang w:val="fr-FR"/>
        </w:rPr>
        <w:t xml:space="preserve"> d’impact sur les droits humains des politiques de réforme économique doivent être indépendantes, solides et crédibles. </w:t>
      </w:r>
      <w:r w:rsidR="00D741B8" w:rsidRPr="001E3C8E">
        <w:rPr>
          <w:szCs w:val="24"/>
          <w:lang w:val="fr-FR"/>
        </w:rPr>
        <w:t>À</w:t>
      </w:r>
      <w:r w:rsidRPr="001E3C8E">
        <w:rPr>
          <w:szCs w:val="24"/>
          <w:lang w:val="fr-FR"/>
        </w:rPr>
        <w:t xml:space="preserve"> ce titre, chaque pays doit décider de</w:t>
      </w:r>
      <w:r w:rsidR="00D741B8" w:rsidRPr="001E3C8E">
        <w:rPr>
          <w:szCs w:val="24"/>
          <w:lang w:val="fr-FR"/>
        </w:rPr>
        <w:t>(s)</w:t>
      </w:r>
      <w:r w:rsidRPr="001E3C8E">
        <w:rPr>
          <w:szCs w:val="24"/>
          <w:lang w:val="fr-FR"/>
        </w:rPr>
        <w:t xml:space="preserve"> institution(s) le(s) plus à même de se charger </w:t>
      </w:r>
      <w:r w:rsidR="00A340D7" w:rsidRPr="001E3C8E">
        <w:rPr>
          <w:szCs w:val="24"/>
          <w:lang w:val="fr-FR"/>
        </w:rPr>
        <w:t>de</w:t>
      </w:r>
      <w:r w:rsidRPr="001E3C8E">
        <w:rPr>
          <w:szCs w:val="24"/>
          <w:lang w:val="fr-FR"/>
        </w:rPr>
        <w:t xml:space="preserve"> cet exercice sur la base des critères applicables.</w:t>
      </w:r>
    </w:p>
    <w:p w14:paraId="675E1C73" w14:textId="77777777" w:rsidR="00C265AC" w:rsidRPr="001E3C8E" w:rsidRDefault="00C265AC" w:rsidP="00E27A1F">
      <w:pPr>
        <w:pStyle w:val="BodyText"/>
        <w:ind w:left="720"/>
        <w:rPr>
          <w:b w:val="0"/>
          <w:i/>
          <w:szCs w:val="24"/>
          <w:lang w:val="fr-FR"/>
        </w:rPr>
      </w:pPr>
    </w:p>
    <w:p w14:paraId="5DF39CD3" w14:textId="19D5E16D" w:rsidR="00FE429B" w:rsidRPr="001E3C8E" w:rsidRDefault="00FE429B" w:rsidP="00E27A1F">
      <w:pPr>
        <w:tabs>
          <w:tab w:val="left" w:pos="8227"/>
        </w:tabs>
        <w:ind w:left="720"/>
        <w:jc w:val="both"/>
        <w:rPr>
          <w:i/>
          <w:sz w:val="24"/>
          <w:szCs w:val="24"/>
          <w:lang w:val="fr-FR"/>
        </w:rPr>
      </w:pPr>
      <w:r w:rsidRPr="001E3C8E">
        <w:rPr>
          <w:i/>
          <w:sz w:val="24"/>
          <w:szCs w:val="24"/>
          <w:lang w:val="fr-FR"/>
        </w:rPr>
        <w:t>Commentaire :</w:t>
      </w:r>
    </w:p>
    <w:p w14:paraId="351F51CE" w14:textId="77777777" w:rsidR="00A07DB9" w:rsidRPr="001E3C8E" w:rsidRDefault="00A07DB9" w:rsidP="00E27A1F">
      <w:pPr>
        <w:tabs>
          <w:tab w:val="left" w:pos="8227"/>
        </w:tabs>
        <w:ind w:left="720"/>
        <w:jc w:val="both"/>
        <w:rPr>
          <w:i/>
          <w:sz w:val="24"/>
          <w:szCs w:val="24"/>
          <w:lang w:val="fr-FR"/>
        </w:rPr>
      </w:pPr>
    </w:p>
    <w:p w14:paraId="4BD828CD" w14:textId="392F55B7" w:rsidR="00A0179E" w:rsidRPr="001E3C8E" w:rsidRDefault="00A0179E" w:rsidP="00430901">
      <w:pPr>
        <w:pStyle w:val="ListParagraph"/>
        <w:numPr>
          <w:ilvl w:val="0"/>
          <w:numId w:val="23"/>
        </w:numPr>
        <w:spacing w:before="0"/>
        <w:ind w:left="1276" w:hanging="567"/>
        <w:rPr>
          <w:szCs w:val="24"/>
          <w:lang w:val="fr-FR"/>
        </w:rPr>
      </w:pPr>
      <w:r w:rsidRPr="001E3C8E">
        <w:rPr>
          <w:szCs w:val="24"/>
          <w:lang w:val="fr-FR"/>
        </w:rPr>
        <w:t>Ces principes directeurs sont suffisamment souples pour s’adapter aux besoins particuliers des branches du gouvernement, des organes consultatifs, des comités parlementaires, des institutions nationales des droits humains, des cours, des institutions financières internationales, des créditeurs privés, des mécanismes internationaux relatifs aux droits humains ou des organisations de la société civile.</w:t>
      </w:r>
    </w:p>
    <w:p w14:paraId="3BC7837E" w14:textId="77777777" w:rsidR="00A07DB9" w:rsidRPr="001E3C8E" w:rsidRDefault="00A07DB9" w:rsidP="001B58C6">
      <w:pPr>
        <w:rPr>
          <w:szCs w:val="24"/>
          <w:lang w:val="fr-FR"/>
        </w:rPr>
      </w:pPr>
    </w:p>
    <w:p w14:paraId="7336E3E0" w14:textId="6E6278E6" w:rsidR="0019689B" w:rsidRPr="001E3C8E" w:rsidRDefault="0019689B" w:rsidP="00430901">
      <w:pPr>
        <w:pStyle w:val="ListParagraph"/>
        <w:numPr>
          <w:ilvl w:val="0"/>
          <w:numId w:val="23"/>
        </w:numPr>
        <w:spacing w:before="0"/>
        <w:ind w:left="1276" w:hanging="567"/>
        <w:rPr>
          <w:szCs w:val="24"/>
          <w:lang w:val="fr-FR"/>
        </w:rPr>
      </w:pPr>
      <w:r w:rsidRPr="001E3C8E">
        <w:rPr>
          <w:szCs w:val="24"/>
          <w:lang w:val="fr-FR"/>
        </w:rPr>
        <w:t xml:space="preserve">La pertinence de l’institution ou de l’équipe qui conduit </w:t>
      </w:r>
      <w:r w:rsidR="00D741B8" w:rsidRPr="001E3C8E">
        <w:rPr>
          <w:szCs w:val="24"/>
          <w:lang w:val="fr-FR"/>
        </w:rPr>
        <w:t>l’étude</w:t>
      </w:r>
      <w:r w:rsidRPr="001E3C8E">
        <w:rPr>
          <w:szCs w:val="24"/>
          <w:lang w:val="fr-FR"/>
        </w:rPr>
        <w:t xml:space="preserve"> d’impact doit être mesurée </w:t>
      </w:r>
      <w:r w:rsidR="00D741B8" w:rsidRPr="001E3C8E">
        <w:rPr>
          <w:szCs w:val="24"/>
          <w:lang w:val="fr-FR"/>
        </w:rPr>
        <w:t xml:space="preserve">selon </w:t>
      </w:r>
      <w:r w:rsidRPr="001E3C8E">
        <w:rPr>
          <w:szCs w:val="24"/>
          <w:lang w:val="fr-FR"/>
        </w:rPr>
        <w:t xml:space="preserve">des critères </w:t>
      </w:r>
      <w:r w:rsidR="00FA13E1" w:rsidRPr="001E3C8E">
        <w:rPr>
          <w:szCs w:val="24"/>
          <w:lang w:val="fr-FR"/>
        </w:rPr>
        <w:t>préétablis</w:t>
      </w:r>
      <w:r w:rsidRPr="001E3C8E">
        <w:rPr>
          <w:szCs w:val="24"/>
          <w:lang w:val="fr-FR"/>
        </w:rPr>
        <w:t xml:space="preserve">, qui </w:t>
      </w:r>
      <w:r w:rsidR="00A340D7" w:rsidRPr="001E3C8E">
        <w:rPr>
          <w:szCs w:val="24"/>
          <w:lang w:val="fr-FR"/>
        </w:rPr>
        <w:t>inclu</w:t>
      </w:r>
      <w:r w:rsidRPr="001E3C8E">
        <w:rPr>
          <w:szCs w:val="24"/>
          <w:lang w:val="fr-FR"/>
        </w:rPr>
        <w:t>e</w:t>
      </w:r>
      <w:r w:rsidR="00A340D7" w:rsidRPr="001E3C8E">
        <w:rPr>
          <w:szCs w:val="24"/>
          <w:lang w:val="fr-FR"/>
        </w:rPr>
        <w:t>nt</w:t>
      </w:r>
      <w:r w:rsidRPr="001E3C8E">
        <w:rPr>
          <w:szCs w:val="24"/>
          <w:lang w:val="fr-FR"/>
        </w:rPr>
        <w:t xml:space="preserve"> au minimum les aspects suivants : s</w:t>
      </w:r>
      <w:r w:rsidR="00D741B8" w:rsidRPr="001E3C8E">
        <w:rPr>
          <w:szCs w:val="24"/>
          <w:lang w:val="fr-FR"/>
        </w:rPr>
        <w:t xml:space="preserve">on indépendance par rapport au pouvoir </w:t>
      </w:r>
      <w:r w:rsidRPr="001E3C8E">
        <w:rPr>
          <w:szCs w:val="24"/>
          <w:lang w:val="fr-FR"/>
        </w:rPr>
        <w:t>exécutif e</w:t>
      </w:r>
      <w:r w:rsidR="00D741B8" w:rsidRPr="001E3C8E">
        <w:rPr>
          <w:szCs w:val="24"/>
          <w:lang w:val="fr-FR"/>
        </w:rPr>
        <w:t>t aux créditeurs, un niveau d’</w:t>
      </w:r>
      <w:r w:rsidRPr="001E3C8E">
        <w:rPr>
          <w:szCs w:val="24"/>
          <w:lang w:val="fr-FR"/>
        </w:rPr>
        <w:t xml:space="preserve">expertise approprié, un </w:t>
      </w:r>
      <w:r w:rsidR="00FA13E1" w:rsidRPr="001E3C8E">
        <w:rPr>
          <w:szCs w:val="24"/>
          <w:lang w:val="fr-FR"/>
        </w:rPr>
        <w:t>financement</w:t>
      </w:r>
      <w:r w:rsidRPr="001E3C8E">
        <w:rPr>
          <w:szCs w:val="24"/>
          <w:lang w:val="fr-FR"/>
        </w:rPr>
        <w:t xml:space="preserve"> adapté</w:t>
      </w:r>
      <w:r w:rsidRPr="001E3C8E">
        <w:rPr>
          <w:szCs w:val="24"/>
          <w:vertAlign w:val="superscript"/>
          <w:lang w:val="fr-FR"/>
        </w:rPr>
        <w:t>,</w:t>
      </w:r>
      <w:r w:rsidRPr="001E3C8E">
        <w:rPr>
          <w:vertAlign w:val="superscript"/>
          <w:lang w:val="fr-FR"/>
        </w:rPr>
        <w:footnoteReference w:id="21"/>
      </w:r>
      <w:r w:rsidRPr="001E3C8E">
        <w:rPr>
          <w:szCs w:val="24"/>
          <w:lang w:val="fr-FR"/>
        </w:rPr>
        <w:t xml:space="preserve">, la diversité des membres </w:t>
      </w:r>
      <w:r w:rsidR="00D741B8" w:rsidRPr="001E3C8E">
        <w:rPr>
          <w:szCs w:val="24"/>
          <w:lang w:val="fr-FR"/>
        </w:rPr>
        <w:t>de</w:t>
      </w:r>
      <w:r w:rsidRPr="001E3C8E">
        <w:rPr>
          <w:szCs w:val="24"/>
          <w:lang w:val="fr-FR"/>
        </w:rPr>
        <w:t xml:space="preserve"> l’équipe ou </w:t>
      </w:r>
      <w:r w:rsidR="00D741B8" w:rsidRPr="001E3C8E">
        <w:rPr>
          <w:szCs w:val="24"/>
          <w:lang w:val="fr-FR"/>
        </w:rPr>
        <w:t xml:space="preserve">de l’organisme </w:t>
      </w:r>
      <w:r w:rsidRPr="001E3C8E">
        <w:rPr>
          <w:szCs w:val="24"/>
          <w:lang w:val="fr-FR"/>
        </w:rPr>
        <w:t xml:space="preserve">chargé d’effectuer </w:t>
      </w:r>
      <w:r w:rsidR="00D741B8" w:rsidRPr="001E3C8E">
        <w:rPr>
          <w:szCs w:val="24"/>
          <w:lang w:val="fr-FR"/>
        </w:rPr>
        <w:t>l’étude</w:t>
      </w:r>
      <w:r w:rsidRPr="001E3C8E">
        <w:rPr>
          <w:szCs w:val="24"/>
          <w:lang w:val="fr-FR"/>
        </w:rPr>
        <w:t xml:space="preserve">, l’engagement des communautés affectées et la crédibilité et la légitimité de différents groupes </w:t>
      </w:r>
      <w:r w:rsidR="00D741B8" w:rsidRPr="001E3C8E">
        <w:rPr>
          <w:szCs w:val="24"/>
          <w:lang w:val="fr-FR"/>
        </w:rPr>
        <w:t>de parties prenantes,</w:t>
      </w:r>
      <w:r w:rsidRPr="001E3C8E">
        <w:rPr>
          <w:szCs w:val="24"/>
          <w:lang w:val="fr-FR"/>
        </w:rPr>
        <w:t xml:space="preserve"> comme les agences gouvernementales, les acteurs </w:t>
      </w:r>
      <w:r w:rsidR="00FA13E1" w:rsidRPr="001E3C8E">
        <w:rPr>
          <w:szCs w:val="24"/>
          <w:lang w:val="fr-FR"/>
        </w:rPr>
        <w:t>internationaux</w:t>
      </w:r>
      <w:r w:rsidRPr="001E3C8E">
        <w:rPr>
          <w:szCs w:val="24"/>
          <w:lang w:val="fr-FR"/>
        </w:rPr>
        <w:t xml:space="preserve"> et la société civile.</w:t>
      </w:r>
    </w:p>
    <w:p w14:paraId="2E5BE954" w14:textId="77777777" w:rsidR="00A07DB9" w:rsidRPr="001E3C8E" w:rsidRDefault="00A07DB9" w:rsidP="001B58C6">
      <w:pPr>
        <w:rPr>
          <w:szCs w:val="24"/>
          <w:lang w:val="fr-FR"/>
        </w:rPr>
      </w:pPr>
    </w:p>
    <w:p w14:paraId="3C2425A3" w14:textId="21C6BF61" w:rsidR="00FA13E1" w:rsidRPr="001E3C8E" w:rsidRDefault="00FA13E1" w:rsidP="00430901">
      <w:pPr>
        <w:pStyle w:val="ListParagraph"/>
        <w:numPr>
          <w:ilvl w:val="0"/>
          <w:numId w:val="23"/>
        </w:numPr>
        <w:spacing w:before="0"/>
        <w:ind w:left="1276" w:hanging="567"/>
        <w:rPr>
          <w:szCs w:val="24"/>
          <w:lang w:val="fr-FR"/>
        </w:rPr>
      </w:pPr>
      <w:r w:rsidRPr="001E3C8E">
        <w:rPr>
          <w:szCs w:val="24"/>
          <w:lang w:val="fr-FR"/>
        </w:rPr>
        <w:t xml:space="preserve">Les </w:t>
      </w:r>
      <w:r w:rsidR="00D15E43" w:rsidRPr="001E3C8E">
        <w:rPr>
          <w:szCs w:val="24"/>
          <w:lang w:val="fr-FR"/>
        </w:rPr>
        <w:t>études</w:t>
      </w:r>
      <w:r w:rsidRPr="001E3C8E">
        <w:rPr>
          <w:szCs w:val="24"/>
          <w:lang w:val="fr-FR"/>
        </w:rPr>
        <w:t xml:space="preserve"> d’impact doivent être entreprises par un acteur indépendant de tout créditeur ou de toute institution </w:t>
      </w:r>
      <w:r w:rsidR="00D15E43" w:rsidRPr="001E3C8E">
        <w:rPr>
          <w:szCs w:val="24"/>
          <w:lang w:val="fr-FR"/>
        </w:rPr>
        <w:t>alignée sur les créanciers</w:t>
      </w:r>
      <w:r w:rsidR="000813B0" w:rsidRPr="001E3C8E">
        <w:rPr>
          <w:szCs w:val="24"/>
          <w:lang w:val="fr-FR"/>
        </w:rPr>
        <w:t xml:space="preserve"> et</w:t>
      </w:r>
      <w:r w:rsidRPr="001E3C8E">
        <w:rPr>
          <w:szCs w:val="24"/>
          <w:lang w:val="fr-FR"/>
        </w:rPr>
        <w:t xml:space="preserve"> responsable de la </w:t>
      </w:r>
      <w:r w:rsidR="000813B0" w:rsidRPr="001E3C8E">
        <w:rPr>
          <w:szCs w:val="24"/>
          <w:lang w:val="fr-FR"/>
        </w:rPr>
        <w:lastRenderedPageBreak/>
        <w:t xml:space="preserve">restructuration de la dette et de la </w:t>
      </w:r>
      <w:r w:rsidRPr="001E3C8E">
        <w:rPr>
          <w:szCs w:val="24"/>
          <w:lang w:val="fr-FR"/>
        </w:rPr>
        <w:t>conception des programmes d’ajustement, étant donné que les conclusions peuvent être utilisées pour renseigner les politiques d’emprunt et de gestion de la dette.</w:t>
      </w:r>
    </w:p>
    <w:p w14:paraId="5ED759C9" w14:textId="77777777" w:rsidR="001B58C6" w:rsidRPr="001E3C8E" w:rsidRDefault="001B58C6" w:rsidP="001B58C6">
      <w:pPr>
        <w:rPr>
          <w:szCs w:val="24"/>
          <w:lang w:val="fr-FR"/>
        </w:rPr>
      </w:pPr>
    </w:p>
    <w:p w14:paraId="4DB0A277" w14:textId="49A7678C" w:rsidR="00FA13E1" w:rsidRPr="001E3C8E" w:rsidRDefault="00FA13E1" w:rsidP="00430901">
      <w:pPr>
        <w:pStyle w:val="ListParagraph"/>
        <w:numPr>
          <w:ilvl w:val="0"/>
          <w:numId w:val="23"/>
        </w:numPr>
        <w:spacing w:before="0"/>
        <w:ind w:left="1276" w:hanging="567"/>
        <w:rPr>
          <w:lang w:val="fr-FR"/>
        </w:rPr>
      </w:pPr>
      <w:r w:rsidRPr="001E3C8E">
        <w:rPr>
          <w:lang w:val="fr-FR"/>
        </w:rPr>
        <w:t xml:space="preserve">Les </w:t>
      </w:r>
      <w:r w:rsidR="006B0015" w:rsidRPr="001E3C8E">
        <w:rPr>
          <w:lang w:val="fr-FR"/>
        </w:rPr>
        <w:t>États</w:t>
      </w:r>
      <w:r w:rsidRPr="001E3C8E">
        <w:rPr>
          <w:lang w:val="fr-FR"/>
        </w:rPr>
        <w:t xml:space="preserve"> doivent créer, maintenir et poursuivre le développement d’une </w:t>
      </w:r>
      <w:r w:rsidR="006B0015" w:rsidRPr="001E3C8E">
        <w:rPr>
          <w:lang w:val="fr-FR"/>
        </w:rPr>
        <w:t>capacité d’analyse politique n</w:t>
      </w:r>
      <w:r w:rsidRPr="001E3C8E">
        <w:rPr>
          <w:lang w:val="fr-FR"/>
        </w:rPr>
        <w:t xml:space="preserve">ationale, professionnelle et indépendante au sein du secteur public pour éviter toute dépendance vis-à-vis de prestataires privés. Des réglementations et mécanismes de </w:t>
      </w:r>
      <w:r w:rsidR="006B0015" w:rsidRPr="001E3C8E">
        <w:rPr>
          <w:lang w:val="fr-FR"/>
        </w:rPr>
        <w:t>redevabilité</w:t>
      </w:r>
      <w:r w:rsidRPr="001E3C8E">
        <w:rPr>
          <w:lang w:val="fr-FR"/>
        </w:rPr>
        <w:t xml:space="preserve"> clairs doivent être mis en place par avance, avec une surveillance indépendante au sein de l’</w:t>
      </w:r>
      <w:r w:rsidR="006B0015" w:rsidRPr="001E3C8E">
        <w:rPr>
          <w:lang w:val="fr-FR"/>
        </w:rPr>
        <w:t>État</w:t>
      </w:r>
      <w:r w:rsidRPr="001E3C8E">
        <w:rPr>
          <w:lang w:val="fr-FR"/>
        </w:rPr>
        <w:t xml:space="preserve">, pour </w:t>
      </w:r>
      <w:r w:rsidR="006B0015" w:rsidRPr="001E3C8E">
        <w:rPr>
          <w:lang w:val="fr-FR"/>
        </w:rPr>
        <w:t xml:space="preserve">permettre la nomination de </w:t>
      </w:r>
      <w:r w:rsidRPr="001E3C8E">
        <w:rPr>
          <w:lang w:val="fr-FR"/>
        </w:rPr>
        <w:t>parti</w:t>
      </w:r>
      <w:r w:rsidR="006B0015" w:rsidRPr="001E3C8E">
        <w:rPr>
          <w:lang w:val="fr-FR"/>
        </w:rPr>
        <w:t>e</w:t>
      </w:r>
      <w:r w:rsidRPr="001E3C8E">
        <w:rPr>
          <w:lang w:val="fr-FR"/>
        </w:rPr>
        <w:t xml:space="preserve">s privés </w:t>
      </w:r>
      <w:r w:rsidR="006B0015" w:rsidRPr="001E3C8E">
        <w:rPr>
          <w:lang w:val="fr-FR"/>
        </w:rPr>
        <w:t>pour la réalisation d’études</w:t>
      </w:r>
      <w:r w:rsidRPr="001E3C8E">
        <w:rPr>
          <w:lang w:val="fr-FR"/>
        </w:rPr>
        <w:t xml:space="preserve"> d’impact sur les droits humains. Si un prestataire privé satisfait des critères </w:t>
      </w:r>
      <w:r w:rsidR="006B0015" w:rsidRPr="001E3C8E">
        <w:rPr>
          <w:lang w:val="fr-FR"/>
        </w:rPr>
        <w:t>stricts et prédéterminés, et s’</w:t>
      </w:r>
      <w:r w:rsidRPr="001E3C8E">
        <w:rPr>
          <w:lang w:val="fr-FR"/>
        </w:rPr>
        <w:t xml:space="preserve">il est désigné après un processus de recrutement ouvert et transparent, étant donné la nature et les </w:t>
      </w:r>
      <w:r w:rsidR="007B383F" w:rsidRPr="001E3C8E">
        <w:rPr>
          <w:lang w:val="fr-FR"/>
        </w:rPr>
        <w:t>impacts</w:t>
      </w:r>
      <w:r w:rsidRPr="001E3C8E">
        <w:rPr>
          <w:lang w:val="fr-FR"/>
        </w:rPr>
        <w:t xml:space="preserve"> des politiques à évaluer ainsi que les conséquences de leur évaluation,</w:t>
      </w:r>
      <w:r w:rsidR="006B0015" w:rsidRPr="001E3C8E">
        <w:rPr>
          <w:lang w:val="fr-FR"/>
        </w:rPr>
        <w:t xml:space="preserve"> l’entreprise en question devra</w:t>
      </w:r>
      <w:r w:rsidRPr="001E3C8E">
        <w:rPr>
          <w:lang w:val="fr-FR"/>
        </w:rPr>
        <w:t xml:space="preserve"> être considérée responsable</w:t>
      </w:r>
      <w:r w:rsidR="006B0015" w:rsidRPr="001E3C8E">
        <w:rPr>
          <w:lang w:val="fr-FR"/>
        </w:rPr>
        <w:t xml:space="preserve"> au même titre</w:t>
      </w:r>
      <w:r w:rsidRPr="001E3C8E">
        <w:rPr>
          <w:lang w:val="fr-FR"/>
        </w:rPr>
        <w:t xml:space="preserve"> que toute autre entité remplissant un rôle de service public. </w:t>
      </w:r>
      <w:r w:rsidR="006B0015" w:rsidRPr="001E3C8E">
        <w:rPr>
          <w:lang w:val="fr-FR"/>
        </w:rPr>
        <w:t>Une</w:t>
      </w:r>
      <w:r w:rsidRPr="001E3C8E">
        <w:rPr>
          <w:lang w:val="fr-FR"/>
        </w:rPr>
        <w:t xml:space="preserve"> délégation de l’</w:t>
      </w:r>
      <w:r w:rsidR="006B0015" w:rsidRPr="001E3C8E">
        <w:rPr>
          <w:lang w:val="fr-FR"/>
        </w:rPr>
        <w:t>État</w:t>
      </w:r>
      <w:r w:rsidRPr="001E3C8E">
        <w:rPr>
          <w:lang w:val="fr-FR"/>
        </w:rPr>
        <w:t xml:space="preserve"> </w:t>
      </w:r>
      <w:r w:rsidR="006B0015" w:rsidRPr="001E3C8E">
        <w:rPr>
          <w:lang w:val="fr-FR"/>
        </w:rPr>
        <w:t>à</w:t>
      </w:r>
      <w:r w:rsidRPr="001E3C8E">
        <w:rPr>
          <w:lang w:val="fr-FR"/>
        </w:rPr>
        <w:t xml:space="preserve"> une entreprise privée ou </w:t>
      </w:r>
      <w:r w:rsidR="008C1B2D" w:rsidRPr="001E3C8E">
        <w:rPr>
          <w:lang w:val="fr-FR"/>
        </w:rPr>
        <w:t xml:space="preserve">à </w:t>
      </w:r>
      <w:r w:rsidRPr="001E3C8E">
        <w:rPr>
          <w:lang w:val="fr-FR"/>
        </w:rPr>
        <w:t>une partie tierce ne libère en aucun cas l’</w:t>
      </w:r>
      <w:r w:rsidR="006B0015" w:rsidRPr="001E3C8E">
        <w:rPr>
          <w:lang w:val="fr-FR"/>
        </w:rPr>
        <w:t>État</w:t>
      </w:r>
      <w:r w:rsidRPr="001E3C8E">
        <w:rPr>
          <w:lang w:val="fr-FR"/>
        </w:rPr>
        <w:t xml:space="preserve"> d’aucune de ses obligations au titre du droit international des droits humains.</w:t>
      </w:r>
    </w:p>
    <w:p w14:paraId="69FB2163" w14:textId="77777777" w:rsidR="00430901" w:rsidRPr="001E3C8E" w:rsidRDefault="00430901" w:rsidP="008C1B2D">
      <w:pPr>
        <w:rPr>
          <w:lang w:val="fr-FR"/>
        </w:rPr>
      </w:pPr>
    </w:p>
    <w:p w14:paraId="40F2764D" w14:textId="4CAF5402" w:rsidR="00FA13E1" w:rsidRPr="001E3C8E" w:rsidRDefault="006B0015" w:rsidP="00D741B8">
      <w:pPr>
        <w:pStyle w:val="Heading1"/>
        <w:numPr>
          <w:ilvl w:val="0"/>
          <w:numId w:val="27"/>
        </w:numPr>
        <w:rPr>
          <w:szCs w:val="24"/>
          <w:lang w:val="fr-FR"/>
        </w:rPr>
      </w:pPr>
      <w:bookmarkStart w:id="86" w:name="_Toc522789736"/>
      <w:bookmarkStart w:id="87" w:name="_TOC_250000"/>
      <w:bookmarkStart w:id="88" w:name="_Toc370768231"/>
      <w:r w:rsidRPr="001E3C8E">
        <w:rPr>
          <w:szCs w:val="24"/>
          <w:lang w:val="fr-FR"/>
        </w:rPr>
        <w:t>Étapes</w:t>
      </w:r>
      <w:r w:rsidR="00FA13E1" w:rsidRPr="001E3C8E">
        <w:rPr>
          <w:szCs w:val="24"/>
          <w:lang w:val="fr-FR"/>
        </w:rPr>
        <w:t xml:space="preserve"> de </w:t>
      </w:r>
      <w:r w:rsidRPr="001E3C8E">
        <w:rPr>
          <w:szCs w:val="24"/>
          <w:lang w:val="fr-FR"/>
        </w:rPr>
        <w:t>l’étude</w:t>
      </w:r>
      <w:bookmarkEnd w:id="86"/>
    </w:p>
    <w:p w14:paraId="6E61AB9A" w14:textId="77777777" w:rsidR="00684A76" w:rsidRPr="001E3C8E" w:rsidRDefault="00684A76" w:rsidP="008C1B2D">
      <w:pPr>
        <w:pStyle w:val="BodyText"/>
        <w:rPr>
          <w:szCs w:val="24"/>
          <w:lang w:val="fr-FR"/>
        </w:rPr>
      </w:pPr>
    </w:p>
    <w:p w14:paraId="357188A8" w14:textId="50F25303" w:rsidR="00FA13E1" w:rsidRPr="001E3C8E" w:rsidRDefault="00FA13E1" w:rsidP="00A67C23">
      <w:pPr>
        <w:pStyle w:val="BodyText"/>
        <w:rPr>
          <w:szCs w:val="24"/>
          <w:lang w:val="fr-FR"/>
        </w:rPr>
      </w:pPr>
      <w:r w:rsidRPr="001E3C8E">
        <w:rPr>
          <w:szCs w:val="24"/>
          <w:lang w:val="fr-FR"/>
        </w:rPr>
        <w:t xml:space="preserve">Les </w:t>
      </w:r>
      <w:r w:rsidR="006B0015" w:rsidRPr="001E3C8E">
        <w:rPr>
          <w:szCs w:val="24"/>
          <w:lang w:val="fr-FR"/>
        </w:rPr>
        <w:t>études</w:t>
      </w:r>
      <w:r w:rsidRPr="001E3C8E">
        <w:rPr>
          <w:szCs w:val="24"/>
          <w:lang w:val="fr-FR"/>
        </w:rPr>
        <w:t xml:space="preserve"> d’impact sur les droits humains seront déterminées par un certain nombre de facteurs et par le contexte dans lequel elles seront effectuées. Les étapes clés pour la préparation d’une </w:t>
      </w:r>
      <w:r w:rsidR="006B0015" w:rsidRPr="001E3C8E">
        <w:rPr>
          <w:szCs w:val="24"/>
          <w:lang w:val="fr-FR"/>
        </w:rPr>
        <w:t>étude</w:t>
      </w:r>
      <w:r w:rsidRPr="001E3C8E">
        <w:rPr>
          <w:szCs w:val="24"/>
          <w:lang w:val="fr-FR"/>
        </w:rPr>
        <w:t xml:space="preserve"> d’impact sur </w:t>
      </w:r>
      <w:r w:rsidR="006B0015" w:rsidRPr="001E3C8E">
        <w:rPr>
          <w:szCs w:val="24"/>
          <w:lang w:val="fr-FR"/>
        </w:rPr>
        <w:t>les droits humains doivent se ba</w:t>
      </w:r>
      <w:r w:rsidRPr="001E3C8E">
        <w:rPr>
          <w:szCs w:val="24"/>
          <w:lang w:val="fr-FR"/>
        </w:rPr>
        <w:t xml:space="preserve">ser sur une </w:t>
      </w:r>
      <w:r w:rsidR="006B0015" w:rsidRPr="001E3C8E">
        <w:rPr>
          <w:szCs w:val="24"/>
          <w:lang w:val="fr-FR"/>
        </w:rPr>
        <w:t>méthode</w:t>
      </w:r>
      <w:r w:rsidRPr="001E3C8E">
        <w:rPr>
          <w:szCs w:val="24"/>
          <w:lang w:val="fr-FR"/>
        </w:rPr>
        <w:t xml:space="preserve"> acceptée et </w:t>
      </w:r>
      <w:r w:rsidR="006B0015" w:rsidRPr="001E3C8E">
        <w:rPr>
          <w:szCs w:val="24"/>
          <w:lang w:val="fr-FR"/>
        </w:rPr>
        <w:t>évolutive d’étude</w:t>
      </w:r>
      <w:r w:rsidRPr="001E3C8E">
        <w:rPr>
          <w:szCs w:val="24"/>
          <w:lang w:val="fr-FR"/>
        </w:rPr>
        <w:t xml:space="preserve"> d’impact, mais être suffisamment souple</w:t>
      </w:r>
      <w:r w:rsidR="006B0015" w:rsidRPr="001E3C8E">
        <w:rPr>
          <w:szCs w:val="24"/>
          <w:lang w:val="fr-FR"/>
        </w:rPr>
        <w:t>s</w:t>
      </w:r>
      <w:r w:rsidRPr="001E3C8E">
        <w:rPr>
          <w:szCs w:val="24"/>
          <w:lang w:val="fr-FR"/>
        </w:rPr>
        <w:t xml:space="preserve"> pour s’adapter à d’autres processus si </w:t>
      </w:r>
      <w:r w:rsidR="006B0015" w:rsidRPr="001E3C8E">
        <w:rPr>
          <w:szCs w:val="24"/>
          <w:lang w:val="fr-FR"/>
        </w:rPr>
        <w:t>l’étude</w:t>
      </w:r>
      <w:r w:rsidRPr="001E3C8E">
        <w:rPr>
          <w:szCs w:val="24"/>
          <w:lang w:val="fr-FR"/>
        </w:rPr>
        <w:t xml:space="preserve"> </w:t>
      </w:r>
      <w:r w:rsidR="006B0015" w:rsidRPr="001E3C8E">
        <w:rPr>
          <w:szCs w:val="24"/>
          <w:lang w:val="fr-FR"/>
        </w:rPr>
        <w:t xml:space="preserve">se fait dans le cadre </w:t>
      </w:r>
      <w:r w:rsidRPr="001E3C8E">
        <w:rPr>
          <w:szCs w:val="24"/>
          <w:lang w:val="fr-FR"/>
        </w:rPr>
        <w:t xml:space="preserve">d’autres </w:t>
      </w:r>
      <w:r w:rsidR="006B0015" w:rsidRPr="001E3C8E">
        <w:rPr>
          <w:szCs w:val="24"/>
          <w:lang w:val="fr-FR"/>
        </w:rPr>
        <w:t>processus d’</w:t>
      </w:r>
      <w:r w:rsidRPr="001E3C8E">
        <w:rPr>
          <w:szCs w:val="24"/>
          <w:lang w:val="fr-FR"/>
        </w:rPr>
        <w:t xml:space="preserve">évaluations plus larges. </w:t>
      </w:r>
      <w:r w:rsidR="002C562B" w:rsidRPr="001E3C8E">
        <w:rPr>
          <w:szCs w:val="24"/>
          <w:lang w:val="fr-FR"/>
        </w:rPr>
        <w:t>E</w:t>
      </w:r>
      <w:r w:rsidR="006B0015" w:rsidRPr="001E3C8E">
        <w:rPr>
          <w:szCs w:val="24"/>
          <w:lang w:val="fr-FR"/>
        </w:rPr>
        <w:t>lles</w:t>
      </w:r>
      <w:r w:rsidRPr="001E3C8E">
        <w:rPr>
          <w:szCs w:val="24"/>
          <w:lang w:val="fr-FR"/>
        </w:rPr>
        <w:t xml:space="preserve"> doivent </w:t>
      </w:r>
      <w:r w:rsidR="002C562B" w:rsidRPr="001E3C8E">
        <w:rPr>
          <w:szCs w:val="24"/>
          <w:lang w:val="fr-FR"/>
        </w:rPr>
        <w:t xml:space="preserve">cependant généralement </w:t>
      </w:r>
      <w:r w:rsidRPr="001E3C8E">
        <w:rPr>
          <w:szCs w:val="24"/>
          <w:lang w:val="fr-FR"/>
        </w:rPr>
        <w:t>inclure les étapes suivantes :</w:t>
      </w:r>
    </w:p>
    <w:p w14:paraId="2DCEBCF2" w14:textId="77777777" w:rsidR="0015444C" w:rsidRPr="001E3C8E" w:rsidRDefault="0015444C" w:rsidP="00A67C23">
      <w:pPr>
        <w:pStyle w:val="BodyText"/>
        <w:rPr>
          <w:szCs w:val="24"/>
          <w:lang w:val="fr-FR"/>
        </w:rPr>
      </w:pPr>
    </w:p>
    <w:p w14:paraId="10D91662" w14:textId="234FE0CD" w:rsidR="00FA13E1" w:rsidRPr="001E3C8E" w:rsidRDefault="00FA13E1" w:rsidP="00430901">
      <w:pPr>
        <w:pStyle w:val="BodyText"/>
        <w:numPr>
          <w:ilvl w:val="0"/>
          <w:numId w:val="18"/>
        </w:numPr>
        <w:ind w:left="900"/>
        <w:rPr>
          <w:szCs w:val="24"/>
          <w:lang w:val="fr-FR"/>
        </w:rPr>
      </w:pPr>
      <w:r w:rsidRPr="001E3C8E">
        <w:rPr>
          <w:szCs w:val="24"/>
          <w:lang w:val="fr-FR"/>
        </w:rPr>
        <w:t>Préparation et analyse des politiques et mesures à évaluer ainsi que des impacts potentiels sur les droits humains ;</w:t>
      </w:r>
    </w:p>
    <w:p w14:paraId="450BAA3D" w14:textId="5DB099F2" w:rsidR="00FA13E1" w:rsidRPr="001E3C8E" w:rsidRDefault="00FA13E1" w:rsidP="00430901">
      <w:pPr>
        <w:pStyle w:val="BodyText"/>
        <w:numPr>
          <w:ilvl w:val="0"/>
          <w:numId w:val="17"/>
        </w:numPr>
        <w:ind w:left="960"/>
        <w:rPr>
          <w:szCs w:val="24"/>
          <w:lang w:val="fr-FR"/>
        </w:rPr>
      </w:pPr>
      <w:r w:rsidRPr="001E3C8E">
        <w:rPr>
          <w:szCs w:val="24"/>
          <w:lang w:val="fr-FR"/>
        </w:rPr>
        <w:t>Détermination de la portée ;</w:t>
      </w:r>
    </w:p>
    <w:p w14:paraId="5B0ED405" w14:textId="5DF35503" w:rsidR="00FA13E1" w:rsidRPr="001E3C8E" w:rsidRDefault="009F64D2" w:rsidP="00430901">
      <w:pPr>
        <w:pStyle w:val="BodyText"/>
        <w:numPr>
          <w:ilvl w:val="0"/>
          <w:numId w:val="17"/>
        </w:numPr>
        <w:ind w:left="960"/>
        <w:rPr>
          <w:szCs w:val="24"/>
          <w:lang w:val="fr-FR"/>
        </w:rPr>
      </w:pPr>
      <w:r w:rsidRPr="001E3C8E">
        <w:rPr>
          <w:szCs w:val="24"/>
          <w:lang w:val="fr-FR"/>
        </w:rPr>
        <w:t>Collecte</w:t>
      </w:r>
      <w:r w:rsidR="00FA13E1" w:rsidRPr="001E3C8E">
        <w:rPr>
          <w:szCs w:val="24"/>
          <w:lang w:val="fr-FR"/>
        </w:rPr>
        <w:t xml:space="preserve"> de preuves et de donnée à l’aide de méthodes qualitatives et quantitatives, notamment des méthodes participatives capables d’impliquer significative</w:t>
      </w:r>
      <w:r w:rsidRPr="001E3C8E">
        <w:rPr>
          <w:szCs w:val="24"/>
          <w:lang w:val="fr-FR"/>
        </w:rPr>
        <w:t>ment</w:t>
      </w:r>
      <w:r w:rsidR="00FA13E1" w:rsidRPr="001E3C8E">
        <w:rPr>
          <w:szCs w:val="24"/>
          <w:lang w:val="fr-FR"/>
        </w:rPr>
        <w:t xml:space="preserve"> les personnes potentiellement affectées ;</w:t>
      </w:r>
    </w:p>
    <w:p w14:paraId="3F77BDDB" w14:textId="565E6586" w:rsidR="00FA13E1" w:rsidRPr="001E3C8E" w:rsidRDefault="009F64D2" w:rsidP="00430901">
      <w:pPr>
        <w:pStyle w:val="BodyText"/>
        <w:numPr>
          <w:ilvl w:val="0"/>
          <w:numId w:val="17"/>
        </w:numPr>
        <w:ind w:left="960"/>
        <w:rPr>
          <w:szCs w:val="24"/>
          <w:lang w:val="fr-FR"/>
        </w:rPr>
      </w:pPr>
      <w:r w:rsidRPr="001E3C8E">
        <w:rPr>
          <w:szCs w:val="24"/>
          <w:lang w:val="fr-FR"/>
        </w:rPr>
        <w:t>Analyse d’</w:t>
      </w:r>
      <w:r w:rsidR="00FA13E1" w:rsidRPr="001E3C8E">
        <w:rPr>
          <w:szCs w:val="24"/>
          <w:lang w:val="fr-FR"/>
        </w:rPr>
        <w:t>impacts ;</w:t>
      </w:r>
    </w:p>
    <w:p w14:paraId="6F75B912" w14:textId="4DE491A2" w:rsidR="00FA13E1" w:rsidRPr="001E3C8E" w:rsidRDefault="00FA13E1" w:rsidP="00430901">
      <w:pPr>
        <w:pStyle w:val="BodyText"/>
        <w:numPr>
          <w:ilvl w:val="0"/>
          <w:numId w:val="17"/>
        </w:numPr>
        <w:ind w:left="960"/>
        <w:rPr>
          <w:szCs w:val="24"/>
          <w:lang w:val="fr-FR"/>
        </w:rPr>
      </w:pPr>
      <w:r w:rsidRPr="001E3C8E">
        <w:rPr>
          <w:szCs w:val="24"/>
          <w:lang w:val="fr-FR"/>
        </w:rPr>
        <w:t>Formulation de recommandations visant à éviter les impacts négatifs sur les droits humains ou à s’assurer de leur atténuation ;</w:t>
      </w:r>
    </w:p>
    <w:p w14:paraId="54B3C765" w14:textId="37B47BFD" w:rsidR="00FA13E1" w:rsidRPr="001E3C8E" w:rsidRDefault="009F64D2" w:rsidP="00430901">
      <w:pPr>
        <w:pStyle w:val="BodyText"/>
        <w:numPr>
          <w:ilvl w:val="0"/>
          <w:numId w:val="17"/>
        </w:numPr>
        <w:ind w:left="960"/>
        <w:rPr>
          <w:szCs w:val="24"/>
          <w:lang w:val="fr-FR"/>
        </w:rPr>
      </w:pPr>
      <w:r w:rsidRPr="001E3C8E">
        <w:rPr>
          <w:szCs w:val="24"/>
          <w:lang w:val="fr-FR"/>
        </w:rPr>
        <w:t>Rapport et pré</w:t>
      </w:r>
      <w:r w:rsidR="00FA13E1" w:rsidRPr="001E3C8E">
        <w:rPr>
          <w:szCs w:val="24"/>
          <w:lang w:val="fr-FR"/>
        </w:rPr>
        <w:t>sentation des conclusions ; et</w:t>
      </w:r>
    </w:p>
    <w:p w14:paraId="509F69BA" w14:textId="48D1B6CD" w:rsidR="00FA13E1" w:rsidRPr="001E3C8E" w:rsidRDefault="009F64D2" w:rsidP="00430901">
      <w:pPr>
        <w:pStyle w:val="BodyText"/>
        <w:numPr>
          <w:ilvl w:val="0"/>
          <w:numId w:val="17"/>
        </w:numPr>
        <w:ind w:left="960"/>
        <w:rPr>
          <w:szCs w:val="24"/>
          <w:lang w:val="fr-FR"/>
        </w:rPr>
      </w:pPr>
      <w:r w:rsidRPr="001E3C8E">
        <w:rPr>
          <w:szCs w:val="24"/>
          <w:lang w:val="fr-FR"/>
        </w:rPr>
        <w:t>Évaluation</w:t>
      </w:r>
      <w:r w:rsidR="00FA13E1" w:rsidRPr="001E3C8E">
        <w:rPr>
          <w:szCs w:val="24"/>
          <w:lang w:val="fr-FR"/>
        </w:rPr>
        <w:t xml:space="preserve"> et </w:t>
      </w:r>
      <w:r w:rsidRPr="001E3C8E">
        <w:rPr>
          <w:szCs w:val="24"/>
          <w:lang w:val="fr-FR"/>
        </w:rPr>
        <w:t>surveillance</w:t>
      </w:r>
      <w:r w:rsidR="00FA13E1" w:rsidRPr="001E3C8E">
        <w:rPr>
          <w:szCs w:val="24"/>
          <w:lang w:val="fr-FR"/>
        </w:rPr>
        <w:t xml:space="preserve"> des impacts </w:t>
      </w:r>
      <w:r w:rsidRPr="001E3C8E">
        <w:rPr>
          <w:szCs w:val="24"/>
          <w:lang w:val="fr-FR"/>
        </w:rPr>
        <w:t>réels</w:t>
      </w:r>
      <w:r w:rsidR="00FA13E1" w:rsidRPr="001E3C8E">
        <w:rPr>
          <w:szCs w:val="24"/>
          <w:lang w:val="fr-FR"/>
        </w:rPr>
        <w:t>.</w:t>
      </w:r>
    </w:p>
    <w:p w14:paraId="21777208" w14:textId="110CB87E" w:rsidR="00C265AC" w:rsidRPr="001E3C8E" w:rsidRDefault="00C265AC" w:rsidP="00E27A1F">
      <w:pPr>
        <w:jc w:val="both"/>
        <w:rPr>
          <w:sz w:val="24"/>
          <w:szCs w:val="24"/>
          <w:lang w:val="fr-FR"/>
        </w:rPr>
      </w:pPr>
    </w:p>
    <w:p w14:paraId="21EDDD59" w14:textId="3A0C2451" w:rsidR="001B329E" w:rsidRPr="001E3C8E" w:rsidRDefault="001B329E" w:rsidP="00D741B8">
      <w:pPr>
        <w:pStyle w:val="Heading1"/>
        <w:numPr>
          <w:ilvl w:val="0"/>
          <w:numId w:val="27"/>
        </w:numPr>
        <w:rPr>
          <w:szCs w:val="24"/>
          <w:lang w:val="fr-FR"/>
        </w:rPr>
      </w:pPr>
      <w:bookmarkStart w:id="89" w:name="_Toc520376406"/>
      <w:bookmarkStart w:id="90" w:name="_Toc520377520"/>
      <w:bookmarkStart w:id="91" w:name="_Toc520377554"/>
      <w:bookmarkStart w:id="92" w:name="_Toc520377588"/>
      <w:bookmarkStart w:id="93" w:name="_Toc520377622"/>
      <w:bookmarkStart w:id="94" w:name="_Toc520377651"/>
      <w:bookmarkStart w:id="95" w:name="_Toc520377679"/>
      <w:bookmarkStart w:id="96" w:name="_Toc520377706"/>
      <w:bookmarkStart w:id="97" w:name="_Toc520378336"/>
      <w:bookmarkStart w:id="98" w:name="_Toc520380211"/>
      <w:bookmarkStart w:id="99" w:name="_Toc520805103"/>
      <w:bookmarkStart w:id="100" w:name="_Toc520809599"/>
      <w:bookmarkStart w:id="101" w:name="_Toc520811119"/>
      <w:bookmarkStart w:id="102" w:name="_Toc520811942"/>
      <w:bookmarkStart w:id="103" w:name="_Toc520813960"/>
      <w:bookmarkStart w:id="104" w:name="_Toc520816371"/>
      <w:bookmarkStart w:id="105" w:name="_Toc520817541"/>
      <w:bookmarkStart w:id="106" w:name="_Toc520820378"/>
      <w:bookmarkStart w:id="107" w:name="_Toc522789737"/>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1E3C8E">
        <w:rPr>
          <w:szCs w:val="24"/>
          <w:lang w:val="fr-FR"/>
        </w:rPr>
        <w:t>Accès à l’information</w:t>
      </w:r>
      <w:bookmarkEnd w:id="107"/>
    </w:p>
    <w:p w14:paraId="31528F9E" w14:textId="77777777" w:rsidR="00BD19B7" w:rsidRPr="001E3C8E" w:rsidRDefault="00BD19B7" w:rsidP="00E27A1F">
      <w:pPr>
        <w:pStyle w:val="BodyText"/>
        <w:ind w:left="678"/>
        <w:rPr>
          <w:szCs w:val="24"/>
          <w:lang w:val="fr-FR"/>
        </w:rPr>
      </w:pPr>
    </w:p>
    <w:p w14:paraId="7EDA0ECA" w14:textId="4511A176" w:rsidR="001B329E" w:rsidRPr="001E3C8E" w:rsidRDefault="00382843" w:rsidP="009C3347">
      <w:pPr>
        <w:pStyle w:val="BodyText"/>
        <w:rPr>
          <w:szCs w:val="24"/>
          <w:lang w:val="fr-FR"/>
        </w:rPr>
      </w:pPr>
      <w:r w:rsidRPr="001E3C8E">
        <w:rPr>
          <w:szCs w:val="24"/>
          <w:lang w:val="fr-FR"/>
        </w:rPr>
        <w:lastRenderedPageBreak/>
        <w:t xml:space="preserve">Afin de garantir la liberté de </w:t>
      </w:r>
      <w:r w:rsidR="001B329E" w:rsidRPr="001E3C8E">
        <w:rPr>
          <w:szCs w:val="24"/>
          <w:lang w:val="fr-FR"/>
        </w:rPr>
        <w:t xml:space="preserve">donner, chercher et recevoir de l’information, </w:t>
      </w:r>
      <w:r w:rsidRPr="001E3C8E">
        <w:rPr>
          <w:szCs w:val="24"/>
          <w:lang w:val="fr-FR"/>
        </w:rPr>
        <w:t>l’étude</w:t>
      </w:r>
      <w:r w:rsidR="001B329E" w:rsidRPr="001E3C8E">
        <w:rPr>
          <w:szCs w:val="24"/>
          <w:lang w:val="fr-FR"/>
        </w:rPr>
        <w:t xml:space="preserve"> d’impact sur les droits humains de réformes économiqu</w:t>
      </w:r>
      <w:r w:rsidRPr="001E3C8E">
        <w:rPr>
          <w:szCs w:val="24"/>
          <w:lang w:val="fr-FR"/>
        </w:rPr>
        <w:t>e</w:t>
      </w:r>
      <w:r w:rsidR="001B329E" w:rsidRPr="001E3C8E">
        <w:rPr>
          <w:szCs w:val="24"/>
          <w:lang w:val="fr-FR"/>
        </w:rPr>
        <w:t xml:space="preserve">s nécessite un ensemble diversifié de données à la fois quantitatives et qualitatives. Les </w:t>
      </w:r>
      <w:r w:rsidRPr="001E3C8E">
        <w:rPr>
          <w:szCs w:val="24"/>
          <w:lang w:val="fr-FR"/>
        </w:rPr>
        <w:t>États</w:t>
      </w:r>
      <w:r w:rsidR="001B329E" w:rsidRPr="001E3C8E">
        <w:rPr>
          <w:szCs w:val="24"/>
          <w:lang w:val="fr-FR"/>
        </w:rPr>
        <w:t xml:space="preserve"> </w:t>
      </w:r>
      <w:r w:rsidRPr="001E3C8E">
        <w:rPr>
          <w:szCs w:val="24"/>
          <w:lang w:val="fr-FR"/>
        </w:rPr>
        <w:t>doivent</w:t>
      </w:r>
      <w:r w:rsidR="001B329E" w:rsidRPr="001E3C8E">
        <w:rPr>
          <w:szCs w:val="24"/>
          <w:lang w:val="fr-FR"/>
        </w:rPr>
        <w:t xml:space="preserve"> tenter de s’assurer que ce type d’information est disponible, accessible et fourni de manière opportune, et que son analyse sert à comprendre les conséquences et les impacts des politiques de réforme économique.</w:t>
      </w:r>
    </w:p>
    <w:p w14:paraId="3F370467" w14:textId="77777777" w:rsidR="009B7927" w:rsidRPr="001E3C8E" w:rsidRDefault="009B7927" w:rsidP="009C3347">
      <w:pPr>
        <w:pStyle w:val="BodyText"/>
        <w:rPr>
          <w:i/>
          <w:szCs w:val="24"/>
          <w:lang w:val="fr-FR"/>
        </w:rPr>
      </w:pPr>
    </w:p>
    <w:p w14:paraId="5927023E" w14:textId="05A10713" w:rsidR="001B329E" w:rsidRPr="001E3C8E" w:rsidRDefault="001B329E" w:rsidP="00E27A1F">
      <w:pPr>
        <w:tabs>
          <w:tab w:val="left" w:pos="8227"/>
        </w:tabs>
        <w:ind w:left="720"/>
        <w:jc w:val="both"/>
        <w:rPr>
          <w:i/>
          <w:sz w:val="24"/>
          <w:szCs w:val="24"/>
          <w:lang w:val="fr-FR"/>
        </w:rPr>
      </w:pPr>
      <w:r w:rsidRPr="001E3C8E">
        <w:rPr>
          <w:i/>
          <w:sz w:val="24"/>
          <w:szCs w:val="24"/>
          <w:lang w:val="fr-FR"/>
        </w:rPr>
        <w:t>Commentaire :</w:t>
      </w:r>
    </w:p>
    <w:p w14:paraId="7284B43E" w14:textId="0DA85FE3" w:rsidR="004139D9" w:rsidRPr="001E3C8E" w:rsidRDefault="001B329E" w:rsidP="00430901">
      <w:pPr>
        <w:pStyle w:val="ListParagraph"/>
        <w:numPr>
          <w:ilvl w:val="0"/>
          <w:numId w:val="19"/>
        </w:numPr>
        <w:rPr>
          <w:lang w:val="fr-FR"/>
        </w:rPr>
      </w:pPr>
      <w:r w:rsidRPr="001E3C8E">
        <w:rPr>
          <w:lang w:val="fr-FR"/>
        </w:rPr>
        <w:t xml:space="preserve">Les standards mondiaux et régionaux relatifs aux droits humains </w:t>
      </w:r>
      <w:r w:rsidR="00E143B1" w:rsidRPr="001E3C8E">
        <w:rPr>
          <w:lang w:val="fr-FR"/>
        </w:rPr>
        <w:t xml:space="preserve">protègent </w:t>
      </w:r>
      <w:r w:rsidR="006D76C3" w:rsidRPr="001E3C8E">
        <w:rPr>
          <w:lang w:val="fr-FR"/>
        </w:rPr>
        <w:t>non seulement le droit de</w:t>
      </w:r>
      <w:r w:rsidRPr="001E3C8E">
        <w:rPr>
          <w:lang w:val="fr-FR"/>
        </w:rPr>
        <w:t xml:space="preserve"> fournir librement des informations, mais aussi le droit à la recherche et à l’obtention d’information</w:t>
      </w:r>
      <w:r w:rsidR="006D76C3" w:rsidRPr="001E3C8E">
        <w:rPr>
          <w:lang w:val="fr-FR"/>
        </w:rPr>
        <w:t xml:space="preserve">, qui font partie </w:t>
      </w:r>
      <w:r w:rsidRPr="001E3C8E">
        <w:rPr>
          <w:lang w:val="fr-FR"/>
        </w:rPr>
        <w:t>de la liberté d’expression</w:t>
      </w:r>
      <w:r w:rsidR="00BD19B7" w:rsidRPr="001E3C8E">
        <w:rPr>
          <w:lang w:val="fr-FR"/>
        </w:rPr>
        <w:t>.</w:t>
      </w:r>
      <w:r w:rsidR="008F4369" w:rsidRPr="001E3C8E">
        <w:rPr>
          <w:vertAlign w:val="superscript"/>
          <w:lang w:val="fr-FR"/>
        </w:rPr>
        <w:footnoteReference w:id="22"/>
      </w:r>
      <w:r w:rsidR="00BD19B7" w:rsidRPr="001E3C8E">
        <w:rPr>
          <w:vertAlign w:val="superscript"/>
          <w:lang w:val="fr-FR"/>
        </w:rPr>
        <w:t xml:space="preserve"> </w:t>
      </w:r>
    </w:p>
    <w:p w14:paraId="6A8B0656" w14:textId="168EAE16" w:rsidR="007B3945" w:rsidRPr="001E3C8E" w:rsidRDefault="007B3945" w:rsidP="00430901">
      <w:pPr>
        <w:pStyle w:val="ListParagraph"/>
        <w:numPr>
          <w:ilvl w:val="0"/>
          <w:numId w:val="19"/>
        </w:numPr>
        <w:rPr>
          <w:lang w:val="fr-FR"/>
        </w:rPr>
      </w:pPr>
      <w:r w:rsidRPr="001E3C8E">
        <w:rPr>
          <w:lang w:val="fr-FR"/>
        </w:rPr>
        <w:t>Tout obstacle à l’obtention d’information peut nuire à la jouissance des droits ci</w:t>
      </w:r>
      <w:r w:rsidR="006D76C3" w:rsidRPr="001E3C8E">
        <w:rPr>
          <w:lang w:val="fr-FR"/>
        </w:rPr>
        <w:t>v</w:t>
      </w:r>
      <w:r w:rsidRPr="001E3C8E">
        <w:rPr>
          <w:lang w:val="fr-FR"/>
        </w:rPr>
        <w:t xml:space="preserve">ils et politiques, </w:t>
      </w:r>
      <w:r w:rsidR="006D76C3" w:rsidRPr="001E3C8E">
        <w:rPr>
          <w:lang w:val="fr-FR"/>
        </w:rPr>
        <w:t xml:space="preserve">ainsi que </w:t>
      </w:r>
      <w:r w:rsidRPr="001E3C8E">
        <w:rPr>
          <w:lang w:val="fr-FR"/>
        </w:rPr>
        <w:t>des droits économiques, sociaux et culturels. Les obligations fondamentales pour la gouvernance démocratique, comme la transparence, la responsabilisation des autorités publiques ou la promotion d’un processus de prise de décision participatif sont pratiquement inatteignables sans un accès adéquat à l’information.</w:t>
      </w:r>
    </w:p>
    <w:p w14:paraId="2BC1665A" w14:textId="7FBDBD8D" w:rsidR="009B7927" w:rsidRPr="001E3C8E" w:rsidRDefault="00993B0C" w:rsidP="00101720">
      <w:pPr>
        <w:pStyle w:val="ListParagraph"/>
        <w:numPr>
          <w:ilvl w:val="0"/>
          <w:numId w:val="19"/>
        </w:numPr>
        <w:rPr>
          <w:lang w:val="fr-FR"/>
        </w:rPr>
      </w:pPr>
      <w:r w:rsidRPr="001E3C8E">
        <w:rPr>
          <w:lang w:val="fr-FR"/>
        </w:rPr>
        <w:t xml:space="preserve">La validité et la crédibilité des données collectées doivent être évaluées </w:t>
      </w:r>
      <w:r w:rsidR="008C1B2D" w:rsidRPr="001E3C8E">
        <w:rPr>
          <w:lang w:val="fr-FR"/>
        </w:rPr>
        <w:t xml:space="preserve">selon des </w:t>
      </w:r>
      <w:r w:rsidRPr="001E3C8E">
        <w:rPr>
          <w:lang w:val="fr-FR"/>
        </w:rPr>
        <w:t>standards clairement établis et transpar</w:t>
      </w:r>
      <w:r w:rsidR="006D76C3" w:rsidRPr="001E3C8E">
        <w:rPr>
          <w:lang w:val="fr-FR"/>
        </w:rPr>
        <w:t>ents, qui reflètent les princip</w:t>
      </w:r>
      <w:r w:rsidRPr="001E3C8E">
        <w:rPr>
          <w:lang w:val="fr-FR"/>
        </w:rPr>
        <w:t xml:space="preserve">es de non-discrimination, d’inclusion et de participation. Pour assurer le respect des obligations en matière de droits humains liées à la non-discrimination et une attention appropriée pour la situation des groupes exposés à un risque de marginalisation ou de vulnérabilité, il est essentiel que les indicateurs utilisés fournissent des informations réparties par </w:t>
      </w:r>
      <w:r w:rsidR="006D76C3" w:rsidRPr="001E3C8E">
        <w:rPr>
          <w:lang w:val="fr-FR"/>
        </w:rPr>
        <w:t>sexe</w:t>
      </w:r>
      <w:r w:rsidRPr="001E3C8E">
        <w:rPr>
          <w:lang w:val="fr-FR"/>
        </w:rPr>
        <w:t>, handicap, âge, région, origine ethnique, catégorie de revenus et autres raisons considérées comme pertinentes sur la base d’une évaluation contextuelle au niveau des pays des groupes exposés à un risque de marginalisation.</w:t>
      </w:r>
      <w:r w:rsidR="003A3FDA" w:rsidRPr="001E3C8E">
        <w:rPr>
          <w:rStyle w:val="FootnoteReference"/>
          <w:lang w:val="fr-FR"/>
        </w:rPr>
        <w:footnoteReference w:id="23"/>
      </w:r>
    </w:p>
    <w:p w14:paraId="0801B1AC" w14:textId="4E2E8083" w:rsidR="00FE5DE0" w:rsidRPr="001E3C8E" w:rsidRDefault="00D56319" w:rsidP="00FE5DE0">
      <w:pPr>
        <w:pStyle w:val="ListParagraph"/>
        <w:numPr>
          <w:ilvl w:val="0"/>
          <w:numId w:val="19"/>
        </w:numPr>
        <w:rPr>
          <w:lang w:val="fr-FR"/>
        </w:rPr>
      </w:pPr>
      <w:r w:rsidRPr="001E3C8E">
        <w:rPr>
          <w:lang w:val="fr-FR"/>
        </w:rPr>
        <w:t>I</w:t>
      </w:r>
      <w:r w:rsidR="002A4429" w:rsidRPr="001E3C8E">
        <w:rPr>
          <w:lang w:val="fr-FR"/>
        </w:rPr>
        <w:t>l existe plusieurs mé</w:t>
      </w:r>
      <w:r w:rsidRPr="001E3C8E">
        <w:rPr>
          <w:lang w:val="fr-FR"/>
        </w:rPr>
        <w:t>thod</w:t>
      </w:r>
      <w:r w:rsidR="002A4429" w:rsidRPr="001E3C8E">
        <w:rPr>
          <w:lang w:val="fr-FR"/>
        </w:rPr>
        <w:t>e</w:t>
      </w:r>
      <w:r w:rsidRPr="001E3C8E">
        <w:rPr>
          <w:lang w:val="fr-FR"/>
        </w:rPr>
        <w:t>s d’analyse quantitative. Des approches bien développées pour la modélisation de</w:t>
      </w:r>
      <w:r w:rsidR="002A4429" w:rsidRPr="001E3C8E">
        <w:rPr>
          <w:lang w:val="fr-FR"/>
        </w:rPr>
        <w:t xml:space="preserve"> la répartition des impacts</w:t>
      </w:r>
      <w:r w:rsidRPr="001E3C8E">
        <w:rPr>
          <w:lang w:val="fr-FR"/>
        </w:rPr>
        <w:t>, utilisant des quintiles et des déciles de revenus, peuvent être utilisé</w:t>
      </w:r>
      <w:r w:rsidR="002A4429" w:rsidRPr="001E3C8E">
        <w:rPr>
          <w:lang w:val="fr-FR"/>
        </w:rPr>
        <w:t>e</w:t>
      </w:r>
      <w:r w:rsidRPr="001E3C8E">
        <w:rPr>
          <w:lang w:val="fr-FR"/>
        </w:rPr>
        <w:t xml:space="preserve">s. Afin d’assurer le respect des obligations relatives aux droits humains </w:t>
      </w:r>
      <w:r w:rsidR="0051616F" w:rsidRPr="001E3C8E">
        <w:rPr>
          <w:lang w:val="fr-FR"/>
        </w:rPr>
        <w:t>en termes de non-discrimination</w:t>
      </w:r>
      <w:r w:rsidRPr="001E3C8E">
        <w:rPr>
          <w:lang w:val="fr-FR"/>
        </w:rPr>
        <w:t xml:space="preserve"> et de garantir qu’une attention suffisante a été </w:t>
      </w:r>
      <w:r w:rsidR="0051616F" w:rsidRPr="001E3C8E">
        <w:rPr>
          <w:lang w:val="fr-FR"/>
        </w:rPr>
        <w:t>prêtée</w:t>
      </w:r>
      <w:r w:rsidRPr="001E3C8E">
        <w:rPr>
          <w:lang w:val="fr-FR"/>
        </w:rPr>
        <w:t xml:space="preserve"> à la situation des groupes exposés à un risque de marginalisation ou de vulnérabilité, il est essentiel que ces indicateurs fournissent des informations </w:t>
      </w:r>
      <w:r w:rsidR="0051616F" w:rsidRPr="001E3C8E">
        <w:rPr>
          <w:lang w:val="fr-FR"/>
        </w:rPr>
        <w:t xml:space="preserve">ventilées </w:t>
      </w:r>
      <w:r w:rsidR="00AB76F2" w:rsidRPr="001E3C8E">
        <w:rPr>
          <w:lang w:val="fr-FR"/>
        </w:rPr>
        <w:t>comme spécifié</w:t>
      </w:r>
      <w:r w:rsidR="0051616F" w:rsidRPr="001E3C8E">
        <w:rPr>
          <w:lang w:val="fr-FR"/>
        </w:rPr>
        <w:t xml:space="preserve"> au p</w:t>
      </w:r>
      <w:r w:rsidRPr="001E3C8E">
        <w:rPr>
          <w:lang w:val="fr-FR"/>
        </w:rPr>
        <w:t xml:space="preserve">rincipe précédent. </w:t>
      </w:r>
      <w:r w:rsidR="0051616F" w:rsidRPr="001E3C8E">
        <w:rPr>
          <w:lang w:val="fr-FR"/>
        </w:rPr>
        <w:t>S</w:t>
      </w:r>
      <w:r w:rsidRPr="001E3C8E">
        <w:rPr>
          <w:lang w:val="fr-FR"/>
        </w:rPr>
        <w:t xml:space="preserve">i le niveau de consommation des </w:t>
      </w:r>
      <w:r w:rsidRPr="001E3C8E">
        <w:rPr>
          <w:lang w:val="fr-FR"/>
        </w:rPr>
        <w:lastRenderedPageBreak/>
        <w:t xml:space="preserve">ménages peut être pertinent, il doit </w:t>
      </w:r>
      <w:r w:rsidR="0051616F" w:rsidRPr="001E3C8E">
        <w:rPr>
          <w:lang w:val="fr-FR"/>
        </w:rPr>
        <w:t xml:space="preserve">par exemple </w:t>
      </w:r>
      <w:r w:rsidRPr="001E3C8E">
        <w:rPr>
          <w:lang w:val="fr-FR"/>
        </w:rPr>
        <w:t>être complété</w:t>
      </w:r>
      <w:r w:rsidR="0051616F" w:rsidRPr="001E3C8E">
        <w:rPr>
          <w:lang w:val="fr-FR"/>
        </w:rPr>
        <w:t xml:space="preserve"> par leur taux d’</w:t>
      </w:r>
      <w:r w:rsidRPr="001E3C8E">
        <w:rPr>
          <w:lang w:val="fr-FR"/>
        </w:rPr>
        <w:t>endettement et</w:t>
      </w:r>
      <w:r w:rsidR="0051616F" w:rsidRPr="001E3C8E">
        <w:rPr>
          <w:lang w:val="fr-FR"/>
        </w:rPr>
        <w:t xml:space="preserve"> par</w:t>
      </w:r>
      <w:r w:rsidRPr="001E3C8E">
        <w:rPr>
          <w:lang w:val="fr-FR"/>
        </w:rPr>
        <w:t xml:space="preserve"> le niveau de santé</w:t>
      </w:r>
      <w:r w:rsidR="0051616F" w:rsidRPr="001E3C8E">
        <w:rPr>
          <w:lang w:val="fr-FR"/>
        </w:rPr>
        <w:t xml:space="preserve"> de la population</w:t>
      </w:r>
      <w:r w:rsidRPr="001E3C8E">
        <w:rPr>
          <w:lang w:val="fr-FR"/>
        </w:rPr>
        <w:t xml:space="preserve">. Ces standards en matière </w:t>
      </w:r>
      <w:r w:rsidR="0051616F" w:rsidRPr="001E3C8E">
        <w:rPr>
          <w:lang w:val="fr-FR"/>
        </w:rPr>
        <w:t>d’étude</w:t>
      </w:r>
      <w:r w:rsidRPr="001E3C8E">
        <w:rPr>
          <w:lang w:val="fr-FR"/>
        </w:rPr>
        <w:t xml:space="preserve"> d’impact sur </w:t>
      </w:r>
      <w:r w:rsidR="0051616F" w:rsidRPr="001E3C8E">
        <w:rPr>
          <w:lang w:val="fr-FR"/>
        </w:rPr>
        <w:t xml:space="preserve">les droits humains doivent être adaptables </w:t>
      </w:r>
      <w:r w:rsidRPr="001E3C8E">
        <w:rPr>
          <w:lang w:val="fr-FR"/>
        </w:rPr>
        <w:t xml:space="preserve">à des niveaux potentiellement différents de disponibilité des données et </w:t>
      </w:r>
      <w:r w:rsidR="0051616F" w:rsidRPr="001E3C8E">
        <w:rPr>
          <w:lang w:val="fr-FR"/>
        </w:rPr>
        <w:t>à</w:t>
      </w:r>
      <w:r w:rsidRPr="001E3C8E">
        <w:rPr>
          <w:lang w:val="fr-FR"/>
        </w:rPr>
        <w:t xml:space="preserve"> </w:t>
      </w:r>
      <w:r w:rsidR="0051616F" w:rsidRPr="001E3C8E">
        <w:rPr>
          <w:lang w:val="fr-FR"/>
        </w:rPr>
        <w:t xml:space="preserve">la </w:t>
      </w:r>
      <w:r w:rsidRPr="001E3C8E">
        <w:rPr>
          <w:lang w:val="fr-FR"/>
        </w:rPr>
        <w:t xml:space="preserve">capacité générale à effectuer des </w:t>
      </w:r>
      <w:r w:rsidR="0051616F" w:rsidRPr="001E3C8E">
        <w:rPr>
          <w:lang w:val="fr-FR"/>
        </w:rPr>
        <w:t>études</w:t>
      </w:r>
      <w:r w:rsidRPr="001E3C8E">
        <w:rPr>
          <w:lang w:val="fr-FR"/>
        </w:rPr>
        <w:t xml:space="preserve"> d’impact sur les droits </w:t>
      </w:r>
      <w:r w:rsidR="0051616F" w:rsidRPr="001E3C8E">
        <w:rPr>
          <w:lang w:val="fr-FR"/>
        </w:rPr>
        <w:t>humains</w:t>
      </w:r>
      <w:r w:rsidRPr="001E3C8E">
        <w:rPr>
          <w:lang w:val="fr-FR"/>
        </w:rPr>
        <w:t xml:space="preserve"> afin que l’outil puisse être utilisé dans une plus large </w:t>
      </w:r>
      <w:r w:rsidR="0051616F" w:rsidRPr="001E3C8E">
        <w:rPr>
          <w:lang w:val="fr-FR"/>
        </w:rPr>
        <w:t xml:space="preserve">gamme </w:t>
      </w:r>
      <w:r w:rsidRPr="001E3C8E">
        <w:rPr>
          <w:lang w:val="fr-FR"/>
        </w:rPr>
        <w:t>de circonstances.</w:t>
      </w:r>
    </w:p>
    <w:p w14:paraId="5C78E741" w14:textId="0F733613" w:rsidR="007B51F0" w:rsidRPr="001E3C8E" w:rsidRDefault="00D56319" w:rsidP="00D212F0">
      <w:pPr>
        <w:pStyle w:val="ListParagraph"/>
        <w:numPr>
          <w:ilvl w:val="0"/>
          <w:numId w:val="19"/>
        </w:numPr>
        <w:rPr>
          <w:lang w:val="fr-FR"/>
        </w:rPr>
      </w:pPr>
      <w:r w:rsidRPr="001E3C8E">
        <w:rPr>
          <w:lang w:val="fr-FR"/>
        </w:rPr>
        <w:t xml:space="preserve">Le programme de développement durable à l’horizon 2030 inclut un grand nombre d’indicateurs. Des données fiables et ventilées sont nécessaires pour renforcer la modélisation, ou </w:t>
      </w:r>
      <w:r w:rsidR="00FE5DE0" w:rsidRPr="001E3C8E">
        <w:rPr>
          <w:lang w:val="fr-FR"/>
        </w:rPr>
        <w:t>du</w:t>
      </w:r>
      <w:r w:rsidRPr="001E3C8E">
        <w:rPr>
          <w:lang w:val="fr-FR"/>
        </w:rPr>
        <w:t xml:space="preserve"> moins fournir des informations pour une analyse plu</w:t>
      </w:r>
      <w:r w:rsidR="00FE5DE0" w:rsidRPr="001E3C8E">
        <w:rPr>
          <w:lang w:val="fr-FR"/>
        </w:rPr>
        <w:t>s détaillée. L</w:t>
      </w:r>
      <w:r w:rsidRPr="001E3C8E">
        <w:rPr>
          <w:lang w:val="fr-FR"/>
        </w:rPr>
        <w:t xml:space="preserve">es indicateurs des Objectifs </w:t>
      </w:r>
      <w:r w:rsidR="00FE5DE0" w:rsidRPr="001E3C8E">
        <w:rPr>
          <w:lang w:val="fr-FR"/>
        </w:rPr>
        <w:t>de</w:t>
      </w:r>
      <w:r w:rsidRPr="001E3C8E">
        <w:rPr>
          <w:lang w:val="fr-FR"/>
        </w:rPr>
        <w:t xml:space="preserve"> développement durable ne sont pas nécessairement basés sur les droits, et les données qui en découlent ne fournissent peut être pas un aperçu complet de tous les aspects de</w:t>
      </w:r>
      <w:r w:rsidR="00FE5DE0" w:rsidRPr="001E3C8E">
        <w:rPr>
          <w:lang w:val="fr-FR"/>
        </w:rPr>
        <w:t>s</w:t>
      </w:r>
      <w:r w:rsidRPr="001E3C8E">
        <w:rPr>
          <w:lang w:val="fr-FR"/>
        </w:rPr>
        <w:t xml:space="preserve"> droits humains,</w:t>
      </w:r>
      <w:r w:rsidR="00FE5DE0" w:rsidRPr="001E3C8E">
        <w:rPr>
          <w:lang w:val="fr-FR"/>
        </w:rPr>
        <w:t xml:space="preserve"> toutefois ce type</w:t>
      </w:r>
      <w:r w:rsidRPr="001E3C8E">
        <w:rPr>
          <w:lang w:val="fr-FR"/>
        </w:rPr>
        <w:t xml:space="preserve"> de processus de col</w:t>
      </w:r>
      <w:r w:rsidR="00FE5DE0" w:rsidRPr="001E3C8E">
        <w:rPr>
          <w:lang w:val="fr-FR"/>
        </w:rPr>
        <w:t>lecte de données pourrait constituer une</w:t>
      </w:r>
      <w:r w:rsidRPr="001E3C8E">
        <w:rPr>
          <w:lang w:val="fr-FR"/>
        </w:rPr>
        <w:t xml:space="preserve"> source d’information complémentaire utile pour les personnes </w:t>
      </w:r>
      <w:r w:rsidR="00FE5DE0" w:rsidRPr="001E3C8E">
        <w:rPr>
          <w:lang w:val="fr-FR"/>
        </w:rPr>
        <w:t>travaillant dans le contexte d’une étude</w:t>
      </w:r>
      <w:r w:rsidRPr="001E3C8E">
        <w:rPr>
          <w:lang w:val="fr-FR"/>
        </w:rPr>
        <w:t xml:space="preserve"> d’im</w:t>
      </w:r>
      <w:r w:rsidR="00FE5DE0" w:rsidRPr="001E3C8E">
        <w:rPr>
          <w:lang w:val="fr-FR"/>
        </w:rPr>
        <w:t>pact sur les droits humains.</w:t>
      </w:r>
      <w:r w:rsidRPr="001E3C8E">
        <w:rPr>
          <w:lang w:val="fr-FR"/>
        </w:rPr>
        <w:t xml:space="preserve"> Cela étant dit, la validité des données rapportées par le proce</w:t>
      </w:r>
      <w:r w:rsidR="00FE5DE0" w:rsidRPr="001E3C8E">
        <w:rPr>
          <w:lang w:val="fr-FR"/>
        </w:rPr>
        <w:t>ssus des ODD do</w:t>
      </w:r>
      <w:r w:rsidRPr="001E3C8E">
        <w:rPr>
          <w:lang w:val="fr-FR"/>
        </w:rPr>
        <w:t>it être examiné</w:t>
      </w:r>
      <w:r w:rsidR="00FE5DE0" w:rsidRPr="001E3C8E">
        <w:rPr>
          <w:lang w:val="fr-FR"/>
        </w:rPr>
        <w:t>e</w:t>
      </w:r>
      <w:r w:rsidRPr="001E3C8E">
        <w:rPr>
          <w:lang w:val="fr-FR"/>
        </w:rPr>
        <w:t xml:space="preserve"> attentive</w:t>
      </w:r>
      <w:r w:rsidR="00FE5DE0" w:rsidRPr="001E3C8E">
        <w:rPr>
          <w:lang w:val="fr-FR"/>
        </w:rPr>
        <w:t>ment avant qu’elles</w:t>
      </w:r>
      <w:r w:rsidRPr="001E3C8E">
        <w:rPr>
          <w:lang w:val="fr-FR"/>
        </w:rPr>
        <w:t xml:space="preserve"> </w:t>
      </w:r>
      <w:r w:rsidR="00FE5DE0" w:rsidRPr="001E3C8E">
        <w:rPr>
          <w:lang w:val="fr-FR"/>
        </w:rPr>
        <w:t xml:space="preserve">ne </w:t>
      </w:r>
      <w:r w:rsidRPr="001E3C8E">
        <w:rPr>
          <w:lang w:val="fr-FR"/>
        </w:rPr>
        <w:t xml:space="preserve">soient utilisées pour la prise de décision </w:t>
      </w:r>
      <w:r w:rsidR="00FE5DE0" w:rsidRPr="001E3C8E">
        <w:rPr>
          <w:lang w:val="fr-FR"/>
        </w:rPr>
        <w:t>en matière de politique économique</w:t>
      </w:r>
      <w:r w:rsidRPr="001E3C8E">
        <w:rPr>
          <w:lang w:val="fr-FR"/>
        </w:rPr>
        <w:t>.</w:t>
      </w:r>
      <w:r w:rsidR="009B7927" w:rsidRPr="001E3C8E">
        <w:rPr>
          <w:lang w:val="fr-FR"/>
        </w:rPr>
        <w:t xml:space="preserve"> </w:t>
      </w:r>
    </w:p>
    <w:p w14:paraId="7E19701A" w14:textId="6E45797C" w:rsidR="009B7927" w:rsidRPr="001E3C8E" w:rsidRDefault="007B51F0" w:rsidP="00101720">
      <w:pPr>
        <w:pStyle w:val="ListParagraph"/>
        <w:numPr>
          <w:ilvl w:val="0"/>
          <w:numId w:val="19"/>
        </w:numPr>
        <w:rPr>
          <w:lang w:val="fr-FR"/>
        </w:rPr>
      </w:pPr>
      <w:r w:rsidRPr="001E3C8E">
        <w:rPr>
          <w:lang w:val="fr-FR"/>
        </w:rPr>
        <w:t xml:space="preserve">Les études </w:t>
      </w:r>
      <w:r w:rsidR="00581EBF" w:rsidRPr="001E3C8E">
        <w:rPr>
          <w:lang w:val="fr-FR"/>
        </w:rPr>
        <w:t>basées</w:t>
      </w:r>
      <w:r w:rsidRPr="001E3C8E">
        <w:rPr>
          <w:lang w:val="fr-FR"/>
        </w:rPr>
        <w:t xml:space="preserve"> sur les données qualitatives doivent se concentrer sur les enquêtes,</w:t>
      </w:r>
      <w:r w:rsidR="00FE5DE0" w:rsidRPr="001E3C8E">
        <w:rPr>
          <w:lang w:val="fr-FR"/>
        </w:rPr>
        <w:t xml:space="preserve"> les</w:t>
      </w:r>
      <w:r w:rsidRPr="001E3C8E">
        <w:rPr>
          <w:lang w:val="fr-FR"/>
        </w:rPr>
        <w:t xml:space="preserve"> témoignages et sur la lecture d’autres types d’analyse</w:t>
      </w:r>
      <w:r w:rsidR="00FE5DE0" w:rsidRPr="001E3C8E">
        <w:rPr>
          <w:lang w:val="fr-FR"/>
        </w:rPr>
        <w:t>s</w:t>
      </w:r>
      <w:r w:rsidRPr="001E3C8E">
        <w:rPr>
          <w:lang w:val="fr-FR"/>
        </w:rPr>
        <w:t xml:space="preserve">, notamment, si </w:t>
      </w:r>
      <w:r w:rsidR="00FE5DE0" w:rsidRPr="001E3C8E">
        <w:rPr>
          <w:lang w:val="fr-FR"/>
        </w:rPr>
        <w:t>disponibles, l</w:t>
      </w:r>
      <w:r w:rsidRPr="001E3C8E">
        <w:rPr>
          <w:lang w:val="fr-FR"/>
        </w:rPr>
        <w:t xml:space="preserve">es plaintes administratives, </w:t>
      </w:r>
      <w:r w:rsidR="00FE5DE0" w:rsidRPr="001E3C8E">
        <w:rPr>
          <w:lang w:val="fr-FR"/>
        </w:rPr>
        <w:t>la jurisprudence et l</w:t>
      </w:r>
      <w:r w:rsidRPr="001E3C8E">
        <w:rPr>
          <w:lang w:val="fr-FR"/>
        </w:rPr>
        <w:t xml:space="preserve">es décisions juridiques dans des cas </w:t>
      </w:r>
      <w:r w:rsidR="00FE5DE0" w:rsidRPr="001E3C8E">
        <w:rPr>
          <w:lang w:val="fr-FR"/>
        </w:rPr>
        <w:t xml:space="preserve">individuels ou collectifs. </w:t>
      </w:r>
      <w:r w:rsidR="00581EBF" w:rsidRPr="001E3C8E">
        <w:rPr>
          <w:lang w:val="fr-FR"/>
        </w:rPr>
        <w:t>Celles</w:t>
      </w:r>
      <w:r w:rsidRPr="001E3C8E">
        <w:rPr>
          <w:lang w:val="fr-FR"/>
        </w:rPr>
        <w:t xml:space="preserve">-ci peuvent </w:t>
      </w:r>
      <w:r w:rsidR="00FE5DE0" w:rsidRPr="001E3C8E">
        <w:rPr>
          <w:lang w:val="fr-FR"/>
        </w:rPr>
        <w:t xml:space="preserve">en effet </w:t>
      </w:r>
      <w:r w:rsidRPr="001E3C8E">
        <w:rPr>
          <w:lang w:val="fr-FR"/>
        </w:rPr>
        <w:t xml:space="preserve">permettre d’en savoir plus sur le type d’infractions, de tendances et de limites </w:t>
      </w:r>
      <w:r w:rsidR="00622E57" w:rsidRPr="001E3C8E">
        <w:rPr>
          <w:lang w:val="fr-FR"/>
        </w:rPr>
        <w:t xml:space="preserve">rencontrées </w:t>
      </w:r>
      <w:r w:rsidRPr="001E3C8E">
        <w:rPr>
          <w:lang w:val="fr-FR"/>
        </w:rPr>
        <w:t>lorsque l’on cherche à obtenir une assistance, des réparations ou la justice</w:t>
      </w:r>
      <w:r w:rsidR="00622E57" w:rsidRPr="001E3C8E">
        <w:rPr>
          <w:lang w:val="fr-FR"/>
        </w:rPr>
        <w:t>. M</w:t>
      </w:r>
      <w:r w:rsidRPr="001E3C8E">
        <w:rPr>
          <w:lang w:val="fr-FR"/>
        </w:rPr>
        <w:t xml:space="preserve">ême dans des contextes ou des données ventilées sont facilement accessibles, celles-ci devraient toujours être comparées avec des données qualitatives concernant les situations </w:t>
      </w:r>
      <w:r w:rsidR="00622E57" w:rsidRPr="001E3C8E">
        <w:rPr>
          <w:lang w:val="fr-FR"/>
        </w:rPr>
        <w:t>discriminatoires</w:t>
      </w:r>
      <w:r w:rsidRPr="001E3C8E">
        <w:rPr>
          <w:lang w:val="fr-FR"/>
        </w:rPr>
        <w:t>.</w:t>
      </w:r>
    </w:p>
    <w:p w14:paraId="1193E8ED" w14:textId="0B5CDE22" w:rsidR="00AE4FB3" w:rsidRPr="001E3C8E" w:rsidRDefault="007B51F0" w:rsidP="00101720">
      <w:pPr>
        <w:pStyle w:val="ListParagraph"/>
        <w:numPr>
          <w:ilvl w:val="0"/>
          <w:numId w:val="19"/>
        </w:numPr>
        <w:rPr>
          <w:lang w:val="fr-FR"/>
        </w:rPr>
      </w:pPr>
      <w:r w:rsidRPr="001E3C8E">
        <w:rPr>
          <w:lang w:val="fr-FR"/>
        </w:rPr>
        <w:t>Les analyses qualitatives doivent s’assurer que des contingences sont reconnues lors de l’utilisation de modèles quantitatifs, et, si possibles, évitées. Ce genre de contingences peut provenir de l’utilisation de données historiques, du choix des variables etc.</w:t>
      </w:r>
    </w:p>
    <w:p w14:paraId="48252E7B" w14:textId="549DA3AD" w:rsidR="007B51F0" w:rsidRPr="001E3C8E" w:rsidRDefault="00D212F0" w:rsidP="00D212F0">
      <w:pPr>
        <w:pStyle w:val="ListParagraph"/>
        <w:numPr>
          <w:ilvl w:val="0"/>
          <w:numId w:val="19"/>
        </w:numPr>
        <w:rPr>
          <w:lang w:val="fr-FR"/>
        </w:rPr>
      </w:pPr>
      <w:r w:rsidRPr="001E3C8E">
        <w:rPr>
          <w:lang w:val="fr-FR"/>
        </w:rPr>
        <w:t>L’étude</w:t>
      </w:r>
      <w:r w:rsidR="007B51F0" w:rsidRPr="001E3C8E">
        <w:rPr>
          <w:lang w:val="fr-FR"/>
        </w:rPr>
        <w:t xml:space="preserve"> d’impact su</w:t>
      </w:r>
      <w:r w:rsidRPr="001E3C8E">
        <w:rPr>
          <w:lang w:val="fr-FR"/>
        </w:rPr>
        <w:t>r les droits humains doit rendre</w:t>
      </w:r>
      <w:r w:rsidR="007B51F0" w:rsidRPr="001E3C8E">
        <w:rPr>
          <w:lang w:val="fr-FR"/>
        </w:rPr>
        <w:t xml:space="preserve"> visible les </w:t>
      </w:r>
      <w:r w:rsidRPr="001E3C8E">
        <w:rPr>
          <w:lang w:val="fr-FR"/>
        </w:rPr>
        <w:t>conséquences</w:t>
      </w:r>
      <w:r w:rsidR="007B51F0" w:rsidRPr="001E3C8E">
        <w:rPr>
          <w:lang w:val="fr-FR"/>
        </w:rPr>
        <w:t xml:space="preserve"> </w:t>
      </w:r>
      <w:r w:rsidRPr="001E3C8E">
        <w:rPr>
          <w:lang w:val="fr-FR"/>
        </w:rPr>
        <w:t xml:space="preserve">possibles </w:t>
      </w:r>
      <w:r w:rsidR="007B51F0" w:rsidRPr="001E3C8E">
        <w:rPr>
          <w:lang w:val="fr-FR"/>
        </w:rPr>
        <w:t>des mes</w:t>
      </w:r>
      <w:r w:rsidRPr="001E3C8E">
        <w:rPr>
          <w:lang w:val="fr-FR"/>
        </w:rPr>
        <w:t>ures de réforme et montrer la ré</w:t>
      </w:r>
      <w:r w:rsidR="007B51F0" w:rsidRPr="001E3C8E">
        <w:rPr>
          <w:lang w:val="fr-FR"/>
        </w:rPr>
        <w:t xml:space="preserve">partition de la charge de l’ajustement sur </w:t>
      </w:r>
      <w:r w:rsidRPr="001E3C8E">
        <w:rPr>
          <w:lang w:val="fr-FR"/>
        </w:rPr>
        <w:t xml:space="preserve">les </w:t>
      </w:r>
      <w:r w:rsidR="007B51F0" w:rsidRPr="001E3C8E">
        <w:rPr>
          <w:lang w:val="fr-FR"/>
        </w:rPr>
        <w:t xml:space="preserve">différents quintiles de revenus, </w:t>
      </w:r>
      <w:r w:rsidRPr="001E3C8E">
        <w:rPr>
          <w:lang w:val="fr-FR"/>
        </w:rPr>
        <w:t>sexes</w:t>
      </w:r>
      <w:r w:rsidR="007B51F0" w:rsidRPr="001E3C8E">
        <w:rPr>
          <w:lang w:val="fr-FR"/>
        </w:rPr>
        <w:t>, âges, et groupes sociaux, notamment les plus marginalisés.</w:t>
      </w:r>
    </w:p>
    <w:p w14:paraId="325A2AB5" w14:textId="68C916B7" w:rsidR="007B51F0" w:rsidRPr="001E3C8E" w:rsidRDefault="00D212F0" w:rsidP="00430901">
      <w:pPr>
        <w:pStyle w:val="ListParagraph"/>
        <w:numPr>
          <w:ilvl w:val="0"/>
          <w:numId w:val="19"/>
        </w:numPr>
        <w:rPr>
          <w:lang w:val="fr-FR"/>
        </w:rPr>
      </w:pPr>
      <w:r w:rsidRPr="001E3C8E">
        <w:rPr>
          <w:lang w:val="fr-FR"/>
        </w:rPr>
        <w:t>La coopé</w:t>
      </w:r>
      <w:r w:rsidR="007B51F0" w:rsidRPr="001E3C8E">
        <w:rPr>
          <w:lang w:val="fr-FR"/>
        </w:rPr>
        <w:t>ration international</w:t>
      </w:r>
      <w:r w:rsidRPr="001E3C8E">
        <w:rPr>
          <w:lang w:val="fr-FR"/>
        </w:rPr>
        <w:t>e</w:t>
      </w:r>
      <w:r w:rsidR="007B51F0" w:rsidRPr="001E3C8E">
        <w:rPr>
          <w:lang w:val="fr-FR"/>
        </w:rPr>
        <w:t xml:space="preserve"> pourrait, sur ce point particulier, être pertinente pour les pays disposant de ressources limitées pour la collecte de données.</w:t>
      </w:r>
    </w:p>
    <w:p w14:paraId="13A266AA" w14:textId="77777777" w:rsidR="00875CDA" w:rsidRPr="001E3C8E" w:rsidRDefault="00875CDA" w:rsidP="00195BCB">
      <w:pPr>
        <w:rPr>
          <w:lang w:val="fr-FR"/>
        </w:rPr>
      </w:pPr>
    </w:p>
    <w:p w14:paraId="038931F3" w14:textId="124BC9A7" w:rsidR="00430901" w:rsidRPr="001E3C8E" w:rsidRDefault="00430901">
      <w:pPr>
        <w:rPr>
          <w:sz w:val="24"/>
          <w:szCs w:val="24"/>
          <w:lang w:val="fr-FR"/>
        </w:rPr>
      </w:pPr>
      <w:r w:rsidRPr="001E3C8E">
        <w:rPr>
          <w:sz w:val="24"/>
          <w:szCs w:val="24"/>
          <w:lang w:val="fr-FR"/>
        </w:rPr>
        <w:br w:type="page"/>
      </w:r>
    </w:p>
    <w:p w14:paraId="0083BBA0" w14:textId="77777777" w:rsidR="009C3347" w:rsidRPr="001E3C8E" w:rsidRDefault="009C3347" w:rsidP="00E27A1F">
      <w:pPr>
        <w:jc w:val="both"/>
        <w:rPr>
          <w:sz w:val="24"/>
          <w:szCs w:val="24"/>
          <w:lang w:val="fr-FR"/>
        </w:rPr>
      </w:pPr>
    </w:p>
    <w:p w14:paraId="403B51D0" w14:textId="01446FA7" w:rsidR="00370CA1" w:rsidRPr="001E3C8E" w:rsidRDefault="00370CA1" w:rsidP="00101720">
      <w:pPr>
        <w:pStyle w:val="Heading2"/>
        <w:ind w:left="0" w:firstLine="0"/>
        <w:jc w:val="center"/>
        <w:rPr>
          <w:u w:val="single"/>
          <w:lang w:val="fr-FR"/>
        </w:rPr>
      </w:pPr>
      <w:bookmarkStart w:id="108" w:name="_Toc522789738"/>
      <w:bookmarkStart w:id="109" w:name="_Toc517164484"/>
      <w:bookmarkStart w:id="110" w:name="_Toc517164578"/>
      <w:bookmarkEnd w:id="87"/>
      <w:bookmarkEnd w:id="88"/>
      <w:r w:rsidRPr="001E3C8E">
        <w:rPr>
          <w:u w:val="single"/>
          <w:lang w:val="fr-FR"/>
        </w:rPr>
        <w:t>ANNEXE</w:t>
      </w:r>
      <w:bookmarkEnd w:id="108"/>
    </w:p>
    <w:p w14:paraId="1D98E99A" w14:textId="77777777" w:rsidR="003C37BF" w:rsidRPr="001E3C8E" w:rsidRDefault="003C37BF" w:rsidP="001D03FB">
      <w:pPr>
        <w:rPr>
          <w:b/>
          <w:sz w:val="24"/>
          <w:szCs w:val="24"/>
          <w:lang w:val="fr-FR"/>
        </w:rPr>
      </w:pPr>
      <w:bookmarkStart w:id="111" w:name="_Toc520377593"/>
    </w:p>
    <w:bookmarkEnd w:id="109"/>
    <w:bookmarkEnd w:id="110"/>
    <w:bookmarkEnd w:id="111"/>
    <w:p w14:paraId="397C1217" w14:textId="53D7CEDF" w:rsidR="00370CA1" w:rsidRPr="001E3C8E" w:rsidRDefault="00370CA1" w:rsidP="00195BCB">
      <w:pPr>
        <w:jc w:val="center"/>
        <w:rPr>
          <w:b/>
          <w:sz w:val="24"/>
          <w:szCs w:val="24"/>
          <w:lang w:val="fr-FR"/>
        </w:rPr>
      </w:pPr>
      <w:r w:rsidRPr="001E3C8E">
        <w:rPr>
          <w:b/>
          <w:sz w:val="24"/>
          <w:szCs w:val="24"/>
          <w:lang w:val="fr-FR"/>
        </w:rPr>
        <w:t xml:space="preserve">Questions </w:t>
      </w:r>
      <w:r w:rsidR="00B02F6E" w:rsidRPr="001E3C8E">
        <w:rPr>
          <w:b/>
          <w:sz w:val="24"/>
          <w:szCs w:val="24"/>
          <w:lang w:val="fr-FR"/>
        </w:rPr>
        <w:t xml:space="preserve">directrices possibles </w:t>
      </w:r>
      <w:r w:rsidRPr="001E3C8E">
        <w:rPr>
          <w:b/>
          <w:sz w:val="24"/>
          <w:szCs w:val="24"/>
          <w:lang w:val="fr-FR"/>
        </w:rPr>
        <w:t xml:space="preserve">pour les </w:t>
      </w:r>
      <w:r w:rsidR="00B02F6E" w:rsidRPr="001E3C8E">
        <w:rPr>
          <w:b/>
          <w:sz w:val="24"/>
          <w:szCs w:val="24"/>
          <w:lang w:val="fr-FR"/>
        </w:rPr>
        <w:t>études</w:t>
      </w:r>
      <w:r w:rsidRPr="001E3C8E">
        <w:rPr>
          <w:b/>
          <w:sz w:val="24"/>
          <w:szCs w:val="24"/>
          <w:lang w:val="fr-FR"/>
        </w:rPr>
        <w:t xml:space="preserve"> d’impact sur les droits humains</w:t>
      </w:r>
    </w:p>
    <w:p w14:paraId="02416028" w14:textId="77777777" w:rsidR="00684A76" w:rsidRPr="001E3C8E" w:rsidRDefault="00684A76" w:rsidP="00E27A1F">
      <w:pPr>
        <w:pStyle w:val="BodyText"/>
        <w:ind w:left="678"/>
        <w:rPr>
          <w:szCs w:val="24"/>
          <w:lang w:val="fr-FR"/>
        </w:rPr>
      </w:pPr>
    </w:p>
    <w:p w14:paraId="6053A828" w14:textId="60563A32" w:rsidR="00370CA1" w:rsidRPr="001E3C8E" w:rsidRDefault="00370CA1" w:rsidP="004139D9">
      <w:pPr>
        <w:jc w:val="both"/>
        <w:rPr>
          <w:sz w:val="24"/>
          <w:szCs w:val="24"/>
          <w:lang w:val="fr-FR"/>
        </w:rPr>
      </w:pPr>
      <w:r w:rsidRPr="001E3C8E">
        <w:rPr>
          <w:sz w:val="24"/>
          <w:szCs w:val="24"/>
          <w:lang w:val="fr-FR"/>
        </w:rPr>
        <w:t xml:space="preserve">La conduite d’une </w:t>
      </w:r>
      <w:r w:rsidR="000813B0" w:rsidRPr="001E3C8E">
        <w:rPr>
          <w:sz w:val="24"/>
          <w:szCs w:val="24"/>
          <w:lang w:val="fr-FR"/>
        </w:rPr>
        <w:t>étude</w:t>
      </w:r>
      <w:r w:rsidRPr="001E3C8E">
        <w:rPr>
          <w:sz w:val="24"/>
          <w:szCs w:val="24"/>
          <w:lang w:val="fr-FR"/>
        </w:rPr>
        <w:t xml:space="preserve"> d’impact sur les droits humains implique de poser des questions permettant de prévoir (ou de rendre visible, dans le cas d’évaluations </w:t>
      </w:r>
      <w:r w:rsidRPr="001E3C8E">
        <w:rPr>
          <w:i/>
          <w:sz w:val="24"/>
          <w:szCs w:val="24"/>
          <w:lang w:val="fr-FR"/>
        </w:rPr>
        <w:t>ex post</w:t>
      </w:r>
      <w:r w:rsidR="00B02F6E" w:rsidRPr="001E3C8E">
        <w:rPr>
          <w:sz w:val="24"/>
          <w:szCs w:val="24"/>
          <w:lang w:val="fr-FR"/>
        </w:rPr>
        <w:t>)</w:t>
      </w:r>
      <w:r w:rsidRPr="001E3C8E">
        <w:rPr>
          <w:sz w:val="24"/>
          <w:szCs w:val="24"/>
          <w:lang w:val="fr-FR"/>
        </w:rPr>
        <w:t xml:space="preserve"> les conséquences des réformes économiques. Ces questions </w:t>
      </w:r>
      <w:r w:rsidR="00B02F6E" w:rsidRPr="001E3C8E">
        <w:rPr>
          <w:sz w:val="24"/>
          <w:szCs w:val="24"/>
          <w:lang w:val="fr-FR"/>
        </w:rPr>
        <w:t>doivent</w:t>
      </w:r>
      <w:r w:rsidRPr="001E3C8E">
        <w:rPr>
          <w:sz w:val="24"/>
          <w:szCs w:val="24"/>
          <w:lang w:val="fr-FR"/>
        </w:rPr>
        <w:t xml:space="preserve"> également </w:t>
      </w:r>
      <w:r w:rsidR="00B02F6E" w:rsidRPr="001E3C8E">
        <w:rPr>
          <w:sz w:val="24"/>
          <w:szCs w:val="24"/>
          <w:lang w:val="fr-FR"/>
        </w:rPr>
        <w:t>aider à</w:t>
      </w:r>
      <w:r w:rsidRPr="001E3C8E">
        <w:rPr>
          <w:sz w:val="24"/>
          <w:szCs w:val="24"/>
          <w:lang w:val="fr-FR"/>
        </w:rPr>
        <w:t xml:space="preserve"> déterminer si, en matière de droits culturels, économiques et sociaux, les réformes économiques peuvent avoir pour conséquence des mesures délibérément </w:t>
      </w:r>
      <w:r w:rsidR="00AB3F87" w:rsidRPr="001E3C8E">
        <w:rPr>
          <w:sz w:val="24"/>
          <w:szCs w:val="24"/>
          <w:lang w:val="fr-FR"/>
        </w:rPr>
        <w:t>régressive</w:t>
      </w:r>
      <w:r w:rsidRPr="001E3C8E">
        <w:rPr>
          <w:sz w:val="24"/>
          <w:szCs w:val="24"/>
          <w:lang w:val="fr-FR"/>
        </w:rPr>
        <w:t xml:space="preserve">s. Pour déterminer les options politiques préférables dans une situation donnée, </w:t>
      </w:r>
      <w:r w:rsidR="00B02F6E" w:rsidRPr="001E3C8E">
        <w:rPr>
          <w:sz w:val="24"/>
          <w:szCs w:val="24"/>
          <w:lang w:val="fr-FR"/>
        </w:rPr>
        <w:t>l’étude</w:t>
      </w:r>
      <w:r w:rsidRPr="001E3C8E">
        <w:rPr>
          <w:sz w:val="24"/>
          <w:szCs w:val="24"/>
          <w:lang w:val="fr-FR"/>
        </w:rPr>
        <w:t xml:space="preserve"> d’impact de chaque politique (la liste de questions ci-dessous) </w:t>
      </w:r>
      <w:r w:rsidR="00B02F6E" w:rsidRPr="001E3C8E">
        <w:rPr>
          <w:sz w:val="24"/>
          <w:szCs w:val="24"/>
          <w:lang w:val="fr-FR"/>
        </w:rPr>
        <w:t>doit</w:t>
      </w:r>
      <w:r w:rsidRPr="001E3C8E">
        <w:rPr>
          <w:sz w:val="24"/>
          <w:szCs w:val="24"/>
          <w:lang w:val="fr-FR"/>
        </w:rPr>
        <w:t xml:space="preserve"> être effectuée </w:t>
      </w:r>
      <w:r w:rsidR="00B02F6E" w:rsidRPr="001E3C8E">
        <w:rPr>
          <w:sz w:val="24"/>
          <w:szCs w:val="24"/>
          <w:lang w:val="fr-FR"/>
        </w:rPr>
        <w:t xml:space="preserve">simultanément </w:t>
      </w:r>
      <w:r w:rsidRPr="001E3C8E">
        <w:rPr>
          <w:sz w:val="24"/>
          <w:szCs w:val="24"/>
          <w:lang w:val="fr-FR"/>
        </w:rPr>
        <w:t xml:space="preserve">sur une base </w:t>
      </w:r>
      <w:r w:rsidR="00B02F6E" w:rsidRPr="001E3C8E">
        <w:rPr>
          <w:sz w:val="24"/>
          <w:szCs w:val="24"/>
          <w:lang w:val="fr-FR"/>
        </w:rPr>
        <w:t>continue</w:t>
      </w:r>
      <w:r w:rsidRPr="001E3C8E">
        <w:rPr>
          <w:sz w:val="24"/>
          <w:szCs w:val="24"/>
          <w:lang w:val="fr-FR"/>
        </w:rPr>
        <w:t xml:space="preserve"> et inclure l’évaluation de scénarios contrefactuels. Ces questions devraient être formulées de manière à </w:t>
      </w:r>
      <w:r w:rsidR="00B02F6E" w:rsidRPr="001E3C8E">
        <w:rPr>
          <w:sz w:val="24"/>
          <w:szCs w:val="24"/>
          <w:lang w:val="fr-FR"/>
        </w:rPr>
        <w:t>générer</w:t>
      </w:r>
      <w:r w:rsidRPr="001E3C8E">
        <w:rPr>
          <w:sz w:val="24"/>
          <w:szCs w:val="24"/>
          <w:lang w:val="fr-FR"/>
        </w:rPr>
        <w:t xml:space="preserve"> une boucle de rétroaction entre </w:t>
      </w:r>
      <w:r w:rsidR="00B02F6E" w:rsidRPr="001E3C8E">
        <w:rPr>
          <w:sz w:val="24"/>
          <w:szCs w:val="24"/>
          <w:lang w:val="fr-FR"/>
        </w:rPr>
        <w:t>l’étude</w:t>
      </w:r>
      <w:r w:rsidRPr="001E3C8E">
        <w:rPr>
          <w:sz w:val="24"/>
          <w:szCs w:val="24"/>
          <w:lang w:val="fr-FR"/>
        </w:rPr>
        <w:t xml:space="preserve"> d’impact d’origine et les conditions socioéconomiques mises à jour résultant de la mise en œuvre des politiques. </w:t>
      </w:r>
      <w:r w:rsidR="00B02F6E" w:rsidRPr="001E3C8E">
        <w:rPr>
          <w:sz w:val="24"/>
          <w:szCs w:val="24"/>
          <w:lang w:val="fr-FR"/>
        </w:rPr>
        <w:t>Les questions suivantes pourraient être posées </w:t>
      </w:r>
      <w:r w:rsidRPr="001E3C8E">
        <w:rPr>
          <w:sz w:val="24"/>
          <w:szCs w:val="24"/>
          <w:lang w:val="fr-FR"/>
        </w:rPr>
        <w:t>:</w:t>
      </w:r>
    </w:p>
    <w:p w14:paraId="53D2A70C" w14:textId="224DBAEF" w:rsidR="00370CA1" w:rsidRPr="001E3C8E" w:rsidRDefault="00370CA1" w:rsidP="00430901">
      <w:pPr>
        <w:pStyle w:val="ListParagraph"/>
        <w:numPr>
          <w:ilvl w:val="0"/>
          <w:numId w:val="5"/>
        </w:numPr>
        <w:ind w:firstLine="556"/>
        <w:rPr>
          <w:szCs w:val="24"/>
          <w:lang w:val="fr-FR"/>
        </w:rPr>
      </w:pPr>
      <w:r w:rsidRPr="001E3C8E">
        <w:rPr>
          <w:szCs w:val="24"/>
          <w:lang w:val="fr-FR"/>
        </w:rPr>
        <w:t xml:space="preserve">Les mesures </w:t>
      </w:r>
      <w:r w:rsidR="00B02F6E" w:rsidRPr="001E3C8E">
        <w:rPr>
          <w:szCs w:val="24"/>
          <w:lang w:val="fr-FR"/>
        </w:rPr>
        <w:t>ont-elles</w:t>
      </w:r>
      <w:r w:rsidRPr="001E3C8E">
        <w:rPr>
          <w:szCs w:val="24"/>
          <w:lang w:val="fr-FR"/>
        </w:rPr>
        <w:t xml:space="preserve"> pour but ultime de protéger et de </w:t>
      </w:r>
      <w:r w:rsidR="00B02F6E" w:rsidRPr="001E3C8E">
        <w:rPr>
          <w:szCs w:val="24"/>
          <w:lang w:val="fr-FR"/>
        </w:rPr>
        <w:t>garantir</w:t>
      </w:r>
      <w:r w:rsidRPr="001E3C8E">
        <w:rPr>
          <w:szCs w:val="24"/>
          <w:lang w:val="fr-FR"/>
        </w:rPr>
        <w:t xml:space="preserve"> l</w:t>
      </w:r>
      <w:r w:rsidR="00B02F6E" w:rsidRPr="001E3C8E">
        <w:rPr>
          <w:szCs w:val="24"/>
          <w:lang w:val="fr-FR"/>
        </w:rPr>
        <w:t>e respect de l</w:t>
      </w:r>
      <w:r w:rsidRPr="001E3C8E">
        <w:rPr>
          <w:szCs w:val="24"/>
          <w:lang w:val="fr-FR"/>
        </w:rPr>
        <w:t>a totalité des droits humains ? Si oui, comment ?</w:t>
      </w:r>
    </w:p>
    <w:p w14:paraId="507D80DB" w14:textId="3EAD5F4A" w:rsidR="00370CA1" w:rsidRPr="001E3C8E" w:rsidRDefault="00B02F6E" w:rsidP="00430901">
      <w:pPr>
        <w:pStyle w:val="ListParagraph"/>
        <w:numPr>
          <w:ilvl w:val="0"/>
          <w:numId w:val="5"/>
        </w:numPr>
        <w:ind w:firstLine="556"/>
        <w:rPr>
          <w:szCs w:val="24"/>
          <w:lang w:val="fr-FR"/>
        </w:rPr>
      </w:pPr>
      <w:r w:rsidRPr="001E3C8E">
        <w:rPr>
          <w:szCs w:val="24"/>
          <w:lang w:val="fr-FR"/>
        </w:rPr>
        <w:t>Existe-t-il, ou existait-</w:t>
      </w:r>
      <w:r w:rsidR="00370CA1" w:rsidRPr="001E3C8E">
        <w:rPr>
          <w:szCs w:val="24"/>
          <w:lang w:val="fr-FR"/>
        </w:rPr>
        <w:t xml:space="preserve">il des </w:t>
      </w:r>
      <w:r w:rsidRPr="001E3C8E">
        <w:rPr>
          <w:szCs w:val="24"/>
          <w:lang w:val="fr-FR"/>
        </w:rPr>
        <w:t>alternatives</w:t>
      </w:r>
      <w:r w:rsidR="00370CA1" w:rsidRPr="001E3C8E">
        <w:rPr>
          <w:szCs w:val="24"/>
          <w:lang w:val="fr-FR"/>
        </w:rPr>
        <w:t xml:space="preserve"> moins restrictives ?</w:t>
      </w:r>
    </w:p>
    <w:p w14:paraId="767CC374" w14:textId="1C2D6EDB" w:rsidR="00370CA1" w:rsidRPr="001E3C8E" w:rsidRDefault="00370CA1" w:rsidP="00430901">
      <w:pPr>
        <w:pStyle w:val="ListParagraph"/>
        <w:numPr>
          <w:ilvl w:val="0"/>
          <w:numId w:val="5"/>
        </w:numPr>
        <w:ind w:firstLine="556"/>
        <w:rPr>
          <w:szCs w:val="24"/>
          <w:lang w:val="fr-FR"/>
        </w:rPr>
      </w:pPr>
      <w:r w:rsidRPr="001E3C8E">
        <w:rPr>
          <w:szCs w:val="24"/>
          <w:lang w:val="fr-FR"/>
        </w:rPr>
        <w:t xml:space="preserve">La mesure est-elle </w:t>
      </w:r>
      <w:r w:rsidR="00B02F6E" w:rsidRPr="001E3C8E">
        <w:rPr>
          <w:szCs w:val="24"/>
          <w:lang w:val="fr-FR"/>
        </w:rPr>
        <w:t xml:space="preserve">restée </w:t>
      </w:r>
      <w:r w:rsidRPr="001E3C8E">
        <w:rPr>
          <w:szCs w:val="24"/>
          <w:lang w:val="fr-FR"/>
        </w:rPr>
        <w:t xml:space="preserve">ou restera-t-elle en place uniquement pendant la durée </w:t>
      </w:r>
      <w:r w:rsidR="00FD26B2" w:rsidRPr="001E3C8E">
        <w:rPr>
          <w:szCs w:val="24"/>
          <w:lang w:val="fr-FR"/>
        </w:rPr>
        <w:t>né</w:t>
      </w:r>
      <w:r w:rsidRPr="001E3C8E">
        <w:rPr>
          <w:szCs w:val="24"/>
          <w:lang w:val="fr-FR"/>
        </w:rPr>
        <w:t>cessaire?</w:t>
      </w:r>
    </w:p>
    <w:p w14:paraId="278C7FB7" w14:textId="67C888D2" w:rsidR="00AE4FB3" w:rsidRPr="001E3C8E" w:rsidRDefault="00FD26B2" w:rsidP="00E27A1F">
      <w:pPr>
        <w:pStyle w:val="ListParagraph"/>
        <w:numPr>
          <w:ilvl w:val="0"/>
          <w:numId w:val="5"/>
        </w:numPr>
        <w:ind w:firstLine="556"/>
        <w:rPr>
          <w:szCs w:val="24"/>
          <w:lang w:val="fr-FR"/>
        </w:rPr>
      </w:pPr>
      <w:r w:rsidRPr="001E3C8E">
        <w:rPr>
          <w:szCs w:val="24"/>
          <w:lang w:val="fr-FR"/>
        </w:rPr>
        <w:t>L’impa</w:t>
      </w:r>
      <w:r w:rsidR="00B02F6E" w:rsidRPr="001E3C8E">
        <w:rPr>
          <w:szCs w:val="24"/>
          <w:lang w:val="fr-FR"/>
        </w:rPr>
        <w:t>ct cumulatif potentie</w:t>
      </w:r>
      <w:r w:rsidRPr="001E3C8E">
        <w:rPr>
          <w:szCs w:val="24"/>
          <w:lang w:val="fr-FR"/>
        </w:rPr>
        <w:t>l de ces mesures est-il évalué et pris en compte ? Si oui, comment ?</w:t>
      </w:r>
    </w:p>
    <w:p w14:paraId="2A69809A" w14:textId="0C0383A0" w:rsidR="00AE4FB3" w:rsidRPr="001E3C8E" w:rsidRDefault="005C2C7A" w:rsidP="00E27A1F">
      <w:pPr>
        <w:pStyle w:val="ListParagraph"/>
        <w:numPr>
          <w:ilvl w:val="0"/>
          <w:numId w:val="5"/>
        </w:numPr>
        <w:ind w:firstLine="556"/>
        <w:rPr>
          <w:szCs w:val="24"/>
          <w:lang w:val="fr-FR"/>
        </w:rPr>
      </w:pPr>
      <w:r w:rsidRPr="001E3C8E">
        <w:rPr>
          <w:szCs w:val="24"/>
          <w:lang w:val="fr-FR"/>
        </w:rPr>
        <w:t>S’agit-il de la mesure la plus adaptée et la mieux à même d’atteindre l’objectif légitime ? Si oui, pourquoi et comment ?</w:t>
      </w:r>
    </w:p>
    <w:p w14:paraId="58BE37DE" w14:textId="7A64CBAE" w:rsidR="00AE4FB3" w:rsidRPr="001E3C8E" w:rsidRDefault="005C2C7A" w:rsidP="00E27A1F">
      <w:pPr>
        <w:pStyle w:val="ListParagraph"/>
        <w:numPr>
          <w:ilvl w:val="0"/>
          <w:numId w:val="5"/>
        </w:numPr>
        <w:ind w:firstLine="556"/>
        <w:rPr>
          <w:szCs w:val="24"/>
          <w:lang w:val="fr-FR"/>
        </w:rPr>
      </w:pPr>
      <w:r w:rsidRPr="001E3C8E">
        <w:rPr>
          <w:szCs w:val="24"/>
          <w:lang w:val="fr-FR"/>
        </w:rPr>
        <w:t>Les impacts négatifs sur les droits humains de ces mesures sont-ils réversibles ? Si oui comment ?</w:t>
      </w:r>
    </w:p>
    <w:p w14:paraId="74EA62FE" w14:textId="46F0B56C" w:rsidR="00AE4FB3" w:rsidRPr="001E3C8E" w:rsidRDefault="005C2C7A" w:rsidP="00E27A1F">
      <w:pPr>
        <w:pStyle w:val="ListParagraph"/>
        <w:numPr>
          <w:ilvl w:val="0"/>
          <w:numId w:val="5"/>
        </w:numPr>
        <w:ind w:firstLine="556"/>
        <w:rPr>
          <w:szCs w:val="24"/>
          <w:lang w:val="fr-FR"/>
        </w:rPr>
      </w:pPr>
      <w:r w:rsidRPr="001E3C8E">
        <w:rPr>
          <w:szCs w:val="24"/>
          <w:lang w:val="fr-FR"/>
        </w:rPr>
        <w:t>Une politique moins nuisible à la jouissance des droits culturels, économiques et sociaux aurait-elle pu ou peut-elle être adoptée ?</w:t>
      </w:r>
    </w:p>
    <w:p w14:paraId="36E7D173" w14:textId="082AA87C" w:rsidR="005C2C7A" w:rsidRPr="001E3C8E" w:rsidRDefault="005C2C7A" w:rsidP="00E27A1F">
      <w:pPr>
        <w:pStyle w:val="ListParagraph"/>
        <w:numPr>
          <w:ilvl w:val="0"/>
          <w:numId w:val="5"/>
        </w:numPr>
        <w:ind w:firstLine="556"/>
        <w:rPr>
          <w:szCs w:val="24"/>
          <w:lang w:val="fr-FR"/>
        </w:rPr>
      </w:pPr>
      <w:r w:rsidRPr="001E3C8E">
        <w:rPr>
          <w:szCs w:val="24"/>
          <w:lang w:val="fr-FR"/>
        </w:rPr>
        <w:t>Toutes les autres alternatives de financement ont-elle</w:t>
      </w:r>
      <w:r w:rsidR="00B02F6E" w:rsidRPr="001E3C8E">
        <w:rPr>
          <w:szCs w:val="24"/>
          <w:lang w:val="fr-FR"/>
        </w:rPr>
        <w:t>s</w:t>
      </w:r>
      <w:r w:rsidRPr="001E3C8E">
        <w:rPr>
          <w:szCs w:val="24"/>
          <w:lang w:val="fr-FR"/>
        </w:rPr>
        <w:t xml:space="preserve"> été </w:t>
      </w:r>
      <w:r w:rsidR="003416D4" w:rsidRPr="001E3C8E">
        <w:rPr>
          <w:szCs w:val="24"/>
          <w:lang w:val="fr-FR"/>
        </w:rPr>
        <w:t>envisagées</w:t>
      </w:r>
      <w:r w:rsidRPr="001E3C8E">
        <w:rPr>
          <w:szCs w:val="24"/>
          <w:lang w:val="fr-FR"/>
        </w:rPr>
        <w:t> ? Si oui, lesquelles ?</w:t>
      </w:r>
    </w:p>
    <w:p w14:paraId="623DC2DE" w14:textId="6ED19C3C" w:rsidR="005C2C7A" w:rsidRPr="001E3C8E" w:rsidRDefault="005C2C7A" w:rsidP="00E27A1F">
      <w:pPr>
        <w:pStyle w:val="ListParagraph"/>
        <w:numPr>
          <w:ilvl w:val="0"/>
          <w:numId w:val="5"/>
        </w:numPr>
        <w:ind w:firstLine="556"/>
        <w:rPr>
          <w:szCs w:val="24"/>
          <w:lang w:val="fr-FR"/>
        </w:rPr>
      </w:pPr>
      <w:r w:rsidRPr="001E3C8E">
        <w:rPr>
          <w:szCs w:val="24"/>
          <w:lang w:val="fr-FR"/>
        </w:rPr>
        <w:t>La capacité de générer des ressources publiques sera-t-elle affaiblie d’une manière susceptible d’avoir un impact négatif sur la capacité de l’</w:t>
      </w:r>
      <w:r w:rsidR="00A716C2" w:rsidRPr="001E3C8E">
        <w:rPr>
          <w:szCs w:val="24"/>
          <w:lang w:val="fr-FR"/>
        </w:rPr>
        <w:t>État</w:t>
      </w:r>
      <w:r w:rsidRPr="001E3C8E">
        <w:rPr>
          <w:szCs w:val="24"/>
          <w:lang w:val="fr-FR"/>
        </w:rPr>
        <w:t xml:space="preserve"> à </w:t>
      </w:r>
      <w:r w:rsidR="00A716C2" w:rsidRPr="001E3C8E">
        <w:rPr>
          <w:szCs w:val="24"/>
          <w:lang w:val="fr-FR"/>
        </w:rPr>
        <w:t>garantir</w:t>
      </w:r>
      <w:r w:rsidRPr="001E3C8E">
        <w:rPr>
          <w:szCs w:val="24"/>
          <w:lang w:val="fr-FR"/>
        </w:rPr>
        <w:t xml:space="preserve"> les droits humains de la population? Si oui, comment ?</w:t>
      </w:r>
    </w:p>
    <w:p w14:paraId="6E8D551A" w14:textId="4AF24DCF" w:rsidR="005C2C7A" w:rsidRPr="001E3C8E" w:rsidRDefault="005C2C7A" w:rsidP="00430901">
      <w:pPr>
        <w:pStyle w:val="ListParagraph"/>
        <w:numPr>
          <w:ilvl w:val="0"/>
          <w:numId w:val="5"/>
        </w:numPr>
        <w:ind w:firstLine="556"/>
        <w:rPr>
          <w:szCs w:val="24"/>
          <w:lang w:val="fr-FR"/>
        </w:rPr>
      </w:pPr>
      <w:r w:rsidRPr="001E3C8E">
        <w:rPr>
          <w:szCs w:val="24"/>
          <w:lang w:val="fr-FR"/>
        </w:rPr>
        <w:t>Les mesures fiscales déplacent-elles le fardeau et les avantages des politiques fiscales entre différents groupes ? Si oui, comment, et comment ce déplacement est-il justifié ?</w:t>
      </w:r>
    </w:p>
    <w:p w14:paraId="5D9BBE0F" w14:textId="793CB7FF" w:rsidR="00AE4FB3" w:rsidRPr="001E3C8E" w:rsidRDefault="005C2C7A" w:rsidP="00E27A1F">
      <w:pPr>
        <w:pStyle w:val="ListParagraph"/>
        <w:numPr>
          <w:ilvl w:val="0"/>
          <w:numId w:val="5"/>
        </w:numPr>
        <w:ind w:firstLine="556"/>
        <w:rPr>
          <w:szCs w:val="24"/>
          <w:lang w:val="fr-FR"/>
        </w:rPr>
      </w:pPr>
      <w:r w:rsidRPr="001E3C8E">
        <w:rPr>
          <w:szCs w:val="24"/>
          <w:lang w:val="fr-FR"/>
        </w:rPr>
        <w:t>Les droits des pers</w:t>
      </w:r>
      <w:r w:rsidR="00A716C2" w:rsidRPr="001E3C8E">
        <w:rPr>
          <w:szCs w:val="24"/>
          <w:lang w:val="fr-FR"/>
        </w:rPr>
        <w:t>onnes et des groupes défavorisé</w:t>
      </w:r>
      <w:r w:rsidRPr="001E3C8E">
        <w:rPr>
          <w:szCs w:val="24"/>
          <w:lang w:val="fr-FR"/>
        </w:rPr>
        <w:t xml:space="preserve">s et marginalisés </w:t>
      </w:r>
      <w:r w:rsidR="00ED5D10" w:rsidRPr="001E3C8E">
        <w:rPr>
          <w:szCs w:val="24"/>
          <w:lang w:val="fr-FR"/>
        </w:rPr>
        <w:t xml:space="preserve"> </w:t>
      </w:r>
      <w:r w:rsidRPr="001E3C8E">
        <w:rPr>
          <w:szCs w:val="24"/>
          <w:lang w:val="fr-FR"/>
        </w:rPr>
        <w:lastRenderedPageBreak/>
        <w:t>sont-ils</w:t>
      </w:r>
      <w:r w:rsidR="002D33CB" w:rsidRPr="001E3C8E">
        <w:rPr>
          <w:szCs w:val="24"/>
          <w:lang w:val="fr-FR"/>
        </w:rPr>
        <w:t xml:space="preserve"> affectés de manière disproporti</w:t>
      </w:r>
      <w:r w:rsidRPr="001E3C8E">
        <w:rPr>
          <w:szCs w:val="24"/>
          <w:lang w:val="fr-FR"/>
        </w:rPr>
        <w:t>onnée par ces mesures ?</w:t>
      </w:r>
      <w:r w:rsidR="00181FB1" w:rsidRPr="001E3C8E">
        <w:rPr>
          <w:szCs w:val="24"/>
          <w:lang w:val="fr-FR"/>
        </w:rPr>
        <w:t xml:space="preserve"> Si oui, comment ?</w:t>
      </w:r>
    </w:p>
    <w:p w14:paraId="3E265FC2" w14:textId="6D64B18B" w:rsidR="005C2C7A" w:rsidRPr="001E3C8E" w:rsidRDefault="005C2C7A" w:rsidP="005C2C7A">
      <w:pPr>
        <w:pStyle w:val="ListParagraph"/>
        <w:numPr>
          <w:ilvl w:val="0"/>
          <w:numId w:val="5"/>
        </w:numPr>
        <w:ind w:firstLine="556"/>
        <w:rPr>
          <w:szCs w:val="24"/>
          <w:lang w:val="fr-FR"/>
        </w:rPr>
      </w:pPr>
      <w:r w:rsidRPr="001E3C8E">
        <w:rPr>
          <w:szCs w:val="24"/>
          <w:lang w:val="fr-FR"/>
        </w:rPr>
        <w:t>La mesure est-elle susceptible de contribuer à une discrimination systémique de groupes ou d’individus, ou en d’autres termes de « créer des désavantages relatifs pour certains groupes et des privilèges pour d’autres », de manière officielle ou substantielle </w:t>
      </w:r>
      <w:r w:rsidR="00200AB3" w:rsidRPr="001E3C8E">
        <w:rPr>
          <w:szCs w:val="24"/>
          <w:lang w:val="fr-FR"/>
        </w:rPr>
        <w:t>?</w:t>
      </w:r>
      <w:r w:rsidR="00200AB3" w:rsidRPr="001E3C8E">
        <w:rPr>
          <w:rStyle w:val="FootnoteReference"/>
          <w:szCs w:val="24"/>
          <w:lang w:val="fr-FR"/>
        </w:rPr>
        <w:footnoteReference w:id="24"/>
      </w:r>
    </w:p>
    <w:p w14:paraId="552B5B28" w14:textId="4C6CCC37" w:rsidR="00AE4FB3" w:rsidRPr="001E3C8E" w:rsidRDefault="005C2C7A" w:rsidP="00E27A1F">
      <w:pPr>
        <w:pStyle w:val="ListParagraph"/>
        <w:numPr>
          <w:ilvl w:val="0"/>
          <w:numId w:val="5"/>
        </w:numPr>
        <w:ind w:firstLine="556"/>
        <w:rPr>
          <w:szCs w:val="24"/>
          <w:lang w:val="fr-FR"/>
        </w:rPr>
      </w:pPr>
      <w:r w:rsidRPr="001E3C8E">
        <w:rPr>
          <w:szCs w:val="24"/>
          <w:lang w:val="fr-FR"/>
        </w:rPr>
        <w:t>La mesure permet-elle d’atténuer des inégalités préalables ou susceptibles d’émerger ou d’être exacerbées en conséquence de la crise économique et financière ? Si oui, comment ?</w:t>
      </w:r>
    </w:p>
    <w:p w14:paraId="7CE979E7" w14:textId="6128720A" w:rsidR="00AE4FB3" w:rsidRPr="001E3C8E" w:rsidRDefault="005C2C7A" w:rsidP="00E27A1F">
      <w:pPr>
        <w:pStyle w:val="ListParagraph"/>
        <w:numPr>
          <w:ilvl w:val="0"/>
          <w:numId w:val="5"/>
        </w:numPr>
        <w:ind w:firstLine="556"/>
        <w:rPr>
          <w:szCs w:val="24"/>
          <w:lang w:val="fr-FR"/>
        </w:rPr>
      </w:pPr>
      <w:r w:rsidRPr="001E3C8E">
        <w:rPr>
          <w:szCs w:val="24"/>
          <w:lang w:val="fr-FR"/>
        </w:rPr>
        <w:t>La mesure renforce-t-e</w:t>
      </w:r>
      <w:r w:rsidR="002D33CB" w:rsidRPr="001E3C8E">
        <w:rPr>
          <w:szCs w:val="24"/>
          <w:lang w:val="fr-FR"/>
        </w:rPr>
        <w:t xml:space="preserve">lle les </w:t>
      </w:r>
      <w:r w:rsidRPr="001E3C8E">
        <w:rPr>
          <w:szCs w:val="24"/>
          <w:lang w:val="fr-FR"/>
        </w:rPr>
        <w:t>inégalité</w:t>
      </w:r>
      <w:r w:rsidR="002D33CB" w:rsidRPr="001E3C8E">
        <w:rPr>
          <w:szCs w:val="24"/>
          <w:lang w:val="fr-FR"/>
        </w:rPr>
        <w:t>s</w:t>
      </w:r>
      <w:r w:rsidRPr="001E3C8E">
        <w:rPr>
          <w:szCs w:val="24"/>
          <w:lang w:val="fr-FR"/>
        </w:rPr>
        <w:t xml:space="preserve"> entre les </w:t>
      </w:r>
      <w:r w:rsidR="002D33CB" w:rsidRPr="001E3C8E">
        <w:rPr>
          <w:szCs w:val="24"/>
          <w:lang w:val="fr-FR"/>
        </w:rPr>
        <w:t>sexes</w:t>
      </w:r>
      <w:r w:rsidRPr="001E3C8E">
        <w:rPr>
          <w:szCs w:val="24"/>
          <w:lang w:val="fr-FR"/>
        </w:rPr>
        <w:t xml:space="preserve"> </w:t>
      </w:r>
      <w:r w:rsidR="002D33CB" w:rsidRPr="001E3C8E">
        <w:rPr>
          <w:szCs w:val="24"/>
          <w:lang w:val="fr-FR"/>
        </w:rPr>
        <w:t>d’une manière générale</w:t>
      </w:r>
      <w:r w:rsidRPr="001E3C8E">
        <w:rPr>
          <w:szCs w:val="24"/>
          <w:lang w:val="fr-FR"/>
        </w:rPr>
        <w:t>, et contribue-t-elle à un type, quel qu’il soit, de discrimination systémique basée sur la ségrégation économique et du travail à l’encontre des femmes </w:t>
      </w:r>
      <w:r w:rsidR="002C04AF" w:rsidRPr="001E3C8E">
        <w:rPr>
          <w:szCs w:val="24"/>
          <w:lang w:val="fr-FR"/>
        </w:rPr>
        <w:t>?</w:t>
      </w:r>
      <w:r w:rsidR="002C04AF" w:rsidRPr="001E3C8E">
        <w:rPr>
          <w:rStyle w:val="FootnoteReference"/>
          <w:szCs w:val="24"/>
          <w:lang w:val="fr-FR"/>
        </w:rPr>
        <w:footnoteReference w:id="25"/>
      </w:r>
      <w:r w:rsidR="002C04AF" w:rsidRPr="001E3C8E">
        <w:rPr>
          <w:szCs w:val="24"/>
          <w:lang w:val="fr-FR"/>
        </w:rPr>
        <w:t xml:space="preserve"> </w:t>
      </w:r>
      <w:r w:rsidR="005B283F" w:rsidRPr="001E3C8E">
        <w:rPr>
          <w:szCs w:val="24"/>
          <w:lang w:val="fr-FR"/>
        </w:rPr>
        <w:t xml:space="preserve"> </w:t>
      </w:r>
    </w:p>
    <w:p w14:paraId="04E3491A" w14:textId="3867C710" w:rsidR="005C2C7A" w:rsidRPr="001E3C8E" w:rsidRDefault="005C2C7A" w:rsidP="00430901">
      <w:pPr>
        <w:pStyle w:val="ListParagraph"/>
        <w:numPr>
          <w:ilvl w:val="0"/>
          <w:numId w:val="5"/>
        </w:numPr>
        <w:ind w:firstLine="556"/>
        <w:rPr>
          <w:szCs w:val="24"/>
          <w:lang w:val="fr-FR"/>
        </w:rPr>
      </w:pPr>
      <w:r w:rsidRPr="001E3C8E">
        <w:rPr>
          <w:szCs w:val="24"/>
          <w:lang w:val="fr-FR"/>
        </w:rPr>
        <w:t xml:space="preserve">La mesure cible-t-elle un groupe de femmes </w:t>
      </w:r>
      <w:r w:rsidR="002D33CB" w:rsidRPr="001E3C8E">
        <w:rPr>
          <w:szCs w:val="24"/>
          <w:lang w:val="fr-FR"/>
        </w:rPr>
        <w:t>en particulier</w:t>
      </w:r>
      <w:r w:rsidRPr="001E3C8E">
        <w:rPr>
          <w:szCs w:val="24"/>
          <w:lang w:val="fr-FR"/>
        </w:rPr>
        <w:t xml:space="preserve"> (par ex. </w:t>
      </w:r>
      <w:r w:rsidR="00CC6738" w:rsidRPr="001E3C8E">
        <w:rPr>
          <w:szCs w:val="24"/>
          <w:lang w:val="fr-FR"/>
        </w:rPr>
        <w:t>ménages monoparentaux</w:t>
      </w:r>
      <w:r w:rsidRPr="001E3C8E">
        <w:rPr>
          <w:szCs w:val="24"/>
          <w:lang w:val="fr-FR"/>
        </w:rPr>
        <w:t xml:space="preserve">, les femmes âgées, les femmes </w:t>
      </w:r>
      <w:r w:rsidR="006318FB" w:rsidRPr="001E3C8E">
        <w:rPr>
          <w:szCs w:val="24"/>
          <w:lang w:val="fr-FR"/>
        </w:rPr>
        <w:t>handicapées</w:t>
      </w:r>
      <w:r w:rsidRPr="001E3C8E">
        <w:rPr>
          <w:szCs w:val="24"/>
          <w:lang w:val="fr-FR"/>
        </w:rPr>
        <w:t>, les femmes migrantes etc.) ?</w:t>
      </w:r>
    </w:p>
    <w:p w14:paraId="7E812CE2" w14:textId="5E50AD13" w:rsidR="00AE4FB3" w:rsidRPr="001E3C8E" w:rsidRDefault="005C2C7A" w:rsidP="00E27A1F">
      <w:pPr>
        <w:pStyle w:val="ListParagraph"/>
        <w:numPr>
          <w:ilvl w:val="0"/>
          <w:numId w:val="5"/>
        </w:numPr>
        <w:ind w:firstLine="556"/>
        <w:rPr>
          <w:szCs w:val="24"/>
          <w:lang w:val="fr-FR"/>
        </w:rPr>
      </w:pPr>
      <w:r w:rsidRPr="001E3C8E">
        <w:rPr>
          <w:szCs w:val="24"/>
          <w:lang w:val="fr-FR"/>
        </w:rPr>
        <w:t xml:space="preserve">La réforme affecte-t-elle le droit </w:t>
      </w:r>
      <w:r w:rsidR="002D33CB" w:rsidRPr="001E3C8E">
        <w:rPr>
          <w:szCs w:val="24"/>
          <w:lang w:val="fr-FR"/>
        </w:rPr>
        <w:t>a</w:t>
      </w:r>
      <w:r w:rsidRPr="001E3C8E">
        <w:rPr>
          <w:szCs w:val="24"/>
          <w:lang w:val="fr-FR"/>
        </w:rPr>
        <w:t>u travail, et quelles sont ses conséquences pour l’emploi ?</w:t>
      </w:r>
    </w:p>
    <w:p w14:paraId="4139CB38" w14:textId="32CA6D70" w:rsidR="00AE4FB3" w:rsidRPr="001E3C8E" w:rsidRDefault="005C2C7A" w:rsidP="00E27A1F">
      <w:pPr>
        <w:pStyle w:val="ListParagraph"/>
        <w:numPr>
          <w:ilvl w:val="0"/>
          <w:numId w:val="5"/>
        </w:numPr>
        <w:ind w:firstLine="556"/>
        <w:rPr>
          <w:szCs w:val="24"/>
          <w:lang w:val="fr-FR"/>
        </w:rPr>
      </w:pPr>
      <w:r w:rsidRPr="001E3C8E">
        <w:rPr>
          <w:szCs w:val="24"/>
          <w:lang w:val="fr-FR"/>
        </w:rPr>
        <w:t>La mesure affecte-t-elle le droit à l’alimentation en faisant directement augmenter le prix des denrées alimentaires, abaissant ainsi le revenu disponible des ménages ?</w:t>
      </w:r>
    </w:p>
    <w:p w14:paraId="4B2107BB" w14:textId="410150B1" w:rsidR="00AE4FB3" w:rsidRPr="001E3C8E" w:rsidRDefault="00DE2581" w:rsidP="00E27A1F">
      <w:pPr>
        <w:pStyle w:val="ListParagraph"/>
        <w:numPr>
          <w:ilvl w:val="0"/>
          <w:numId w:val="5"/>
        </w:numPr>
        <w:ind w:firstLine="556"/>
        <w:rPr>
          <w:szCs w:val="24"/>
          <w:lang w:val="fr-FR"/>
        </w:rPr>
      </w:pPr>
      <w:r w:rsidRPr="001E3C8E">
        <w:rPr>
          <w:szCs w:val="24"/>
          <w:lang w:val="fr-FR"/>
        </w:rPr>
        <w:t>La mesure affecte-t-elle le droit à la santé en augmentant directement le prix des médicaments ou des soins de santé ou en faisant diminuer le revenu disponible des ménages ?</w:t>
      </w:r>
    </w:p>
    <w:p w14:paraId="0C32D8AF" w14:textId="38415C67" w:rsidR="00234E9D" w:rsidRPr="001E3C8E" w:rsidRDefault="00DE2581" w:rsidP="00234E9D">
      <w:pPr>
        <w:pStyle w:val="ListParagraph"/>
        <w:numPr>
          <w:ilvl w:val="0"/>
          <w:numId w:val="5"/>
        </w:numPr>
        <w:ind w:firstLine="556"/>
        <w:rPr>
          <w:szCs w:val="24"/>
          <w:lang w:val="fr-FR"/>
        </w:rPr>
      </w:pPr>
      <w:r w:rsidRPr="001E3C8E">
        <w:rPr>
          <w:szCs w:val="24"/>
          <w:lang w:val="fr-FR"/>
        </w:rPr>
        <w:t xml:space="preserve">La mesure affecte-t-elle le droit à l’éducation en empêchant directement </w:t>
      </w:r>
      <w:r w:rsidR="00D02846" w:rsidRPr="001E3C8E">
        <w:rPr>
          <w:szCs w:val="24"/>
          <w:lang w:val="fr-FR"/>
        </w:rPr>
        <w:t>l’enseignement scolaire amélioré</w:t>
      </w:r>
      <w:r w:rsidR="00234E9D" w:rsidRPr="001E3C8E">
        <w:rPr>
          <w:szCs w:val="24"/>
          <w:lang w:val="fr-FR"/>
        </w:rPr>
        <w:t xml:space="preserve"> ou en réduisant les revenus disponibles des ménages ?</w:t>
      </w:r>
    </w:p>
    <w:p w14:paraId="453D7901" w14:textId="2960050B" w:rsidR="00AE4FB3" w:rsidRPr="001E3C8E" w:rsidRDefault="00234E9D" w:rsidP="00E27A1F">
      <w:pPr>
        <w:pStyle w:val="ListParagraph"/>
        <w:numPr>
          <w:ilvl w:val="0"/>
          <w:numId w:val="5"/>
        </w:numPr>
        <w:ind w:firstLine="556"/>
        <w:rPr>
          <w:szCs w:val="24"/>
          <w:lang w:val="fr-FR"/>
        </w:rPr>
      </w:pPr>
      <w:r w:rsidRPr="001E3C8E">
        <w:rPr>
          <w:szCs w:val="24"/>
          <w:lang w:val="fr-FR"/>
        </w:rPr>
        <w:t xml:space="preserve">La mesure </w:t>
      </w:r>
      <w:r w:rsidR="00D02846" w:rsidRPr="001E3C8E">
        <w:rPr>
          <w:szCs w:val="24"/>
          <w:lang w:val="fr-FR"/>
        </w:rPr>
        <w:t>a</w:t>
      </w:r>
      <w:r w:rsidRPr="001E3C8E">
        <w:rPr>
          <w:szCs w:val="24"/>
          <w:lang w:val="fr-FR"/>
        </w:rPr>
        <w:t xml:space="preserve">-t-elle </w:t>
      </w:r>
      <w:r w:rsidR="00D02846" w:rsidRPr="001E3C8E">
        <w:rPr>
          <w:szCs w:val="24"/>
          <w:lang w:val="fr-FR"/>
        </w:rPr>
        <w:t xml:space="preserve">un impact sur </w:t>
      </w:r>
      <w:r w:rsidRPr="001E3C8E">
        <w:rPr>
          <w:szCs w:val="24"/>
          <w:lang w:val="fr-FR"/>
        </w:rPr>
        <w:t>le droit à la sécurité sociale en affectant directement les contributions à l’assurance sociale, les versements d’allocations ou les réformes des pensions ?</w:t>
      </w:r>
    </w:p>
    <w:p w14:paraId="254C928E" w14:textId="0E4FE5DD" w:rsidR="00234E9D" w:rsidRPr="001E3C8E" w:rsidRDefault="00D02846" w:rsidP="00E27A1F">
      <w:pPr>
        <w:pStyle w:val="ListParagraph"/>
        <w:numPr>
          <w:ilvl w:val="0"/>
          <w:numId w:val="5"/>
        </w:numPr>
        <w:ind w:firstLine="556"/>
        <w:rPr>
          <w:szCs w:val="24"/>
          <w:lang w:val="fr-FR"/>
        </w:rPr>
      </w:pPr>
      <w:r w:rsidRPr="001E3C8E">
        <w:rPr>
          <w:szCs w:val="24"/>
          <w:lang w:val="fr-FR"/>
        </w:rPr>
        <w:t>Les conditions fixées en matière de</w:t>
      </w:r>
      <w:r w:rsidR="00234E9D" w:rsidRPr="001E3C8E">
        <w:rPr>
          <w:szCs w:val="24"/>
          <w:lang w:val="fr-FR"/>
        </w:rPr>
        <w:t xml:space="preserve"> politique économique </w:t>
      </w:r>
      <w:r w:rsidRPr="001E3C8E">
        <w:rPr>
          <w:szCs w:val="24"/>
          <w:lang w:val="fr-FR"/>
        </w:rPr>
        <w:t>sont</w:t>
      </w:r>
      <w:r w:rsidR="00234E9D" w:rsidRPr="001E3C8E">
        <w:rPr>
          <w:szCs w:val="24"/>
          <w:lang w:val="fr-FR"/>
        </w:rPr>
        <w:t>-elle</w:t>
      </w:r>
      <w:r w:rsidRPr="001E3C8E">
        <w:rPr>
          <w:szCs w:val="24"/>
          <w:lang w:val="fr-FR"/>
        </w:rPr>
        <w:t>s</w:t>
      </w:r>
      <w:r w:rsidR="00234E9D" w:rsidRPr="001E3C8E">
        <w:rPr>
          <w:szCs w:val="24"/>
          <w:lang w:val="fr-FR"/>
        </w:rPr>
        <w:t xml:space="preserve"> </w:t>
      </w:r>
      <w:r w:rsidRPr="001E3C8E">
        <w:rPr>
          <w:szCs w:val="24"/>
          <w:lang w:val="fr-FR"/>
        </w:rPr>
        <w:t>garantie</w:t>
      </w:r>
      <w:r w:rsidR="00DE1AF6" w:rsidRPr="001E3C8E">
        <w:rPr>
          <w:szCs w:val="24"/>
          <w:lang w:val="fr-FR"/>
        </w:rPr>
        <w:t>s</w:t>
      </w:r>
      <w:r w:rsidR="00234E9D" w:rsidRPr="001E3C8E">
        <w:rPr>
          <w:szCs w:val="24"/>
          <w:lang w:val="fr-FR"/>
        </w:rPr>
        <w:t xml:space="preserve"> par l’accord explicit</w:t>
      </w:r>
      <w:r w:rsidRPr="001E3C8E">
        <w:rPr>
          <w:szCs w:val="24"/>
          <w:lang w:val="fr-FR"/>
        </w:rPr>
        <w:t>e</w:t>
      </w:r>
      <w:r w:rsidR="00234E9D" w:rsidRPr="001E3C8E">
        <w:rPr>
          <w:szCs w:val="24"/>
          <w:lang w:val="fr-FR"/>
        </w:rPr>
        <w:t xml:space="preserve"> du pays bénéficiaire ?</w:t>
      </w:r>
    </w:p>
    <w:p w14:paraId="41C18EE4" w14:textId="0BB48D8A" w:rsidR="00AE4FB3" w:rsidRPr="001E3C8E" w:rsidRDefault="00234E9D" w:rsidP="00E27A1F">
      <w:pPr>
        <w:pStyle w:val="ListParagraph"/>
        <w:numPr>
          <w:ilvl w:val="0"/>
          <w:numId w:val="5"/>
        </w:numPr>
        <w:ind w:firstLine="556"/>
        <w:rPr>
          <w:szCs w:val="24"/>
          <w:lang w:val="fr-FR"/>
        </w:rPr>
      </w:pPr>
      <w:r w:rsidRPr="001E3C8E">
        <w:rPr>
          <w:szCs w:val="24"/>
          <w:lang w:val="fr-FR"/>
        </w:rPr>
        <w:t xml:space="preserve">L’utilisation d’instruments souples </w:t>
      </w:r>
      <w:r w:rsidR="00D02846" w:rsidRPr="001E3C8E">
        <w:rPr>
          <w:szCs w:val="24"/>
          <w:lang w:val="fr-FR"/>
        </w:rPr>
        <w:t xml:space="preserve">sans autre </w:t>
      </w:r>
      <w:r w:rsidRPr="001E3C8E">
        <w:rPr>
          <w:szCs w:val="24"/>
          <w:lang w:val="fr-FR"/>
        </w:rPr>
        <w:t xml:space="preserve">condition que le remboursement des prêts </w:t>
      </w:r>
      <w:r w:rsidR="00D02846" w:rsidRPr="001E3C8E">
        <w:rPr>
          <w:szCs w:val="24"/>
          <w:lang w:val="fr-FR"/>
        </w:rPr>
        <w:t>selon les termes convenus a-t-elle</w:t>
      </w:r>
      <w:r w:rsidRPr="001E3C8E">
        <w:rPr>
          <w:szCs w:val="24"/>
          <w:lang w:val="fr-FR"/>
        </w:rPr>
        <w:t xml:space="preserve"> été envisagé</w:t>
      </w:r>
      <w:r w:rsidR="00B30800" w:rsidRPr="001E3C8E">
        <w:rPr>
          <w:szCs w:val="24"/>
          <w:lang w:val="fr-FR"/>
        </w:rPr>
        <w:t>e</w:t>
      </w:r>
      <w:r w:rsidRPr="001E3C8E">
        <w:rPr>
          <w:szCs w:val="24"/>
          <w:lang w:val="fr-FR"/>
        </w:rPr>
        <w:t> ?</w:t>
      </w:r>
    </w:p>
    <w:p w14:paraId="49726F96" w14:textId="2DBA3DBD" w:rsidR="00AE4FB3" w:rsidRPr="001E3C8E" w:rsidRDefault="00234E9D" w:rsidP="00E27A1F">
      <w:pPr>
        <w:pStyle w:val="ListParagraph"/>
        <w:numPr>
          <w:ilvl w:val="0"/>
          <w:numId w:val="5"/>
        </w:numPr>
        <w:ind w:firstLine="556"/>
        <w:rPr>
          <w:szCs w:val="24"/>
          <w:lang w:val="fr-FR"/>
        </w:rPr>
      </w:pPr>
      <w:r w:rsidRPr="001E3C8E">
        <w:rPr>
          <w:szCs w:val="24"/>
          <w:lang w:val="fr-FR"/>
        </w:rPr>
        <w:t>Les politiques fiscales</w:t>
      </w:r>
      <w:r w:rsidR="00D02846" w:rsidRPr="001E3C8E">
        <w:rPr>
          <w:szCs w:val="24"/>
          <w:lang w:val="fr-FR"/>
        </w:rPr>
        <w:t>, monétaires</w:t>
      </w:r>
      <w:r w:rsidRPr="001E3C8E">
        <w:rPr>
          <w:szCs w:val="24"/>
          <w:lang w:val="fr-FR"/>
        </w:rPr>
        <w:t xml:space="preserve">, </w:t>
      </w:r>
      <w:r w:rsidR="00D02846" w:rsidRPr="001E3C8E">
        <w:rPr>
          <w:szCs w:val="24"/>
          <w:lang w:val="fr-FR"/>
        </w:rPr>
        <w:t xml:space="preserve">d’endettement et </w:t>
      </w:r>
      <w:r w:rsidRPr="001E3C8E">
        <w:rPr>
          <w:szCs w:val="24"/>
          <w:lang w:val="fr-FR"/>
        </w:rPr>
        <w:t>d’</w:t>
      </w:r>
      <w:r w:rsidR="00445B74" w:rsidRPr="001E3C8E">
        <w:rPr>
          <w:szCs w:val="24"/>
          <w:lang w:val="fr-FR"/>
        </w:rPr>
        <w:t xml:space="preserve">aide </w:t>
      </w:r>
      <w:r w:rsidRPr="001E3C8E">
        <w:rPr>
          <w:szCs w:val="24"/>
          <w:lang w:val="fr-FR"/>
        </w:rPr>
        <w:t xml:space="preserve">mobilisent-elles des ressources </w:t>
      </w:r>
      <w:r w:rsidR="00D02846" w:rsidRPr="001E3C8E">
        <w:rPr>
          <w:szCs w:val="24"/>
          <w:lang w:val="fr-FR"/>
        </w:rPr>
        <w:t>afin de garantir l</w:t>
      </w:r>
      <w:r w:rsidR="003C1EE4" w:rsidRPr="001E3C8E">
        <w:rPr>
          <w:szCs w:val="24"/>
          <w:lang w:val="fr-FR"/>
        </w:rPr>
        <w:t xml:space="preserve">a pleine réalisation </w:t>
      </w:r>
      <w:r w:rsidRPr="001E3C8E">
        <w:rPr>
          <w:szCs w:val="24"/>
          <w:lang w:val="fr-FR"/>
        </w:rPr>
        <w:t>des droits humains ?</w:t>
      </w:r>
    </w:p>
    <w:p w14:paraId="4E37444D" w14:textId="66BB6197" w:rsidR="00AE4FB3" w:rsidRPr="001E3C8E" w:rsidRDefault="00445B74" w:rsidP="00E27A1F">
      <w:pPr>
        <w:pStyle w:val="ListParagraph"/>
        <w:numPr>
          <w:ilvl w:val="0"/>
          <w:numId w:val="5"/>
        </w:numPr>
        <w:ind w:firstLine="556"/>
        <w:rPr>
          <w:szCs w:val="24"/>
          <w:lang w:val="fr-FR"/>
        </w:rPr>
      </w:pPr>
      <w:r w:rsidRPr="001E3C8E">
        <w:rPr>
          <w:szCs w:val="24"/>
          <w:lang w:val="fr-FR"/>
        </w:rPr>
        <w:lastRenderedPageBreak/>
        <w:t>La transparence a-t-elle été ou est-elle garantie lors des discussions et des décisions concernant les mesures envisagées ?</w:t>
      </w:r>
    </w:p>
    <w:p w14:paraId="3D9BBF44" w14:textId="15A7E788" w:rsidR="00445B74" w:rsidRPr="001E3C8E" w:rsidRDefault="00445B74" w:rsidP="00430901">
      <w:pPr>
        <w:pStyle w:val="ListParagraph"/>
        <w:numPr>
          <w:ilvl w:val="0"/>
          <w:numId w:val="5"/>
        </w:numPr>
        <w:ind w:firstLine="556"/>
        <w:rPr>
          <w:szCs w:val="24"/>
          <w:lang w:val="fr-FR"/>
        </w:rPr>
      </w:pPr>
      <w:r w:rsidRPr="001E3C8E">
        <w:rPr>
          <w:szCs w:val="24"/>
          <w:lang w:val="fr-FR"/>
        </w:rPr>
        <w:t>Tous les niveaux gouvernementaux pertinents ont-ils été consultés ? Les mesures ont-elles fait l’objet d’accords à tous les niveaux ?</w:t>
      </w:r>
    </w:p>
    <w:p w14:paraId="51DE2E52" w14:textId="70757F69" w:rsidR="00E641E3" w:rsidRPr="001E3C8E" w:rsidRDefault="00B30800" w:rsidP="00430901">
      <w:pPr>
        <w:pStyle w:val="ListParagraph"/>
        <w:numPr>
          <w:ilvl w:val="0"/>
          <w:numId w:val="5"/>
        </w:numPr>
        <w:ind w:firstLine="556"/>
        <w:rPr>
          <w:szCs w:val="24"/>
          <w:lang w:val="fr-FR"/>
        </w:rPr>
      </w:pPr>
      <w:r w:rsidRPr="001E3C8E">
        <w:rPr>
          <w:szCs w:val="24"/>
          <w:lang w:val="fr-FR"/>
        </w:rPr>
        <w:t>Le risque</w:t>
      </w:r>
      <w:r w:rsidR="00E641E3" w:rsidRPr="001E3C8E">
        <w:rPr>
          <w:szCs w:val="24"/>
          <w:lang w:val="fr-FR"/>
        </w:rPr>
        <w:t xml:space="preserve"> que le fardeau soit transféré du niveau national au niveau infranational a-t-il été </w:t>
      </w:r>
      <w:r w:rsidRPr="001E3C8E">
        <w:rPr>
          <w:szCs w:val="24"/>
          <w:lang w:val="fr-FR"/>
        </w:rPr>
        <w:t>pris en compte</w:t>
      </w:r>
      <w:r w:rsidR="00E641E3" w:rsidRPr="001E3C8E">
        <w:rPr>
          <w:szCs w:val="24"/>
          <w:lang w:val="fr-FR"/>
        </w:rPr>
        <w:t> ?</w:t>
      </w:r>
    </w:p>
    <w:p w14:paraId="194851D2" w14:textId="67854C57" w:rsidR="00AE4FB3" w:rsidRPr="001E3C8E" w:rsidRDefault="00C92E3E" w:rsidP="00E27A1F">
      <w:pPr>
        <w:pStyle w:val="ListParagraph"/>
        <w:numPr>
          <w:ilvl w:val="0"/>
          <w:numId w:val="5"/>
        </w:numPr>
        <w:ind w:firstLine="556"/>
        <w:rPr>
          <w:szCs w:val="24"/>
          <w:lang w:val="fr-FR"/>
        </w:rPr>
      </w:pPr>
      <w:r w:rsidRPr="001E3C8E">
        <w:rPr>
          <w:szCs w:val="24"/>
          <w:lang w:val="fr-FR"/>
        </w:rPr>
        <w:t>La participation et la consultation des individus potentiellement affectés est-elle assurée ? Si oui, comment ?</w:t>
      </w:r>
    </w:p>
    <w:p w14:paraId="5B7C9FC0" w14:textId="6FF70963" w:rsidR="00C92E3E" w:rsidRPr="001E3C8E" w:rsidRDefault="00C92E3E" w:rsidP="00430901">
      <w:pPr>
        <w:pStyle w:val="ListParagraph"/>
        <w:numPr>
          <w:ilvl w:val="0"/>
          <w:numId w:val="5"/>
        </w:numPr>
        <w:ind w:firstLine="556"/>
        <w:rPr>
          <w:szCs w:val="24"/>
          <w:lang w:val="fr-FR"/>
        </w:rPr>
      </w:pPr>
      <w:r w:rsidRPr="001E3C8E">
        <w:rPr>
          <w:szCs w:val="24"/>
          <w:lang w:val="fr-FR"/>
        </w:rPr>
        <w:t xml:space="preserve">Les individus et les groupes dont les droits humains sont ou ont été affectés par les mesures </w:t>
      </w:r>
      <w:r w:rsidR="00B30800" w:rsidRPr="001E3C8E">
        <w:rPr>
          <w:szCs w:val="24"/>
          <w:lang w:val="fr-FR"/>
        </w:rPr>
        <w:t>dispose</w:t>
      </w:r>
      <w:r w:rsidRPr="001E3C8E">
        <w:rPr>
          <w:szCs w:val="24"/>
          <w:lang w:val="fr-FR"/>
        </w:rPr>
        <w:t>nt-il</w:t>
      </w:r>
      <w:r w:rsidR="00B30800" w:rsidRPr="001E3C8E">
        <w:rPr>
          <w:szCs w:val="24"/>
          <w:lang w:val="fr-FR"/>
        </w:rPr>
        <w:t>s</w:t>
      </w:r>
      <w:r w:rsidRPr="001E3C8E">
        <w:rPr>
          <w:szCs w:val="24"/>
          <w:lang w:val="fr-FR"/>
        </w:rPr>
        <w:t xml:space="preserve"> </w:t>
      </w:r>
      <w:r w:rsidR="00B30800" w:rsidRPr="001E3C8E">
        <w:rPr>
          <w:szCs w:val="24"/>
          <w:lang w:val="fr-FR"/>
        </w:rPr>
        <w:t>de</w:t>
      </w:r>
      <w:r w:rsidRPr="001E3C8E">
        <w:rPr>
          <w:szCs w:val="24"/>
          <w:lang w:val="fr-FR"/>
        </w:rPr>
        <w:t xml:space="preserve"> méthodes judiciaires et/ou extrajudiciaires efficaces d’obtenir réparation ? Si oui, comment ?</w:t>
      </w:r>
    </w:p>
    <w:p w14:paraId="7B34BF43" w14:textId="5C3759F7" w:rsidR="00F364C8" w:rsidRPr="00DC4C92" w:rsidRDefault="00F364C8" w:rsidP="00DD383D">
      <w:pPr>
        <w:pStyle w:val="ListParagraph"/>
        <w:spacing w:before="0"/>
        <w:ind w:left="0"/>
        <w:rPr>
          <w:i/>
          <w:color w:val="FF0000"/>
          <w:szCs w:val="24"/>
          <w:lang w:val="fr-FR"/>
        </w:rPr>
      </w:pPr>
    </w:p>
    <w:sectPr w:rsidR="00F364C8" w:rsidRPr="00DC4C92" w:rsidSect="00617CDB">
      <w:headerReference w:type="even" r:id="rId8"/>
      <w:headerReference w:type="default" r:id="rId9"/>
      <w:footerReference w:type="even" r:id="rId10"/>
      <w:footerReference w:type="default" r:id="rId11"/>
      <w:headerReference w:type="first" r:id="rId12"/>
      <w:pgSz w:w="11907" w:h="16840" w:code="9"/>
      <w:pgMar w:top="1440" w:right="1440" w:bottom="1440" w:left="1440" w:header="1140" w:footer="169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EBBD4" w14:textId="77777777" w:rsidR="00896CCE" w:rsidRDefault="00896CCE">
      <w:r>
        <w:separator/>
      </w:r>
    </w:p>
  </w:endnote>
  <w:endnote w:type="continuationSeparator" w:id="0">
    <w:p w14:paraId="07C8BD45" w14:textId="77777777" w:rsidR="00896CCE" w:rsidRDefault="0089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BBD09" w14:textId="0D606646" w:rsidR="0097482F" w:rsidRPr="003B51DF" w:rsidRDefault="0097482F" w:rsidP="003B51DF">
    <w:pPr>
      <w:pStyle w:val="Footer"/>
    </w:pPr>
    <w:r>
      <w:t>UN Independent Expert foreign debt, financial obligations and human rights.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lang w:val="fr-FR"/>
      </w:rPr>
      <w:id w:val="999624250"/>
      <w:docPartObj>
        <w:docPartGallery w:val="Page Numbers (Bottom of Page)"/>
        <w:docPartUnique/>
      </w:docPartObj>
    </w:sdtPr>
    <w:sdtEndPr>
      <w:rPr>
        <w:noProof/>
      </w:rPr>
    </w:sdtEndPr>
    <w:sdtContent>
      <w:p w14:paraId="40637C3A" w14:textId="77777777" w:rsidR="00FC433F" w:rsidRDefault="00FC433F" w:rsidP="002B3E99">
        <w:pPr>
          <w:pStyle w:val="Footer"/>
          <w:jc w:val="center"/>
          <w:rPr>
            <w:sz w:val="20"/>
            <w:lang w:val="fr-FR"/>
          </w:rPr>
        </w:pPr>
      </w:p>
      <w:p w14:paraId="4B5302CD" w14:textId="43A18D65" w:rsidR="0097482F" w:rsidRDefault="0097482F" w:rsidP="002B3E99">
        <w:pPr>
          <w:pStyle w:val="Footer"/>
          <w:jc w:val="center"/>
          <w:rPr>
            <w:sz w:val="20"/>
            <w:lang w:val="fr-FR"/>
          </w:rPr>
        </w:pPr>
        <w:r w:rsidRPr="0025029F">
          <w:rPr>
            <w:sz w:val="20"/>
            <w:lang w:val="fr-FR"/>
          </w:rPr>
          <w:t>Expert indépendant de l’ONU sur les effets de la dette extérieure sur les droits de l’homme, version préliminaire pour consultation publique, août 2018</w:t>
        </w:r>
      </w:p>
      <w:p w14:paraId="058B13B9" w14:textId="77777777" w:rsidR="00FC433F" w:rsidRPr="0025029F" w:rsidRDefault="00FC433F" w:rsidP="002B3E99">
        <w:pPr>
          <w:pStyle w:val="Footer"/>
          <w:jc w:val="center"/>
          <w:rPr>
            <w:sz w:val="20"/>
            <w:lang w:val="fr-FR"/>
          </w:rPr>
        </w:pPr>
      </w:p>
      <w:p w14:paraId="35EEB5BC" w14:textId="0C9E376E" w:rsidR="0097482F" w:rsidRPr="0025029F" w:rsidRDefault="0097482F" w:rsidP="00FC433F">
        <w:pPr>
          <w:pStyle w:val="Footer"/>
          <w:jc w:val="center"/>
          <w:rPr>
            <w:sz w:val="20"/>
            <w:lang w:val="fr-FR"/>
          </w:rPr>
        </w:pPr>
        <w:r w:rsidRPr="0025029F">
          <w:rPr>
            <w:sz w:val="20"/>
            <w:lang w:val="fr-FR"/>
          </w:rPr>
          <w:fldChar w:fldCharType="begin"/>
        </w:r>
        <w:r w:rsidRPr="0025029F">
          <w:rPr>
            <w:sz w:val="20"/>
            <w:lang w:val="fr-FR"/>
          </w:rPr>
          <w:instrText xml:space="preserve"> PAGE   \* MERGEFORMAT </w:instrText>
        </w:r>
        <w:r w:rsidRPr="0025029F">
          <w:rPr>
            <w:sz w:val="20"/>
            <w:lang w:val="fr-FR"/>
          </w:rPr>
          <w:fldChar w:fldCharType="separate"/>
        </w:r>
        <w:r w:rsidR="00AC1908">
          <w:rPr>
            <w:noProof/>
            <w:sz w:val="20"/>
            <w:lang w:val="fr-FR"/>
          </w:rPr>
          <w:t>28</w:t>
        </w:r>
        <w:r w:rsidRPr="0025029F">
          <w:rPr>
            <w:noProof/>
            <w:sz w:val="20"/>
            <w:lang w:val="fr-FR"/>
          </w:rPr>
          <w:fldChar w:fldCharType="end"/>
        </w:r>
      </w:p>
    </w:sdtContent>
  </w:sdt>
  <w:p w14:paraId="107FB7EC" w14:textId="2BC81587" w:rsidR="0097482F" w:rsidRPr="0025029F" w:rsidRDefault="0097482F">
    <w:pPr>
      <w:pStyle w:val="BodyText"/>
      <w:spacing w:line="14" w:lineRule="auto"/>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6229E" w14:textId="77777777" w:rsidR="00896CCE" w:rsidRDefault="00896CCE">
      <w:r>
        <w:separator/>
      </w:r>
    </w:p>
  </w:footnote>
  <w:footnote w:type="continuationSeparator" w:id="0">
    <w:p w14:paraId="2B68D94D" w14:textId="77777777" w:rsidR="00896CCE" w:rsidRDefault="00896CCE">
      <w:r>
        <w:continuationSeparator/>
      </w:r>
    </w:p>
  </w:footnote>
  <w:footnote w:id="1">
    <w:p w14:paraId="5AAD1F52" w14:textId="28A1B6AB"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En vertu des résolutions 34/03 et 37/11 du Conseil des droits de l’homme.</w:t>
      </w:r>
    </w:p>
  </w:footnote>
  <w:footnote w:id="2">
    <w:p w14:paraId="4BBFF124" w14:textId="597E587F"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CDESC, « Observation Générale 2. Mesures internationales d'assistance technique (art. 22 du Pacte) » (1990) E/1990/23, para 9. </w:t>
      </w:r>
    </w:p>
  </w:footnote>
  <w:footnote w:id="3">
    <w:p w14:paraId="7CA4A583" w14:textId="5F1E9D5C"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Rapporteur spécial sur le logement convenable, rapport au CDH, A/HRC/28/62. </w:t>
      </w:r>
    </w:p>
  </w:footnote>
  <w:footnote w:id="4">
    <w:p w14:paraId="0ADB598D" w14:textId="36763FA2" w:rsidR="0097482F" w:rsidRPr="002308CF" w:rsidRDefault="0097482F" w:rsidP="00FC433F">
      <w:pPr>
        <w:pStyle w:val="FootnoteText"/>
        <w:jc w:val="both"/>
        <w:rPr>
          <w:rFonts w:ascii="Times New Roman" w:hAnsi="Times New Roman" w:cs="Times New Roman"/>
          <w:lang w:val="fr-FR"/>
        </w:rPr>
      </w:pPr>
      <w:r w:rsidRPr="002308CF">
        <w:rPr>
          <w:rFonts w:ascii="Times New Roman" w:hAnsi="Times New Roman" w:cs="Times New Roman"/>
          <w:lang w:val="fr-FR"/>
        </w:rPr>
        <w:footnoteRef/>
      </w:r>
      <w:r w:rsidRPr="002308CF">
        <w:rPr>
          <w:rFonts w:ascii="Times New Roman" w:hAnsi="Times New Roman" w:cs="Times New Roman"/>
          <w:lang w:val="fr-FR"/>
        </w:rPr>
        <w:t xml:space="preserve"> Voir déclaration du Comité sur les droits économiques, sociaux et culturels : La dette publique et les mesures d’austérité sous l’angle du Pacte international relatif aux droits économiques, sociaux et culturels (22 juillet 2016) E/C.12/2016/1, para 8.</w:t>
      </w:r>
    </w:p>
  </w:footnote>
  <w:footnote w:id="5">
    <w:p w14:paraId="72382DAB" w14:textId="7744D4FA" w:rsidR="0097482F" w:rsidRPr="002308CF" w:rsidRDefault="0097482F" w:rsidP="00FC433F">
      <w:pPr>
        <w:pStyle w:val="FootnoteText"/>
        <w:jc w:val="both"/>
        <w:rPr>
          <w:rFonts w:ascii="Times New Roman" w:hAnsi="Times New Roman" w:cs="Times New Roman"/>
          <w:lang w:val="fr-FR"/>
        </w:rPr>
      </w:pPr>
      <w:r w:rsidRPr="002308CF">
        <w:rPr>
          <w:rFonts w:ascii="Times New Roman" w:hAnsi="Times New Roman" w:cs="Times New Roman"/>
          <w:lang w:val="fr-FR"/>
        </w:rPr>
        <w:footnoteRef/>
      </w:r>
      <w:r w:rsidRPr="002308CF">
        <w:rPr>
          <w:rFonts w:ascii="Times New Roman" w:hAnsi="Times New Roman" w:cs="Times New Roman"/>
          <w:lang w:val="fr-FR"/>
        </w:rPr>
        <w:t xml:space="preserve"> Voir les Principes directeurs relatifs aux entreprises et aux droits de l’Homme A/HRC/17/31, adoptés par la résolution du Conseil des droits de l’Homme 17/04; voir également CDESC, Observation générale n° 24 sur les obligations des États en vertu du Pacte international relatif aux droits économiques, sociaux et culturels dans le contexte des activités des entreprises (23 juin 2017) E/C.12/GC/24, para 5 (« En vertu des normes internationales, les entreprises doivent respecter les droits énoncés dans le Pacte, qu’il existe ou non des lois internes ou que celles-ci soient, ou non, intégralement appliquées en pratique. »).</w:t>
      </w:r>
    </w:p>
  </w:footnote>
  <w:footnote w:id="6">
    <w:p w14:paraId="5AF444C2" w14:textId="281B6F27"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Voir Résolution de l’AG A/RES/25/2625 du 24 octobre 1970, « Déclaration relative aux principes du droit international touchant les relations amicales et la coopération entre les États conformément à la Charte des Nations Unies » </w:t>
      </w:r>
    </w:p>
  </w:footnote>
  <w:footnote w:id="7">
    <w:p w14:paraId="1B1ED958" w14:textId="70FA1F43"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Voir le rapport du Rapporteur spécial sur les droits de l’Homme et l’environnement, A/HRC/37/59, section III (para. 11 et suivants) dans lequel il appelle à la « reconnaissance d’un droit humain à un environnement sûr, propre, sain et durable –ou plus simplement, un droit humain à un environnement sain. »</w:t>
      </w:r>
    </w:p>
  </w:footnote>
  <w:footnote w:id="8">
    <w:p w14:paraId="0C307759" w14:textId="22BD7374"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Tous les traités relatifs aux droits humains contiennent une disposition claire concernant l’égalité et la non-discrimination. Voir également CDESC, observation générale n° 20 pour les définitions</w:t>
      </w:r>
    </w:p>
  </w:footnote>
  <w:footnote w:id="9">
    <w:p w14:paraId="063279F8" w14:textId="2C3AB63A"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PIDESC, article 2.1</w:t>
      </w:r>
    </w:p>
  </w:footnote>
  <w:footnote w:id="10">
    <w:p w14:paraId="05DEB9D9" w14:textId="3744D760"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CDESC OG 3, para 10-12</w:t>
      </w:r>
      <w:r w:rsidRPr="002308CF">
        <w:rPr>
          <w:rFonts w:ascii="Times New Roman" w:eastAsia="Times New Roman" w:hAnsi="Times New Roman" w:cs="Times New Roman"/>
          <w:lang w:val="fr-FR"/>
        </w:rPr>
        <w:t xml:space="preserve"> voir aussi par ex.</w:t>
      </w:r>
      <w:r w:rsidRPr="002308CF">
        <w:rPr>
          <w:rFonts w:ascii="Times New Roman" w:hAnsi="Times New Roman" w:cs="Times New Roman"/>
          <w:lang w:val="fr-FR"/>
        </w:rPr>
        <w:t xml:space="preserve"> CDESC OG 24, para 23: « Pour s’acquitter de ces obligations [liées au respect des droits], les États doivent mobiliser des ressources, notamment en appliquant des régimes fiscaux progressifs aux entreprises. »</w:t>
      </w:r>
    </w:p>
  </w:footnote>
  <w:footnote w:id="11">
    <w:p w14:paraId="6E5C6EBC" w14:textId="4772211A" w:rsidR="0097482F" w:rsidRPr="002308CF" w:rsidRDefault="0097482F" w:rsidP="00FC433F">
      <w:pPr>
        <w:jc w:val="both"/>
        <w:rPr>
          <w:sz w:val="20"/>
          <w:szCs w:val="20"/>
          <w:lang w:val="fr-FR"/>
        </w:rPr>
      </w:pPr>
      <w:r w:rsidRPr="002308CF">
        <w:rPr>
          <w:rStyle w:val="FootnoteReference"/>
          <w:sz w:val="20"/>
          <w:szCs w:val="20"/>
        </w:rPr>
        <w:footnoteRef/>
      </w:r>
      <w:r w:rsidRPr="002308CF">
        <w:rPr>
          <w:sz w:val="20"/>
          <w:szCs w:val="20"/>
          <w:lang w:val="fr-FR"/>
        </w:rPr>
        <w:t xml:space="preserve"> Voir E/C.12/2016/1; Comité sur les droits économiques, sociaux et culturels, observation générale n°19 (2007) sur le droit à la sécurité sociale, para. 42; </w:t>
      </w:r>
      <w:r w:rsidRPr="002308CF">
        <w:rPr>
          <w:color w:val="000000" w:themeColor="text1"/>
          <w:sz w:val="20"/>
          <w:szCs w:val="20"/>
          <w:lang w:val="fr-FR"/>
        </w:rPr>
        <w:t>lettre en date du 16 mai 2012 adressée par le président du Comité sur les droits économiques, sociaux et culturels au Pacte international sur les droits économiques sociaux et culturels ; voire une discussion plus détaillée dans le rapport de l’ancien rapporteur spécial sur les droits humain à l’eau potable et à l’assainissement A/HRC/24/44, Section « Principe de non-rétrogression et mesures d’austérité », para. 13-17</w:t>
      </w:r>
    </w:p>
  </w:footnote>
  <w:footnote w:id="12">
    <w:p w14:paraId="0E260C3E" w14:textId="7034B2A4" w:rsidR="00C11A65" w:rsidRPr="002308CF" w:rsidRDefault="00C11A65"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Comité des droits de l’Homme, Version révisée de l’observation générale n°36 sur l’article 6 du Pacte international sur les droits civils et politiques relatif au droit à la vie, 2017, para. 29. Disponible à l’adresse : https://www.ohchr.org/Documents/HRBodies/CCPR/GCArticle6/GCArticle6_EN.pdf </w:t>
      </w:r>
    </w:p>
  </w:footnote>
  <w:footnote w:id="13">
    <w:p w14:paraId="15163A68" w14:textId="4B7583ED" w:rsidR="0097482F" w:rsidRPr="002308CF" w:rsidRDefault="0097482F" w:rsidP="00FC433F">
      <w:pPr>
        <w:pStyle w:val="FootnoteText"/>
        <w:jc w:val="both"/>
        <w:rPr>
          <w:rFonts w:ascii="Times New Roman" w:hAnsi="Times New Roman" w:cs="Times New Roman"/>
          <w:lang w:val="es-EC"/>
        </w:rPr>
      </w:pPr>
      <w:r w:rsidRPr="002308CF">
        <w:rPr>
          <w:rStyle w:val="FootnoteReference"/>
          <w:rFonts w:ascii="Times New Roman" w:hAnsi="Times New Roman" w:cs="Times New Roman"/>
        </w:rPr>
        <w:footnoteRef/>
      </w:r>
      <w:r w:rsidRPr="002308CF">
        <w:rPr>
          <w:rFonts w:ascii="Times New Roman" w:hAnsi="Times New Roman" w:cs="Times New Roman"/>
          <w:lang w:val="es-EC"/>
        </w:rPr>
        <w:t xml:space="preserve"> Ibíd., para 2.</w:t>
      </w:r>
    </w:p>
  </w:footnote>
  <w:footnote w:id="14">
    <w:p w14:paraId="32AD2366" w14:textId="54B91D8A" w:rsidR="0097482F" w:rsidRPr="002308CF" w:rsidRDefault="0097482F" w:rsidP="00FC433F">
      <w:pPr>
        <w:pStyle w:val="FootnoteText"/>
        <w:jc w:val="both"/>
        <w:rPr>
          <w:rFonts w:ascii="Times New Roman" w:hAnsi="Times New Roman" w:cs="Times New Roman"/>
          <w:lang w:val="es-EC"/>
        </w:rPr>
      </w:pPr>
      <w:r w:rsidRPr="002308CF">
        <w:rPr>
          <w:rStyle w:val="FootnoteReference"/>
          <w:rFonts w:ascii="Times New Roman" w:hAnsi="Times New Roman" w:cs="Times New Roman"/>
        </w:rPr>
        <w:footnoteRef/>
      </w:r>
      <w:r w:rsidRPr="002308CF">
        <w:rPr>
          <w:rFonts w:ascii="Times New Roman" w:hAnsi="Times New Roman" w:cs="Times New Roman"/>
          <w:lang w:val="es-EC"/>
        </w:rPr>
        <w:t xml:space="preserve"> Ibíd., para 30.</w:t>
      </w:r>
    </w:p>
  </w:footnote>
  <w:footnote w:id="15">
    <w:p w14:paraId="1465C0A3" w14:textId="149F596E" w:rsidR="0097482F" w:rsidRPr="002308CF" w:rsidRDefault="0097482F" w:rsidP="00FC433F">
      <w:pPr>
        <w:pStyle w:val="FootnoteText"/>
        <w:jc w:val="both"/>
        <w:rPr>
          <w:rFonts w:ascii="Times New Roman" w:hAnsi="Times New Roman" w:cs="Times New Roman"/>
          <w:lang w:val="es-EC"/>
        </w:rPr>
      </w:pPr>
      <w:r w:rsidRPr="002308CF">
        <w:rPr>
          <w:rStyle w:val="FootnoteReference"/>
          <w:rFonts w:ascii="Times New Roman" w:hAnsi="Times New Roman" w:cs="Times New Roman"/>
        </w:rPr>
        <w:footnoteRef/>
      </w:r>
      <w:r w:rsidRPr="002308CF">
        <w:rPr>
          <w:rFonts w:ascii="Times New Roman" w:hAnsi="Times New Roman" w:cs="Times New Roman"/>
          <w:lang w:val="es-EC"/>
        </w:rPr>
        <w:t xml:space="preserve"> Ibíd., para 30.</w:t>
      </w:r>
    </w:p>
  </w:footnote>
  <w:footnote w:id="16">
    <w:p w14:paraId="237A8D97" w14:textId="09E1E791"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Principes directeurs sur l’extrême pauvreté et les droits de l’homme, A/HRC/21/39, para 92.</w:t>
      </w:r>
    </w:p>
  </w:footnote>
  <w:footnote w:id="17">
    <w:p w14:paraId="1AD06127" w14:textId="1AC97074"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PIDESC, OG 20</w:t>
      </w:r>
    </w:p>
  </w:footnote>
  <w:footnote w:id="18">
    <w:p w14:paraId="37973727" w14:textId="47C71067"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Voir prochain rapport, A/73/179, disponible en septembre 2018.</w:t>
      </w:r>
    </w:p>
  </w:footnote>
  <w:footnote w:id="19">
    <w:p w14:paraId="6F947AFF" w14:textId="069BE0D6" w:rsidR="0097482F" w:rsidRPr="002308CF" w:rsidRDefault="0097482F" w:rsidP="00FC433F">
      <w:pPr>
        <w:widowControl/>
        <w:adjustRightInd w:val="0"/>
        <w:jc w:val="both"/>
        <w:rPr>
          <w:rFonts w:eastAsiaTheme="minorEastAsia"/>
          <w:color w:val="3F3F3F"/>
          <w:sz w:val="20"/>
          <w:szCs w:val="20"/>
          <w:shd w:val="clear" w:color="auto" w:fill="F9F9F9"/>
          <w:lang w:val="fr-FR"/>
        </w:rPr>
      </w:pPr>
      <w:r w:rsidRPr="002308CF">
        <w:rPr>
          <w:rStyle w:val="FootnoteReference"/>
          <w:sz w:val="20"/>
          <w:szCs w:val="20"/>
        </w:rPr>
        <w:footnoteRef/>
      </w:r>
      <w:r w:rsidRPr="002308CF">
        <w:rPr>
          <w:sz w:val="20"/>
          <w:szCs w:val="20"/>
          <w:lang w:val="fr-FR"/>
        </w:rPr>
        <w:t xml:space="preserve"> </w:t>
      </w:r>
      <w:r w:rsidRPr="002308CF">
        <w:rPr>
          <w:rFonts w:eastAsiaTheme="minorEastAsia"/>
          <w:color w:val="3F3F3F"/>
          <w:sz w:val="20"/>
          <w:szCs w:val="20"/>
          <w:shd w:val="clear" w:color="auto" w:fill="F9F9F9"/>
          <w:lang w:val="fr-FR"/>
        </w:rPr>
        <w:t>Lettre du 16 mai 2012 adressée par le Président du Comité des droits économiques, sociaux et culturels aux États parties au Pacte international relatif aux droits économiques, sociaux et culturels, 1 (« Les États parties disposent bien entendu d’une certaine marge de manœuvre pour élaborer des politiques économiques, sociales et culturelles qui respectent et protègent les droits du Pacte et en assurent le plein exercice. Dans ce contexte, je tiens à souligner que le Pacte comporte des principes directeurs importants qui peuvent aider les États parties à adopter des politiques appropriées pour faire face au ralentissement économique tout en respectant les droits économiques, sociaux et culturels. »)</w:t>
      </w:r>
    </w:p>
  </w:footnote>
  <w:footnote w:id="20">
    <w:p w14:paraId="03182F83" w14:textId="42E640B2"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w:t>
      </w:r>
      <w:r w:rsidRPr="002308CF">
        <w:rPr>
          <w:rFonts w:ascii="Times New Roman" w:hAnsi="Times New Roman" w:cs="Times New Roman"/>
          <w:color w:val="3F3F3F"/>
          <w:shd w:val="clear" w:color="auto" w:fill="F9F9F9"/>
          <w:lang w:val="fr-FR"/>
        </w:rPr>
        <w:t>Conseil des droits de l’Homme, rapport du Rapporteur spécial sur l’extrême pauvreté et les droits de l’Homme, 22 mai 2014, A/HRC/26/28, paras 1, 11, 25, 55, 60.</w:t>
      </w:r>
    </w:p>
  </w:footnote>
  <w:footnote w:id="21">
    <w:p w14:paraId="69FC3720" w14:textId="48B57927" w:rsidR="0097482F" w:rsidRPr="002308CF" w:rsidRDefault="0097482F" w:rsidP="00FC433F">
      <w:pPr>
        <w:jc w:val="both"/>
        <w:rPr>
          <w:sz w:val="20"/>
          <w:szCs w:val="20"/>
          <w:lang w:val="fr-FR"/>
        </w:rPr>
      </w:pPr>
      <w:r w:rsidRPr="002308CF">
        <w:rPr>
          <w:rStyle w:val="FootnoteReference"/>
          <w:sz w:val="20"/>
          <w:szCs w:val="20"/>
        </w:rPr>
        <w:footnoteRef/>
      </w:r>
      <w:r w:rsidRPr="002308CF">
        <w:rPr>
          <w:sz w:val="20"/>
          <w:szCs w:val="20"/>
          <w:lang w:val="fr-FR"/>
        </w:rPr>
        <w:t xml:space="preserve"> Voir rapport de l’ancien rapporteur spécial sur le droit à l’alimentation, Olivier De Schutter, « </w:t>
      </w:r>
      <w:r w:rsidRPr="002308CF">
        <w:rPr>
          <w:iCs/>
          <w:sz w:val="20"/>
          <w:szCs w:val="20"/>
          <w:lang w:val="fr-FR"/>
        </w:rPr>
        <w:t>Principes directeurs</w:t>
      </w:r>
      <w:r w:rsidRPr="002308CF">
        <w:rPr>
          <w:sz w:val="20"/>
          <w:szCs w:val="20"/>
          <w:lang w:val="fr-FR"/>
        </w:rPr>
        <w:t xml:space="preserve"> applicables aux </w:t>
      </w:r>
      <w:r w:rsidRPr="002308CF">
        <w:rPr>
          <w:iCs/>
          <w:sz w:val="20"/>
          <w:szCs w:val="20"/>
          <w:lang w:val="fr-FR"/>
        </w:rPr>
        <w:t>études</w:t>
      </w:r>
      <w:r w:rsidRPr="002308CF">
        <w:rPr>
          <w:sz w:val="20"/>
          <w:szCs w:val="20"/>
          <w:lang w:val="fr-FR"/>
        </w:rPr>
        <w:t xml:space="preserve"> de l'</w:t>
      </w:r>
      <w:r w:rsidRPr="002308CF">
        <w:rPr>
          <w:iCs/>
          <w:sz w:val="20"/>
          <w:szCs w:val="20"/>
          <w:lang w:val="fr-FR"/>
        </w:rPr>
        <w:t>impact</w:t>
      </w:r>
      <w:r w:rsidRPr="002308CF">
        <w:rPr>
          <w:sz w:val="20"/>
          <w:szCs w:val="20"/>
          <w:lang w:val="fr-FR"/>
        </w:rPr>
        <w:t xml:space="preserve"> des </w:t>
      </w:r>
      <w:r w:rsidRPr="002308CF">
        <w:rPr>
          <w:iCs/>
          <w:sz w:val="20"/>
          <w:szCs w:val="20"/>
          <w:lang w:val="fr-FR"/>
        </w:rPr>
        <w:t>accords</w:t>
      </w:r>
      <w:r w:rsidRPr="002308CF">
        <w:rPr>
          <w:sz w:val="20"/>
          <w:szCs w:val="20"/>
          <w:lang w:val="fr-FR"/>
        </w:rPr>
        <w:t xml:space="preserve"> de </w:t>
      </w:r>
      <w:r w:rsidRPr="002308CF">
        <w:rPr>
          <w:iCs/>
          <w:sz w:val="20"/>
          <w:szCs w:val="20"/>
          <w:lang w:val="fr-FR"/>
        </w:rPr>
        <w:t>commerce</w:t>
      </w:r>
      <w:r w:rsidRPr="002308CF">
        <w:rPr>
          <w:sz w:val="20"/>
          <w:szCs w:val="20"/>
          <w:lang w:val="fr-FR"/>
        </w:rPr>
        <w:t xml:space="preserve"> et d'</w:t>
      </w:r>
      <w:r w:rsidRPr="002308CF">
        <w:rPr>
          <w:iCs/>
          <w:sz w:val="20"/>
          <w:szCs w:val="20"/>
          <w:lang w:val="fr-FR"/>
        </w:rPr>
        <w:t>investissement</w:t>
      </w:r>
      <w:r w:rsidRPr="002308CF">
        <w:rPr>
          <w:sz w:val="20"/>
          <w:szCs w:val="20"/>
          <w:lang w:val="fr-FR"/>
        </w:rPr>
        <w:t xml:space="preserve"> sur les </w:t>
      </w:r>
      <w:r w:rsidRPr="002308CF">
        <w:rPr>
          <w:iCs/>
          <w:sz w:val="20"/>
          <w:szCs w:val="20"/>
          <w:lang w:val="fr-FR"/>
        </w:rPr>
        <w:t>droits</w:t>
      </w:r>
      <w:r w:rsidRPr="002308CF">
        <w:rPr>
          <w:sz w:val="20"/>
          <w:szCs w:val="20"/>
          <w:lang w:val="fr-FR"/>
        </w:rPr>
        <w:t xml:space="preserve"> de l'Homme » A/HRC/19/59/Add.5, 19 déc. 2011.</w:t>
      </w:r>
    </w:p>
    <w:p w14:paraId="0BDBC3C3" w14:textId="77777777" w:rsidR="0097482F" w:rsidRPr="002308CF" w:rsidRDefault="0097482F" w:rsidP="00FC433F">
      <w:pPr>
        <w:pStyle w:val="FootnoteText"/>
        <w:jc w:val="both"/>
        <w:rPr>
          <w:rFonts w:ascii="Times New Roman" w:hAnsi="Times New Roman" w:cs="Times New Roman"/>
          <w:lang w:val="fr-FR"/>
        </w:rPr>
      </w:pPr>
    </w:p>
  </w:footnote>
  <w:footnote w:id="22">
    <w:p w14:paraId="30B86354" w14:textId="0CD2D727" w:rsidR="0097482F" w:rsidRPr="002308CF" w:rsidRDefault="0097482F" w:rsidP="00FC433F">
      <w:pPr>
        <w:pStyle w:val="CommentText"/>
        <w:jc w:val="both"/>
        <w:rPr>
          <w:lang w:val="fr-FR"/>
        </w:rPr>
      </w:pPr>
      <w:r w:rsidRPr="002308CF">
        <w:rPr>
          <w:rStyle w:val="FootnoteReference"/>
        </w:rPr>
        <w:footnoteRef/>
      </w:r>
      <w:r w:rsidRPr="002308CF">
        <w:rPr>
          <w:lang w:val="fr-FR"/>
        </w:rPr>
        <w:t xml:space="preserve"> Rapporteur spécial pour la liberté d’opinion et d’expression, rapport à l’Assemblée Générale, 2013 (A/68/362).</w:t>
      </w:r>
    </w:p>
    <w:p w14:paraId="61D47CBE" w14:textId="5005C737" w:rsidR="0097482F" w:rsidRPr="002308CF" w:rsidRDefault="0097482F" w:rsidP="00FC433F">
      <w:pPr>
        <w:pStyle w:val="FootnoteText"/>
        <w:jc w:val="both"/>
        <w:rPr>
          <w:rFonts w:ascii="Times New Roman" w:hAnsi="Times New Roman" w:cs="Times New Roman"/>
          <w:lang w:val="fr-FR"/>
        </w:rPr>
      </w:pPr>
    </w:p>
  </w:footnote>
  <w:footnote w:id="23">
    <w:p w14:paraId="0E012B15" w14:textId="7EE9AE32" w:rsidR="0097482F" w:rsidRPr="002308CF" w:rsidRDefault="0097482F" w:rsidP="00FC433F">
      <w:pPr>
        <w:pStyle w:val="FootnoteText"/>
        <w:jc w:val="both"/>
        <w:rPr>
          <w:rFonts w:ascii="Times New Roman" w:eastAsia="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w:t>
      </w:r>
      <w:r w:rsidRPr="002308CF">
        <w:rPr>
          <w:rFonts w:ascii="Times New Roman" w:eastAsia="Times New Roman" w:hAnsi="Times New Roman" w:cs="Times New Roman"/>
          <w:lang w:val="fr-FR"/>
        </w:rPr>
        <w:t xml:space="preserve">Des développements pertinents dans le domaine des indicateurs de droits humains existent et devraient être envisagés lors de la mise en œuvre de ce principe, comme OAS, Indicadores de progreso para la medición de derechos contemplados en el Protocolo de San Salvador, 2015, disponible à l’adresse ; </w:t>
      </w:r>
      <w:hyperlink r:id="rId1" w:history="1">
        <w:r w:rsidRPr="002308CF">
          <w:rPr>
            <w:rFonts w:ascii="Times New Roman" w:eastAsia="Times New Roman" w:hAnsi="Times New Roman" w:cs="Times New Roman"/>
            <w:lang w:val="fr-FR"/>
          </w:rPr>
          <w:t>http://www.oas.org/es/sadye/inclusion-social/protocolo-ssv/docs/pssv-indicadores-es.pdf</w:t>
        </w:r>
      </w:hyperlink>
      <w:r w:rsidRPr="002308CF">
        <w:rPr>
          <w:rFonts w:ascii="Times New Roman" w:eastAsia="Times New Roman" w:hAnsi="Times New Roman" w:cs="Times New Roman"/>
          <w:lang w:val="fr-FR"/>
        </w:rPr>
        <w:t>; et OHCHR, Human Rights Indicators: a Guide to measurement and implementation, disponible à l’adresse :  https://www.ohchr.org/EN/Issues/Indicators/Pages/documents.aspx</w:t>
      </w:r>
    </w:p>
  </w:footnote>
  <w:footnote w:id="24">
    <w:p w14:paraId="06B9F9C6" w14:textId="5A1CF7E1" w:rsidR="0097482F" w:rsidRPr="002308CF" w:rsidRDefault="0097482F" w:rsidP="00FC433F">
      <w:pPr>
        <w:pStyle w:val="CommentText"/>
        <w:jc w:val="both"/>
        <w:rPr>
          <w:lang w:val="es-EC"/>
        </w:rPr>
      </w:pPr>
      <w:r w:rsidRPr="002308CF">
        <w:rPr>
          <w:rStyle w:val="FootnoteReference"/>
        </w:rPr>
        <w:footnoteRef/>
      </w:r>
      <w:r w:rsidRPr="002308CF">
        <w:rPr>
          <w:lang w:val="es-EC"/>
        </w:rPr>
        <w:t xml:space="preserve"> </w:t>
      </w:r>
      <w:r w:rsidRPr="002308CF">
        <w:rPr>
          <w:lang w:val="fr-FR"/>
        </w:rPr>
        <w:t>CDESC, Observation générale n° 20, E/C.12/GC/20, juin 2009.</w:t>
      </w:r>
      <w:r w:rsidRPr="002308CF">
        <w:rPr>
          <w:lang w:val="es-EC"/>
        </w:rPr>
        <w:t xml:space="preserve"> </w:t>
      </w:r>
    </w:p>
  </w:footnote>
  <w:footnote w:id="25">
    <w:p w14:paraId="7E6F823A" w14:textId="53B02642" w:rsidR="0097482F" w:rsidRPr="002308CF" w:rsidRDefault="0097482F" w:rsidP="00FC433F">
      <w:pPr>
        <w:pStyle w:val="FootnoteText"/>
        <w:jc w:val="both"/>
        <w:rPr>
          <w:rFonts w:ascii="Times New Roman" w:hAnsi="Times New Roman" w:cs="Times New Roman"/>
          <w:lang w:val="fr-FR"/>
        </w:rPr>
      </w:pPr>
      <w:r w:rsidRPr="002308CF">
        <w:rPr>
          <w:rStyle w:val="FootnoteReference"/>
          <w:rFonts w:ascii="Times New Roman" w:hAnsi="Times New Roman" w:cs="Times New Roman"/>
        </w:rPr>
        <w:footnoteRef/>
      </w:r>
      <w:r w:rsidRPr="002308CF">
        <w:rPr>
          <w:rFonts w:ascii="Times New Roman" w:hAnsi="Times New Roman" w:cs="Times New Roman"/>
          <w:lang w:val="fr-FR"/>
        </w:rPr>
        <w:t xml:space="preserve"> Voir rapport prochain sur les droits humains des femmes et l’austérité, qui sera soumis à l’Assemblée générale.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0F009" w14:textId="443E6677" w:rsidR="0097482F" w:rsidRDefault="00896CCE">
    <w:pPr>
      <w:pStyle w:val="Header"/>
    </w:pPr>
    <w:r>
      <w:rPr>
        <w:noProof/>
      </w:rPr>
      <w:pict w14:anchorId="6EB22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8593" o:spid="_x0000_s2051" type="#_x0000_t136" style="position:absolute;margin-left:0;margin-top:0;width:454.55pt;height:181.8pt;rotation:315;z-index:-25165977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BC13E" w14:textId="5CDF4332" w:rsidR="0097482F" w:rsidRPr="00BE700A" w:rsidRDefault="00896CCE" w:rsidP="00410B44">
    <w:pPr>
      <w:pStyle w:val="Header"/>
      <w:jc w:val="center"/>
      <w:rPr>
        <w:b/>
        <w:lang w:val="fr-FR"/>
      </w:rPr>
    </w:pPr>
    <w:r w:rsidRPr="00FC433F">
      <w:rPr>
        <w:lang w:val="fr-FR"/>
      </w:rPr>
      <w:pict w14:anchorId="79383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54.55pt;height:181.8pt;rotation:315;z-index:-25165568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97482F" w:rsidRPr="00FC433F">
      <w:rPr>
        <w:b/>
        <w:lang w:val="fr-FR"/>
      </w:rPr>
      <w:t>VERSION PRELIMINAIRE POUR CONSULTATION PUBLIQUE – NE PAS CITER</w:t>
    </w:r>
  </w:p>
  <w:p w14:paraId="58615571" w14:textId="77777777" w:rsidR="0097482F" w:rsidRPr="00BE700A" w:rsidRDefault="0097482F" w:rsidP="00410B44">
    <w:pPr>
      <w:pStyle w:val="Header"/>
      <w:jc w:val="center"/>
      <w:rPr>
        <w:b/>
        <w:lang w:val="fr-FR"/>
      </w:rPr>
    </w:pPr>
    <w:r w:rsidRPr="00BE700A">
      <w:rPr>
        <w:b/>
        <w:lang w:val="fr-FR"/>
      </w:rPr>
      <w:t>Traduction informelle (non officielle) basée sur un texte en anglais, non édité</w:t>
    </w:r>
  </w:p>
  <w:p w14:paraId="4A3E94E8" w14:textId="77777777" w:rsidR="0097482F" w:rsidRDefault="0097482F" w:rsidP="00C148E9">
    <w:pPr>
      <w:pStyle w:val="Header"/>
      <w:jc w:val="center"/>
      <w:rPr>
        <w:lang w:val="fr-FR"/>
      </w:rPr>
    </w:pPr>
  </w:p>
  <w:p w14:paraId="68E6889B" w14:textId="77777777" w:rsidR="00FC433F" w:rsidRPr="00FC433F" w:rsidRDefault="00FC433F" w:rsidP="00C148E9">
    <w:pPr>
      <w:pStyle w:val="Header"/>
      <w:jc w:val="cent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B0DCE" w14:textId="6FD7FC32" w:rsidR="0097482F" w:rsidRPr="00BE700A" w:rsidRDefault="00896CCE" w:rsidP="00FB263D">
    <w:pPr>
      <w:pStyle w:val="Header"/>
      <w:jc w:val="center"/>
      <w:rPr>
        <w:b/>
        <w:lang w:val="fr-FR"/>
      </w:rPr>
    </w:pPr>
    <w:r w:rsidRPr="00FC433F">
      <w:rPr>
        <w:lang w:val="fr-FR"/>
      </w:rPr>
      <w:pict w14:anchorId="242BF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8592" o:spid="_x0000_s2049" type="#_x0000_t136" style="position:absolute;left:0;text-align:left;margin-left:0;margin-top:0;width:454.55pt;height:181.8pt;rotation:315;z-index:-25165772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97482F" w:rsidRPr="00FC433F">
      <w:rPr>
        <w:b/>
        <w:lang w:val="fr-FR"/>
      </w:rPr>
      <w:t>VERSION PRELIMINAIRE POUR CONSULTATION PUBLIQUE – NE PAS CITER</w:t>
    </w:r>
  </w:p>
  <w:p w14:paraId="02247A47" w14:textId="2F161213" w:rsidR="0097482F" w:rsidRPr="00BE700A" w:rsidRDefault="0097482F" w:rsidP="00FB263D">
    <w:pPr>
      <w:pStyle w:val="Header"/>
      <w:jc w:val="center"/>
      <w:rPr>
        <w:b/>
        <w:lang w:val="fr-FR"/>
      </w:rPr>
    </w:pPr>
    <w:r w:rsidRPr="00BE700A">
      <w:rPr>
        <w:b/>
        <w:lang w:val="fr-FR"/>
      </w:rPr>
      <w:t>Traduction informelle (non officielle) basée sur un texte en anglais, non édité</w:t>
    </w:r>
  </w:p>
  <w:p w14:paraId="134C56F6" w14:textId="49DDC358" w:rsidR="0097482F" w:rsidRPr="00BE700A" w:rsidRDefault="0097482F">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765"/>
    <w:multiLevelType w:val="hybridMultilevel"/>
    <w:tmpl w:val="BA0274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4798D"/>
    <w:multiLevelType w:val="hybridMultilevel"/>
    <w:tmpl w:val="D7EC048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014F8"/>
    <w:multiLevelType w:val="hybridMultilevel"/>
    <w:tmpl w:val="D7EC048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5E55BE"/>
    <w:multiLevelType w:val="hybridMultilevel"/>
    <w:tmpl w:val="285217E6"/>
    <w:lvl w:ilvl="0" w:tplc="08090019">
      <w:start w:val="1"/>
      <w:numFmt w:val="lowerLetter"/>
      <w:lvlText w:val="%1."/>
      <w:lvlJc w:val="left"/>
      <w:pPr>
        <w:ind w:left="1276" w:hanging="360"/>
      </w:p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4" w15:restartNumberingAfterBreak="0">
    <w:nsid w:val="1FBD50D0"/>
    <w:multiLevelType w:val="hybridMultilevel"/>
    <w:tmpl w:val="F0629A98"/>
    <w:lvl w:ilvl="0" w:tplc="53F69FE4">
      <w:start w:val="1"/>
      <w:numFmt w:val="decimal"/>
      <w:lvlText w:val="%1)"/>
      <w:lvlJc w:val="left"/>
      <w:pPr>
        <w:ind w:left="1494" w:hanging="360"/>
      </w:pPr>
      <w:rPr>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212B2E98"/>
    <w:multiLevelType w:val="hybridMultilevel"/>
    <w:tmpl w:val="67860606"/>
    <w:lvl w:ilvl="0" w:tplc="53F69FE4">
      <w:start w:val="1"/>
      <w:numFmt w:val="decimal"/>
      <w:lvlText w:val="%1)"/>
      <w:lvlJc w:val="left"/>
      <w:pPr>
        <w:ind w:left="1494" w:hanging="360"/>
      </w:pPr>
      <w:rPr>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272F6DF2"/>
    <w:multiLevelType w:val="hybridMultilevel"/>
    <w:tmpl w:val="7DAA5670"/>
    <w:lvl w:ilvl="0" w:tplc="657EFAE4">
      <w:start w:val="1"/>
      <w:numFmt w:val="lowerLetter"/>
      <w:lvlText w:val="(%1)"/>
      <w:lvlJc w:val="left"/>
      <w:pPr>
        <w:ind w:left="4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057AC"/>
    <w:multiLevelType w:val="hybridMultilevel"/>
    <w:tmpl w:val="6C183F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286F59"/>
    <w:multiLevelType w:val="hybridMultilevel"/>
    <w:tmpl w:val="F0629A98"/>
    <w:lvl w:ilvl="0" w:tplc="53F69FE4">
      <w:start w:val="1"/>
      <w:numFmt w:val="decimal"/>
      <w:lvlText w:val="%1)"/>
      <w:lvlJc w:val="left"/>
      <w:pPr>
        <w:ind w:left="1494" w:hanging="360"/>
      </w:pPr>
      <w:rPr>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40DA30AE"/>
    <w:multiLevelType w:val="hybridMultilevel"/>
    <w:tmpl w:val="825C80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31293A"/>
    <w:multiLevelType w:val="hybridMultilevel"/>
    <w:tmpl w:val="8DD22610"/>
    <w:lvl w:ilvl="0" w:tplc="53F69FE4">
      <w:start w:val="1"/>
      <w:numFmt w:val="decimal"/>
      <w:lvlText w:val="%1)"/>
      <w:lvlJc w:val="left"/>
      <w:pPr>
        <w:ind w:left="720" w:hanging="360"/>
      </w:pPr>
      <w:rPr>
        <w:b w:val="0"/>
        <w:i w:val="0"/>
      </w:rPr>
    </w:lvl>
    <w:lvl w:ilvl="1" w:tplc="08090011">
      <w:start w:val="1"/>
      <w:numFmt w:val="decimal"/>
      <w:lvlText w:val="%2)"/>
      <w:lvlJc w:val="left"/>
      <w:pPr>
        <w:ind w:left="1494" w:hanging="360"/>
      </w:pPr>
    </w:lvl>
    <w:lvl w:ilvl="2" w:tplc="08090017">
      <w:start w:val="1"/>
      <w:numFmt w:val="lowerLetter"/>
      <w:lvlText w:val="%3)"/>
      <w:lvlJc w:val="left"/>
      <w:pPr>
        <w:ind w:left="2340" w:hanging="360"/>
      </w:pPr>
      <w:rPr>
        <w:rFonts w:hint="default"/>
      </w:rPr>
    </w:lvl>
    <w:lvl w:ilvl="3" w:tplc="5A26F9FE">
      <w:start w:val="3"/>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A83DE6"/>
    <w:multiLevelType w:val="hybridMultilevel"/>
    <w:tmpl w:val="CC685F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002E88"/>
    <w:multiLevelType w:val="hybridMultilevel"/>
    <w:tmpl w:val="67860606"/>
    <w:lvl w:ilvl="0" w:tplc="53F69FE4">
      <w:start w:val="1"/>
      <w:numFmt w:val="decimal"/>
      <w:lvlText w:val="%1)"/>
      <w:lvlJc w:val="left"/>
      <w:pPr>
        <w:ind w:left="1494" w:hanging="360"/>
      </w:pPr>
      <w:rPr>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4A6E31CD"/>
    <w:multiLevelType w:val="hybridMultilevel"/>
    <w:tmpl w:val="8758E5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A7C41AA"/>
    <w:multiLevelType w:val="hybridMultilevel"/>
    <w:tmpl w:val="25F2085A"/>
    <w:lvl w:ilvl="0" w:tplc="0809000F">
      <w:start w:val="1"/>
      <w:numFmt w:val="decimal"/>
      <w:lvlText w:val="%1."/>
      <w:lvlJc w:val="left"/>
      <w:pPr>
        <w:ind w:left="1069" w:hanging="360"/>
      </w:p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15" w15:restartNumberingAfterBreak="0">
    <w:nsid w:val="52A70C7C"/>
    <w:multiLevelType w:val="hybridMultilevel"/>
    <w:tmpl w:val="38B26950"/>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589F09E9"/>
    <w:multiLevelType w:val="hybridMultilevel"/>
    <w:tmpl w:val="BA0274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9F1993"/>
    <w:multiLevelType w:val="hybridMultilevel"/>
    <w:tmpl w:val="E7181906"/>
    <w:lvl w:ilvl="0" w:tplc="08090011">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5F993DE8"/>
    <w:multiLevelType w:val="hybridMultilevel"/>
    <w:tmpl w:val="67860606"/>
    <w:lvl w:ilvl="0" w:tplc="53F69FE4">
      <w:start w:val="1"/>
      <w:numFmt w:val="decimal"/>
      <w:lvlText w:val="%1)"/>
      <w:lvlJc w:val="left"/>
      <w:pPr>
        <w:ind w:left="1636" w:hanging="360"/>
      </w:pPr>
      <w:rPr>
        <w:b w:val="0"/>
        <w:i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9" w15:restartNumberingAfterBreak="0">
    <w:nsid w:val="616D5A41"/>
    <w:multiLevelType w:val="hybridMultilevel"/>
    <w:tmpl w:val="67860606"/>
    <w:lvl w:ilvl="0" w:tplc="53F69FE4">
      <w:start w:val="1"/>
      <w:numFmt w:val="decimal"/>
      <w:lvlText w:val="%1)"/>
      <w:lvlJc w:val="left"/>
      <w:pPr>
        <w:ind w:left="1080" w:hanging="360"/>
      </w:pPr>
      <w:rPr>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197201E"/>
    <w:multiLevelType w:val="hybridMultilevel"/>
    <w:tmpl w:val="BA0274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2333F6"/>
    <w:multiLevelType w:val="hybridMultilevel"/>
    <w:tmpl w:val="8DD22610"/>
    <w:lvl w:ilvl="0" w:tplc="53F69FE4">
      <w:start w:val="1"/>
      <w:numFmt w:val="decimal"/>
      <w:lvlText w:val="%1)"/>
      <w:lvlJc w:val="left"/>
      <w:pPr>
        <w:ind w:left="720" w:hanging="360"/>
      </w:pPr>
      <w:rPr>
        <w:b w:val="0"/>
        <w:i w:val="0"/>
      </w:rPr>
    </w:lvl>
    <w:lvl w:ilvl="1" w:tplc="08090011">
      <w:start w:val="1"/>
      <w:numFmt w:val="decimal"/>
      <w:lvlText w:val="%2)"/>
      <w:lvlJc w:val="left"/>
      <w:pPr>
        <w:ind w:left="1494" w:hanging="360"/>
      </w:pPr>
    </w:lvl>
    <w:lvl w:ilvl="2" w:tplc="08090017">
      <w:start w:val="1"/>
      <w:numFmt w:val="lowerLetter"/>
      <w:lvlText w:val="%3)"/>
      <w:lvlJc w:val="left"/>
      <w:pPr>
        <w:ind w:left="2340" w:hanging="360"/>
      </w:pPr>
      <w:rPr>
        <w:rFonts w:hint="default"/>
      </w:rPr>
    </w:lvl>
    <w:lvl w:ilvl="3" w:tplc="5A26F9FE">
      <w:start w:val="3"/>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7F54F6"/>
    <w:multiLevelType w:val="hybridMultilevel"/>
    <w:tmpl w:val="306C00A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9A2A3A"/>
    <w:multiLevelType w:val="hybridMultilevel"/>
    <w:tmpl w:val="4DE23AEC"/>
    <w:lvl w:ilvl="0" w:tplc="08090019">
      <w:start w:val="1"/>
      <w:numFmt w:val="lowerLetter"/>
      <w:lvlText w:val="%1."/>
      <w:lvlJc w:val="left"/>
      <w:pPr>
        <w:ind w:left="1398" w:hanging="360"/>
      </w:pPr>
    </w:lvl>
    <w:lvl w:ilvl="1" w:tplc="08090019" w:tentative="1">
      <w:start w:val="1"/>
      <w:numFmt w:val="lowerLetter"/>
      <w:lvlText w:val="%2."/>
      <w:lvlJc w:val="left"/>
      <w:pPr>
        <w:ind w:left="2118" w:hanging="360"/>
      </w:p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24" w15:restartNumberingAfterBreak="0">
    <w:nsid w:val="743205B2"/>
    <w:multiLevelType w:val="hybridMultilevel"/>
    <w:tmpl w:val="398AB32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726709"/>
    <w:multiLevelType w:val="hybridMultilevel"/>
    <w:tmpl w:val="E932C708"/>
    <w:lvl w:ilvl="0" w:tplc="F2D6C39C">
      <w:start w:val="1"/>
      <w:numFmt w:val="decimal"/>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6" w15:restartNumberingAfterBreak="0">
    <w:nsid w:val="7CC31F32"/>
    <w:multiLevelType w:val="hybridMultilevel"/>
    <w:tmpl w:val="199E01D6"/>
    <w:lvl w:ilvl="0" w:tplc="08090017">
      <w:start w:val="1"/>
      <w:numFmt w:val="lowerLetter"/>
      <w:lvlText w:val="%1)"/>
      <w:lvlJc w:val="left"/>
      <w:pPr>
        <w:ind w:left="1996" w:hanging="360"/>
      </w:pPr>
      <w:rPr>
        <w:rFont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abstractNumId w:val="17"/>
  </w:num>
  <w:num w:numId="2">
    <w:abstractNumId w:val="5"/>
  </w:num>
  <w:num w:numId="3">
    <w:abstractNumId w:val="8"/>
  </w:num>
  <w:num w:numId="4">
    <w:abstractNumId w:val="12"/>
  </w:num>
  <w:num w:numId="5">
    <w:abstractNumId w:val="3"/>
  </w:num>
  <w:num w:numId="6">
    <w:abstractNumId w:val="23"/>
  </w:num>
  <w:num w:numId="7">
    <w:abstractNumId w:val="26"/>
  </w:num>
  <w:num w:numId="8">
    <w:abstractNumId w:val="14"/>
  </w:num>
  <w:num w:numId="9">
    <w:abstractNumId w:val="10"/>
  </w:num>
  <w:num w:numId="10">
    <w:abstractNumId w:val="6"/>
  </w:num>
  <w:num w:numId="11">
    <w:abstractNumId w:val="1"/>
  </w:num>
  <w:num w:numId="12">
    <w:abstractNumId w:val="21"/>
  </w:num>
  <w:num w:numId="13">
    <w:abstractNumId w:val="13"/>
  </w:num>
  <w:num w:numId="14">
    <w:abstractNumId w:val="24"/>
  </w:num>
  <w:num w:numId="15">
    <w:abstractNumId w:val="7"/>
  </w:num>
  <w:num w:numId="16">
    <w:abstractNumId w:val="20"/>
  </w:num>
  <w:num w:numId="17">
    <w:abstractNumId w:val="15"/>
  </w:num>
  <w:num w:numId="18">
    <w:abstractNumId w:val="9"/>
  </w:num>
  <w:num w:numId="19">
    <w:abstractNumId w:val="11"/>
  </w:num>
  <w:num w:numId="20">
    <w:abstractNumId w:val="22"/>
  </w:num>
  <w:num w:numId="21">
    <w:abstractNumId w:val="0"/>
  </w:num>
  <w:num w:numId="22">
    <w:abstractNumId w:val="2"/>
  </w:num>
  <w:num w:numId="23">
    <w:abstractNumId w:val="18"/>
  </w:num>
  <w:num w:numId="24">
    <w:abstractNumId w:val="16"/>
  </w:num>
  <w:num w:numId="25">
    <w:abstractNumId w:val="4"/>
  </w:num>
  <w:num w:numId="26">
    <w:abstractNumId w:val="19"/>
  </w:num>
  <w:num w:numId="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6B6"/>
    <w:rsid w:val="00006D47"/>
    <w:rsid w:val="0001008B"/>
    <w:rsid w:val="0001129B"/>
    <w:rsid w:val="00011950"/>
    <w:rsid w:val="000131AD"/>
    <w:rsid w:val="00014359"/>
    <w:rsid w:val="00014B94"/>
    <w:rsid w:val="00015DB2"/>
    <w:rsid w:val="000175D5"/>
    <w:rsid w:val="000207FB"/>
    <w:rsid w:val="000216EE"/>
    <w:rsid w:val="00022048"/>
    <w:rsid w:val="00022D46"/>
    <w:rsid w:val="00024BE8"/>
    <w:rsid w:val="00027BE4"/>
    <w:rsid w:val="0003475F"/>
    <w:rsid w:val="00034FAC"/>
    <w:rsid w:val="00043756"/>
    <w:rsid w:val="0004493E"/>
    <w:rsid w:val="000455B0"/>
    <w:rsid w:val="00047380"/>
    <w:rsid w:val="00047FC0"/>
    <w:rsid w:val="00052A8C"/>
    <w:rsid w:val="000541E7"/>
    <w:rsid w:val="00055430"/>
    <w:rsid w:val="0005799D"/>
    <w:rsid w:val="00057BA6"/>
    <w:rsid w:val="00065635"/>
    <w:rsid w:val="000656D6"/>
    <w:rsid w:val="00065F30"/>
    <w:rsid w:val="00076A1F"/>
    <w:rsid w:val="00077BAD"/>
    <w:rsid w:val="0008027A"/>
    <w:rsid w:val="000813B0"/>
    <w:rsid w:val="00082D17"/>
    <w:rsid w:val="00084A6A"/>
    <w:rsid w:val="00086BE7"/>
    <w:rsid w:val="000874A2"/>
    <w:rsid w:val="00087E29"/>
    <w:rsid w:val="000908D5"/>
    <w:rsid w:val="00094C8E"/>
    <w:rsid w:val="000A0684"/>
    <w:rsid w:val="000A2714"/>
    <w:rsid w:val="000B004D"/>
    <w:rsid w:val="000B0363"/>
    <w:rsid w:val="000B095F"/>
    <w:rsid w:val="000B4FFD"/>
    <w:rsid w:val="000B5CD6"/>
    <w:rsid w:val="000B6F8F"/>
    <w:rsid w:val="000C7BA3"/>
    <w:rsid w:val="000D3036"/>
    <w:rsid w:val="000D3295"/>
    <w:rsid w:val="000D3590"/>
    <w:rsid w:val="000D5805"/>
    <w:rsid w:val="000D5A35"/>
    <w:rsid w:val="000D7B34"/>
    <w:rsid w:val="000E0D67"/>
    <w:rsid w:val="000E4350"/>
    <w:rsid w:val="000E6CE3"/>
    <w:rsid w:val="000E73B7"/>
    <w:rsid w:val="000E74A9"/>
    <w:rsid w:val="000F24FC"/>
    <w:rsid w:val="000F377F"/>
    <w:rsid w:val="00101720"/>
    <w:rsid w:val="00103A79"/>
    <w:rsid w:val="00103BBF"/>
    <w:rsid w:val="00103BEE"/>
    <w:rsid w:val="001045BD"/>
    <w:rsid w:val="00104AF0"/>
    <w:rsid w:val="00104CEF"/>
    <w:rsid w:val="001059E8"/>
    <w:rsid w:val="0011050E"/>
    <w:rsid w:val="00117272"/>
    <w:rsid w:val="0011739E"/>
    <w:rsid w:val="00120EAB"/>
    <w:rsid w:val="0012166C"/>
    <w:rsid w:val="00121CD2"/>
    <w:rsid w:val="0012334D"/>
    <w:rsid w:val="00124B23"/>
    <w:rsid w:val="0013144A"/>
    <w:rsid w:val="001359D8"/>
    <w:rsid w:val="00136350"/>
    <w:rsid w:val="00136CA6"/>
    <w:rsid w:val="001372BA"/>
    <w:rsid w:val="001377C0"/>
    <w:rsid w:val="001415F7"/>
    <w:rsid w:val="00143E41"/>
    <w:rsid w:val="001451F7"/>
    <w:rsid w:val="0015068A"/>
    <w:rsid w:val="0015444C"/>
    <w:rsid w:val="00155B63"/>
    <w:rsid w:val="00155D3C"/>
    <w:rsid w:val="00155E83"/>
    <w:rsid w:val="001602FA"/>
    <w:rsid w:val="001605B3"/>
    <w:rsid w:val="001622A5"/>
    <w:rsid w:val="00162CF0"/>
    <w:rsid w:val="00164C08"/>
    <w:rsid w:val="00164C80"/>
    <w:rsid w:val="00167759"/>
    <w:rsid w:val="0016793D"/>
    <w:rsid w:val="00173162"/>
    <w:rsid w:val="00173D5A"/>
    <w:rsid w:val="0017407F"/>
    <w:rsid w:val="0017621B"/>
    <w:rsid w:val="00181BC6"/>
    <w:rsid w:val="00181FB1"/>
    <w:rsid w:val="0018281B"/>
    <w:rsid w:val="00186A5A"/>
    <w:rsid w:val="00187E53"/>
    <w:rsid w:val="0019049B"/>
    <w:rsid w:val="0019316C"/>
    <w:rsid w:val="00194E27"/>
    <w:rsid w:val="00195BCB"/>
    <w:rsid w:val="00195C57"/>
    <w:rsid w:val="00195D48"/>
    <w:rsid w:val="001962DF"/>
    <w:rsid w:val="0019689B"/>
    <w:rsid w:val="0019731B"/>
    <w:rsid w:val="0019731F"/>
    <w:rsid w:val="001A07A0"/>
    <w:rsid w:val="001A0E85"/>
    <w:rsid w:val="001A163B"/>
    <w:rsid w:val="001A1CDB"/>
    <w:rsid w:val="001A2CCB"/>
    <w:rsid w:val="001A5259"/>
    <w:rsid w:val="001B300E"/>
    <w:rsid w:val="001B329E"/>
    <w:rsid w:val="001B39A6"/>
    <w:rsid w:val="001B3A6B"/>
    <w:rsid w:val="001B58C6"/>
    <w:rsid w:val="001B5F9A"/>
    <w:rsid w:val="001B6860"/>
    <w:rsid w:val="001C002D"/>
    <w:rsid w:val="001C0263"/>
    <w:rsid w:val="001C216E"/>
    <w:rsid w:val="001C3CB5"/>
    <w:rsid w:val="001C6FAF"/>
    <w:rsid w:val="001C72D8"/>
    <w:rsid w:val="001C72F8"/>
    <w:rsid w:val="001D03FB"/>
    <w:rsid w:val="001D091F"/>
    <w:rsid w:val="001D2217"/>
    <w:rsid w:val="001D3DC4"/>
    <w:rsid w:val="001D41DE"/>
    <w:rsid w:val="001D4DF6"/>
    <w:rsid w:val="001D7611"/>
    <w:rsid w:val="001E026A"/>
    <w:rsid w:val="001E0ECD"/>
    <w:rsid w:val="001E397F"/>
    <w:rsid w:val="001E3C8E"/>
    <w:rsid w:val="001E6049"/>
    <w:rsid w:val="001E71F6"/>
    <w:rsid w:val="001F0673"/>
    <w:rsid w:val="001F5180"/>
    <w:rsid w:val="001F5C60"/>
    <w:rsid w:val="001F5ED8"/>
    <w:rsid w:val="00200AB3"/>
    <w:rsid w:val="00204C03"/>
    <w:rsid w:val="002057C1"/>
    <w:rsid w:val="00206139"/>
    <w:rsid w:val="00207575"/>
    <w:rsid w:val="00211D52"/>
    <w:rsid w:val="00213AEF"/>
    <w:rsid w:val="00214169"/>
    <w:rsid w:val="00220AE9"/>
    <w:rsid w:val="00221204"/>
    <w:rsid w:val="00221C9E"/>
    <w:rsid w:val="0022354E"/>
    <w:rsid w:val="002250DB"/>
    <w:rsid w:val="0022600E"/>
    <w:rsid w:val="00226065"/>
    <w:rsid w:val="00226ED6"/>
    <w:rsid w:val="002274B6"/>
    <w:rsid w:val="00230521"/>
    <w:rsid w:val="002308CF"/>
    <w:rsid w:val="0023196A"/>
    <w:rsid w:val="00231E4C"/>
    <w:rsid w:val="00232A7B"/>
    <w:rsid w:val="00232FFF"/>
    <w:rsid w:val="00234B33"/>
    <w:rsid w:val="00234E9D"/>
    <w:rsid w:val="00237AB1"/>
    <w:rsid w:val="002403CD"/>
    <w:rsid w:val="0024117D"/>
    <w:rsid w:val="00242CAC"/>
    <w:rsid w:val="0025029F"/>
    <w:rsid w:val="00250CB8"/>
    <w:rsid w:val="00251627"/>
    <w:rsid w:val="00253AFD"/>
    <w:rsid w:val="00253DF3"/>
    <w:rsid w:val="002544B1"/>
    <w:rsid w:val="00254603"/>
    <w:rsid w:val="0025618D"/>
    <w:rsid w:val="00260537"/>
    <w:rsid w:val="002618BD"/>
    <w:rsid w:val="002625BA"/>
    <w:rsid w:val="002640E7"/>
    <w:rsid w:val="00265FF3"/>
    <w:rsid w:val="00267143"/>
    <w:rsid w:val="00277C78"/>
    <w:rsid w:val="00280778"/>
    <w:rsid w:val="00286D08"/>
    <w:rsid w:val="00291A68"/>
    <w:rsid w:val="002958D1"/>
    <w:rsid w:val="00297F6A"/>
    <w:rsid w:val="002A1AC1"/>
    <w:rsid w:val="002A22F9"/>
    <w:rsid w:val="002A3401"/>
    <w:rsid w:val="002A4429"/>
    <w:rsid w:val="002A4FD9"/>
    <w:rsid w:val="002A550C"/>
    <w:rsid w:val="002A6303"/>
    <w:rsid w:val="002A767A"/>
    <w:rsid w:val="002A7F76"/>
    <w:rsid w:val="002B0D69"/>
    <w:rsid w:val="002B2033"/>
    <w:rsid w:val="002B2289"/>
    <w:rsid w:val="002B2DE7"/>
    <w:rsid w:val="002B3E99"/>
    <w:rsid w:val="002B4426"/>
    <w:rsid w:val="002B44F7"/>
    <w:rsid w:val="002B4AB0"/>
    <w:rsid w:val="002B56E3"/>
    <w:rsid w:val="002B5ADE"/>
    <w:rsid w:val="002C04AF"/>
    <w:rsid w:val="002C2475"/>
    <w:rsid w:val="002C4373"/>
    <w:rsid w:val="002C562B"/>
    <w:rsid w:val="002C727D"/>
    <w:rsid w:val="002D120B"/>
    <w:rsid w:val="002D13F4"/>
    <w:rsid w:val="002D33CB"/>
    <w:rsid w:val="002D3704"/>
    <w:rsid w:val="002D4BBB"/>
    <w:rsid w:val="002D4DA6"/>
    <w:rsid w:val="002E06FE"/>
    <w:rsid w:val="002E540D"/>
    <w:rsid w:val="002E6FED"/>
    <w:rsid w:val="002E7EA5"/>
    <w:rsid w:val="002F0124"/>
    <w:rsid w:val="002F2830"/>
    <w:rsid w:val="002F4014"/>
    <w:rsid w:val="002F48D0"/>
    <w:rsid w:val="002F74CB"/>
    <w:rsid w:val="00303284"/>
    <w:rsid w:val="00303D88"/>
    <w:rsid w:val="0031524E"/>
    <w:rsid w:val="00315F54"/>
    <w:rsid w:val="00317481"/>
    <w:rsid w:val="003210B9"/>
    <w:rsid w:val="00321C00"/>
    <w:rsid w:val="00322201"/>
    <w:rsid w:val="00327B8A"/>
    <w:rsid w:val="00327E79"/>
    <w:rsid w:val="003304DD"/>
    <w:rsid w:val="003373E2"/>
    <w:rsid w:val="003379DA"/>
    <w:rsid w:val="003416D4"/>
    <w:rsid w:val="00344AF2"/>
    <w:rsid w:val="00346BC8"/>
    <w:rsid w:val="00347206"/>
    <w:rsid w:val="00350DD6"/>
    <w:rsid w:val="00351C79"/>
    <w:rsid w:val="003521B5"/>
    <w:rsid w:val="00352725"/>
    <w:rsid w:val="00352CAA"/>
    <w:rsid w:val="00353F2F"/>
    <w:rsid w:val="00356000"/>
    <w:rsid w:val="00357730"/>
    <w:rsid w:val="00357C0C"/>
    <w:rsid w:val="00361CA3"/>
    <w:rsid w:val="00365435"/>
    <w:rsid w:val="003667EE"/>
    <w:rsid w:val="00366D64"/>
    <w:rsid w:val="00367029"/>
    <w:rsid w:val="003678CF"/>
    <w:rsid w:val="00370C8B"/>
    <w:rsid w:val="00370CA1"/>
    <w:rsid w:val="00370D14"/>
    <w:rsid w:val="00376B08"/>
    <w:rsid w:val="00376F5B"/>
    <w:rsid w:val="0037732F"/>
    <w:rsid w:val="00377C63"/>
    <w:rsid w:val="0038276B"/>
    <w:rsid w:val="00382843"/>
    <w:rsid w:val="00383E56"/>
    <w:rsid w:val="0038527A"/>
    <w:rsid w:val="0038607E"/>
    <w:rsid w:val="0038625E"/>
    <w:rsid w:val="00386E8D"/>
    <w:rsid w:val="00393508"/>
    <w:rsid w:val="00394EF4"/>
    <w:rsid w:val="00395EC0"/>
    <w:rsid w:val="003A02DD"/>
    <w:rsid w:val="003A170B"/>
    <w:rsid w:val="003A1CC1"/>
    <w:rsid w:val="003A3FDA"/>
    <w:rsid w:val="003A5B00"/>
    <w:rsid w:val="003B1333"/>
    <w:rsid w:val="003B2959"/>
    <w:rsid w:val="003B3F43"/>
    <w:rsid w:val="003B51DF"/>
    <w:rsid w:val="003B6B72"/>
    <w:rsid w:val="003B7AA4"/>
    <w:rsid w:val="003C1910"/>
    <w:rsid w:val="003C1EE4"/>
    <w:rsid w:val="003C37BF"/>
    <w:rsid w:val="003C4FC7"/>
    <w:rsid w:val="003C6E45"/>
    <w:rsid w:val="003D0795"/>
    <w:rsid w:val="003D36A2"/>
    <w:rsid w:val="003D56E2"/>
    <w:rsid w:val="003E0323"/>
    <w:rsid w:val="003E28A4"/>
    <w:rsid w:val="003E3330"/>
    <w:rsid w:val="003E782F"/>
    <w:rsid w:val="003E7C51"/>
    <w:rsid w:val="003F2118"/>
    <w:rsid w:val="003F2C3B"/>
    <w:rsid w:val="003F2DEB"/>
    <w:rsid w:val="00401919"/>
    <w:rsid w:val="004035BC"/>
    <w:rsid w:val="004054D7"/>
    <w:rsid w:val="0041020E"/>
    <w:rsid w:val="00410873"/>
    <w:rsid w:val="00410B44"/>
    <w:rsid w:val="00410FD8"/>
    <w:rsid w:val="0041221B"/>
    <w:rsid w:val="00412D1E"/>
    <w:rsid w:val="004139D9"/>
    <w:rsid w:val="004157B1"/>
    <w:rsid w:val="00420FFA"/>
    <w:rsid w:val="004211B5"/>
    <w:rsid w:val="0042147B"/>
    <w:rsid w:val="00423D2B"/>
    <w:rsid w:val="004243A2"/>
    <w:rsid w:val="00426788"/>
    <w:rsid w:val="00426E69"/>
    <w:rsid w:val="004307F6"/>
    <w:rsid w:val="00430901"/>
    <w:rsid w:val="00430986"/>
    <w:rsid w:val="0043465B"/>
    <w:rsid w:val="00434AD8"/>
    <w:rsid w:val="00437126"/>
    <w:rsid w:val="004378A5"/>
    <w:rsid w:val="00437C90"/>
    <w:rsid w:val="00441046"/>
    <w:rsid w:val="00441229"/>
    <w:rsid w:val="0044166F"/>
    <w:rsid w:val="004417C4"/>
    <w:rsid w:val="0044225E"/>
    <w:rsid w:val="00442961"/>
    <w:rsid w:val="00443865"/>
    <w:rsid w:val="0044387A"/>
    <w:rsid w:val="00445780"/>
    <w:rsid w:val="00445B74"/>
    <w:rsid w:val="00453235"/>
    <w:rsid w:val="004566F1"/>
    <w:rsid w:val="00460B5A"/>
    <w:rsid w:val="00461170"/>
    <w:rsid w:val="00461AE2"/>
    <w:rsid w:val="00462444"/>
    <w:rsid w:val="00462DB0"/>
    <w:rsid w:val="00463065"/>
    <w:rsid w:val="00463668"/>
    <w:rsid w:val="00464E3F"/>
    <w:rsid w:val="0047111A"/>
    <w:rsid w:val="0047117A"/>
    <w:rsid w:val="00473983"/>
    <w:rsid w:val="00474CA6"/>
    <w:rsid w:val="00475381"/>
    <w:rsid w:val="004771C1"/>
    <w:rsid w:val="004816D6"/>
    <w:rsid w:val="00483FEF"/>
    <w:rsid w:val="00486A57"/>
    <w:rsid w:val="00486B5C"/>
    <w:rsid w:val="00490BE7"/>
    <w:rsid w:val="00492494"/>
    <w:rsid w:val="00493BFF"/>
    <w:rsid w:val="004946A9"/>
    <w:rsid w:val="00494969"/>
    <w:rsid w:val="0049564F"/>
    <w:rsid w:val="004A02FF"/>
    <w:rsid w:val="004A06AD"/>
    <w:rsid w:val="004A20FF"/>
    <w:rsid w:val="004A3F82"/>
    <w:rsid w:val="004A410F"/>
    <w:rsid w:val="004A6BDF"/>
    <w:rsid w:val="004A7B0A"/>
    <w:rsid w:val="004B1C33"/>
    <w:rsid w:val="004B677C"/>
    <w:rsid w:val="004B72A2"/>
    <w:rsid w:val="004C046B"/>
    <w:rsid w:val="004C0EE6"/>
    <w:rsid w:val="004C2820"/>
    <w:rsid w:val="004C30A7"/>
    <w:rsid w:val="004C48B2"/>
    <w:rsid w:val="004C5BBB"/>
    <w:rsid w:val="004C692A"/>
    <w:rsid w:val="004C7E3A"/>
    <w:rsid w:val="004C7E43"/>
    <w:rsid w:val="004C7EA1"/>
    <w:rsid w:val="004D1598"/>
    <w:rsid w:val="004D242B"/>
    <w:rsid w:val="004D280E"/>
    <w:rsid w:val="004D5449"/>
    <w:rsid w:val="004D5A5B"/>
    <w:rsid w:val="004D6CA7"/>
    <w:rsid w:val="004E28A1"/>
    <w:rsid w:val="004E29E3"/>
    <w:rsid w:val="004E37E2"/>
    <w:rsid w:val="004E37FD"/>
    <w:rsid w:val="004E4D55"/>
    <w:rsid w:val="004E4F65"/>
    <w:rsid w:val="004E7A93"/>
    <w:rsid w:val="004F0F8E"/>
    <w:rsid w:val="004F1FF8"/>
    <w:rsid w:val="004F511D"/>
    <w:rsid w:val="004F514D"/>
    <w:rsid w:val="00500155"/>
    <w:rsid w:val="005006C8"/>
    <w:rsid w:val="00501782"/>
    <w:rsid w:val="005024C7"/>
    <w:rsid w:val="005065BC"/>
    <w:rsid w:val="0050744A"/>
    <w:rsid w:val="00507913"/>
    <w:rsid w:val="0051137C"/>
    <w:rsid w:val="005113D5"/>
    <w:rsid w:val="00511FB8"/>
    <w:rsid w:val="00512479"/>
    <w:rsid w:val="00512F5E"/>
    <w:rsid w:val="005136F7"/>
    <w:rsid w:val="005146A0"/>
    <w:rsid w:val="00514881"/>
    <w:rsid w:val="0051616F"/>
    <w:rsid w:val="00521854"/>
    <w:rsid w:val="00526678"/>
    <w:rsid w:val="0052743F"/>
    <w:rsid w:val="00530CDD"/>
    <w:rsid w:val="005313ED"/>
    <w:rsid w:val="00531C8D"/>
    <w:rsid w:val="00534B31"/>
    <w:rsid w:val="00535594"/>
    <w:rsid w:val="00536200"/>
    <w:rsid w:val="005378E9"/>
    <w:rsid w:val="00540253"/>
    <w:rsid w:val="00544167"/>
    <w:rsid w:val="00547797"/>
    <w:rsid w:val="00547FE8"/>
    <w:rsid w:val="00550205"/>
    <w:rsid w:val="0055126A"/>
    <w:rsid w:val="00551F2D"/>
    <w:rsid w:val="0055288A"/>
    <w:rsid w:val="005534BA"/>
    <w:rsid w:val="005543C3"/>
    <w:rsid w:val="0055539D"/>
    <w:rsid w:val="00556185"/>
    <w:rsid w:val="005567E6"/>
    <w:rsid w:val="00557C9F"/>
    <w:rsid w:val="005604DE"/>
    <w:rsid w:val="00560E82"/>
    <w:rsid w:val="005640B3"/>
    <w:rsid w:val="00567232"/>
    <w:rsid w:val="005679CB"/>
    <w:rsid w:val="00567FA4"/>
    <w:rsid w:val="005704C4"/>
    <w:rsid w:val="00571376"/>
    <w:rsid w:val="00572A56"/>
    <w:rsid w:val="00573EB3"/>
    <w:rsid w:val="005763B9"/>
    <w:rsid w:val="005777FC"/>
    <w:rsid w:val="00577ED4"/>
    <w:rsid w:val="005818C2"/>
    <w:rsid w:val="00581EBF"/>
    <w:rsid w:val="00581FA5"/>
    <w:rsid w:val="0058206D"/>
    <w:rsid w:val="00585082"/>
    <w:rsid w:val="0058516F"/>
    <w:rsid w:val="0058642C"/>
    <w:rsid w:val="00587E9B"/>
    <w:rsid w:val="00587FDD"/>
    <w:rsid w:val="00590F2B"/>
    <w:rsid w:val="00591163"/>
    <w:rsid w:val="00592188"/>
    <w:rsid w:val="0059278A"/>
    <w:rsid w:val="00594CCD"/>
    <w:rsid w:val="00595D72"/>
    <w:rsid w:val="0059709F"/>
    <w:rsid w:val="005A0115"/>
    <w:rsid w:val="005A0B8B"/>
    <w:rsid w:val="005A1E48"/>
    <w:rsid w:val="005A4810"/>
    <w:rsid w:val="005A6590"/>
    <w:rsid w:val="005A6603"/>
    <w:rsid w:val="005A7A46"/>
    <w:rsid w:val="005B13E4"/>
    <w:rsid w:val="005B283F"/>
    <w:rsid w:val="005B2F6B"/>
    <w:rsid w:val="005B30A3"/>
    <w:rsid w:val="005B4F7C"/>
    <w:rsid w:val="005B5485"/>
    <w:rsid w:val="005B5E79"/>
    <w:rsid w:val="005C244C"/>
    <w:rsid w:val="005C2AD4"/>
    <w:rsid w:val="005C2C7A"/>
    <w:rsid w:val="005D380F"/>
    <w:rsid w:val="005D40E5"/>
    <w:rsid w:val="005D5189"/>
    <w:rsid w:val="005D7E95"/>
    <w:rsid w:val="005E06BA"/>
    <w:rsid w:val="005E193F"/>
    <w:rsid w:val="005E30CB"/>
    <w:rsid w:val="005E3B22"/>
    <w:rsid w:val="005F05CE"/>
    <w:rsid w:val="005F0A7E"/>
    <w:rsid w:val="005F1D19"/>
    <w:rsid w:val="005F4FB5"/>
    <w:rsid w:val="005F6A75"/>
    <w:rsid w:val="005F7F4F"/>
    <w:rsid w:val="00600B5F"/>
    <w:rsid w:val="00606FE1"/>
    <w:rsid w:val="00607538"/>
    <w:rsid w:val="00607D0C"/>
    <w:rsid w:val="00611171"/>
    <w:rsid w:val="006114AA"/>
    <w:rsid w:val="00617CDB"/>
    <w:rsid w:val="00620FA6"/>
    <w:rsid w:val="0062120A"/>
    <w:rsid w:val="006226FE"/>
    <w:rsid w:val="00622E57"/>
    <w:rsid w:val="00625730"/>
    <w:rsid w:val="006318FB"/>
    <w:rsid w:val="006333E5"/>
    <w:rsid w:val="00633E61"/>
    <w:rsid w:val="00634896"/>
    <w:rsid w:val="00635DC7"/>
    <w:rsid w:val="006363FA"/>
    <w:rsid w:val="00637536"/>
    <w:rsid w:val="00640368"/>
    <w:rsid w:val="00642C09"/>
    <w:rsid w:val="006431AB"/>
    <w:rsid w:val="006438F4"/>
    <w:rsid w:val="00643E77"/>
    <w:rsid w:val="006449F6"/>
    <w:rsid w:val="00644FCD"/>
    <w:rsid w:val="00645324"/>
    <w:rsid w:val="006476D3"/>
    <w:rsid w:val="0065072F"/>
    <w:rsid w:val="00654CCE"/>
    <w:rsid w:val="00654EE7"/>
    <w:rsid w:val="00657035"/>
    <w:rsid w:val="00662F70"/>
    <w:rsid w:val="00664EDE"/>
    <w:rsid w:val="0066645D"/>
    <w:rsid w:val="0067120D"/>
    <w:rsid w:val="006738D2"/>
    <w:rsid w:val="006744DC"/>
    <w:rsid w:val="00684A76"/>
    <w:rsid w:val="006866A3"/>
    <w:rsid w:val="00687244"/>
    <w:rsid w:val="00687346"/>
    <w:rsid w:val="00687798"/>
    <w:rsid w:val="00687917"/>
    <w:rsid w:val="00690618"/>
    <w:rsid w:val="00692E01"/>
    <w:rsid w:val="00693AAC"/>
    <w:rsid w:val="00693CF5"/>
    <w:rsid w:val="0069461E"/>
    <w:rsid w:val="006B0015"/>
    <w:rsid w:val="006B052A"/>
    <w:rsid w:val="006B2C90"/>
    <w:rsid w:val="006B3D0F"/>
    <w:rsid w:val="006B6A08"/>
    <w:rsid w:val="006B7CF8"/>
    <w:rsid w:val="006C1544"/>
    <w:rsid w:val="006C5608"/>
    <w:rsid w:val="006C6612"/>
    <w:rsid w:val="006D0CEB"/>
    <w:rsid w:val="006D1105"/>
    <w:rsid w:val="006D195F"/>
    <w:rsid w:val="006D280A"/>
    <w:rsid w:val="006D2A29"/>
    <w:rsid w:val="006D2CAE"/>
    <w:rsid w:val="006D2E5C"/>
    <w:rsid w:val="006D38C0"/>
    <w:rsid w:val="006D4A57"/>
    <w:rsid w:val="006D58FE"/>
    <w:rsid w:val="006D69FC"/>
    <w:rsid w:val="006D76C3"/>
    <w:rsid w:val="006E04B3"/>
    <w:rsid w:val="006E63E2"/>
    <w:rsid w:val="006E6C73"/>
    <w:rsid w:val="006F30CF"/>
    <w:rsid w:val="006F3C6D"/>
    <w:rsid w:val="006F51B0"/>
    <w:rsid w:val="00700717"/>
    <w:rsid w:val="00701605"/>
    <w:rsid w:val="0070544A"/>
    <w:rsid w:val="00705C06"/>
    <w:rsid w:val="00711F56"/>
    <w:rsid w:val="00712346"/>
    <w:rsid w:val="007142E8"/>
    <w:rsid w:val="00714BCE"/>
    <w:rsid w:val="007161DC"/>
    <w:rsid w:val="007161F6"/>
    <w:rsid w:val="007168FE"/>
    <w:rsid w:val="00716F4D"/>
    <w:rsid w:val="00716F5F"/>
    <w:rsid w:val="00717707"/>
    <w:rsid w:val="00722C0D"/>
    <w:rsid w:val="0072465D"/>
    <w:rsid w:val="0072796C"/>
    <w:rsid w:val="0072799F"/>
    <w:rsid w:val="00727B62"/>
    <w:rsid w:val="007310E6"/>
    <w:rsid w:val="00733263"/>
    <w:rsid w:val="0073463B"/>
    <w:rsid w:val="00735091"/>
    <w:rsid w:val="007356E7"/>
    <w:rsid w:val="0073588B"/>
    <w:rsid w:val="00736BD6"/>
    <w:rsid w:val="00737D00"/>
    <w:rsid w:val="00740812"/>
    <w:rsid w:val="00742845"/>
    <w:rsid w:val="007462E5"/>
    <w:rsid w:val="00747B8D"/>
    <w:rsid w:val="0075071B"/>
    <w:rsid w:val="00753CAD"/>
    <w:rsid w:val="007554AF"/>
    <w:rsid w:val="00756FEA"/>
    <w:rsid w:val="00761F1F"/>
    <w:rsid w:val="007634A0"/>
    <w:rsid w:val="00770C63"/>
    <w:rsid w:val="007715C7"/>
    <w:rsid w:val="00773115"/>
    <w:rsid w:val="00777411"/>
    <w:rsid w:val="0077748A"/>
    <w:rsid w:val="00783581"/>
    <w:rsid w:val="00783AAA"/>
    <w:rsid w:val="00784CD7"/>
    <w:rsid w:val="00793550"/>
    <w:rsid w:val="00794597"/>
    <w:rsid w:val="0079641C"/>
    <w:rsid w:val="00797D2F"/>
    <w:rsid w:val="007A0A7D"/>
    <w:rsid w:val="007A0F49"/>
    <w:rsid w:val="007A2DC9"/>
    <w:rsid w:val="007A57C2"/>
    <w:rsid w:val="007A7631"/>
    <w:rsid w:val="007B0227"/>
    <w:rsid w:val="007B0BF8"/>
    <w:rsid w:val="007B0F14"/>
    <w:rsid w:val="007B0FAE"/>
    <w:rsid w:val="007B1AB8"/>
    <w:rsid w:val="007B3064"/>
    <w:rsid w:val="007B383F"/>
    <w:rsid w:val="007B3945"/>
    <w:rsid w:val="007B41E1"/>
    <w:rsid w:val="007B448A"/>
    <w:rsid w:val="007B47C8"/>
    <w:rsid w:val="007B51F0"/>
    <w:rsid w:val="007B6CB6"/>
    <w:rsid w:val="007B736D"/>
    <w:rsid w:val="007B7599"/>
    <w:rsid w:val="007C0338"/>
    <w:rsid w:val="007C173E"/>
    <w:rsid w:val="007C3C02"/>
    <w:rsid w:val="007C7280"/>
    <w:rsid w:val="007C781D"/>
    <w:rsid w:val="007D2C76"/>
    <w:rsid w:val="007D4720"/>
    <w:rsid w:val="007D6ADD"/>
    <w:rsid w:val="007D70D5"/>
    <w:rsid w:val="007E0AD6"/>
    <w:rsid w:val="007E1BEA"/>
    <w:rsid w:val="007E26E2"/>
    <w:rsid w:val="007E478E"/>
    <w:rsid w:val="007E7E18"/>
    <w:rsid w:val="007F093F"/>
    <w:rsid w:val="007F0BC8"/>
    <w:rsid w:val="007F0D8E"/>
    <w:rsid w:val="007F4B26"/>
    <w:rsid w:val="007F5673"/>
    <w:rsid w:val="00803049"/>
    <w:rsid w:val="008030D6"/>
    <w:rsid w:val="008044DE"/>
    <w:rsid w:val="00806C7A"/>
    <w:rsid w:val="00807D46"/>
    <w:rsid w:val="00811B50"/>
    <w:rsid w:val="008123C9"/>
    <w:rsid w:val="00812F17"/>
    <w:rsid w:val="008138FE"/>
    <w:rsid w:val="00813CC4"/>
    <w:rsid w:val="008165CB"/>
    <w:rsid w:val="00816833"/>
    <w:rsid w:val="00816A8B"/>
    <w:rsid w:val="008201DA"/>
    <w:rsid w:val="0082094B"/>
    <w:rsid w:val="008228C9"/>
    <w:rsid w:val="00823D2E"/>
    <w:rsid w:val="00825D4C"/>
    <w:rsid w:val="00826B58"/>
    <w:rsid w:val="00831584"/>
    <w:rsid w:val="008359DB"/>
    <w:rsid w:val="00841D18"/>
    <w:rsid w:val="00841F53"/>
    <w:rsid w:val="008427B0"/>
    <w:rsid w:val="00842B87"/>
    <w:rsid w:val="00844976"/>
    <w:rsid w:val="00844D5B"/>
    <w:rsid w:val="00845913"/>
    <w:rsid w:val="00846376"/>
    <w:rsid w:val="00846B86"/>
    <w:rsid w:val="00846EDB"/>
    <w:rsid w:val="00853EFF"/>
    <w:rsid w:val="00860AD1"/>
    <w:rsid w:val="008619D2"/>
    <w:rsid w:val="00862304"/>
    <w:rsid w:val="00863510"/>
    <w:rsid w:val="00865543"/>
    <w:rsid w:val="0086567B"/>
    <w:rsid w:val="00866EB4"/>
    <w:rsid w:val="008729EC"/>
    <w:rsid w:val="00872EF5"/>
    <w:rsid w:val="008730A7"/>
    <w:rsid w:val="0087347D"/>
    <w:rsid w:val="00875519"/>
    <w:rsid w:val="00875BB2"/>
    <w:rsid w:val="00875CDA"/>
    <w:rsid w:val="00882532"/>
    <w:rsid w:val="008826F4"/>
    <w:rsid w:val="008844E0"/>
    <w:rsid w:val="00884B86"/>
    <w:rsid w:val="00885056"/>
    <w:rsid w:val="008858D8"/>
    <w:rsid w:val="00885F2D"/>
    <w:rsid w:val="0088603D"/>
    <w:rsid w:val="0088616C"/>
    <w:rsid w:val="008869AC"/>
    <w:rsid w:val="00886CAD"/>
    <w:rsid w:val="008904A2"/>
    <w:rsid w:val="00891F2A"/>
    <w:rsid w:val="00892367"/>
    <w:rsid w:val="008949CE"/>
    <w:rsid w:val="00896CCE"/>
    <w:rsid w:val="008A0802"/>
    <w:rsid w:val="008A2147"/>
    <w:rsid w:val="008A2D3E"/>
    <w:rsid w:val="008A39EB"/>
    <w:rsid w:val="008A49F2"/>
    <w:rsid w:val="008A5F5E"/>
    <w:rsid w:val="008B168A"/>
    <w:rsid w:val="008B1848"/>
    <w:rsid w:val="008B23DF"/>
    <w:rsid w:val="008B2509"/>
    <w:rsid w:val="008B7550"/>
    <w:rsid w:val="008C0637"/>
    <w:rsid w:val="008C0CAB"/>
    <w:rsid w:val="008C1B2D"/>
    <w:rsid w:val="008C1F97"/>
    <w:rsid w:val="008C2A36"/>
    <w:rsid w:val="008C2E2A"/>
    <w:rsid w:val="008C3BDE"/>
    <w:rsid w:val="008C66E4"/>
    <w:rsid w:val="008D0FBC"/>
    <w:rsid w:val="008D4650"/>
    <w:rsid w:val="008D715E"/>
    <w:rsid w:val="008E15E5"/>
    <w:rsid w:val="008E397F"/>
    <w:rsid w:val="008E45A3"/>
    <w:rsid w:val="008E6A31"/>
    <w:rsid w:val="008F05FC"/>
    <w:rsid w:val="008F4369"/>
    <w:rsid w:val="008F4DB4"/>
    <w:rsid w:val="008F6535"/>
    <w:rsid w:val="0090126F"/>
    <w:rsid w:val="00901D01"/>
    <w:rsid w:val="00901DFF"/>
    <w:rsid w:val="009041B1"/>
    <w:rsid w:val="00905D89"/>
    <w:rsid w:val="00915AAD"/>
    <w:rsid w:val="00915D94"/>
    <w:rsid w:val="009160D3"/>
    <w:rsid w:val="0092070F"/>
    <w:rsid w:val="00920AA1"/>
    <w:rsid w:val="00921414"/>
    <w:rsid w:val="00921807"/>
    <w:rsid w:val="00923089"/>
    <w:rsid w:val="009237DA"/>
    <w:rsid w:val="00924AE0"/>
    <w:rsid w:val="00924DF9"/>
    <w:rsid w:val="00924EE2"/>
    <w:rsid w:val="00926AEA"/>
    <w:rsid w:val="00932F25"/>
    <w:rsid w:val="00933088"/>
    <w:rsid w:val="009373FB"/>
    <w:rsid w:val="0094073E"/>
    <w:rsid w:val="009409A3"/>
    <w:rsid w:val="0094240B"/>
    <w:rsid w:val="009447B8"/>
    <w:rsid w:val="00944881"/>
    <w:rsid w:val="00944A84"/>
    <w:rsid w:val="00951302"/>
    <w:rsid w:val="00954B86"/>
    <w:rsid w:val="00956564"/>
    <w:rsid w:val="00957CD2"/>
    <w:rsid w:val="00960BFE"/>
    <w:rsid w:val="0096140F"/>
    <w:rsid w:val="009615CA"/>
    <w:rsid w:val="00961FD5"/>
    <w:rsid w:val="009637CB"/>
    <w:rsid w:val="00963CE8"/>
    <w:rsid w:val="00964142"/>
    <w:rsid w:val="00967D6E"/>
    <w:rsid w:val="009706E9"/>
    <w:rsid w:val="00971B55"/>
    <w:rsid w:val="0097482F"/>
    <w:rsid w:val="00976DD1"/>
    <w:rsid w:val="00977204"/>
    <w:rsid w:val="009778FD"/>
    <w:rsid w:val="00980206"/>
    <w:rsid w:val="00981BF3"/>
    <w:rsid w:val="00981C24"/>
    <w:rsid w:val="00982D05"/>
    <w:rsid w:val="00982D2F"/>
    <w:rsid w:val="00987517"/>
    <w:rsid w:val="0099025A"/>
    <w:rsid w:val="009903EF"/>
    <w:rsid w:val="009910B0"/>
    <w:rsid w:val="00991AA7"/>
    <w:rsid w:val="00993B0C"/>
    <w:rsid w:val="009976F8"/>
    <w:rsid w:val="00997E37"/>
    <w:rsid w:val="009A4AE4"/>
    <w:rsid w:val="009A4E79"/>
    <w:rsid w:val="009A6024"/>
    <w:rsid w:val="009B00DE"/>
    <w:rsid w:val="009B01B2"/>
    <w:rsid w:val="009B0EF6"/>
    <w:rsid w:val="009B1C20"/>
    <w:rsid w:val="009B7927"/>
    <w:rsid w:val="009C3347"/>
    <w:rsid w:val="009C6F90"/>
    <w:rsid w:val="009D1755"/>
    <w:rsid w:val="009D261B"/>
    <w:rsid w:val="009D2A38"/>
    <w:rsid w:val="009D3DD7"/>
    <w:rsid w:val="009D5594"/>
    <w:rsid w:val="009D7E9E"/>
    <w:rsid w:val="009E1498"/>
    <w:rsid w:val="009E1CF4"/>
    <w:rsid w:val="009E2119"/>
    <w:rsid w:val="009E332A"/>
    <w:rsid w:val="009E517E"/>
    <w:rsid w:val="009E5963"/>
    <w:rsid w:val="009E703A"/>
    <w:rsid w:val="009E778F"/>
    <w:rsid w:val="009F189A"/>
    <w:rsid w:val="009F33F0"/>
    <w:rsid w:val="009F40C9"/>
    <w:rsid w:val="009F64D2"/>
    <w:rsid w:val="009F69F1"/>
    <w:rsid w:val="009F6CF1"/>
    <w:rsid w:val="009F7C96"/>
    <w:rsid w:val="00A007C9"/>
    <w:rsid w:val="00A0179E"/>
    <w:rsid w:val="00A064E9"/>
    <w:rsid w:val="00A078C1"/>
    <w:rsid w:val="00A07DB9"/>
    <w:rsid w:val="00A10C7E"/>
    <w:rsid w:val="00A16153"/>
    <w:rsid w:val="00A17D2A"/>
    <w:rsid w:val="00A22014"/>
    <w:rsid w:val="00A23C8C"/>
    <w:rsid w:val="00A26108"/>
    <w:rsid w:val="00A2788E"/>
    <w:rsid w:val="00A31474"/>
    <w:rsid w:val="00A31616"/>
    <w:rsid w:val="00A340D7"/>
    <w:rsid w:val="00A35565"/>
    <w:rsid w:val="00A35B11"/>
    <w:rsid w:val="00A37994"/>
    <w:rsid w:val="00A44777"/>
    <w:rsid w:val="00A472EF"/>
    <w:rsid w:val="00A510A9"/>
    <w:rsid w:val="00A533B5"/>
    <w:rsid w:val="00A5712B"/>
    <w:rsid w:val="00A57656"/>
    <w:rsid w:val="00A57937"/>
    <w:rsid w:val="00A57F91"/>
    <w:rsid w:val="00A60333"/>
    <w:rsid w:val="00A62524"/>
    <w:rsid w:val="00A64BF8"/>
    <w:rsid w:val="00A67C23"/>
    <w:rsid w:val="00A716C2"/>
    <w:rsid w:val="00A72123"/>
    <w:rsid w:val="00A721DA"/>
    <w:rsid w:val="00A724FA"/>
    <w:rsid w:val="00A727A6"/>
    <w:rsid w:val="00A73370"/>
    <w:rsid w:val="00A74C8A"/>
    <w:rsid w:val="00A75A59"/>
    <w:rsid w:val="00A76832"/>
    <w:rsid w:val="00A80EC1"/>
    <w:rsid w:val="00A87D90"/>
    <w:rsid w:val="00A87FBA"/>
    <w:rsid w:val="00A901D3"/>
    <w:rsid w:val="00A904F5"/>
    <w:rsid w:val="00A919B0"/>
    <w:rsid w:val="00A93EA2"/>
    <w:rsid w:val="00A954F3"/>
    <w:rsid w:val="00AA1EE8"/>
    <w:rsid w:val="00AA21D6"/>
    <w:rsid w:val="00AA2930"/>
    <w:rsid w:val="00AA2E6D"/>
    <w:rsid w:val="00AA600B"/>
    <w:rsid w:val="00AA6A9D"/>
    <w:rsid w:val="00AA701F"/>
    <w:rsid w:val="00AB3BCC"/>
    <w:rsid w:val="00AB3F87"/>
    <w:rsid w:val="00AB4CEA"/>
    <w:rsid w:val="00AB59F1"/>
    <w:rsid w:val="00AB76F2"/>
    <w:rsid w:val="00AC0A30"/>
    <w:rsid w:val="00AC169B"/>
    <w:rsid w:val="00AC1908"/>
    <w:rsid w:val="00AC21FE"/>
    <w:rsid w:val="00AC2A7E"/>
    <w:rsid w:val="00AC3462"/>
    <w:rsid w:val="00AC4F5C"/>
    <w:rsid w:val="00AC521E"/>
    <w:rsid w:val="00AC551C"/>
    <w:rsid w:val="00AC61A8"/>
    <w:rsid w:val="00AC624E"/>
    <w:rsid w:val="00AC7F0D"/>
    <w:rsid w:val="00AD040A"/>
    <w:rsid w:val="00AD10AD"/>
    <w:rsid w:val="00AD2D14"/>
    <w:rsid w:val="00AD39B6"/>
    <w:rsid w:val="00AD3BDF"/>
    <w:rsid w:val="00AE2479"/>
    <w:rsid w:val="00AE29AB"/>
    <w:rsid w:val="00AE3D73"/>
    <w:rsid w:val="00AE4FB3"/>
    <w:rsid w:val="00AF0F83"/>
    <w:rsid w:val="00AF25E3"/>
    <w:rsid w:val="00B01B08"/>
    <w:rsid w:val="00B02925"/>
    <w:rsid w:val="00B02F6E"/>
    <w:rsid w:val="00B034F7"/>
    <w:rsid w:val="00B036F7"/>
    <w:rsid w:val="00B05585"/>
    <w:rsid w:val="00B15EC9"/>
    <w:rsid w:val="00B169B8"/>
    <w:rsid w:val="00B23450"/>
    <w:rsid w:val="00B235CB"/>
    <w:rsid w:val="00B24058"/>
    <w:rsid w:val="00B2497E"/>
    <w:rsid w:val="00B24AF3"/>
    <w:rsid w:val="00B25390"/>
    <w:rsid w:val="00B253E2"/>
    <w:rsid w:val="00B253F9"/>
    <w:rsid w:val="00B27CDF"/>
    <w:rsid w:val="00B30033"/>
    <w:rsid w:val="00B30800"/>
    <w:rsid w:val="00B336BB"/>
    <w:rsid w:val="00B346D8"/>
    <w:rsid w:val="00B362F6"/>
    <w:rsid w:val="00B36948"/>
    <w:rsid w:val="00B44693"/>
    <w:rsid w:val="00B455E5"/>
    <w:rsid w:val="00B45FCC"/>
    <w:rsid w:val="00B465D0"/>
    <w:rsid w:val="00B4733F"/>
    <w:rsid w:val="00B50320"/>
    <w:rsid w:val="00B51429"/>
    <w:rsid w:val="00B52615"/>
    <w:rsid w:val="00B55C36"/>
    <w:rsid w:val="00B56710"/>
    <w:rsid w:val="00B572F6"/>
    <w:rsid w:val="00B57455"/>
    <w:rsid w:val="00B602F7"/>
    <w:rsid w:val="00B6250C"/>
    <w:rsid w:val="00B62EBF"/>
    <w:rsid w:val="00B63505"/>
    <w:rsid w:val="00B637E9"/>
    <w:rsid w:val="00B6510F"/>
    <w:rsid w:val="00B657E4"/>
    <w:rsid w:val="00B663BF"/>
    <w:rsid w:val="00B70623"/>
    <w:rsid w:val="00B70A19"/>
    <w:rsid w:val="00B71179"/>
    <w:rsid w:val="00B7323C"/>
    <w:rsid w:val="00B75E39"/>
    <w:rsid w:val="00B76C04"/>
    <w:rsid w:val="00B77F3B"/>
    <w:rsid w:val="00B82684"/>
    <w:rsid w:val="00B84E25"/>
    <w:rsid w:val="00B875D6"/>
    <w:rsid w:val="00B904A0"/>
    <w:rsid w:val="00B9113D"/>
    <w:rsid w:val="00B911B2"/>
    <w:rsid w:val="00B92211"/>
    <w:rsid w:val="00B922CF"/>
    <w:rsid w:val="00B926C9"/>
    <w:rsid w:val="00B92872"/>
    <w:rsid w:val="00B93CCF"/>
    <w:rsid w:val="00B93F80"/>
    <w:rsid w:val="00B96372"/>
    <w:rsid w:val="00BA0367"/>
    <w:rsid w:val="00BA0C6C"/>
    <w:rsid w:val="00BA5848"/>
    <w:rsid w:val="00BA61F3"/>
    <w:rsid w:val="00BB06FC"/>
    <w:rsid w:val="00BB2895"/>
    <w:rsid w:val="00BB2E55"/>
    <w:rsid w:val="00BB3C86"/>
    <w:rsid w:val="00BB486F"/>
    <w:rsid w:val="00BB522F"/>
    <w:rsid w:val="00BB5286"/>
    <w:rsid w:val="00BB78D7"/>
    <w:rsid w:val="00BC0DDE"/>
    <w:rsid w:val="00BC1E6B"/>
    <w:rsid w:val="00BC2714"/>
    <w:rsid w:val="00BC34AF"/>
    <w:rsid w:val="00BC3C37"/>
    <w:rsid w:val="00BC512B"/>
    <w:rsid w:val="00BD0956"/>
    <w:rsid w:val="00BD0FC8"/>
    <w:rsid w:val="00BD19B7"/>
    <w:rsid w:val="00BD2C4F"/>
    <w:rsid w:val="00BD6508"/>
    <w:rsid w:val="00BE0A37"/>
    <w:rsid w:val="00BE1C89"/>
    <w:rsid w:val="00BE612D"/>
    <w:rsid w:val="00BE700A"/>
    <w:rsid w:val="00BF5829"/>
    <w:rsid w:val="00BF7BAA"/>
    <w:rsid w:val="00C00FAF"/>
    <w:rsid w:val="00C03070"/>
    <w:rsid w:val="00C053A1"/>
    <w:rsid w:val="00C07802"/>
    <w:rsid w:val="00C106E1"/>
    <w:rsid w:val="00C11A65"/>
    <w:rsid w:val="00C12952"/>
    <w:rsid w:val="00C148E9"/>
    <w:rsid w:val="00C1541D"/>
    <w:rsid w:val="00C17375"/>
    <w:rsid w:val="00C206BE"/>
    <w:rsid w:val="00C2321C"/>
    <w:rsid w:val="00C24E23"/>
    <w:rsid w:val="00C265A9"/>
    <w:rsid w:val="00C265AC"/>
    <w:rsid w:val="00C310E8"/>
    <w:rsid w:val="00C31425"/>
    <w:rsid w:val="00C31A1B"/>
    <w:rsid w:val="00C32C3B"/>
    <w:rsid w:val="00C330CA"/>
    <w:rsid w:val="00C35C41"/>
    <w:rsid w:val="00C36345"/>
    <w:rsid w:val="00C426F2"/>
    <w:rsid w:val="00C42B01"/>
    <w:rsid w:val="00C43C87"/>
    <w:rsid w:val="00C4403A"/>
    <w:rsid w:val="00C46077"/>
    <w:rsid w:val="00C510E0"/>
    <w:rsid w:val="00C51B0B"/>
    <w:rsid w:val="00C52ADE"/>
    <w:rsid w:val="00C54BD0"/>
    <w:rsid w:val="00C55F3E"/>
    <w:rsid w:val="00C60294"/>
    <w:rsid w:val="00C6070D"/>
    <w:rsid w:val="00C60BF3"/>
    <w:rsid w:val="00C63A5E"/>
    <w:rsid w:val="00C6414E"/>
    <w:rsid w:val="00C7204E"/>
    <w:rsid w:val="00C72849"/>
    <w:rsid w:val="00C75526"/>
    <w:rsid w:val="00C7626F"/>
    <w:rsid w:val="00C80A03"/>
    <w:rsid w:val="00C81A4E"/>
    <w:rsid w:val="00C84D04"/>
    <w:rsid w:val="00C85ECD"/>
    <w:rsid w:val="00C8656E"/>
    <w:rsid w:val="00C868D6"/>
    <w:rsid w:val="00C869A9"/>
    <w:rsid w:val="00C86E64"/>
    <w:rsid w:val="00C92584"/>
    <w:rsid w:val="00C92E3E"/>
    <w:rsid w:val="00C93823"/>
    <w:rsid w:val="00C94A04"/>
    <w:rsid w:val="00C954C3"/>
    <w:rsid w:val="00C96F62"/>
    <w:rsid w:val="00CA0D9E"/>
    <w:rsid w:val="00CA246E"/>
    <w:rsid w:val="00CA31C0"/>
    <w:rsid w:val="00CA37D0"/>
    <w:rsid w:val="00CA4CA7"/>
    <w:rsid w:val="00CA5B22"/>
    <w:rsid w:val="00CB3B63"/>
    <w:rsid w:val="00CB51A3"/>
    <w:rsid w:val="00CB5ACD"/>
    <w:rsid w:val="00CC09E7"/>
    <w:rsid w:val="00CC2727"/>
    <w:rsid w:val="00CC4644"/>
    <w:rsid w:val="00CC6738"/>
    <w:rsid w:val="00CC67BD"/>
    <w:rsid w:val="00CD15F9"/>
    <w:rsid w:val="00CD1EFE"/>
    <w:rsid w:val="00CD2E6F"/>
    <w:rsid w:val="00CD30FC"/>
    <w:rsid w:val="00CD6391"/>
    <w:rsid w:val="00CE1A49"/>
    <w:rsid w:val="00CE3DD6"/>
    <w:rsid w:val="00CE4FC8"/>
    <w:rsid w:val="00CE7A3D"/>
    <w:rsid w:val="00CE7D30"/>
    <w:rsid w:val="00CF1C03"/>
    <w:rsid w:val="00CF3619"/>
    <w:rsid w:val="00CF72AD"/>
    <w:rsid w:val="00D0212D"/>
    <w:rsid w:val="00D02846"/>
    <w:rsid w:val="00D0311F"/>
    <w:rsid w:val="00D03A56"/>
    <w:rsid w:val="00D055F4"/>
    <w:rsid w:val="00D05AD1"/>
    <w:rsid w:val="00D06011"/>
    <w:rsid w:val="00D06025"/>
    <w:rsid w:val="00D06E38"/>
    <w:rsid w:val="00D07F3F"/>
    <w:rsid w:val="00D107DF"/>
    <w:rsid w:val="00D11CE7"/>
    <w:rsid w:val="00D1341F"/>
    <w:rsid w:val="00D15E43"/>
    <w:rsid w:val="00D17A70"/>
    <w:rsid w:val="00D2036E"/>
    <w:rsid w:val="00D212F0"/>
    <w:rsid w:val="00D31BC0"/>
    <w:rsid w:val="00D337BC"/>
    <w:rsid w:val="00D33FDE"/>
    <w:rsid w:val="00D342E4"/>
    <w:rsid w:val="00D372BE"/>
    <w:rsid w:val="00D37712"/>
    <w:rsid w:val="00D40D2F"/>
    <w:rsid w:val="00D42359"/>
    <w:rsid w:val="00D466FE"/>
    <w:rsid w:val="00D475C9"/>
    <w:rsid w:val="00D52AEE"/>
    <w:rsid w:val="00D54214"/>
    <w:rsid w:val="00D56319"/>
    <w:rsid w:val="00D57582"/>
    <w:rsid w:val="00D601E4"/>
    <w:rsid w:val="00D639BE"/>
    <w:rsid w:val="00D64C84"/>
    <w:rsid w:val="00D64F37"/>
    <w:rsid w:val="00D660D5"/>
    <w:rsid w:val="00D66835"/>
    <w:rsid w:val="00D66AEC"/>
    <w:rsid w:val="00D71459"/>
    <w:rsid w:val="00D73CA8"/>
    <w:rsid w:val="00D741B8"/>
    <w:rsid w:val="00D8014C"/>
    <w:rsid w:val="00D8071F"/>
    <w:rsid w:val="00D836B6"/>
    <w:rsid w:val="00D85DE0"/>
    <w:rsid w:val="00D912AD"/>
    <w:rsid w:val="00D9562D"/>
    <w:rsid w:val="00D95BE0"/>
    <w:rsid w:val="00D96708"/>
    <w:rsid w:val="00D96D4F"/>
    <w:rsid w:val="00DA0F9A"/>
    <w:rsid w:val="00DA2535"/>
    <w:rsid w:val="00DA6267"/>
    <w:rsid w:val="00DB0D1F"/>
    <w:rsid w:val="00DB3815"/>
    <w:rsid w:val="00DB4DF8"/>
    <w:rsid w:val="00DB54B8"/>
    <w:rsid w:val="00DB5EEB"/>
    <w:rsid w:val="00DB669D"/>
    <w:rsid w:val="00DB747D"/>
    <w:rsid w:val="00DC1978"/>
    <w:rsid w:val="00DC349D"/>
    <w:rsid w:val="00DC49EF"/>
    <w:rsid w:val="00DC4C92"/>
    <w:rsid w:val="00DC6360"/>
    <w:rsid w:val="00DD3320"/>
    <w:rsid w:val="00DD383D"/>
    <w:rsid w:val="00DD6BEA"/>
    <w:rsid w:val="00DE0FD5"/>
    <w:rsid w:val="00DE16A2"/>
    <w:rsid w:val="00DE189B"/>
    <w:rsid w:val="00DE1AF6"/>
    <w:rsid w:val="00DE2581"/>
    <w:rsid w:val="00DE36EB"/>
    <w:rsid w:val="00DE3D48"/>
    <w:rsid w:val="00DE43DD"/>
    <w:rsid w:val="00DE773C"/>
    <w:rsid w:val="00DF13D4"/>
    <w:rsid w:val="00DF325B"/>
    <w:rsid w:val="00DF379E"/>
    <w:rsid w:val="00DF5A1D"/>
    <w:rsid w:val="00DF5F7C"/>
    <w:rsid w:val="00DF689C"/>
    <w:rsid w:val="00DF7C04"/>
    <w:rsid w:val="00DF7EA2"/>
    <w:rsid w:val="00E0115A"/>
    <w:rsid w:val="00E0336B"/>
    <w:rsid w:val="00E10F35"/>
    <w:rsid w:val="00E12955"/>
    <w:rsid w:val="00E1348E"/>
    <w:rsid w:val="00E143B1"/>
    <w:rsid w:val="00E148AC"/>
    <w:rsid w:val="00E14C5D"/>
    <w:rsid w:val="00E15A44"/>
    <w:rsid w:val="00E16AC9"/>
    <w:rsid w:val="00E178B4"/>
    <w:rsid w:val="00E17908"/>
    <w:rsid w:val="00E17F8E"/>
    <w:rsid w:val="00E20926"/>
    <w:rsid w:val="00E20AD5"/>
    <w:rsid w:val="00E21CBC"/>
    <w:rsid w:val="00E26168"/>
    <w:rsid w:val="00E27A1F"/>
    <w:rsid w:val="00E27A6F"/>
    <w:rsid w:val="00E27EC6"/>
    <w:rsid w:val="00E312E7"/>
    <w:rsid w:val="00E331A6"/>
    <w:rsid w:val="00E35463"/>
    <w:rsid w:val="00E35C6B"/>
    <w:rsid w:val="00E35D51"/>
    <w:rsid w:val="00E40CF9"/>
    <w:rsid w:val="00E40E0D"/>
    <w:rsid w:val="00E43030"/>
    <w:rsid w:val="00E430F5"/>
    <w:rsid w:val="00E439EE"/>
    <w:rsid w:val="00E507BC"/>
    <w:rsid w:val="00E51904"/>
    <w:rsid w:val="00E5510C"/>
    <w:rsid w:val="00E551CE"/>
    <w:rsid w:val="00E55B2C"/>
    <w:rsid w:val="00E560CE"/>
    <w:rsid w:val="00E60DFD"/>
    <w:rsid w:val="00E61195"/>
    <w:rsid w:val="00E63D55"/>
    <w:rsid w:val="00E641E3"/>
    <w:rsid w:val="00E66075"/>
    <w:rsid w:val="00E66C4E"/>
    <w:rsid w:val="00E70BDC"/>
    <w:rsid w:val="00E71DD7"/>
    <w:rsid w:val="00E72B37"/>
    <w:rsid w:val="00E75998"/>
    <w:rsid w:val="00E77754"/>
    <w:rsid w:val="00E80C09"/>
    <w:rsid w:val="00E81A38"/>
    <w:rsid w:val="00E83177"/>
    <w:rsid w:val="00E831BA"/>
    <w:rsid w:val="00E8532F"/>
    <w:rsid w:val="00E9161E"/>
    <w:rsid w:val="00E94253"/>
    <w:rsid w:val="00E944DF"/>
    <w:rsid w:val="00E94D35"/>
    <w:rsid w:val="00EA17C1"/>
    <w:rsid w:val="00EA1A50"/>
    <w:rsid w:val="00EA27CE"/>
    <w:rsid w:val="00EA3C43"/>
    <w:rsid w:val="00EB22EE"/>
    <w:rsid w:val="00EB2C82"/>
    <w:rsid w:val="00EB3B48"/>
    <w:rsid w:val="00EB4944"/>
    <w:rsid w:val="00EB7F02"/>
    <w:rsid w:val="00EC1145"/>
    <w:rsid w:val="00EC2473"/>
    <w:rsid w:val="00EC5572"/>
    <w:rsid w:val="00EC59BA"/>
    <w:rsid w:val="00EC5A90"/>
    <w:rsid w:val="00EC6A93"/>
    <w:rsid w:val="00EC7CCA"/>
    <w:rsid w:val="00ED05EA"/>
    <w:rsid w:val="00ED1620"/>
    <w:rsid w:val="00ED3D05"/>
    <w:rsid w:val="00ED3DE7"/>
    <w:rsid w:val="00ED438F"/>
    <w:rsid w:val="00ED55FD"/>
    <w:rsid w:val="00ED5D10"/>
    <w:rsid w:val="00ED5F75"/>
    <w:rsid w:val="00EE4BA4"/>
    <w:rsid w:val="00EE7C50"/>
    <w:rsid w:val="00EF0F3E"/>
    <w:rsid w:val="00EF2B5D"/>
    <w:rsid w:val="00EF5111"/>
    <w:rsid w:val="00F001FA"/>
    <w:rsid w:val="00F0310D"/>
    <w:rsid w:val="00F05D1D"/>
    <w:rsid w:val="00F106EF"/>
    <w:rsid w:val="00F14F76"/>
    <w:rsid w:val="00F158F7"/>
    <w:rsid w:val="00F15D03"/>
    <w:rsid w:val="00F177C6"/>
    <w:rsid w:val="00F240D8"/>
    <w:rsid w:val="00F26BCD"/>
    <w:rsid w:val="00F2754A"/>
    <w:rsid w:val="00F35D59"/>
    <w:rsid w:val="00F364C8"/>
    <w:rsid w:val="00F36679"/>
    <w:rsid w:val="00F3781E"/>
    <w:rsid w:val="00F40920"/>
    <w:rsid w:val="00F42F71"/>
    <w:rsid w:val="00F47AF8"/>
    <w:rsid w:val="00F47D7A"/>
    <w:rsid w:val="00F52868"/>
    <w:rsid w:val="00F55729"/>
    <w:rsid w:val="00F56907"/>
    <w:rsid w:val="00F60224"/>
    <w:rsid w:val="00F6100C"/>
    <w:rsid w:val="00F62324"/>
    <w:rsid w:val="00F65383"/>
    <w:rsid w:val="00F66B81"/>
    <w:rsid w:val="00F703D1"/>
    <w:rsid w:val="00F71D18"/>
    <w:rsid w:val="00F74769"/>
    <w:rsid w:val="00F74DE5"/>
    <w:rsid w:val="00F75946"/>
    <w:rsid w:val="00F82A90"/>
    <w:rsid w:val="00F847CE"/>
    <w:rsid w:val="00F855B1"/>
    <w:rsid w:val="00F86ABA"/>
    <w:rsid w:val="00F9276D"/>
    <w:rsid w:val="00F9435E"/>
    <w:rsid w:val="00F9557A"/>
    <w:rsid w:val="00F96B9A"/>
    <w:rsid w:val="00FA0AB0"/>
    <w:rsid w:val="00FA0F96"/>
    <w:rsid w:val="00FA13E1"/>
    <w:rsid w:val="00FA22A0"/>
    <w:rsid w:val="00FA67EA"/>
    <w:rsid w:val="00FA695F"/>
    <w:rsid w:val="00FA6A38"/>
    <w:rsid w:val="00FA7398"/>
    <w:rsid w:val="00FB006D"/>
    <w:rsid w:val="00FB263D"/>
    <w:rsid w:val="00FB3D7F"/>
    <w:rsid w:val="00FB60EA"/>
    <w:rsid w:val="00FC33CD"/>
    <w:rsid w:val="00FC433F"/>
    <w:rsid w:val="00FC4734"/>
    <w:rsid w:val="00FC4CBC"/>
    <w:rsid w:val="00FC4D16"/>
    <w:rsid w:val="00FC5691"/>
    <w:rsid w:val="00FC752D"/>
    <w:rsid w:val="00FC7FB4"/>
    <w:rsid w:val="00FD02FF"/>
    <w:rsid w:val="00FD26B2"/>
    <w:rsid w:val="00FD2D85"/>
    <w:rsid w:val="00FD5126"/>
    <w:rsid w:val="00FD761D"/>
    <w:rsid w:val="00FE0A19"/>
    <w:rsid w:val="00FE28EC"/>
    <w:rsid w:val="00FE429B"/>
    <w:rsid w:val="00FE486F"/>
    <w:rsid w:val="00FE4D8E"/>
    <w:rsid w:val="00FE5DE0"/>
    <w:rsid w:val="00FE684D"/>
    <w:rsid w:val="00FF01A8"/>
    <w:rsid w:val="00FF01BC"/>
    <w:rsid w:val="00FF05A6"/>
    <w:rsid w:val="00FF3C65"/>
    <w:rsid w:val="00FF5F7A"/>
    <w:rsid w:val="00FF6EF9"/>
    <w:rsid w:val="00FF7952"/>
    <w:rsid w:val="00FF7A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39248E8"/>
  <w15:docId w15:val="{C505BFBC-BDB3-4016-9A0F-462ABECF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GB"/>
    </w:rPr>
  </w:style>
  <w:style w:type="paragraph" w:styleId="Heading1">
    <w:name w:val="heading 1"/>
    <w:basedOn w:val="Normal"/>
    <w:uiPriority w:val="9"/>
    <w:qFormat/>
    <w:rsid w:val="003B1333"/>
    <w:pPr>
      <w:spacing w:before="1"/>
      <w:ind w:left="152"/>
      <w:outlineLvl w:val="0"/>
    </w:pPr>
    <w:rPr>
      <w:b/>
      <w:bCs/>
      <w:sz w:val="24"/>
      <w:szCs w:val="28"/>
      <w:u w:val="single"/>
    </w:rPr>
  </w:style>
  <w:style w:type="paragraph" w:styleId="Heading2">
    <w:name w:val="heading 2"/>
    <w:basedOn w:val="Normal"/>
    <w:link w:val="Heading2Char"/>
    <w:uiPriority w:val="9"/>
    <w:qFormat/>
    <w:rsid w:val="004C692A"/>
    <w:pPr>
      <w:tabs>
        <w:tab w:val="left" w:pos="1285"/>
      </w:tabs>
      <w:spacing w:line="232" w:lineRule="auto"/>
      <w:ind w:left="1286" w:right="1827" w:hanging="608"/>
      <w:outlineLvl w:val="1"/>
    </w:pPr>
    <w:rPr>
      <w:b/>
      <w:bCs/>
      <w:sz w:val="24"/>
      <w:szCs w:val="24"/>
    </w:rPr>
  </w:style>
  <w:style w:type="paragraph" w:styleId="Heading3">
    <w:name w:val="heading 3"/>
    <w:basedOn w:val="Normal"/>
    <w:uiPriority w:val="1"/>
    <w:qFormat/>
    <w:pPr>
      <w:spacing w:before="130"/>
      <w:ind w:left="2421" w:hanging="567"/>
      <w:outlineLvl w:val="2"/>
    </w:pPr>
    <w:rPr>
      <w:b/>
      <w:bCs/>
      <w:sz w:val="20"/>
      <w:szCs w:val="20"/>
    </w:rPr>
  </w:style>
  <w:style w:type="paragraph" w:styleId="Heading4">
    <w:name w:val="heading 4"/>
    <w:basedOn w:val="Normal"/>
    <w:next w:val="Normal"/>
    <w:link w:val="Heading4Char"/>
    <w:uiPriority w:val="9"/>
    <w:unhideWhenUsed/>
    <w:qFormat/>
    <w:rsid w:val="00464E3F"/>
    <w:pPr>
      <w:keepNext/>
      <w:keepLines/>
      <w:widowControl/>
      <w:autoSpaceDE/>
      <w:autoSpaceDN/>
      <w:spacing w:before="40"/>
      <w:ind w:left="1702"/>
      <w:outlineLvl w:val="3"/>
    </w:pPr>
    <w:rPr>
      <w:rFonts w:eastAsiaTheme="majorEastAsia"/>
    </w:rPr>
  </w:style>
  <w:style w:type="paragraph" w:styleId="Heading5">
    <w:name w:val="heading 5"/>
    <w:basedOn w:val="Normal"/>
    <w:next w:val="Normal"/>
    <w:link w:val="Heading5Char"/>
    <w:uiPriority w:val="9"/>
    <w:semiHidden/>
    <w:unhideWhenUsed/>
    <w:qFormat/>
    <w:rsid w:val="00464E3F"/>
    <w:pPr>
      <w:keepNext/>
      <w:keepLines/>
      <w:widowControl/>
      <w:autoSpaceDE/>
      <w:autoSpaceDN/>
      <w:spacing w:before="40"/>
      <w:ind w:left="288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464E3F"/>
    <w:pPr>
      <w:keepNext/>
      <w:keepLines/>
      <w:widowControl/>
      <w:autoSpaceDE/>
      <w:autoSpaceDN/>
      <w:spacing w:before="40"/>
      <w:ind w:left="360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64E3F"/>
    <w:pPr>
      <w:keepNext/>
      <w:keepLines/>
      <w:widowControl/>
      <w:autoSpaceDE/>
      <w:autoSpaceDN/>
      <w:spacing w:before="40"/>
      <w:ind w:left="432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64E3F"/>
    <w:pPr>
      <w:keepNext/>
      <w:keepLines/>
      <w:widowControl/>
      <w:autoSpaceDE/>
      <w:autoSpaceDN/>
      <w:spacing w:before="40"/>
      <w:ind w:left="50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64E3F"/>
    <w:pPr>
      <w:keepNext/>
      <w:keepLines/>
      <w:widowControl/>
      <w:autoSpaceDE/>
      <w:autoSpaceDN/>
      <w:spacing w:before="40"/>
      <w:ind w:left="576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0"/>
      <w:ind w:left="640" w:hanging="428"/>
    </w:pPr>
    <w:rPr>
      <w:sz w:val="20"/>
      <w:szCs w:val="20"/>
    </w:rPr>
  </w:style>
  <w:style w:type="paragraph" w:styleId="TOC2">
    <w:name w:val="toc 2"/>
    <w:basedOn w:val="Normal"/>
    <w:uiPriority w:val="39"/>
    <w:qFormat/>
    <w:pPr>
      <w:spacing w:before="10"/>
      <w:ind w:left="640"/>
    </w:pPr>
    <w:rPr>
      <w:sz w:val="20"/>
      <w:szCs w:val="20"/>
    </w:rPr>
  </w:style>
  <w:style w:type="paragraph" w:styleId="BodyText">
    <w:name w:val="Body Text"/>
    <w:basedOn w:val="Normal"/>
    <w:uiPriority w:val="1"/>
    <w:qFormat/>
    <w:rsid w:val="003B1333"/>
    <w:pPr>
      <w:jc w:val="both"/>
    </w:pPr>
    <w:rPr>
      <w:b/>
      <w:sz w:val="24"/>
      <w:szCs w:val="20"/>
    </w:rPr>
  </w:style>
  <w:style w:type="paragraph" w:styleId="ListParagraph">
    <w:name w:val="List Paragraph"/>
    <w:basedOn w:val="Normal"/>
    <w:uiPriority w:val="34"/>
    <w:qFormat/>
    <w:rsid w:val="004A7B0A"/>
    <w:pPr>
      <w:spacing w:before="121"/>
      <w:ind w:left="1286"/>
      <w:jc w:val="both"/>
    </w:pPr>
    <w:rPr>
      <w:sz w:val="24"/>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77E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ED4"/>
    <w:rPr>
      <w:rFonts w:ascii="Lucida Grande" w:eastAsia="Times New Roman" w:hAnsi="Lucida Grande" w:cs="Lucida Grande"/>
      <w:sz w:val="18"/>
      <w:szCs w:val="18"/>
    </w:rPr>
  </w:style>
  <w:style w:type="paragraph" w:styleId="Header">
    <w:name w:val="header"/>
    <w:basedOn w:val="Normal"/>
    <w:link w:val="HeaderChar"/>
    <w:uiPriority w:val="99"/>
    <w:unhideWhenUsed/>
    <w:rsid w:val="00577ED4"/>
    <w:pPr>
      <w:tabs>
        <w:tab w:val="center" w:pos="4320"/>
        <w:tab w:val="right" w:pos="8640"/>
      </w:tabs>
    </w:pPr>
  </w:style>
  <w:style w:type="character" w:customStyle="1" w:styleId="HeaderChar">
    <w:name w:val="Header Char"/>
    <w:basedOn w:val="DefaultParagraphFont"/>
    <w:link w:val="Header"/>
    <w:uiPriority w:val="99"/>
    <w:rsid w:val="00577ED4"/>
    <w:rPr>
      <w:rFonts w:ascii="Times New Roman" w:eastAsia="Times New Roman" w:hAnsi="Times New Roman" w:cs="Times New Roman"/>
    </w:rPr>
  </w:style>
  <w:style w:type="paragraph" w:styleId="Footer">
    <w:name w:val="footer"/>
    <w:basedOn w:val="Normal"/>
    <w:link w:val="FooterChar"/>
    <w:uiPriority w:val="99"/>
    <w:unhideWhenUsed/>
    <w:rsid w:val="00577ED4"/>
    <w:pPr>
      <w:tabs>
        <w:tab w:val="center" w:pos="4320"/>
        <w:tab w:val="right" w:pos="8640"/>
      </w:tabs>
    </w:pPr>
  </w:style>
  <w:style w:type="character" w:customStyle="1" w:styleId="FooterChar">
    <w:name w:val="Footer Char"/>
    <w:basedOn w:val="DefaultParagraphFont"/>
    <w:link w:val="Footer"/>
    <w:uiPriority w:val="99"/>
    <w:rsid w:val="00577ED4"/>
    <w:rPr>
      <w:rFonts w:ascii="Times New Roman" w:eastAsia="Times New Roman" w:hAnsi="Times New Roman" w:cs="Times New Roman"/>
    </w:rPr>
  </w:style>
  <w:style w:type="paragraph" w:styleId="TOC3">
    <w:name w:val="toc 3"/>
    <w:basedOn w:val="Normal"/>
    <w:next w:val="Normal"/>
    <w:autoRedefine/>
    <w:uiPriority w:val="39"/>
    <w:unhideWhenUsed/>
    <w:rsid w:val="000908D5"/>
    <w:pPr>
      <w:ind w:left="440"/>
    </w:pPr>
  </w:style>
  <w:style w:type="paragraph" w:styleId="TOC4">
    <w:name w:val="toc 4"/>
    <w:basedOn w:val="Normal"/>
    <w:next w:val="Normal"/>
    <w:autoRedefine/>
    <w:uiPriority w:val="39"/>
    <w:unhideWhenUsed/>
    <w:rsid w:val="000908D5"/>
    <w:pPr>
      <w:ind w:left="660"/>
    </w:pPr>
  </w:style>
  <w:style w:type="paragraph" w:styleId="TOC5">
    <w:name w:val="toc 5"/>
    <w:basedOn w:val="Normal"/>
    <w:next w:val="Normal"/>
    <w:autoRedefine/>
    <w:uiPriority w:val="39"/>
    <w:unhideWhenUsed/>
    <w:rsid w:val="000908D5"/>
    <w:pPr>
      <w:ind w:left="880"/>
    </w:pPr>
  </w:style>
  <w:style w:type="paragraph" w:styleId="TOC6">
    <w:name w:val="toc 6"/>
    <w:basedOn w:val="Normal"/>
    <w:next w:val="Normal"/>
    <w:autoRedefine/>
    <w:uiPriority w:val="39"/>
    <w:unhideWhenUsed/>
    <w:rsid w:val="000908D5"/>
    <w:pPr>
      <w:ind w:left="1100"/>
    </w:pPr>
  </w:style>
  <w:style w:type="paragraph" w:styleId="TOC7">
    <w:name w:val="toc 7"/>
    <w:basedOn w:val="Normal"/>
    <w:next w:val="Normal"/>
    <w:autoRedefine/>
    <w:uiPriority w:val="39"/>
    <w:unhideWhenUsed/>
    <w:rsid w:val="000908D5"/>
    <w:pPr>
      <w:ind w:left="1320"/>
    </w:pPr>
  </w:style>
  <w:style w:type="paragraph" w:styleId="TOC8">
    <w:name w:val="toc 8"/>
    <w:basedOn w:val="Normal"/>
    <w:next w:val="Normal"/>
    <w:autoRedefine/>
    <w:uiPriority w:val="39"/>
    <w:unhideWhenUsed/>
    <w:rsid w:val="000908D5"/>
    <w:pPr>
      <w:ind w:left="1540"/>
    </w:pPr>
  </w:style>
  <w:style w:type="paragraph" w:styleId="TOC9">
    <w:name w:val="toc 9"/>
    <w:basedOn w:val="Normal"/>
    <w:next w:val="Normal"/>
    <w:autoRedefine/>
    <w:uiPriority w:val="39"/>
    <w:unhideWhenUsed/>
    <w:rsid w:val="000908D5"/>
    <w:pPr>
      <w:ind w:left="1760"/>
    </w:pPr>
  </w:style>
  <w:style w:type="character" w:customStyle="1" w:styleId="Heading4Char">
    <w:name w:val="Heading 4 Char"/>
    <w:basedOn w:val="DefaultParagraphFont"/>
    <w:link w:val="Heading4"/>
    <w:uiPriority w:val="9"/>
    <w:rsid w:val="00464E3F"/>
    <w:rPr>
      <w:rFonts w:ascii="Times New Roman" w:eastAsiaTheme="majorEastAsia" w:hAnsi="Times New Roman" w:cs="Times New Roman"/>
    </w:rPr>
  </w:style>
  <w:style w:type="character" w:customStyle="1" w:styleId="Heading5Char">
    <w:name w:val="Heading 5 Char"/>
    <w:basedOn w:val="DefaultParagraphFont"/>
    <w:link w:val="Heading5"/>
    <w:uiPriority w:val="9"/>
    <w:semiHidden/>
    <w:rsid w:val="00464E3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464E3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64E3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64E3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64E3F"/>
    <w:rPr>
      <w:rFonts w:asciiTheme="majorHAnsi" w:eastAsiaTheme="majorEastAsia" w:hAnsiTheme="majorHAnsi" w:cstheme="majorBidi"/>
      <w:i/>
      <w:iCs/>
      <w:color w:val="244061" w:themeColor="accent1" w:themeShade="80"/>
    </w:rPr>
  </w:style>
  <w:style w:type="paragraph" w:styleId="FootnoteText">
    <w:name w:val="footnote text"/>
    <w:aliases w:val="5_G,Footnote Text Char Char Char,Footnote Text Char Char Char Char Char Char Char Char,Footnote Text Char Char Ch Char,Footnote Text Char Char Ch Char Char Char Char,Footnote Text Char Char Char Ch,FA Fu,f,FOOTNOTES,fn,Footnotes,FA,F"/>
    <w:basedOn w:val="Normal"/>
    <w:link w:val="FootnoteTextChar"/>
    <w:unhideWhenUsed/>
    <w:qFormat/>
    <w:rsid w:val="00464E3F"/>
    <w:pPr>
      <w:widowControl/>
      <w:autoSpaceDE/>
      <w:autoSpaceDN/>
    </w:pPr>
    <w:rPr>
      <w:rFonts w:asciiTheme="minorHAnsi" w:eastAsiaTheme="minorEastAsia" w:hAnsiTheme="minorHAnsi" w:cstheme="minorBidi"/>
      <w:sz w:val="20"/>
      <w:szCs w:val="20"/>
    </w:rPr>
  </w:style>
  <w:style w:type="character" w:customStyle="1" w:styleId="FootnoteTextChar">
    <w:name w:val="Footnote Text Char"/>
    <w:aliases w:val="5_G Char,Footnote Text Char Char Char Char,Footnote Text Char Char Char Char Char Char Char Char Char,Footnote Text Char Char Ch Char Char,Footnote Text Char Char Ch Char Char Char Char Char,Footnote Text Char Char Char Ch Char,f Char"/>
    <w:basedOn w:val="DefaultParagraphFont"/>
    <w:link w:val="FootnoteText"/>
    <w:qFormat/>
    <w:rsid w:val="00464E3F"/>
    <w:rPr>
      <w:rFonts w:eastAsiaTheme="minorEastAsia"/>
      <w:sz w:val="20"/>
      <w:szCs w:val="20"/>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tex,4_G"/>
    <w:basedOn w:val="DefaultParagraphFont"/>
    <w:link w:val="BVIfnr"/>
    <w:unhideWhenUsed/>
    <w:qFormat/>
    <w:rsid w:val="00464E3F"/>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Superscript 6 Point"/>
    <w:basedOn w:val="Normal"/>
    <w:link w:val="FootnoteReference"/>
    <w:uiPriority w:val="99"/>
    <w:rsid w:val="00464E3F"/>
    <w:pPr>
      <w:widowControl/>
      <w:autoSpaceDE/>
      <w:autoSpaceDN/>
      <w:spacing w:after="160" w:line="240" w:lineRule="exact"/>
    </w:pPr>
    <w:rPr>
      <w:rFonts w:asciiTheme="minorHAnsi" w:eastAsiaTheme="minorHAnsi" w:hAnsiTheme="minorHAnsi" w:cstheme="minorBidi"/>
      <w:vertAlign w:val="superscript"/>
    </w:rPr>
  </w:style>
  <w:style w:type="character" w:customStyle="1" w:styleId="FootnoteAnchor">
    <w:name w:val="Footnote Anchor"/>
    <w:qFormat/>
    <w:rsid w:val="00464E3F"/>
    <w:rPr>
      <w:rFonts w:ascii="Arial" w:hAnsi="Arial"/>
      <w:sz w:val="16"/>
      <w:vertAlign w:val="superscript"/>
    </w:rPr>
  </w:style>
  <w:style w:type="character" w:styleId="CommentReference">
    <w:name w:val="annotation reference"/>
    <w:basedOn w:val="DefaultParagraphFont"/>
    <w:uiPriority w:val="99"/>
    <w:unhideWhenUsed/>
    <w:rsid w:val="004307F6"/>
    <w:rPr>
      <w:sz w:val="16"/>
      <w:szCs w:val="16"/>
    </w:rPr>
  </w:style>
  <w:style w:type="paragraph" w:styleId="CommentText">
    <w:name w:val="annotation text"/>
    <w:basedOn w:val="Normal"/>
    <w:link w:val="CommentTextChar"/>
    <w:uiPriority w:val="99"/>
    <w:unhideWhenUsed/>
    <w:rsid w:val="004307F6"/>
    <w:rPr>
      <w:sz w:val="20"/>
      <w:szCs w:val="20"/>
    </w:rPr>
  </w:style>
  <w:style w:type="character" w:customStyle="1" w:styleId="CommentTextChar">
    <w:name w:val="Comment Text Char"/>
    <w:basedOn w:val="DefaultParagraphFont"/>
    <w:link w:val="CommentText"/>
    <w:uiPriority w:val="99"/>
    <w:rsid w:val="004307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07F6"/>
    <w:rPr>
      <w:b/>
      <w:bCs/>
    </w:rPr>
  </w:style>
  <w:style w:type="character" w:customStyle="1" w:styleId="CommentSubjectChar">
    <w:name w:val="Comment Subject Char"/>
    <w:basedOn w:val="CommentTextChar"/>
    <w:link w:val="CommentSubject"/>
    <w:uiPriority w:val="99"/>
    <w:semiHidden/>
    <w:rsid w:val="004307F6"/>
    <w:rPr>
      <w:rFonts w:ascii="Times New Roman" w:eastAsia="Times New Roman" w:hAnsi="Times New Roman" w:cs="Times New Roman"/>
      <w:b/>
      <w:bCs/>
      <w:sz w:val="20"/>
      <w:szCs w:val="20"/>
    </w:rPr>
  </w:style>
  <w:style w:type="paragraph" w:customStyle="1" w:styleId="m-3165353906273891963gmail-msolistparagraph">
    <w:name w:val="m_-3165353906273891963gmail-msolistparagraph"/>
    <w:basedOn w:val="Normal"/>
    <w:rsid w:val="003379DA"/>
    <w:pPr>
      <w:widowControl/>
      <w:autoSpaceDE/>
      <w:autoSpaceDN/>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DefaultParagraphFont"/>
    <w:rsid w:val="003379DA"/>
  </w:style>
  <w:style w:type="paragraph" w:customStyle="1" w:styleId="SingleTxtG">
    <w:name w:val="_ Single Txt_G"/>
    <w:basedOn w:val="Normal"/>
    <w:link w:val="SingleTxtGChar"/>
    <w:qFormat/>
    <w:rsid w:val="003C6E45"/>
    <w:pPr>
      <w:widowControl/>
      <w:suppressAutoHyphens/>
      <w:kinsoku w:val="0"/>
      <w:overflowPunct w:val="0"/>
      <w:adjustRightInd w:val="0"/>
      <w:snapToGrid w:val="0"/>
      <w:spacing w:after="120" w:line="240" w:lineRule="atLeast"/>
      <w:ind w:left="1134" w:right="1134"/>
      <w:jc w:val="both"/>
    </w:pPr>
    <w:rPr>
      <w:rFonts w:eastAsiaTheme="minorHAnsi"/>
      <w:sz w:val="20"/>
      <w:szCs w:val="20"/>
    </w:rPr>
  </w:style>
  <w:style w:type="paragraph" w:styleId="Revision">
    <w:name w:val="Revision"/>
    <w:hidden/>
    <w:uiPriority w:val="99"/>
    <w:semiHidden/>
    <w:rsid w:val="00251627"/>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2F5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FA6"/>
    <w:rPr>
      <w:color w:val="0000FF" w:themeColor="hyperlink"/>
      <w:u w:val="single"/>
    </w:rPr>
  </w:style>
  <w:style w:type="paragraph" w:styleId="NoSpacing">
    <w:name w:val="No Spacing"/>
    <w:uiPriority w:val="1"/>
    <w:qFormat/>
    <w:rsid w:val="00BC34AF"/>
    <w:pPr>
      <w:widowControl/>
      <w:autoSpaceDE/>
      <w:autoSpaceDN/>
      <w:jc w:val="both"/>
    </w:pPr>
    <w:rPr>
      <w:rFonts w:eastAsiaTheme="minorEastAsia"/>
      <w:sz w:val="20"/>
      <w:szCs w:val="20"/>
    </w:rPr>
  </w:style>
  <w:style w:type="character" w:styleId="Strong">
    <w:name w:val="Strong"/>
    <w:basedOn w:val="DefaultParagraphFont"/>
    <w:uiPriority w:val="22"/>
    <w:qFormat/>
    <w:rsid w:val="00B01B08"/>
    <w:rPr>
      <w:b/>
      <w:bCs/>
    </w:rPr>
  </w:style>
  <w:style w:type="character" w:customStyle="1" w:styleId="s1">
    <w:name w:val="s1"/>
    <w:basedOn w:val="DefaultParagraphFont"/>
    <w:rsid w:val="00B01B08"/>
  </w:style>
  <w:style w:type="paragraph" w:styleId="NormalWeb">
    <w:name w:val="Normal (Web)"/>
    <w:uiPriority w:val="99"/>
    <w:rsid w:val="006D2E5C"/>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lang w:val="es-ES_tradnl"/>
    </w:rPr>
  </w:style>
  <w:style w:type="paragraph" w:customStyle="1" w:styleId="SingleTxt">
    <w:name w:val="__Single Txt"/>
    <w:basedOn w:val="Normal"/>
    <w:rsid w:val="00065635"/>
    <w:pPr>
      <w:widowControl/>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after="120" w:line="240" w:lineRule="exact"/>
      <w:ind w:left="1267" w:right="1267"/>
      <w:jc w:val="both"/>
    </w:pPr>
    <w:rPr>
      <w:rFonts w:eastAsiaTheme="minorHAnsi"/>
      <w:spacing w:val="4"/>
      <w:w w:val="103"/>
      <w:kern w:val="14"/>
      <w:sz w:val="20"/>
      <w:szCs w:val="20"/>
    </w:rPr>
  </w:style>
  <w:style w:type="paragraph" w:customStyle="1" w:styleId="m-1487902157083319449western">
    <w:name w:val="m_-1487902157083319449western"/>
    <w:basedOn w:val="Normal"/>
    <w:rsid w:val="00756FEA"/>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6C560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EndnoteText">
    <w:name w:val="endnote text"/>
    <w:basedOn w:val="Normal"/>
    <w:link w:val="EndnoteTextChar"/>
    <w:uiPriority w:val="99"/>
    <w:semiHidden/>
    <w:unhideWhenUsed/>
    <w:rsid w:val="00C6070D"/>
    <w:pPr>
      <w:widowControl/>
      <w:autoSpaceDE/>
      <w:autoSpaceDN/>
    </w:pPr>
    <w:rPr>
      <w:sz w:val="20"/>
      <w:szCs w:val="20"/>
    </w:rPr>
  </w:style>
  <w:style w:type="character" w:customStyle="1" w:styleId="EndnoteTextChar">
    <w:name w:val="Endnote Text Char"/>
    <w:basedOn w:val="DefaultParagraphFont"/>
    <w:link w:val="EndnoteText"/>
    <w:uiPriority w:val="99"/>
    <w:semiHidden/>
    <w:rsid w:val="00C6070D"/>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5006C8"/>
    <w:rPr>
      <w:color w:val="800080" w:themeColor="followedHyperlink"/>
      <w:u w:val="single"/>
    </w:rPr>
  </w:style>
  <w:style w:type="character" w:customStyle="1" w:styleId="SingleTxtGChar">
    <w:name w:val="_ Single Txt_G Char"/>
    <w:link w:val="SingleTxtG"/>
    <w:rsid w:val="004D5A5B"/>
    <w:rPr>
      <w:rFonts w:ascii="Times New Roman" w:hAnsi="Times New Roman" w:cs="Times New Roman"/>
      <w:sz w:val="20"/>
      <w:szCs w:val="20"/>
      <w:lang w:val="en-GB"/>
    </w:rPr>
  </w:style>
  <w:style w:type="paragraph" w:customStyle="1" w:styleId="BVIfnr0">
    <w:name w:val="BVI fnr Знак"/>
    <w:aliases w:val="BVI fnr Car Car Знак,BVI fnr Car Знак,BVI fnr Car Car Car Car Знак,BVI fnr Car Car Car Car Char Знак,BVI fnr Char Знак,BVI fnr Car Car Char Знак,BVI fnr Car Char Знак"/>
    <w:basedOn w:val="Normal"/>
    <w:uiPriority w:val="99"/>
    <w:rsid w:val="004D5A5B"/>
    <w:pPr>
      <w:widowControl/>
      <w:autoSpaceDE/>
      <w:autoSpaceDN/>
      <w:spacing w:after="160" w:line="240" w:lineRule="exact"/>
      <w:jc w:val="both"/>
    </w:pPr>
    <w:rPr>
      <w:rFonts w:eastAsiaTheme="minorHAnsi" w:cstheme="minorBidi"/>
      <w:sz w:val="18"/>
      <w:vertAlign w:val="superscript"/>
    </w:rPr>
  </w:style>
  <w:style w:type="character" w:customStyle="1" w:styleId="st">
    <w:name w:val="st"/>
    <w:basedOn w:val="DefaultParagraphFont"/>
    <w:rsid w:val="007B7599"/>
  </w:style>
  <w:style w:type="character" w:styleId="Emphasis">
    <w:name w:val="Emphasis"/>
    <w:basedOn w:val="DefaultParagraphFont"/>
    <w:uiPriority w:val="20"/>
    <w:qFormat/>
    <w:rsid w:val="007B7599"/>
    <w:rPr>
      <w:i/>
      <w:iCs/>
    </w:rPr>
  </w:style>
  <w:style w:type="paragraph" w:customStyle="1" w:styleId="Default">
    <w:name w:val="Default"/>
    <w:rsid w:val="00291A68"/>
    <w:pPr>
      <w:widowControl/>
      <w:adjustRightInd w:val="0"/>
    </w:pPr>
    <w:rPr>
      <w:rFonts w:ascii="Times New Roman" w:hAnsi="Times New Roman" w:cs="Times New Roman"/>
      <w:color w:val="000000"/>
      <w:sz w:val="24"/>
      <w:szCs w:val="24"/>
      <w:lang w:val="fr-FR"/>
    </w:rPr>
  </w:style>
  <w:style w:type="paragraph" w:customStyle="1" w:styleId="HChG">
    <w:name w:val="_ H _Ch_G"/>
    <w:basedOn w:val="Normal"/>
    <w:next w:val="Normal"/>
    <w:link w:val="HChGChar"/>
    <w:qFormat/>
    <w:rsid w:val="00155B63"/>
    <w:pPr>
      <w:keepNext/>
      <w:keepLines/>
      <w:widowControl/>
      <w:tabs>
        <w:tab w:val="right" w:pos="851"/>
      </w:tabs>
      <w:suppressAutoHyphens/>
      <w:kinsoku w:val="0"/>
      <w:overflowPunct w:val="0"/>
      <w:adjustRightInd w:val="0"/>
      <w:snapToGrid w:val="0"/>
      <w:spacing w:before="360" w:after="240" w:line="300" w:lineRule="exact"/>
      <w:ind w:left="1134" w:right="1134" w:hanging="1134"/>
    </w:pPr>
    <w:rPr>
      <w:b/>
      <w:sz w:val="28"/>
      <w:szCs w:val="20"/>
      <w:lang w:val="fr-CH"/>
    </w:rPr>
  </w:style>
  <w:style w:type="character" w:customStyle="1" w:styleId="HChGChar">
    <w:name w:val="_ H _Ch_G Char"/>
    <w:link w:val="HChG"/>
    <w:locked/>
    <w:rsid w:val="00155B63"/>
    <w:rPr>
      <w:rFonts w:ascii="Times New Roman" w:eastAsia="Times New Roman" w:hAnsi="Times New Roman" w:cs="Times New Roman"/>
      <w:b/>
      <w:sz w:val="28"/>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122191">
      <w:bodyDiv w:val="1"/>
      <w:marLeft w:val="0"/>
      <w:marRight w:val="0"/>
      <w:marTop w:val="0"/>
      <w:marBottom w:val="0"/>
      <w:divBdr>
        <w:top w:val="none" w:sz="0" w:space="0" w:color="auto"/>
        <w:left w:val="none" w:sz="0" w:space="0" w:color="auto"/>
        <w:bottom w:val="none" w:sz="0" w:space="0" w:color="auto"/>
        <w:right w:val="none" w:sz="0" w:space="0" w:color="auto"/>
      </w:divBdr>
    </w:div>
    <w:div w:id="637684407">
      <w:bodyDiv w:val="1"/>
      <w:marLeft w:val="0"/>
      <w:marRight w:val="0"/>
      <w:marTop w:val="0"/>
      <w:marBottom w:val="0"/>
      <w:divBdr>
        <w:top w:val="none" w:sz="0" w:space="0" w:color="auto"/>
        <w:left w:val="none" w:sz="0" w:space="0" w:color="auto"/>
        <w:bottom w:val="none" w:sz="0" w:space="0" w:color="auto"/>
        <w:right w:val="none" w:sz="0" w:space="0" w:color="auto"/>
      </w:divBdr>
    </w:div>
    <w:div w:id="802649301">
      <w:bodyDiv w:val="1"/>
      <w:marLeft w:val="0"/>
      <w:marRight w:val="0"/>
      <w:marTop w:val="0"/>
      <w:marBottom w:val="0"/>
      <w:divBdr>
        <w:top w:val="none" w:sz="0" w:space="0" w:color="auto"/>
        <w:left w:val="none" w:sz="0" w:space="0" w:color="auto"/>
        <w:bottom w:val="none" w:sz="0" w:space="0" w:color="auto"/>
        <w:right w:val="none" w:sz="0" w:space="0" w:color="auto"/>
      </w:divBdr>
    </w:div>
    <w:div w:id="868303097">
      <w:bodyDiv w:val="1"/>
      <w:marLeft w:val="0"/>
      <w:marRight w:val="0"/>
      <w:marTop w:val="0"/>
      <w:marBottom w:val="0"/>
      <w:divBdr>
        <w:top w:val="none" w:sz="0" w:space="0" w:color="auto"/>
        <w:left w:val="none" w:sz="0" w:space="0" w:color="auto"/>
        <w:bottom w:val="none" w:sz="0" w:space="0" w:color="auto"/>
        <w:right w:val="none" w:sz="0" w:space="0" w:color="auto"/>
      </w:divBdr>
      <w:divsChild>
        <w:div w:id="86585929">
          <w:marLeft w:val="0"/>
          <w:marRight w:val="0"/>
          <w:marTop w:val="0"/>
          <w:marBottom w:val="0"/>
          <w:divBdr>
            <w:top w:val="none" w:sz="0" w:space="0" w:color="auto"/>
            <w:left w:val="none" w:sz="0" w:space="0" w:color="auto"/>
            <w:bottom w:val="none" w:sz="0" w:space="0" w:color="auto"/>
            <w:right w:val="none" w:sz="0" w:space="0" w:color="auto"/>
          </w:divBdr>
        </w:div>
      </w:divsChild>
    </w:div>
    <w:div w:id="1057510564">
      <w:bodyDiv w:val="1"/>
      <w:marLeft w:val="0"/>
      <w:marRight w:val="0"/>
      <w:marTop w:val="0"/>
      <w:marBottom w:val="0"/>
      <w:divBdr>
        <w:top w:val="none" w:sz="0" w:space="0" w:color="auto"/>
        <w:left w:val="none" w:sz="0" w:space="0" w:color="auto"/>
        <w:bottom w:val="none" w:sz="0" w:space="0" w:color="auto"/>
        <w:right w:val="none" w:sz="0" w:space="0" w:color="auto"/>
      </w:divBdr>
      <w:divsChild>
        <w:div w:id="1968465555">
          <w:marLeft w:val="0"/>
          <w:marRight w:val="0"/>
          <w:marTop w:val="0"/>
          <w:marBottom w:val="0"/>
          <w:divBdr>
            <w:top w:val="none" w:sz="0" w:space="0" w:color="auto"/>
            <w:left w:val="none" w:sz="0" w:space="0" w:color="auto"/>
            <w:bottom w:val="none" w:sz="0" w:space="0" w:color="auto"/>
            <w:right w:val="none" w:sz="0" w:space="0" w:color="auto"/>
          </w:divBdr>
        </w:div>
      </w:divsChild>
    </w:div>
    <w:div w:id="1062411227">
      <w:bodyDiv w:val="1"/>
      <w:marLeft w:val="0"/>
      <w:marRight w:val="0"/>
      <w:marTop w:val="0"/>
      <w:marBottom w:val="0"/>
      <w:divBdr>
        <w:top w:val="none" w:sz="0" w:space="0" w:color="auto"/>
        <w:left w:val="none" w:sz="0" w:space="0" w:color="auto"/>
        <w:bottom w:val="none" w:sz="0" w:space="0" w:color="auto"/>
        <w:right w:val="none" w:sz="0" w:space="0" w:color="auto"/>
      </w:divBdr>
    </w:div>
    <w:div w:id="1064330629">
      <w:bodyDiv w:val="1"/>
      <w:marLeft w:val="0"/>
      <w:marRight w:val="0"/>
      <w:marTop w:val="0"/>
      <w:marBottom w:val="0"/>
      <w:divBdr>
        <w:top w:val="none" w:sz="0" w:space="0" w:color="auto"/>
        <w:left w:val="none" w:sz="0" w:space="0" w:color="auto"/>
        <w:bottom w:val="none" w:sz="0" w:space="0" w:color="auto"/>
        <w:right w:val="none" w:sz="0" w:space="0" w:color="auto"/>
      </w:divBdr>
    </w:div>
    <w:div w:id="1266963647">
      <w:bodyDiv w:val="1"/>
      <w:marLeft w:val="0"/>
      <w:marRight w:val="0"/>
      <w:marTop w:val="0"/>
      <w:marBottom w:val="0"/>
      <w:divBdr>
        <w:top w:val="none" w:sz="0" w:space="0" w:color="auto"/>
        <w:left w:val="none" w:sz="0" w:space="0" w:color="auto"/>
        <w:bottom w:val="none" w:sz="0" w:space="0" w:color="auto"/>
        <w:right w:val="none" w:sz="0" w:space="0" w:color="auto"/>
      </w:divBdr>
      <w:divsChild>
        <w:div w:id="450325627">
          <w:marLeft w:val="0"/>
          <w:marRight w:val="0"/>
          <w:marTop w:val="0"/>
          <w:marBottom w:val="0"/>
          <w:divBdr>
            <w:top w:val="none" w:sz="0" w:space="0" w:color="auto"/>
            <w:left w:val="none" w:sz="0" w:space="0" w:color="auto"/>
            <w:bottom w:val="none" w:sz="0" w:space="0" w:color="auto"/>
            <w:right w:val="none" w:sz="0" w:space="0" w:color="auto"/>
          </w:divBdr>
        </w:div>
        <w:div w:id="1507091607">
          <w:marLeft w:val="0"/>
          <w:marRight w:val="0"/>
          <w:marTop w:val="0"/>
          <w:marBottom w:val="0"/>
          <w:divBdr>
            <w:top w:val="none" w:sz="0" w:space="0" w:color="auto"/>
            <w:left w:val="none" w:sz="0" w:space="0" w:color="auto"/>
            <w:bottom w:val="none" w:sz="0" w:space="0" w:color="auto"/>
            <w:right w:val="none" w:sz="0" w:space="0" w:color="auto"/>
          </w:divBdr>
        </w:div>
        <w:div w:id="398866195">
          <w:marLeft w:val="0"/>
          <w:marRight w:val="0"/>
          <w:marTop w:val="0"/>
          <w:marBottom w:val="0"/>
          <w:divBdr>
            <w:top w:val="none" w:sz="0" w:space="0" w:color="auto"/>
            <w:left w:val="none" w:sz="0" w:space="0" w:color="auto"/>
            <w:bottom w:val="none" w:sz="0" w:space="0" w:color="auto"/>
            <w:right w:val="none" w:sz="0" w:space="0" w:color="auto"/>
          </w:divBdr>
        </w:div>
        <w:div w:id="1786995358">
          <w:marLeft w:val="0"/>
          <w:marRight w:val="0"/>
          <w:marTop w:val="0"/>
          <w:marBottom w:val="0"/>
          <w:divBdr>
            <w:top w:val="none" w:sz="0" w:space="0" w:color="auto"/>
            <w:left w:val="none" w:sz="0" w:space="0" w:color="auto"/>
            <w:bottom w:val="none" w:sz="0" w:space="0" w:color="auto"/>
            <w:right w:val="none" w:sz="0" w:space="0" w:color="auto"/>
          </w:divBdr>
        </w:div>
        <w:div w:id="2022273671">
          <w:marLeft w:val="0"/>
          <w:marRight w:val="0"/>
          <w:marTop w:val="0"/>
          <w:marBottom w:val="0"/>
          <w:divBdr>
            <w:top w:val="none" w:sz="0" w:space="0" w:color="auto"/>
            <w:left w:val="none" w:sz="0" w:space="0" w:color="auto"/>
            <w:bottom w:val="none" w:sz="0" w:space="0" w:color="auto"/>
            <w:right w:val="none" w:sz="0" w:space="0" w:color="auto"/>
          </w:divBdr>
        </w:div>
        <w:div w:id="1206599096">
          <w:marLeft w:val="0"/>
          <w:marRight w:val="0"/>
          <w:marTop w:val="0"/>
          <w:marBottom w:val="0"/>
          <w:divBdr>
            <w:top w:val="none" w:sz="0" w:space="0" w:color="auto"/>
            <w:left w:val="none" w:sz="0" w:space="0" w:color="auto"/>
            <w:bottom w:val="none" w:sz="0" w:space="0" w:color="auto"/>
            <w:right w:val="none" w:sz="0" w:space="0" w:color="auto"/>
          </w:divBdr>
        </w:div>
        <w:div w:id="1130589411">
          <w:marLeft w:val="0"/>
          <w:marRight w:val="0"/>
          <w:marTop w:val="0"/>
          <w:marBottom w:val="0"/>
          <w:divBdr>
            <w:top w:val="none" w:sz="0" w:space="0" w:color="auto"/>
            <w:left w:val="none" w:sz="0" w:space="0" w:color="auto"/>
            <w:bottom w:val="none" w:sz="0" w:space="0" w:color="auto"/>
            <w:right w:val="none" w:sz="0" w:space="0" w:color="auto"/>
          </w:divBdr>
        </w:div>
        <w:div w:id="1663776617">
          <w:marLeft w:val="0"/>
          <w:marRight w:val="0"/>
          <w:marTop w:val="0"/>
          <w:marBottom w:val="0"/>
          <w:divBdr>
            <w:top w:val="none" w:sz="0" w:space="0" w:color="auto"/>
            <w:left w:val="none" w:sz="0" w:space="0" w:color="auto"/>
            <w:bottom w:val="none" w:sz="0" w:space="0" w:color="auto"/>
            <w:right w:val="none" w:sz="0" w:space="0" w:color="auto"/>
          </w:divBdr>
        </w:div>
        <w:div w:id="1015576969">
          <w:marLeft w:val="0"/>
          <w:marRight w:val="0"/>
          <w:marTop w:val="0"/>
          <w:marBottom w:val="0"/>
          <w:divBdr>
            <w:top w:val="none" w:sz="0" w:space="0" w:color="auto"/>
            <w:left w:val="none" w:sz="0" w:space="0" w:color="auto"/>
            <w:bottom w:val="none" w:sz="0" w:space="0" w:color="auto"/>
            <w:right w:val="none" w:sz="0" w:space="0" w:color="auto"/>
          </w:divBdr>
        </w:div>
        <w:div w:id="978652325">
          <w:marLeft w:val="0"/>
          <w:marRight w:val="0"/>
          <w:marTop w:val="0"/>
          <w:marBottom w:val="0"/>
          <w:divBdr>
            <w:top w:val="none" w:sz="0" w:space="0" w:color="auto"/>
            <w:left w:val="none" w:sz="0" w:space="0" w:color="auto"/>
            <w:bottom w:val="none" w:sz="0" w:space="0" w:color="auto"/>
            <w:right w:val="none" w:sz="0" w:space="0" w:color="auto"/>
          </w:divBdr>
        </w:div>
        <w:div w:id="665791041">
          <w:marLeft w:val="0"/>
          <w:marRight w:val="0"/>
          <w:marTop w:val="0"/>
          <w:marBottom w:val="0"/>
          <w:divBdr>
            <w:top w:val="none" w:sz="0" w:space="0" w:color="auto"/>
            <w:left w:val="none" w:sz="0" w:space="0" w:color="auto"/>
            <w:bottom w:val="none" w:sz="0" w:space="0" w:color="auto"/>
            <w:right w:val="none" w:sz="0" w:space="0" w:color="auto"/>
          </w:divBdr>
        </w:div>
        <w:div w:id="39866772">
          <w:marLeft w:val="0"/>
          <w:marRight w:val="0"/>
          <w:marTop w:val="0"/>
          <w:marBottom w:val="0"/>
          <w:divBdr>
            <w:top w:val="none" w:sz="0" w:space="0" w:color="auto"/>
            <w:left w:val="none" w:sz="0" w:space="0" w:color="auto"/>
            <w:bottom w:val="none" w:sz="0" w:space="0" w:color="auto"/>
            <w:right w:val="none" w:sz="0" w:space="0" w:color="auto"/>
          </w:divBdr>
        </w:div>
        <w:div w:id="949556591">
          <w:marLeft w:val="0"/>
          <w:marRight w:val="0"/>
          <w:marTop w:val="0"/>
          <w:marBottom w:val="0"/>
          <w:divBdr>
            <w:top w:val="none" w:sz="0" w:space="0" w:color="auto"/>
            <w:left w:val="none" w:sz="0" w:space="0" w:color="auto"/>
            <w:bottom w:val="none" w:sz="0" w:space="0" w:color="auto"/>
            <w:right w:val="none" w:sz="0" w:space="0" w:color="auto"/>
          </w:divBdr>
        </w:div>
        <w:div w:id="1289583508">
          <w:marLeft w:val="0"/>
          <w:marRight w:val="0"/>
          <w:marTop w:val="0"/>
          <w:marBottom w:val="0"/>
          <w:divBdr>
            <w:top w:val="none" w:sz="0" w:space="0" w:color="auto"/>
            <w:left w:val="none" w:sz="0" w:space="0" w:color="auto"/>
            <w:bottom w:val="none" w:sz="0" w:space="0" w:color="auto"/>
            <w:right w:val="none" w:sz="0" w:space="0" w:color="auto"/>
          </w:divBdr>
        </w:div>
        <w:div w:id="203298253">
          <w:marLeft w:val="0"/>
          <w:marRight w:val="0"/>
          <w:marTop w:val="0"/>
          <w:marBottom w:val="0"/>
          <w:divBdr>
            <w:top w:val="none" w:sz="0" w:space="0" w:color="auto"/>
            <w:left w:val="none" w:sz="0" w:space="0" w:color="auto"/>
            <w:bottom w:val="none" w:sz="0" w:space="0" w:color="auto"/>
            <w:right w:val="none" w:sz="0" w:space="0" w:color="auto"/>
          </w:divBdr>
        </w:div>
        <w:div w:id="1911423250">
          <w:marLeft w:val="0"/>
          <w:marRight w:val="0"/>
          <w:marTop w:val="0"/>
          <w:marBottom w:val="0"/>
          <w:divBdr>
            <w:top w:val="none" w:sz="0" w:space="0" w:color="auto"/>
            <w:left w:val="none" w:sz="0" w:space="0" w:color="auto"/>
            <w:bottom w:val="none" w:sz="0" w:space="0" w:color="auto"/>
            <w:right w:val="none" w:sz="0" w:space="0" w:color="auto"/>
          </w:divBdr>
        </w:div>
        <w:div w:id="363211868">
          <w:marLeft w:val="0"/>
          <w:marRight w:val="0"/>
          <w:marTop w:val="0"/>
          <w:marBottom w:val="0"/>
          <w:divBdr>
            <w:top w:val="none" w:sz="0" w:space="0" w:color="auto"/>
            <w:left w:val="none" w:sz="0" w:space="0" w:color="auto"/>
            <w:bottom w:val="none" w:sz="0" w:space="0" w:color="auto"/>
            <w:right w:val="none" w:sz="0" w:space="0" w:color="auto"/>
          </w:divBdr>
        </w:div>
      </w:divsChild>
    </w:div>
    <w:div w:id="1270312423">
      <w:bodyDiv w:val="1"/>
      <w:marLeft w:val="0"/>
      <w:marRight w:val="0"/>
      <w:marTop w:val="0"/>
      <w:marBottom w:val="0"/>
      <w:divBdr>
        <w:top w:val="none" w:sz="0" w:space="0" w:color="auto"/>
        <w:left w:val="none" w:sz="0" w:space="0" w:color="auto"/>
        <w:bottom w:val="none" w:sz="0" w:space="0" w:color="auto"/>
        <w:right w:val="none" w:sz="0" w:space="0" w:color="auto"/>
      </w:divBdr>
      <w:divsChild>
        <w:div w:id="1237864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2328">
              <w:marLeft w:val="0"/>
              <w:marRight w:val="0"/>
              <w:marTop w:val="0"/>
              <w:marBottom w:val="0"/>
              <w:divBdr>
                <w:top w:val="none" w:sz="0" w:space="0" w:color="auto"/>
                <w:left w:val="none" w:sz="0" w:space="0" w:color="auto"/>
                <w:bottom w:val="none" w:sz="0" w:space="0" w:color="auto"/>
                <w:right w:val="none" w:sz="0" w:space="0" w:color="auto"/>
              </w:divBdr>
              <w:divsChild>
                <w:div w:id="38365513">
                  <w:marLeft w:val="0"/>
                  <w:marRight w:val="0"/>
                  <w:marTop w:val="0"/>
                  <w:marBottom w:val="0"/>
                  <w:divBdr>
                    <w:top w:val="none" w:sz="0" w:space="0" w:color="auto"/>
                    <w:left w:val="none" w:sz="0" w:space="0" w:color="auto"/>
                    <w:bottom w:val="none" w:sz="0" w:space="0" w:color="auto"/>
                    <w:right w:val="none" w:sz="0" w:space="0" w:color="auto"/>
                  </w:divBdr>
                  <w:divsChild>
                    <w:div w:id="629748986">
                      <w:marLeft w:val="0"/>
                      <w:marRight w:val="0"/>
                      <w:marTop w:val="0"/>
                      <w:marBottom w:val="0"/>
                      <w:divBdr>
                        <w:top w:val="none" w:sz="0" w:space="0" w:color="auto"/>
                        <w:left w:val="none" w:sz="0" w:space="0" w:color="auto"/>
                        <w:bottom w:val="none" w:sz="0" w:space="0" w:color="auto"/>
                        <w:right w:val="none" w:sz="0" w:space="0" w:color="auto"/>
                      </w:divBdr>
                      <w:divsChild>
                        <w:div w:id="21235004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15894075">
                              <w:marLeft w:val="0"/>
                              <w:marRight w:val="0"/>
                              <w:marTop w:val="0"/>
                              <w:marBottom w:val="0"/>
                              <w:divBdr>
                                <w:top w:val="none" w:sz="0" w:space="0" w:color="auto"/>
                                <w:left w:val="none" w:sz="0" w:space="0" w:color="auto"/>
                                <w:bottom w:val="none" w:sz="0" w:space="0" w:color="auto"/>
                                <w:right w:val="none" w:sz="0" w:space="0" w:color="auto"/>
                              </w:divBdr>
                              <w:divsChild>
                                <w:div w:id="853113870">
                                  <w:marLeft w:val="0"/>
                                  <w:marRight w:val="0"/>
                                  <w:marTop w:val="0"/>
                                  <w:marBottom w:val="0"/>
                                  <w:divBdr>
                                    <w:top w:val="none" w:sz="0" w:space="0" w:color="auto"/>
                                    <w:left w:val="none" w:sz="0" w:space="0" w:color="auto"/>
                                    <w:bottom w:val="none" w:sz="0" w:space="0" w:color="auto"/>
                                    <w:right w:val="none" w:sz="0" w:space="0" w:color="auto"/>
                                  </w:divBdr>
                                  <w:divsChild>
                                    <w:div w:id="1537811243">
                                      <w:marLeft w:val="0"/>
                                      <w:marRight w:val="0"/>
                                      <w:marTop w:val="0"/>
                                      <w:marBottom w:val="0"/>
                                      <w:divBdr>
                                        <w:top w:val="none" w:sz="0" w:space="0" w:color="auto"/>
                                        <w:left w:val="none" w:sz="0" w:space="0" w:color="auto"/>
                                        <w:bottom w:val="none" w:sz="0" w:space="0" w:color="auto"/>
                                        <w:right w:val="none" w:sz="0" w:space="0" w:color="auto"/>
                                      </w:divBdr>
                                      <w:divsChild>
                                        <w:div w:id="1282496560">
                                          <w:marLeft w:val="0"/>
                                          <w:marRight w:val="0"/>
                                          <w:marTop w:val="0"/>
                                          <w:marBottom w:val="0"/>
                                          <w:divBdr>
                                            <w:top w:val="none" w:sz="0" w:space="0" w:color="auto"/>
                                            <w:left w:val="none" w:sz="0" w:space="0" w:color="auto"/>
                                            <w:bottom w:val="none" w:sz="0" w:space="0" w:color="auto"/>
                                            <w:right w:val="none" w:sz="0" w:space="0" w:color="auto"/>
                                          </w:divBdr>
                                          <w:divsChild>
                                            <w:div w:id="138427285">
                                              <w:marLeft w:val="0"/>
                                              <w:marRight w:val="0"/>
                                              <w:marTop w:val="0"/>
                                              <w:marBottom w:val="0"/>
                                              <w:divBdr>
                                                <w:top w:val="none" w:sz="0" w:space="0" w:color="auto"/>
                                                <w:left w:val="none" w:sz="0" w:space="0" w:color="auto"/>
                                                <w:bottom w:val="none" w:sz="0" w:space="0" w:color="auto"/>
                                                <w:right w:val="none" w:sz="0" w:space="0" w:color="auto"/>
                                              </w:divBdr>
                                              <w:divsChild>
                                                <w:div w:id="242303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348449">
                                                      <w:marLeft w:val="0"/>
                                                      <w:marRight w:val="0"/>
                                                      <w:marTop w:val="0"/>
                                                      <w:marBottom w:val="0"/>
                                                      <w:divBdr>
                                                        <w:top w:val="none" w:sz="0" w:space="0" w:color="auto"/>
                                                        <w:left w:val="none" w:sz="0" w:space="0" w:color="auto"/>
                                                        <w:bottom w:val="none" w:sz="0" w:space="0" w:color="auto"/>
                                                        <w:right w:val="none" w:sz="0" w:space="0" w:color="auto"/>
                                                      </w:divBdr>
                                                      <w:divsChild>
                                                        <w:div w:id="1262108529">
                                                          <w:marLeft w:val="0"/>
                                                          <w:marRight w:val="0"/>
                                                          <w:marTop w:val="0"/>
                                                          <w:marBottom w:val="0"/>
                                                          <w:divBdr>
                                                            <w:top w:val="none" w:sz="0" w:space="0" w:color="auto"/>
                                                            <w:left w:val="none" w:sz="0" w:space="0" w:color="auto"/>
                                                            <w:bottom w:val="none" w:sz="0" w:space="0" w:color="auto"/>
                                                            <w:right w:val="none" w:sz="0" w:space="0" w:color="auto"/>
                                                          </w:divBdr>
                                                          <w:divsChild>
                                                            <w:div w:id="1891771223">
                                                              <w:marLeft w:val="0"/>
                                                              <w:marRight w:val="0"/>
                                                              <w:marTop w:val="0"/>
                                                              <w:marBottom w:val="0"/>
                                                              <w:divBdr>
                                                                <w:top w:val="none" w:sz="0" w:space="0" w:color="auto"/>
                                                                <w:left w:val="none" w:sz="0" w:space="0" w:color="auto"/>
                                                                <w:bottom w:val="none" w:sz="0" w:space="0" w:color="auto"/>
                                                                <w:right w:val="none" w:sz="0" w:space="0" w:color="auto"/>
                                                              </w:divBdr>
                                                              <w:divsChild>
                                                                <w:div w:id="1636792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652667">
                                                                      <w:marLeft w:val="0"/>
                                                                      <w:marRight w:val="0"/>
                                                                      <w:marTop w:val="0"/>
                                                                      <w:marBottom w:val="0"/>
                                                                      <w:divBdr>
                                                                        <w:top w:val="none" w:sz="0" w:space="0" w:color="auto"/>
                                                                        <w:left w:val="none" w:sz="0" w:space="0" w:color="auto"/>
                                                                        <w:bottom w:val="none" w:sz="0" w:space="0" w:color="auto"/>
                                                                        <w:right w:val="none" w:sz="0" w:space="0" w:color="auto"/>
                                                                      </w:divBdr>
                                                                      <w:divsChild>
                                                                        <w:div w:id="898055950">
                                                                          <w:marLeft w:val="0"/>
                                                                          <w:marRight w:val="0"/>
                                                                          <w:marTop w:val="0"/>
                                                                          <w:marBottom w:val="0"/>
                                                                          <w:divBdr>
                                                                            <w:top w:val="none" w:sz="0" w:space="0" w:color="auto"/>
                                                                            <w:left w:val="none" w:sz="0" w:space="0" w:color="auto"/>
                                                                            <w:bottom w:val="none" w:sz="0" w:space="0" w:color="auto"/>
                                                                            <w:right w:val="none" w:sz="0" w:space="0" w:color="auto"/>
                                                                          </w:divBdr>
                                                                        </w:div>
                                                                        <w:div w:id="571818084">
                                                                          <w:marLeft w:val="0"/>
                                                                          <w:marRight w:val="0"/>
                                                                          <w:marTop w:val="0"/>
                                                                          <w:marBottom w:val="0"/>
                                                                          <w:divBdr>
                                                                            <w:top w:val="none" w:sz="0" w:space="0" w:color="auto"/>
                                                                            <w:left w:val="none" w:sz="0" w:space="0" w:color="auto"/>
                                                                            <w:bottom w:val="none" w:sz="0" w:space="0" w:color="auto"/>
                                                                            <w:right w:val="none" w:sz="0" w:space="0" w:color="auto"/>
                                                                          </w:divBdr>
                                                                        </w:div>
                                                                        <w:div w:id="1419206831">
                                                                          <w:marLeft w:val="0"/>
                                                                          <w:marRight w:val="0"/>
                                                                          <w:marTop w:val="0"/>
                                                                          <w:marBottom w:val="0"/>
                                                                          <w:divBdr>
                                                                            <w:top w:val="none" w:sz="0" w:space="0" w:color="auto"/>
                                                                            <w:left w:val="none" w:sz="0" w:space="0" w:color="auto"/>
                                                                            <w:bottom w:val="none" w:sz="0" w:space="0" w:color="auto"/>
                                                                            <w:right w:val="none" w:sz="0" w:space="0" w:color="auto"/>
                                                                          </w:divBdr>
                                                                        </w:div>
                                                                        <w:div w:id="1203834276">
                                                                          <w:marLeft w:val="0"/>
                                                                          <w:marRight w:val="0"/>
                                                                          <w:marTop w:val="0"/>
                                                                          <w:marBottom w:val="0"/>
                                                                          <w:divBdr>
                                                                            <w:top w:val="none" w:sz="0" w:space="0" w:color="auto"/>
                                                                            <w:left w:val="none" w:sz="0" w:space="0" w:color="auto"/>
                                                                            <w:bottom w:val="none" w:sz="0" w:space="0" w:color="auto"/>
                                                                            <w:right w:val="none" w:sz="0" w:space="0" w:color="auto"/>
                                                                          </w:divBdr>
                                                                        </w:div>
                                                                        <w:div w:id="1409033947">
                                                                          <w:marLeft w:val="0"/>
                                                                          <w:marRight w:val="0"/>
                                                                          <w:marTop w:val="0"/>
                                                                          <w:marBottom w:val="0"/>
                                                                          <w:divBdr>
                                                                            <w:top w:val="none" w:sz="0" w:space="0" w:color="auto"/>
                                                                            <w:left w:val="none" w:sz="0" w:space="0" w:color="auto"/>
                                                                            <w:bottom w:val="none" w:sz="0" w:space="0" w:color="auto"/>
                                                                            <w:right w:val="none" w:sz="0" w:space="0" w:color="auto"/>
                                                                          </w:divBdr>
                                                                        </w:div>
                                                                        <w:div w:id="756100900">
                                                                          <w:marLeft w:val="0"/>
                                                                          <w:marRight w:val="0"/>
                                                                          <w:marTop w:val="0"/>
                                                                          <w:marBottom w:val="0"/>
                                                                          <w:divBdr>
                                                                            <w:top w:val="none" w:sz="0" w:space="0" w:color="auto"/>
                                                                            <w:left w:val="none" w:sz="0" w:space="0" w:color="auto"/>
                                                                            <w:bottom w:val="none" w:sz="0" w:space="0" w:color="auto"/>
                                                                            <w:right w:val="none" w:sz="0" w:space="0" w:color="auto"/>
                                                                          </w:divBdr>
                                                                        </w:div>
                                                                        <w:div w:id="178009939">
                                                                          <w:marLeft w:val="0"/>
                                                                          <w:marRight w:val="0"/>
                                                                          <w:marTop w:val="0"/>
                                                                          <w:marBottom w:val="0"/>
                                                                          <w:divBdr>
                                                                            <w:top w:val="none" w:sz="0" w:space="0" w:color="auto"/>
                                                                            <w:left w:val="none" w:sz="0" w:space="0" w:color="auto"/>
                                                                            <w:bottom w:val="none" w:sz="0" w:space="0" w:color="auto"/>
                                                                            <w:right w:val="none" w:sz="0" w:space="0" w:color="auto"/>
                                                                          </w:divBdr>
                                                                        </w:div>
                                                                        <w:div w:id="11955487">
                                                                          <w:marLeft w:val="0"/>
                                                                          <w:marRight w:val="0"/>
                                                                          <w:marTop w:val="0"/>
                                                                          <w:marBottom w:val="0"/>
                                                                          <w:divBdr>
                                                                            <w:top w:val="none" w:sz="0" w:space="0" w:color="auto"/>
                                                                            <w:left w:val="none" w:sz="0" w:space="0" w:color="auto"/>
                                                                            <w:bottom w:val="none" w:sz="0" w:space="0" w:color="auto"/>
                                                                            <w:right w:val="none" w:sz="0" w:space="0" w:color="auto"/>
                                                                          </w:divBdr>
                                                                        </w:div>
                                                                        <w:div w:id="1868060077">
                                                                          <w:marLeft w:val="0"/>
                                                                          <w:marRight w:val="0"/>
                                                                          <w:marTop w:val="0"/>
                                                                          <w:marBottom w:val="0"/>
                                                                          <w:divBdr>
                                                                            <w:top w:val="none" w:sz="0" w:space="0" w:color="auto"/>
                                                                            <w:left w:val="none" w:sz="0" w:space="0" w:color="auto"/>
                                                                            <w:bottom w:val="none" w:sz="0" w:space="0" w:color="auto"/>
                                                                            <w:right w:val="none" w:sz="0" w:space="0" w:color="auto"/>
                                                                          </w:divBdr>
                                                                        </w:div>
                                                                        <w:div w:id="1785999748">
                                                                          <w:marLeft w:val="0"/>
                                                                          <w:marRight w:val="0"/>
                                                                          <w:marTop w:val="0"/>
                                                                          <w:marBottom w:val="0"/>
                                                                          <w:divBdr>
                                                                            <w:top w:val="none" w:sz="0" w:space="0" w:color="auto"/>
                                                                            <w:left w:val="none" w:sz="0" w:space="0" w:color="auto"/>
                                                                            <w:bottom w:val="none" w:sz="0" w:space="0" w:color="auto"/>
                                                                            <w:right w:val="none" w:sz="0" w:space="0" w:color="auto"/>
                                                                          </w:divBdr>
                                                                        </w:div>
                                                                        <w:div w:id="581766068">
                                                                          <w:marLeft w:val="0"/>
                                                                          <w:marRight w:val="0"/>
                                                                          <w:marTop w:val="0"/>
                                                                          <w:marBottom w:val="0"/>
                                                                          <w:divBdr>
                                                                            <w:top w:val="none" w:sz="0" w:space="0" w:color="auto"/>
                                                                            <w:left w:val="none" w:sz="0" w:space="0" w:color="auto"/>
                                                                            <w:bottom w:val="none" w:sz="0" w:space="0" w:color="auto"/>
                                                                            <w:right w:val="none" w:sz="0" w:space="0" w:color="auto"/>
                                                                          </w:divBdr>
                                                                        </w:div>
                                                                        <w:div w:id="215513421">
                                                                          <w:marLeft w:val="0"/>
                                                                          <w:marRight w:val="0"/>
                                                                          <w:marTop w:val="0"/>
                                                                          <w:marBottom w:val="0"/>
                                                                          <w:divBdr>
                                                                            <w:top w:val="none" w:sz="0" w:space="0" w:color="auto"/>
                                                                            <w:left w:val="none" w:sz="0" w:space="0" w:color="auto"/>
                                                                            <w:bottom w:val="none" w:sz="0" w:space="0" w:color="auto"/>
                                                                            <w:right w:val="none" w:sz="0" w:space="0" w:color="auto"/>
                                                                          </w:divBdr>
                                                                        </w:div>
                                                                        <w:div w:id="4102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581969">
      <w:bodyDiv w:val="1"/>
      <w:marLeft w:val="0"/>
      <w:marRight w:val="0"/>
      <w:marTop w:val="0"/>
      <w:marBottom w:val="0"/>
      <w:divBdr>
        <w:top w:val="none" w:sz="0" w:space="0" w:color="auto"/>
        <w:left w:val="none" w:sz="0" w:space="0" w:color="auto"/>
        <w:bottom w:val="none" w:sz="0" w:space="0" w:color="auto"/>
        <w:right w:val="none" w:sz="0" w:space="0" w:color="auto"/>
      </w:divBdr>
    </w:div>
    <w:div w:id="1667710166">
      <w:bodyDiv w:val="1"/>
      <w:marLeft w:val="0"/>
      <w:marRight w:val="0"/>
      <w:marTop w:val="0"/>
      <w:marBottom w:val="0"/>
      <w:divBdr>
        <w:top w:val="none" w:sz="0" w:space="0" w:color="auto"/>
        <w:left w:val="none" w:sz="0" w:space="0" w:color="auto"/>
        <w:bottom w:val="none" w:sz="0" w:space="0" w:color="auto"/>
        <w:right w:val="none" w:sz="0" w:space="0" w:color="auto"/>
      </w:divBdr>
    </w:div>
    <w:div w:id="1943799207">
      <w:bodyDiv w:val="1"/>
      <w:marLeft w:val="0"/>
      <w:marRight w:val="0"/>
      <w:marTop w:val="0"/>
      <w:marBottom w:val="0"/>
      <w:divBdr>
        <w:top w:val="none" w:sz="0" w:space="0" w:color="auto"/>
        <w:left w:val="none" w:sz="0" w:space="0" w:color="auto"/>
        <w:bottom w:val="none" w:sz="0" w:space="0" w:color="auto"/>
        <w:right w:val="none" w:sz="0" w:space="0" w:color="auto"/>
      </w:divBdr>
    </w:div>
    <w:div w:id="2114787741">
      <w:bodyDiv w:val="1"/>
      <w:marLeft w:val="0"/>
      <w:marRight w:val="0"/>
      <w:marTop w:val="0"/>
      <w:marBottom w:val="0"/>
      <w:divBdr>
        <w:top w:val="none" w:sz="0" w:space="0" w:color="auto"/>
        <w:left w:val="none" w:sz="0" w:space="0" w:color="auto"/>
        <w:bottom w:val="none" w:sz="0" w:space="0" w:color="auto"/>
        <w:right w:val="none" w:sz="0" w:space="0" w:color="auto"/>
      </w:divBdr>
    </w:div>
    <w:div w:id="2140223153">
      <w:bodyDiv w:val="1"/>
      <w:marLeft w:val="0"/>
      <w:marRight w:val="0"/>
      <w:marTop w:val="0"/>
      <w:marBottom w:val="0"/>
      <w:divBdr>
        <w:top w:val="none" w:sz="0" w:space="0" w:color="auto"/>
        <w:left w:val="none" w:sz="0" w:space="0" w:color="auto"/>
        <w:bottom w:val="none" w:sz="0" w:space="0" w:color="auto"/>
        <w:right w:val="none" w:sz="0" w:space="0" w:color="auto"/>
      </w:divBdr>
      <w:divsChild>
        <w:div w:id="2013220813">
          <w:marLeft w:val="0"/>
          <w:marRight w:val="0"/>
          <w:marTop w:val="0"/>
          <w:marBottom w:val="0"/>
          <w:divBdr>
            <w:top w:val="none" w:sz="0" w:space="0" w:color="auto"/>
            <w:left w:val="none" w:sz="0" w:space="0" w:color="auto"/>
            <w:bottom w:val="none" w:sz="0" w:space="0" w:color="auto"/>
            <w:right w:val="none" w:sz="0" w:space="0" w:color="auto"/>
          </w:divBdr>
        </w:div>
        <w:div w:id="2033260612">
          <w:marLeft w:val="0"/>
          <w:marRight w:val="0"/>
          <w:marTop w:val="0"/>
          <w:marBottom w:val="0"/>
          <w:divBdr>
            <w:top w:val="none" w:sz="0" w:space="0" w:color="auto"/>
            <w:left w:val="none" w:sz="0" w:space="0" w:color="auto"/>
            <w:bottom w:val="none" w:sz="0" w:space="0" w:color="auto"/>
            <w:right w:val="none" w:sz="0" w:space="0" w:color="auto"/>
          </w:divBdr>
        </w:div>
        <w:div w:id="2053841638">
          <w:marLeft w:val="0"/>
          <w:marRight w:val="0"/>
          <w:marTop w:val="0"/>
          <w:marBottom w:val="0"/>
          <w:divBdr>
            <w:top w:val="none" w:sz="0" w:space="0" w:color="auto"/>
            <w:left w:val="none" w:sz="0" w:space="0" w:color="auto"/>
            <w:bottom w:val="none" w:sz="0" w:space="0" w:color="auto"/>
            <w:right w:val="none" w:sz="0" w:space="0" w:color="auto"/>
          </w:divBdr>
        </w:div>
        <w:div w:id="1640651617">
          <w:marLeft w:val="0"/>
          <w:marRight w:val="0"/>
          <w:marTop w:val="0"/>
          <w:marBottom w:val="0"/>
          <w:divBdr>
            <w:top w:val="none" w:sz="0" w:space="0" w:color="auto"/>
            <w:left w:val="none" w:sz="0" w:space="0" w:color="auto"/>
            <w:bottom w:val="none" w:sz="0" w:space="0" w:color="auto"/>
            <w:right w:val="none" w:sz="0" w:space="0" w:color="auto"/>
          </w:divBdr>
        </w:div>
        <w:div w:id="1251039384">
          <w:marLeft w:val="0"/>
          <w:marRight w:val="0"/>
          <w:marTop w:val="0"/>
          <w:marBottom w:val="0"/>
          <w:divBdr>
            <w:top w:val="none" w:sz="0" w:space="0" w:color="auto"/>
            <w:left w:val="none" w:sz="0" w:space="0" w:color="auto"/>
            <w:bottom w:val="none" w:sz="0" w:space="0" w:color="auto"/>
            <w:right w:val="none" w:sz="0" w:space="0" w:color="auto"/>
          </w:divBdr>
        </w:div>
        <w:div w:id="16289751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sadye/inclusion-social/protocolo-ssv/docs/pssv-indicadore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FAF49B-B879-4D98-831D-2B32977324B8}">
  <ds:schemaRefs>
    <ds:schemaRef ds:uri="http://schemas.openxmlformats.org/officeDocument/2006/bibliography"/>
  </ds:schemaRefs>
</ds:datastoreItem>
</file>

<file path=customXml/itemProps2.xml><?xml version="1.0" encoding="utf-8"?>
<ds:datastoreItem xmlns:ds="http://schemas.openxmlformats.org/officeDocument/2006/customXml" ds:itemID="{399C4025-2B1C-47D4-8B54-458795491788}"/>
</file>

<file path=customXml/itemProps3.xml><?xml version="1.0" encoding="utf-8"?>
<ds:datastoreItem xmlns:ds="http://schemas.openxmlformats.org/officeDocument/2006/customXml" ds:itemID="{4E49452B-4070-45BC-B845-E68B8B71F4AF}"/>
</file>

<file path=customXml/itemProps4.xml><?xml version="1.0" encoding="utf-8"?>
<ds:datastoreItem xmlns:ds="http://schemas.openxmlformats.org/officeDocument/2006/customXml" ds:itemID="{E06F95F0-06C2-42BE-8E3B-50A19C160760}"/>
</file>

<file path=docProps/app.xml><?xml version="1.0" encoding="utf-8"?>
<Properties xmlns="http://schemas.openxmlformats.org/officeDocument/2006/extended-properties" xmlns:vt="http://schemas.openxmlformats.org/officeDocument/2006/docPropsVTypes">
  <Template>Normal.dotm</Template>
  <TotalTime>2</TotalTime>
  <Pages>30</Pages>
  <Words>10806</Words>
  <Characters>61598</Characters>
  <Application>Microsoft Office Word</Application>
  <DocSecurity>0</DocSecurity>
  <Lines>513</Lines>
  <Paragraphs>144</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United Nations</vt:lpstr>
      <vt:lpstr>United Nations</vt:lpstr>
      <vt:lpstr>United Nations</vt:lpstr>
    </vt:vector>
  </TitlesOfParts>
  <Company>Institute for Human Rights and Business</Company>
  <LinksUpToDate>false</LinksUpToDate>
  <CharactersWithSpaces>72260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DraftGuidingPrinciples_FR</dc:title>
  <dc:creator>Claire GARTEISER</dc:creator>
  <cp:lastModifiedBy>Pascal Garde</cp:lastModifiedBy>
  <cp:revision>4</cp:revision>
  <cp:lastPrinted>2018-07-24T12:26:00Z</cp:lastPrinted>
  <dcterms:created xsi:type="dcterms:W3CDTF">2018-08-23T10:25:00Z</dcterms:created>
  <dcterms:modified xsi:type="dcterms:W3CDTF">2018-08-23T10:26:00Z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2011-12-19T00:00:00Z</vt:filetime>
  </property>
  <property fmtid="{D5CDD505-2E9C-101B-9397-08002B2CF9AE}" pid="3" name="Creator">
    <vt:lpwstr>Microsoft® Word 2010</vt:lpwstr>
  </property>
  <property fmtid="{D5CDD505-2E9C-101B-9397-08002B2CF9AE}" pid="4" name="LastSaved">
    <vt:filetime>2017-10-24T00:00:00Z</vt:filetime>
  </property>
  <property fmtid="{D5CDD505-2E9C-101B-9397-08002B2CF9AE}" pid="5" name="ContentTypeId">
    <vt:lpwstr>0x0101008822B9E06671B54FA89F14538B9B0FEA</vt:lpwstr>
  </property>
</Properties>
</file>