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28"/>
      </w:tblGrid>
      <w:tr w:rsidR="000800C6" w:rsidRPr="00F922B1" w14:paraId="40073B0A" w14:textId="77777777" w:rsidTr="00153E36">
        <w:trPr>
          <w:jc w:val="center"/>
        </w:trPr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0073B09" w14:textId="77777777" w:rsidR="000800C6" w:rsidRPr="00F922B1" w:rsidRDefault="000800C6" w:rsidP="00153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40073B21" wp14:editId="40073B22">
                  <wp:extent cx="603250" cy="679450"/>
                  <wp:effectExtent l="19050" t="0" r="635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0C6" w:rsidRPr="00F922B1" w14:paraId="40073B0D" w14:textId="77777777" w:rsidTr="00153E36">
        <w:trPr>
          <w:jc w:val="center"/>
        </w:trPr>
        <w:tc>
          <w:tcPr>
            <w:tcW w:w="44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0073B0B" w14:textId="77777777" w:rsidR="000800C6" w:rsidRPr="00F922B1" w:rsidRDefault="000800C6" w:rsidP="00153E3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</w:pPr>
            <w:r w:rsidRPr="00F922B1"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  <w:t>REPUBLICA DE CUBA</w:t>
            </w:r>
          </w:p>
          <w:p w14:paraId="40073B0C" w14:textId="77777777" w:rsidR="000800C6" w:rsidRPr="00F922B1" w:rsidRDefault="000800C6" w:rsidP="00153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922B1">
              <w:rPr>
                <w:rFonts w:ascii="Arial Narrow" w:hAnsi="Arial Narrow" w:cs="Arial Narrow"/>
                <w:b/>
                <w:bCs/>
                <w:sz w:val="16"/>
                <w:szCs w:val="16"/>
                <w:lang w:val="es-ES_tradnl"/>
              </w:rPr>
              <w:t>Misión Permanente ante la Oficina de las Naciones Unidas en Ginebra y los Organismos Internacionales con sede en Suiza</w:t>
            </w:r>
          </w:p>
        </w:tc>
      </w:tr>
    </w:tbl>
    <w:p w14:paraId="40073B0E" w14:textId="77777777" w:rsidR="000800C6" w:rsidRDefault="00300377" w:rsidP="000800C6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Nota No. 195</w:t>
      </w:r>
      <w:r w:rsidR="000800C6" w:rsidRPr="00F922B1">
        <w:rPr>
          <w:rFonts w:ascii="Arial" w:hAnsi="Arial" w:cs="Arial"/>
          <w:b/>
        </w:rPr>
        <w:t>/201</w:t>
      </w:r>
      <w:r w:rsidR="000800C6">
        <w:rPr>
          <w:rFonts w:ascii="Arial" w:hAnsi="Arial" w:cs="Arial"/>
          <w:b/>
        </w:rPr>
        <w:t>8</w:t>
      </w:r>
    </w:p>
    <w:p w14:paraId="40073B0F" w14:textId="77777777" w:rsidR="006A148F" w:rsidRPr="000800C6" w:rsidRDefault="006A148F" w:rsidP="000800C6">
      <w:pPr>
        <w:spacing w:before="240" w:after="24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800C6">
        <w:rPr>
          <w:rFonts w:ascii="Arial" w:eastAsia="Calibri" w:hAnsi="Arial" w:cs="Arial"/>
          <w:color w:val="000000"/>
          <w:sz w:val="24"/>
          <w:szCs w:val="24"/>
        </w:rPr>
        <w:t xml:space="preserve">La Misión Permanente de Cuba ante la Oficina de las Naciones Unidas </w:t>
      </w:r>
      <w:r w:rsidR="003C3E68" w:rsidRPr="000800C6">
        <w:rPr>
          <w:rFonts w:ascii="Arial" w:eastAsia="Calibri" w:hAnsi="Arial" w:cs="Arial"/>
          <w:color w:val="000000"/>
          <w:sz w:val="24"/>
          <w:szCs w:val="24"/>
        </w:rPr>
        <w:t xml:space="preserve">en Ginebra </w:t>
      </w:r>
      <w:r w:rsidRPr="000800C6">
        <w:rPr>
          <w:rFonts w:ascii="Arial" w:eastAsia="Calibri" w:hAnsi="Arial" w:cs="Arial"/>
          <w:color w:val="000000"/>
          <w:sz w:val="24"/>
          <w:szCs w:val="24"/>
        </w:rPr>
        <w:t>y l</w:t>
      </w:r>
      <w:r w:rsidR="003C3E68" w:rsidRPr="000800C6">
        <w:rPr>
          <w:rFonts w:ascii="Arial" w:eastAsia="Calibri" w:hAnsi="Arial" w:cs="Arial"/>
          <w:color w:val="000000"/>
          <w:sz w:val="24"/>
          <w:szCs w:val="24"/>
        </w:rPr>
        <w:t>o</w:t>
      </w:r>
      <w:r w:rsidRPr="000800C6">
        <w:rPr>
          <w:rFonts w:ascii="Arial" w:eastAsia="Calibri" w:hAnsi="Arial" w:cs="Arial"/>
          <w:color w:val="000000"/>
          <w:sz w:val="24"/>
          <w:szCs w:val="24"/>
        </w:rPr>
        <w:t>s Organi</w:t>
      </w:r>
      <w:r w:rsidR="003C3E68" w:rsidRPr="000800C6">
        <w:rPr>
          <w:rFonts w:ascii="Arial" w:eastAsia="Calibri" w:hAnsi="Arial" w:cs="Arial"/>
          <w:color w:val="000000"/>
          <w:sz w:val="24"/>
          <w:szCs w:val="24"/>
        </w:rPr>
        <w:t>smos</w:t>
      </w:r>
      <w:r w:rsidRPr="000800C6">
        <w:rPr>
          <w:rFonts w:ascii="Arial" w:eastAsia="Calibri" w:hAnsi="Arial" w:cs="Arial"/>
          <w:color w:val="000000"/>
          <w:sz w:val="24"/>
          <w:szCs w:val="24"/>
        </w:rPr>
        <w:t xml:space="preserve"> Internacionales con sede en Suiza, saluda a la Oficina del Alto Comisionado de las Naciones Unidas para los Derechos Humanos y tiene </w:t>
      </w:r>
      <w:r w:rsidR="003C3E68" w:rsidRPr="000800C6">
        <w:rPr>
          <w:rFonts w:ascii="Arial" w:eastAsia="Calibri" w:hAnsi="Arial" w:cs="Arial"/>
          <w:color w:val="000000"/>
          <w:sz w:val="24"/>
          <w:szCs w:val="24"/>
        </w:rPr>
        <w:t>a bien</w:t>
      </w:r>
      <w:r w:rsidRPr="000800C6">
        <w:rPr>
          <w:rFonts w:ascii="Arial" w:eastAsia="Calibri" w:hAnsi="Arial" w:cs="Arial"/>
          <w:color w:val="000000"/>
          <w:sz w:val="24"/>
          <w:szCs w:val="24"/>
        </w:rPr>
        <w:t xml:space="preserve"> referirse </w:t>
      </w:r>
      <w:bookmarkStart w:id="0" w:name="_GoBack"/>
      <w:bookmarkEnd w:id="0"/>
      <w:r w:rsidRPr="000800C6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a la solicitud de información </w:t>
      </w:r>
      <w:r w:rsidR="003C3E68" w:rsidRPr="000800C6">
        <w:rPr>
          <w:rFonts w:ascii="Arial" w:eastAsia="Calibri" w:hAnsi="Arial" w:cs="Arial"/>
          <w:color w:val="000000"/>
          <w:sz w:val="24"/>
          <w:szCs w:val="24"/>
        </w:rPr>
        <w:t>de</w:t>
      </w:r>
      <w:r w:rsidRPr="000800C6">
        <w:rPr>
          <w:rFonts w:ascii="Arial" w:eastAsia="Calibri" w:hAnsi="Arial" w:cs="Arial"/>
          <w:color w:val="000000"/>
          <w:sz w:val="24"/>
          <w:szCs w:val="24"/>
        </w:rPr>
        <w:t xml:space="preserve">l Relator Especial sobre la independencia de los </w:t>
      </w:r>
      <w:r w:rsidR="00946C4A" w:rsidRPr="000800C6">
        <w:rPr>
          <w:rFonts w:ascii="Arial" w:eastAsia="Calibri" w:hAnsi="Arial" w:cs="Arial"/>
          <w:color w:val="000000"/>
          <w:sz w:val="24"/>
          <w:szCs w:val="24"/>
        </w:rPr>
        <w:t>jueces</w:t>
      </w:r>
      <w:r w:rsidRPr="000800C6">
        <w:rPr>
          <w:rFonts w:ascii="Arial" w:eastAsia="Calibri" w:hAnsi="Arial" w:cs="Arial"/>
          <w:color w:val="000000"/>
          <w:sz w:val="24"/>
          <w:szCs w:val="24"/>
        </w:rPr>
        <w:t xml:space="preserve"> y abogados, </w:t>
      </w:r>
      <w:r w:rsidR="006D0B58" w:rsidRPr="000800C6">
        <w:rPr>
          <w:rFonts w:ascii="Arial" w:eastAsia="Calibri" w:hAnsi="Arial" w:cs="Arial"/>
          <w:color w:val="000000"/>
          <w:sz w:val="24"/>
          <w:szCs w:val="24"/>
        </w:rPr>
        <w:t>relativa a</w:t>
      </w:r>
      <w:r w:rsidRPr="000800C6">
        <w:rPr>
          <w:rFonts w:ascii="Arial" w:eastAsia="Calibri" w:hAnsi="Arial" w:cs="Arial"/>
          <w:color w:val="000000"/>
          <w:sz w:val="24"/>
          <w:szCs w:val="24"/>
        </w:rPr>
        <w:t xml:space="preserve"> la</w:t>
      </w:r>
      <w:r w:rsidR="00946C4A" w:rsidRPr="000800C6">
        <w:rPr>
          <w:rFonts w:ascii="Arial" w:eastAsia="Calibri" w:hAnsi="Arial" w:cs="Arial"/>
          <w:color w:val="000000"/>
          <w:sz w:val="24"/>
          <w:szCs w:val="24"/>
        </w:rPr>
        <w:t>s asociaciones profesionales de abogados</w:t>
      </w:r>
      <w:r w:rsidRPr="000800C6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40073B10" w14:textId="77777777" w:rsidR="006A148F" w:rsidRPr="000800C6" w:rsidRDefault="003C3E68" w:rsidP="000800C6">
      <w:pPr>
        <w:spacing w:before="240" w:after="24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800C6">
        <w:rPr>
          <w:rFonts w:ascii="Arial" w:eastAsia="Calibri" w:hAnsi="Arial" w:cs="Arial"/>
          <w:color w:val="000000"/>
          <w:sz w:val="24"/>
          <w:szCs w:val="24"/>
        </w:rPr>
        <w:t>Al respecto</w:t>
      </w:r>
      <w:r w:rsidR="006A148F" w:rsidRPr="000800C6">
        <w:rPr>
          <w:rFonts w:ascii="Arial" w:eastAsia="Calibri" w:hAnsi="Arial" w:cs="Arial"/>
          <w:color w:val="000000"/>
          <w:sz w:val="24"/>
          <w:szCs w:val="24"/>
        </w:rPr>
        <w:t xml:space="preserve">, la </w:t>
      </w:r>
      <w:r w:rsidRPr="000800C6">
        <w:rPr>
          <w:rFonts w:ascii="Arial" w:eastAsia="Calibri" w:hAnsi="Arial" w:cs="Arial"/>
          <w:color w:val="000000"/>
          <w:sz w:val="24"/>
          <w:szCs w:val="24"/>
        </w:rPr>
        <w:t>Misión Permanente de Cuba</w:t>
      </w:r>
      <w:r w:rsidR="006A148F" w:rsidRPr="000800C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800C6">
        <w:rPr>
          <w:rFonts w:ascii="Arial" w:eastAsia="Calibri" w:hAnsi="Arial" w:cs="Arial"/>
          <w:color w:val="000000"/>
          <w:sz w:val="24"/>
          <w:szCs w:val="24"/>
        </w:rPr>
        <w:t>desea</w:t>
      </w:r>
      <w:r w:rsidR="006A148F" w:rsidRPr="000800C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800C6">
        <w:rPr>
          <w:rFonts w:ascii="Arial" w:eastAsia="Calibri" w:hAnsi="Arial" w:cs="Arial"/>
          <w:color w:val="000000"/>
          <w:sz w:val="24"/>
          <w:szCs w:val="24"/>
        </w:rPr>
        <w:t>trasladar</w:t>
      </w:r>
      <w:r w:rsidR="006A148F" w:rsidRPr="000800C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65221" w:rsidRPr="000800C6">
        <w:rPr>
          <w:rFonts w:ascii="Arial" w:eastAsia="Calibri" w:hAnsi="Arial" w:cs="Arial"/>
          <w:color w:val="000000"/>
          <w:sz w:val="24"/>
          <w:szCs w:val="24"/>
        </w:rPr>
        <w:t xml:space="preserve">lo </w:t>
      </w:r>
      <w:r w:rsidR="006A148F" w:rsidRPr="000800C6">
        <w:rPr>
          <w:rFonts w:ascii="Arial" w:eastAsia="Calibri" w:hAnsi="Arial" w:cs="Arial"/>
          <w:color w:val="000000"/>
          <w:sz w:val="24"/>
          <w:szCs w:val="24"/>
        </w:rPr>
        <w:t>siguiente:</w:t>
      </w:r>
    </w:p>
    <w:p w14:paraId="40073B11" w14:textId="77777777" w:rsidR="00234F4B" w:rsidRDefault="004B5844" w:rsidP="000800C6">
      <w:pPr>
        <w:numPr>
          <w:ilvl w:val="0"/>
          <w:numId w:val="1"/>
        </w:numPr>
        <w:spacing w:before="240" w:after="24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4C7135">
        <w:rPr>
          <w:rFonts w:ascii="Arial" w:hAnsi="Arial" w:cs="Arial"/>
          <w:sz w:val="24"/>
          <w:szCs w:val="24"/>
        </w:rPr>
        <w:t xml:space="preserve">La Organización Nacional de Bufetes Colectivos </w:t>
      </w:r>
      <w:r w:rsidR="00234F4B">
        <w:rPr>
          <w:rFonts w:ascii="Arial" w:hAnsi="Arial" w:cs="Arial"/>
          <w:sz w:val="24"/>
          <w:szCs w:val="24"/>
        </w:rPr>
        <w:t xml:space="preserve">(ONBC) </w:t>
      </w:r>
      <w:r w:rsidRPr="004C7135">
        <w:rPr>
          <w:rFonts w:ascii="Arial" w:hAnsi="Arial" w:cs="Arial"/>
          <w:sz w:val="24"/>
          <w:szCs w:val="24"/>
        </w:rPr>
        <w:t xml:space="preserve">es la asociación profesional </w:t>
      </w:r>
      <w:r w:rsidR="00234F4B">
        <w:rPr>
          <w:rFonts w:ascii="Arial" w:hAnsi="Arial" w:cs="Arial"/>
          <w:sz w:val="24"/>
          <w:szCs w:val="24"/>
        </w:rPr>
        <w:t>que agrupa a los</w:t>
      </w:r>
      <w:r w:rsidRPr="004C7135">
        <w:rPr>
          <w:rFonts w:ascii="Arial" w:hAnsi="Arial" w:cs="Arial"/>
          <w:sz w:val="24"/>
          <w:szCs w:val="24"/>
        </w:rPr>
        <w:t xml:space="preserve"> abogados en Cuba</w:t>
      </w:r>
      <w:r w:rsidR="00234F4B">
        <w:rPr>
          <w:rFonts w:ascii="Arial" w:hAnsi="Arial" w:cs="Arial"/>
          <w:sz w:val="24"/>
          <w:szCs w:val="24"/>
        </w:rPr>
        <w:t>. E</w:t>
      </w:r>
      <w:r w:rsidR="00234F4B" w:rsidRPr="004C7135">
        <w:rPr>
          <w:rFonts w:ascii="Arial" w:hAnsi="Arial" w:cs="Arial"/>
          <w:sz w:val="24"/>
          <w:szCs w:val="24"/>
        </w:rPr>
        <w:t xml:space="preserve">s una entidad autónoma, </w:t>
      </w:r>
      <w:r w:rsidR="00234F4B" w:rsidRPr="004C7135">
        <w:rPr>
          <w:rFonts w:ascii="Arial" w:hAnsi="Arial" w:cs="Arial"/>
          <w:sz w:val="24"/>
          <w:szCs w:val="24"/>
        </w:rPr>
        <w:lastRenderedPageBreak/>
        <w:t>con patrimonio propio y personalidad jurídica amparada en el Decreto-Ley No. 81 sobre el “Ejercicio de la Abogacía y la Organización Nacional de Bufetes Colectivos</w:t>
      </w:r>
      <w:r w:rsidR="00234F4B">
        <w:rPr>
          <w:rFonts w:ascii="Arial" w:hAnsi="Arial" w:cs="Arial"/>
          <w:sz w:val="24"/>
          <w:szCs w:val="24"/>
        </w:rPr>
        <w:t>”</w:t>
      </w:r>
      <w:r w:rsidR="00234F4B" w:rsidRPr="004C7135">
        <w:rPr>
          <w:rFonts w:ascii="Arial" w:hAnsi="Arial" w:cs="Arial"/>
          <w:sz w:val="24"/>
          <w:szCs w:val="24"/>
        </w:rPr>
        <w:t>.</w:t>
      </w:r>
    </w:p>
    <w:p w14:paraId="40073B12" w14:textId="77777777" w:rsidR="004B5844" w:rsidRPr="004C7135" w:rsidRDefault="00234F4B" w:rsidP="000800C6">
      <w:pPr>
        <w:numPr>
          <w:ilvl w:val="0"/>
          <w:numId w:val="1"/>
        </w:numPr>
        <w:spacing w:before="240" w:after="24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</w:t>
      </w:r>
      <w:r w:rsidR="004B5844" w:rsidRPr="004C7135">
        <w:rPr>
          <w:rFonts w:ascii="Arial" w:hAnsi="Arial" w:cs="Arial"/>
          <w:sz w:val="24"/>
          <w:szCs w:val="24"/>
        </w:rPr>
        <w:t xml:space="preserve"> entre sus funciones, el deber de garantizar la presta</w:t>
      </w:r>
      <w:r>
        <w:rPr>
          <w:rFonts w:ascii="Arial" w:hAnsi="Arial" w:cs="Arial"/>
          <w:sz w:val="24"/>
          <w:szCs w:val="24"/>
        </w:rPr>
        <w:t>ción de servicios jurídicos a los</w:t>
      </w:r>
      <w:r w:rsidR="004B5844" w:rsidRPr="004C71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ciudadanos. Dispone</w:t>
      </w:r>
      <w:r w:rsidR="004B5844" w:rsidRPr="004C7135">
        <w:rPr>
          <w:rFonts w:ascii="Arial" w:hAnsi="Arial" w:cs="Arial"/>
          <w:sz w:val="24"/>
          <w:szCs w:val="24"/>
        </w:rPr>
        <w:t xml:space="preserve"> para ello de estructuras y oficinas en todo el territorio nacional, </w:t>
      </w:r>
      <w:r>
        <w:rPr>
          <w:rFonts w:ascii="Arial" w:hAnsi="Arial" w:cs="Arial"/>
          <w:sz w:val="24"/>
          <w:szCs w:val="24"/>
        </w:rPr>
        <w:t>lo que garantiza</w:t>
      </w:r>
      <w:r w:rsidR="004B5844" w:rsidRPr="004C7135">
        <w:rPr>
          <w:rFonts w:ascii="Arial" w:hAnsi="Arial" w:cs="Arial"/>
          <w:sz w:val="24"/>
          <w:szCs w:val="24"/>
        </w:rPr>
        <w:t xml:space="preserve"> servicios generales y especializados por materias del </w:t>
      </w:r>
      <w:r>
        <w:rPr>
          <w:rFonts w:ascii="Arial" w:hAnsi="Arial" w:cs="Arial"/>
          <w:sz w:val="24"/>
          <w:szCs w:val="24"/>
        </w:rPr>
        <w:t>D</w:t>
      </w:r>
      <w:r w:rsidR="004B5844" w:rsidRPr="004C7135">
        <w:rPr>
          <w:rFonts w:ascii="Arial" w:hAnsi="Arial" w:cs="Arial"/>
          <w:sz w:val="24"/>
          <w:szCs w:val="24"/>
        </w:rPr>
        <w:t>erecho.</w:t>
      </w:r>
    </w:p>
    <w:p w14:paraId="40073B13" w14:textId="77777777" w:rsidR="00234F4B" w:rsidRDefault="00234F4B" w:rsidP="000800C6">
      <w:pPr>
        <w:numPr>
          <w:ilvl w:val="0"/>
          <w:numId w:val="1"/>
        </w:numPr>
        <w:spacing w:before="240" w:after="24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4C7135">
        <w:rPr>
          <w:rFonts w:ascii="Arial" w:hAnsi="Arial" w:cs="Arial"/>
          <w:sz w:val="24"/>
          <w:szCs w:val="24"/>
        </w:rPr>
        <w:lastRenderedPageBreak/>
        <w:t xml:space="preserve">La ONBC tiene como misión prestar servicios jurídicos con calidad a </w:t>
      </w:r>
      <w:r w:rsidR="006D0B58">
        <w:rPr>
          <w:rFonts w:ascii="Arial" w:hAnsi="Arial" w:cs="Arial"/>
          <w:sz w:val="24"/>
          <w:szCs w:val="24"/>
        </w:rPr>
        <w:t xml:space="preserve">personas naturales y jurídicas. Cuenta </w:t>
      </w:r>
      <w:r w:rsidRPr="004C7135">
        <w:rPr>
          <w:rFonts w:ascii="Arial" w:hAnsi="Arial" w:cs="Arial"/>
          <w:sz w:val="24"/>
          <w:szCs w:val="24"/>
        </w:rPr>
        <w:t xml:space="preserve">con profesionales calificados en todas las ramas del Derecho, con una </w:t>
      </w:r>
      <w:r w:rsidR="006D0B58">
        <w:rPr>
          <w:rFonts w:ascii="Arial" w:hAnsi="Arial" w:cs="Arial"/>
          <w:sz w:val="24"/>
          <w:szCs w:val="24"/>
        </w:rPr>
        <w:t xml:space="preserve">elevada </w:t>
      </w:r>
      <w:r w:rsidRPr="004C7135">
        <w:rPr>
          <w:rFonts w:ascii="Arial" w:hAnsi="Arial" w:cs="Arial"/>
          <w:sz w:val="24"/>
          <w:szCs w:val="24"/>
        </w:rPr>
        <w:t>cultura intelectual y ética, así como con una eficacia en su gestión reconocida por los clientes y la sociedad</w:t>
      </w:r>
      <w:r w:rsidR="006D0B58">
        <w:rPr>
          <w:rFonts w:ascii="Arial" w:hAnsi="Arial" w:cs="Arial"/>
          <w:sz w:val="24"/>
          <w:szCs w:val="24"/>
        </w:rPr>
        <w:t xml:space="preserve"> en general</w:t>
      </w:r>
      <w:r w:rsidR="000800C6">
        <w:rPr>
          <w:rFonts w:ascii="Arial" w:hAnsi="Arial" w:cs="Arial"/>
          <w:sz w:val="24"/>
          <w:szCs w:val="24"/>
        </w:rPr>
        <w:t>.</w:t>
      </w:r>
    </w:p>
    <w:p w14:paraId="40073B14" w14:textId="77777777" w:rsidR="000800C6" w:rsidRDefault="000800C6" w:rsidP="000800C6">
      <w:pPr>
        <w:spacing w:after="0"/>
        <w:ind w:left="-425"/>
        <w:jc w:val="both"/>
        <w:rPr>
          <w:rFonts w:ascii="Arial" w:hAnsi="Arial" w:cs="Arial"/>
          <w:b/>
          <w:i/>
        </w:rPr>
      </w:pPr>
    </w:p>
    <w:p w14:paraId="40073B15" w14:textId="77777777" w:rsidR="000800C6" w:rsidRDefault="000800C6" w:rsidP="000800C6">
      <w:pPr>
        <w:spacing w:after="0"/>
        <w:ind w:left="-425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Oficina del Alto Comisionado de las Naciones Unidas</w:t>
      </w:r>
    </w:p>
    <w:p w14:paraId="40073B16" w14:textId="77777777" w:rsidR="000800C6" w:rsidRDefault="000800C6" w:rsidP="000800C6">
      <w:pPr>
        <w:spacing w:after="0"/>
        <w:ind w:left="-425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para los Derechos Humanos</w:t>
      </w:r>
    </w:p>
    <w:p w14:paraId="40073B17" w14:textId="77777777" w:rsidR="000800C6" w:rsidRPr="005C459B" w:rsidRDefault="000800C6" w:rsidP="000800C6">
      <w:pPr>
        <w:spacing w:after="0"/>
        <w:ind w:left="-425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i/>
        </w:rPr>
        <w:t>Ginebra</w:t>
      </w:r>
    </w:p>
    <w:p w14:paraId="40073B18" w14:textId="77777777" w:rsidR="000800C6" w:rsidRPr="004C7135" w:rsidRDefault="000800C6" w:rsidP="000800C6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40073B19" w14:textId="77777777" w:rsidR="00234F4B" w:rsidRPr="004C7135" w:rsidRDefault="00234F4B" w:rsidP="000800C6">
      <w:pPr>
        <w:numPr>
          <w:ilvl w:val="0"/>
          <w:numId w:val="1"/>
        </w:numPr>
        <w:spacing w:before="240" w:after="24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4C7135">
        <w:rPr>
          <w:rFonts w:ascii="Arial" w:hAnsi="Arial" w:cs="Arial"/>
          <w:sz w:val="24"/>
          <w:szCs w:val="24"/>
        </w:rPr>
        <w:t xml:space="preserve">Su objeto social es </w:t>
      </w:r>
      <w:r w:rsidR="00BE5DA4">
        <w:rPr>
          <w:rFonts w:ascii="Arial" w:hAnsi="Arial" w:cs="Arial"/>
          <w:sz w:val="24"/>
          <w:szCs w:val="24"/>
        </w:rPr>
        <w:t>responder</w:t>
      </w:r>
      <w:r w:rsidRPr="004C7135">
        <w:rPr>
          <w:rFonts w:ascii="Arial" w:hAnsi="Arial" w:cs="Arial"/>
          <w:sz w:val="24"/>
          <w:szCs w:val="24"/>
        </w:rPr>
        <w:t xml:space="preserve"> consultas y dirigir, representar y defender los derechos de </w:t>
      </w:r>
      <w:r w:rsidR="006D0B58">
        <w:rPr>
          <w:rFonts w:ascii="Arial" w:hAnsi="Arial" w:cs="Arial"/>
          <w:sz w:val="24"/>
          <w:szCs w:val="24"/>
        </w:rPr>
        <w:t xml:space="preserve">las </w:t>
      </w:r>
      <w:r w:rsidRPr="004C7135">
        <w:rPr>
          <w:rFonts w:ascii="Arial" w:hAnsi="Arial" w:cs="Arial"/>
          <w:sz w:val="24"/>
          <w:szCs w:val="24"/>
        </w:rPr>
        <w:t>persona</w:t>
      </w:r>
      <w:r w:rsidR="006D0B58">
        <w:rPr>
          <w:rFonts w:ascii="Arial" w:hAnsi="Arial" w:cs="Arial"/>
          <w:sz w:val="24"/>
          <w:szCs w:val="24"/>
        </w:rPr>
        <w:t>s</w:t>
      </w:r>
      <w:r w:rsidRPr="004C7135">
        <w:rPr>
          <w:rFonts w:ascii="Arial" w:hAnsi="Arial" w:cs="Arial"/>
          <w:sz w:val="24"/>
          <w:szCs w:val="24"/>
        </w:rPr>
        <w:t xml:space="preserve"> natural</w:t>
      </w:r>
      <w:r w:rsidR="006D0B58">
        <w:rPr>
          <w:rFonts w:ascii="Arial" w:hAnsi="Arial" w:cs="Arial"/>
          <w:sz w:val="24"/>
          <w:szCs w:val="24"/>
        </w:rPr>
        <w:t>es</w:t>
      </w:r>
      <w:r w:rsidRPr="004C7135">
        <w:rPr>
          <w:rFonts w:ascii="Arial" w:hAnsi="Arial" w:cs="Arial"/>
          <w:sz w:val="24"/>
          <w:szCs w:val="24"/>
        </w:rPr>
        <w:t xml:space="preserve"> o jurídica</w:t>
      </w:r>
      <w:r w:rsidR="006D0B58">
        <w:rPr>
          <w:rFonts w:ascii="Arial" w:hAnsi="Arial" w:cs="Arial"/>
          <w:sz w:val="24"/>
          <w:szCs w:val="24"/>
        </w:rPr>
        <w:t>s</w:t>
      </w:r>
      <w:r w:rsidRPr="004C7135">
        <w:rPr>
          <w:rFonts w:ascii="Arial" w:hAnsi="Arial" w:cs="Arial"/>
          <w:sz w:val="24"/>
          <w:szCs w:val="24"/>
        </w:rPr>
        <w:t xml:space="preserve"> ante los tribunales de justicia, los órganos de arbitraje y los organismos administrativos en el territorio nacional, así como ante los órganos, organismos y organizaciones extranjeras o internacionales.</w:t>
      </w:r>
    </w:p>
    <w:p w14:paraId="40073B1A" w14:textId="77777777" w:rsidR="004B5844" w:rsidRPr="004C7135" w:rsidRDefault="00234F4B" w:rsidP="000800C6">
      <w:pPr>
        <w:numPr>
          <w:ilvl w:val="0"/>
          <w:numId w:val="1"/>
        </w:numPr>
        <w:spacing w:before="240" w:after="24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Los abogados que la integran, de manera voluntaria,</w:t>
      </w:r>
      <w:r w:rsidR="004B5844" w:rsidRPr="004C7135">
        <w:rPr>
          <w:rFonts w:ascii="Arial" w:hAnsi="Arial" w:cs="Arial"/>
          <w:sz w:val="24"/>
          <w:szCs w:val="24"/>
        </w:rPr>
        <w:t xml:space="preserve"> se especializan en el asesoramiento y representación de las personas naturales o jurídicas en todas las materias del Derecho. </w:t>
      </w:r>
    </w:p>
    <w:p w14:paraId="40073B1B" w14:textId="77777777" w:rsidR="00946C4A" w:rsidRPr="004C7135" w:rsidRDefault="00946C4A" w:rsidP="000800C6">
      <w:pPr>
        <w:numPr>
          <w:ilvl w:val="0"/>
          <w:numId w:val="1"/>
        </w:numPr>
        <w:spacing w:before="240" w:after="24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4C7135">
        <w:rPr>
          <w:rFonts w:ascii="Arial" w:hAnsi="Arial" w:cs="Arial"/>
          <w:sz w:val="24"/>
          <w:szCs w:val="24"/>
        </w:rPr>
        <w:t xml:space="preserve">Como parte de su labor, la </w:t>
      </w:r>
      <w:r w:rsidR="00234F4B">
        <w:rPr>
          <w:rFonts w:ascii="Arial" w:hAnsi="Arial" w:cs="Arial"/>
          <w:sz w:val="24"/>
          <w:szCs w:val="24"/>
        </w:rPr>
        <w:t>ONBC</w:t>
      </w:r>
      <w:r w:rsidRPr="004C7135">
        <w:rPr>
          <w:rFonts w:ascii="Arial" w:hAnsi="Arial" w:cs="Arial"/>
          <w:sz w:val="24"/>
          <w:szCs w:val="24"/>
        </w:rPr>
        <w:t xml:space="preserve"> </w:t>
      </w:r>
      <w:r w:rsidR="00234F4B">
        <w:rPr>
          <w:rFonts w:ascii="Arial" w:hAnsi="Arial" w:cs="Arial"/>
          <w:sz w:val="24"/>
          <w:szCs w:val="24"/>
        </w:rPr>
        <w:t>realiza acciones periódicas p</w:t>
      </w:r>
      <w:r w:rsidRPr="004C7135">
        <w:rPr>
          <w:rFonts w:ascii="Arial" w:hAnsi="Arial" w:cs="Arial"/>
          <w:sz w:val="24"/>
          <w:szCs w:val="24"/>
        </w:rPr>
        <w:t xml:space="preserve">ara asegurar la superación de sus profesionales y un alto nivel de especialización, a fin de brindar mejores servicios a la </w:t>
      </w:r>
      <w:r w:rsidR="00234F4B">
        <w:rPr>
          <w:rFonts w:ascii="Arial" w:hAnsi="Arial" w:cs="Arial"/>
          <w:sz w:val="24"/>
          <w:szCs w:val="24"/>
        </w:rPr>
        <w:t>ciudadanía</w:t>
      </w:r>
      <w:r w:rsidRPr="004C7135">
        <w:rPr>
          <w:rFonts w:ascii="Arial" w:hAnsi="Arial" w:cs="Arial"/>
          <w:sz w:val="24"/>
          <w:szCs w:val="24"/>
        </w:rPr>
        <w:t>.</w:t>
      </w:r>
    </w:p>
    <w:p w14:paraId="40073B1C" w14:textId="77777777" w:rsidR="00946C4A" w:rsidRPr="004C7135" w:rsidRDefault="00946C4A" w:rsidP="000800C6">
      <w:pPr>
        <w:numPr>
          <w:ilvl w:val="0"/>
          <w:numId w:val="1"/>
        </w:numPr>
        <w:spacing w:before="240" w:after="24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4C7135">
        <w:rPr>
          <w:rFonts w:ascii="Arial" w:hAnsi="Arial" w:cs="Arial"/>
          <w:sz w:val="24"/>
          <w:szCs w:val="24"/>
        </w:rPr>
        <w:lastRenderedPageBreak/>
        <w:t xml:space="preserve">Para favorecer el acceso de toda la población, sin discriminación, a la representación letrada en el momento que se requiera, los costos a pagar por los servicios jurídicos que brinda </w:t>
      </w:r>
      <w:r w:rsidR="00234F4B">
        <w:rPr>
          <w:rFonts w:ascii="Arial" w:hAnsi="Arial" w:cs="Arial"/>
          <w:sz w:val="24"/>
          <w:szCs w:val="24"/>
        </w:rPr>
        <w:t>la</w:t>
      </w:r>
      <w:r w:rsidRPr="004C7135">
        <w:rPr>
          <w:rFonts w:ascii="Arial" w:hAnsi="Arial" w:cs="Arial"/>
          <w:sz w:val="24"/>
          <w:szCs w:val="24"/>
        </w:rPr>
        <w:t xml:space="preserve"> institución están fijados por disposiciones normativas.</w:t>
      </w:r>
    </w:p>
    <w:p w14:paraId="40073B1D" w14:textId="77777777" w:rsidR="004C7135" w:rsidRPr="004C7135" w:rsidRDefault="00923C94" w:rsidP="000800C6">
      <w:pPr>
        <w:pStyle w:val="ListParagraph"/>
        <w:numPr>
          <w:ilvl w:val="0"/>
          <w:numId w:val="1"/>
        </w:numPr>
        <w:spacing w:before="240" w:after="240" w:line="360" w:lineRule="auto"/>
        <w:ind w:left="851"/>
        <w:contextualSpacing/>
        <w:jc w:val="both"/>
        <w:rPr>
          <w:rFonts w:ascii="Arial" w:hAnsi="Arial" w:cs="Arial"/>
        </w:rPr>
      </w:pPr>
      <w:r w:rsidRPr="00915EA6">
        <w:rPr>
          <w:rFonts w:ascii="Arial" w:hAnsi="Arial" w:cs="Arial"/>
        </w:rPr>
        <w:t xml:space="preserve">La independencia de los jueces en la administración de justicia es un principio de rango superior en el ordenamiento jurídico nacional, teniendo en cuenta su reconocimiento en </w:t>
      </w:r>
      <w:r w:rsidR="005213DC">
        <w:rPr>
          <w:rFonts w:ascii="Arial" w:hAnsi="Arial" w:cs="Arial"/>
        </w:rPr>
        <w:t xml:space="preserve">el artículo 122 de </w:t>
      </w:r>
      <w:r w:rsidRPr="00915EA6">
        <w:rPr>
          <w:rFonts w:ascii="Arial" w:hAnsi="Arial" w:cs="Arial"/>
        </w:rPr>
        <w:t>la Constitución</w:t>
      </w:r>
      <w:r w:rsidR="005213DC">
        <w:rPr>
          <w:rFonts w:ascii="Arial" w:hAnsi="Arial" w:cs="Arial"/>
        </w:rPr>
        <w:t xml:space="preserve">. </w:t>
      </w:r>
      <w:r w:rsidRPr="00915EA6">
        <w:rPr>
          <w:rFonts w:ascii="Arial" w:hAnsi="Arial" w:cs="Arial"/>
        </w:rPr>
        <w:t xml:space="preserve">Como complemento, ese principio </w:t>
      </w:r>
      <w:r w:rsidRPr="00915EA6">
        <w:rPr>
          <w:rFonts w:ascii="Arial" w:hAnsi="Arial" w:cs="Arial"/>
        </w:rPr>
        <w:lastRenderedPageBreak/>
        <w:t>fue refrendado también en la Ley 82 de 1997, “L</w:t>
      </w:r>
      <w:r>
        <w:rPr>
          <w:rFonts w:ascii="Arial" w:hAnsi="Arial" w:cs="Arial"/>
        </w:rPr>
        <w:t>ey de los Tribunales Populares”</w:t>
      </w:r>
      <w:r w:rsidR="00A538F1" w:rsidRPr="004C7135">
        <w:rPr>
          <w:rFonts w:ascii="Arial" w:hAnsi="Arial" w:cs="Arial"/>
        </w:rPr>
        <w:t>.</w:t>
      </w:r>
    </w:p>
    <w:p w14:paraId="40073B1E" w14:textId="77777777" w:rsidR="006A148F" w:rsidRPr="000800C6" w:rsidRDefault="006A148F" w:rsidP="000800C6">
      <w:pPr>
        <w:spacing w:before="240" w:after="24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800C6">
        <w:rPr>
          <w:rFonts w:ascii="Arial" w:eastAsia="Calibri" w:hAnsi="Arial" w:cs="Arial"/>
          <w:color w:val="000000"/>
          <w:sz w:val="24"/>
          <w:szCs w:val="24"/>
        </w:rPr>
        <w:t>La Misión Permanente de Cuba ante la Oficina de las Naciones Unidas en Ginebra y los Organismos Internacionales con sede en Suiza, aprovecha la ocasión para reiterar a la Oficina del Alto Comisionado de las Naciones Unidas para los Derechos Humanos el testimonio de su consideración.</w:t>
      </w:r>
    </w:p>
    <w:p w14:paraId="40073B1F" w14:textId="77777777" w:rsidR="006A148F" w:rsidRPr="004C7135" w:rsidRDefault="006A148F" w:rsidP="006A148F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</w:p>
    <w:p w14:paraId="40073B20" w14:textId="77777777" w:rsidR="00706F08" w:rsidRPr="004C7135" w:rsidRDefault="006A148F" w:rsidP="000800C6">
      <w:pPr>
        <w:spacing w:before="100" w:beforeAutospacing="1" w:after="100" w:afterAutospacing="1"/>
        <w:ind w:firstLine="1134"/>
        <w:jc w:val="right"/>
        <w:rPr>
          <w:sz w:val="24"/>
          <w:szCs w:val="24"/>
        </w:rPr>
      </w:pPr>
      <w:r w:rsidRPr="004C7135">
        <w:rPr>
          <w:rFonts w:ascii="Arial" w:hAnsi="Arial" w:cs="Arial"/>
          <w:sz w:val="24"/>
          <w:szCs w:val="24"/>
        </w:rPr>
        <w:lastRenderedPageBreak/>
        <w:t xml:space="preserve">Ginebra, </w:t>
      </w:r>
      <w:r w:rsidR="00365221">
        <w:rPr>
          <w:rFonts w:ascii="Arial" w:hAnsi="Arial" w:cs="Arial"/>
          <w:sz w:val="24"/>
          <w:szCs w:val="24"/>
        </w:rPr>
        <w:t>1</w:t>
      </w:r>
      <w:r w:rsidR="000800C6">
        <w:rPr>
          <w:rFonts w:ascii="Arial" w:hAnsi="Arial" w:cs="Arial"/>
          <w:sz w:val="24"/>
          <w:szCs w:val="24"/>
        </w:rPr>
        <w:t>1</w:t>
      </w:r>
      <w:r w:rsidRPr="004C7135">
        <w:rPr>
          <w:rFonts w:ascii="Arial" w:hAnsi="Arial" w:cs="Arial"/>
          <w:sz w:val="24"/>
          <w:szCs w:val="24"/>
        </w:rPr>
        <w:t xml:space="preserve"> de </w:t>
      </w:r>
      <w:r w:rsidR="00F17233" w:rsidRPr="004C7135">
        <w:rPr>
          <w:rFonts w:ascii="Arial" w:hAnsi="Arial" w:cs="Arial"/>
          <w:sz w:val="24"/>
          <w:szCs w:val="24"/>
        </w:rPr>
        <w:t>abril</w:t>
      </w:r>
      <w:r w:rsidRPr="004C7135">
        <w:rPr>
          <w:rFonts w:ascii="Arial" w:hAnsi="Arial" w:cs="Arial"/>
          <w:sz w:val="24"/>
          <w:szCs w:val="24"/>
        </w:rPr>
        <w:t xml:space="preserve"> de 201</w:t>
      </w:r>
      <w:r w:rsidR="00F17233" w:rsidRPr="004C7135">
        <w:rPr>
          <w:rFonts w:ascii="Arial" w:hAnsi="Arial" w:cs="Arial"/>
          <w:sz w:val="24"/>
          <w:szCs w:val="24"/>
        </w:rPr>
        <w:t>8</w:t>
      </w:r>
    </w:p>
    <w:sectPr w:rsidR="00706F08" w:rsidRPr="004C7135" w:rsidSect="000800C6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71ADD"/>
    <w:multiLevelType w:val="hybridMultilevel"/>
    <w:tmpl w:val="A4443DF8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9CD78DC"/>
    <w:multiLevelType w:val="hybridMultilevel"/>
    <w:tmpl w:val="115EA3D2"/>
    <w:lvl w:ilvl="0" w:tplc="575CE25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B2F1B"/>
    <w:multiLevelType w:val="hybridMultilevel"/>
    <w:tmpl w:val="C6D6B7B8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C0727E"/>
    <w:multiLevelType w:val="hybridMultilevel"/>
    <w:tmpl w:val="1278E81C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2544"/>
    <w:rsid w:val="00056290"/>
    <w:rsid w:val="000800C6"/>
    <w:rsid w:val="000A7008"/>
    <w:rsid w:val="000B3965"/>
    <w:rsid w:val="00234F4B"/>
    <w:rsid w:val="00300377"/>
    <w:rsid w:val="00365221"/>
    <w:rsid w:val="003A4AE5"/>
    <w:rsid w:val="003C3E68"/>
    <w:rsid w:val="0048468E"/>
    <w:rsid w:val="004B4577"/>
    <w:rsid w:val="004B5844"/>
    <w:rsid w:val="004C7135"/>
    <w:rsid w:val="00505F78"/>
    <w:rsid w:val="005213DC"/>
    <w:rsid w:val="006A148F"/>
    <w:rsid w:val="006D0B58"/>
    <w:rsid w:val="00706F08"/>
    <w:rsid w:val="00842544"/>
    <w:rsid w:val="00880FCB"/>
    <w:rsid w:val="00923C94"/>
    <w:rsid w:val="00946C4A"/>
    <w:rsid w:val="00A538F1"/>
    <w:rsid w:val="00BE5DA4"/>
    <w:rsid w:val="00D4141D"/>
    <w:rsid w:val="00D42C01"/>
    <w:rsid w:val="00F17233"/>
    <w:rsid w:val="00F608F9"/>
    <w:rsid w:val="00FA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3B09"/>
  <w15:docId w15:val="{316330FE-CB30-4D84-A763-201035AD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F08"/>
  </w:style>
  <w:style w:type="paragraph" w:styleId="Heading2">
    <w:name w:val="heading 2"/>
    <w:basedOn w:val="Normal"/>
    <w:next w:val="Normal"/>
    <w:link w:val="Heading2Char"/>
    <w:qFormat/>
    <w:rsid w:val="006A14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148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"/>
    <w:rsid w:val="006A148F"/>
    <w:pPr>
      <w:spacing w:after="0" w:line="360" w:lineRule="auto"/>
      <w:ind w:left="18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A148F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qFormat/>
    <w:rsid w:val="006A14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6A148F"/>
    <w:pPr>
      <w:spacing w:before="100" w:after="100" w:line="240" w:lineRule="auto"/>
    </w:pPr>
    <w:rPr>
      <w:rFonts w:ascii="Arial Unicode MS" w:eastAsia="Arial Unicode MS" w:hAnsi="Times New Roman" w:cs="Arial Unicode MS"/>
      <w:sz w:val="24"/>
      <w:szCs w:val="24"/>
      <w:lang w:val="en-GB"/>
    </w:rPr>
  </w:style>
  <w:style w:type="paragraph" w:styleId="Caption">
    <w:name w:val="caption"/>
    <w:basedOn w:val="Normal"/>
    <w:next w:val="Normal"/>
    <w:uiPriority w:val="99"/>
    <w:qFormat/>
    <w:rsid w:val="006A148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8B4E8-E7A4-45A5-9A66-BE6C9B8E8C01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933AB24-FEAE-464B-BCED-00C3A5185EF6}"/>
</file>

<file path=customXml/itemProps3.xml><?xml version="1.0" encoding="utf-8"?>
<ds:datastoreItem xmlns:ds="http://schemas.openxmlformats.org/officeDocument/2006/customXml" ds:itemID="{9AAAF174-31EC-4E90-9C5F-D8366B252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</dc:creator>
  <cp:lastModifiedBy>Stefano SENSI</cp:lastModifiedBy>
  <cp:revision>2</cp:revision>
  <cp:lastPrinted>2018-04-11T14:40:00Z</cp:lastPrinted>
  <dcterms:created xsi:type="dcterms:W3CDTF">2018-04-19T12:44:00Z</dcterms:created>
  <dcterms:modified xsi:type="dcterms:W3CDTF">2018-04-19T12:44:00Z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