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489617126" w:displacedByCustomXml="next"/>
    <w:sdt>
      <w:sdtPr>
        <w:id w:val="-552011798"/>
        <w:docPartObj>
          <w:docPartGallery w:val="Cover Pages"/>
          <w:docPartUnique/>
        </w:docPartObj>
      </w:sdtPr>
      <w:sdtEndPr>
        <w:rPr>
          <w:b/>
          <w:smallCaps/>
          <w:szCs w:val="24"/>
        </w:rPr>
      </w:sdtEndPr>
      <w:sdtContent>
        <w:p w:rsidR="00A967F0" w:rsidRDefault="00A967F0"/>
        <w:p w:rsidR="00A967F0" w:rsidRPr="00AC71B0" w:rsidRDefault="00A967F0" w:rsidP="00A967F0">
          <w:pPr>
            <w:spacing w:line="240" w:lineRule="auto"/>
            <w:ind w:firstLine="0"/>
            <w:rPr>
              <w:szCs w:val="24"/>
            </w:rPr>
          </w:pPr>
        </w:p>
        <w:p w:rsidR="00A967F0" w:rsidRPr="00E43C17" w:rsidRDefault="00A967F0" w:rsidP="00A967F0">
          <w:pPr>
            <w:spacing w:line="240" w:lineRule="auto"/>
            <w:jc w:val="center"/>
            <w:rPr>
              <w:smallCaps/>
              <w:szCs w:val="24"/>
            </w:rPr>
          </w:pPr>
          <w:r w:rsidRPr="00E43C17">
            <w:rPr>
              <w:smallCaps/>
              <w:szCs w:val="24"/>
            </w:rPr>
            <w:t>Oficina del Alto Comisionado para los Derechos Humanos</w:t>
          </w:r>
        </w:p>
        <w:p w:rsidR="00A967F0" w:rsidRDefault="00A967F0" w:rsidP="00A967F0">
          <w:pPr>
            <w:pBdr>
              <w:bottom w:val="single" w:sz="12" w:space="1" w:color="auto"/>
            </w:pBdr>
            <w:spacing w:line="240" w:lineRule="auto"/>
            <w:rPr>
              <w:b/>
              <w:szCs w:val="24"/>
            </w:rPr>
          </w:pPr>
        </w:p>
        <w:p w:rsidR="00A967F0" w:rsidRDefault="00A967F0" w:rsidP="00A967F0">
          <w:pPr>
            <w:pBdr>
              <w:bottom w:val="single" w:sz="12" w:space="1" w:color="auto"/>
            </w:pBdr>
            <w:spacing w:line="240" w:lineRule="auto"/>
            <w:jc w:val="center"/>
            <w:rPr>
              <w:b/>
              <w:szCs w:val="24"/>
            </w:rPr>
          </w:pPr>
        </w:p>
        <w:p w:rsidR="00A967F0" w:rsidRDefault="00A967F0" w:rsidP="00A967F0">
          <w:pPr>
            <w:pBdr>
              <w:bottom w:val="single" w:sz="12" w:space="1" w:color="auto"/>
            </w:pBdr>
            <w:spacing w:line="240" w:lineRule="auto"/>
            <w:jc w:val="center"/>
            <w:rPr>
              <w:b/>
              <w:szCs w:val="24"/>
            </w:rPr>
          </w:pPr>
        </w:p>
        <w:p w:rsidR="00A967F0" w:rsidRPr="00AC71B0" w:rsidRDefault="00A967F0" w:rsidP="00A967F0">
          <w:pPr>
            <w:pBdr>
              <w:bottom w:val="single" w:sz="12" w:space="1" w:color="auto"/>
            </w:pBdr>
            <w:spacing w:line="240" w:lineRule="auto"/>
            <w:jc w:val="center"/>
            <w:rPr>
              <w:b/>
              <w:szCs w:val="24"/>
            </w:rPr>
          </w:pPr>
        </w:p>
        <w:p w:rsidR="00A967F0" w:rsidRPr="00AC71B0" w:rsidRDefault="00A967F0" w:rsidP="00A967F0">
          <w:pPr>
            <w:pBdr>
              <w:bottom w:val="single" w:sz="12" w:space="1" w:color="auto"/>
            </w:pBdr>
            <w:spacing w:line="240" w:lineRule="auto"/>
            <w:jc w:val="center"/>
            <w:rPr>
              <w:b/>
              <w:szCs w:val="24"/>
            </w:rPr>
          </w:pPr>
        </w:p>
        <w:p w:rsidR="00A967F0" w:rsidRPr="00AC71B0" w:rsidRDefault="00A967F0" w:rsidP="00A967F0">
          <w:pPr>
            <w:spacing w:line="240" w:lineRule="auto"/>
            <w:jc w:val="center"/>
            <w:rPr>
              <w:szCs w:val="24"/>
            </w:rPr>
          </w:pPr>
        </w:p>
        <w:p w:rsidR="00A967F0" w:rsidRDefault="00A967F0" w:rsidP="00A967F0">
          <w:pPr>
            <w:spacing w:line="240" w:lineRule="auto"/>
            <w:jc w:val="center"/>
            <w:rPr>
              <w:rFonts w:eastAsia="Calibri"/>
              <w:b/>
              <w:smallCaps/>
              <w:szCs w:val="24"/>
              <w:lang w:val="es-ES" w:eastAsia="es-MX"/>
            </w:rPr>
          </w:pPr>
          <w:r>
            <w:rPr>
              <w:rFonts w:eastAsia="Calibri"/>
              <w:b/>
              <w:smallCaps/>
              <w:szCs w:val="24"/>
              <w:lang w:val="es-ES" w:eastAsia="es-MX"/>
            </w:rPr>
            <w:t>04/2018</w:t>
          </w:r>
        </w:p>
        <w:p w:rsidR="00A967F0" w:rsidRPr="00A967F0" w:rsidRDefault="00A967F0" w:rsidP="00A967F0">
          <w:pPr>
            <w:pBdr>
              <w:bottom w:val="single" w:sz="12" w:space="1" w:color="auto"/>
            </w:pBdr>
            <w:spacing w:line="240" w:lineRule="auto"/>
            <w:jc w:val="center"/>
            <w:rPr>
              <w:smallCaps/>
              <w:szCs w:val="24"/>
            </w:rPr>
          </w:pPr>
          <w:r>
            <w:rPr>
              <w:smallCaps/>
              <w:szCs w:val="24"/>
            </w:rPr>
            <w:t>El p</w:t>
          </w:r>
          <w:r w:rsidRPr="00A967F0">
            <w:rPr>
              <w:smallCaps/>
              <w:szCs w:val="24"/>
            </w:rPr>
            <w:t>apel, la composición y las funciones de las asociaciones profesionales de abogados</w:t>
          </w:r>
        </w:p>
        <w:p w:rsidR="00A967F0" w:rsidRPr="00AC71B0" w:rsidRDefault="00A967F0" w:rsidP="00A967F0">
          <w:pPr>
            <w:pBdr>
              <w:bottom w:val="single" w:sz="12" w:space="1" w:color="auto"/>
            </w:pBdr>
            <w:spacing w:line="240" w:lineRule="auto"/>
            <w:jc w:val="center"/>
            <w:rPr>
              <w:b/>
              <w:szCs w:val="24"/>
            </w:rPr>
          </w:pPr>
        </w:p>
        <w:p w:rsidR="00A967F0" w:rsidRDefault="00A967F0" w:rsidP="00A967F0">
          <w:pPr>
            <w:spacing w:line="240" w:lineRule="auto"/>
            <w:rPr>
              <w:smallCaps/>
              <w:szCs w:val="24"/>
            </w:rPr>
          </w:pPr>
        </w:p>
        <w:p w:rsidR="00A967F0" w:rsidRDefault="00A967F0" w:rsidP="00A967F0">
          <w:pPr>
            <w:spacing w:line="240" w:lineRule="auto"/>
            <w:jc w:val="center"/>
            <w:rPr>
              <w:smallCaps/>
              <w:szCs w:val="24"/>
            </w:rPr>
          </w:pPr>
        </w:p>
        <w:p w:rsidR="00A967F0" w:rsidRDefault="00A967F0" w:rsidP="00A967F0">
          <w:pPr>
            <w:spacing w:line="240" w:lineRule="auto"/>
            <w:jc w:val="center"/>
            <w:rPr>
              <w:smallCaps/>
              <w:szCs w:val="24"/>
            </w:rPr>
          </w:pPr>
        </w:p>
        <w:p w:rsidR="00A967F0" w:rsidRDefault="00A967F0" w:rsidP="00A967F0">
          <w:pPr>
            <w:spacing w:line="240" w:lineRule="auto"/>
            <w:jc w:val="center"/>
            <w:rPr>
              <w:smallCaps/>
              <w:szCs w:val="24"/>
            </w:rPr>
          </w:pPr>
        </w:p>
        <w:p w:rsidR="00A967F0" w:rsidRDefault="00A967F0" w:rsidP="00A967F0">
          <w:pPr>
            <w:spacing w:line="240" w:lineRule="auto"/>
            <w:jc w:val="center"/>
            <w:rPr>
              <w:smallCaps/>
              <w:szCs w:val="24"/>
            </w:rPr>
          </w:pPr>
        </w:p>
        <w:p w:rsidR="00040793" w:rsidRDefault="00A967F0" w:rsidP="00A967F0">
          <w:pPr>
            <w:spacing w:line="240" w:lineRule="auto"/>
            <w:jc w:val="center"/>
            <w:rPr>
              <w:smallCaps/>
              <w:szCs w:val="24"/>
            </w:rPr>
          </w:pPr>
          <w:r>
            <w:rPr>
              <w:smallCaps/>
              <w:szCs w:val="24"/>
            </w:rPr>
            <w:t>Informe del Estado mexicano en respuesta al cuestionario del</w:t>
          </w:r>
        </w:p>
        <w:p w:rsidR="00A967F0" w:rsidRDefault="00A967F0" w:rsidP="00040793">
          <w:pPr>
            <w:tabs>
              <w:tab w:val="left" w:pos="1843"/>
            </w:tabs>
            <w:spacing w:line="240" w:lineRule="auto"/>
            <w:jc w:val="center"/>
            <w:rPr>
              <w:smallCaps/>
              <w:szCs w:val="24"/>
            </w:rPr>
          </w:pPr>
          <w:r w:rsidRPr="005B38D2">
            <w:rPr>
              <w:smallCaps/>
              <w:szCs w:val="24"/>
            </w:rPr>
            <w:t>Relator Especial sobre la independencia de jueces y abogados</w:t>
          </w:r>
          <w:r>
            <w:rPr>
              <w:smallCaps/>
              <w:szCs w:val="24"/>
            </w:rPr>
            <w:t>.</w:t>
          </w: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Pr="00AC71B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Default="00A967F0" w:rsidP="00A967F0">
          <w:pPr>
            <w:spacing w:line="240" w:lineRule="auto"/>
            <w:jc w:val="center"/>
            <w:rPr>
              <w:szCs w:val="24"/>
            </w:rPr>
          </w:pPr>
        </w:p>
        <w:p w:rsidR="00A967F0" w:rsidRPr="00DE777A" w:rsidRDefault="00A967F0" w:rsidP="00A967F0">
          <w:pPr>
            <w:spacing w:line="240" w:lineRule="auto"/>
            <w:jc w:val="center"/>
            <w:rPr>
              <w:szCs w:val="24"/>
            </w:rPr>
            <w:sectPr w:rsidR="00A967F0" w:rsidRPr="00DE777A">
              <w:footerReference w:type="default" r:id="rId8"/>
              <w:pgSz w:w="12240" w:h="15840"/>
              <w:pgMar w:top="1417" w:right="1701" w:bottom="1417" w:left="1701" w:header="708" w:footer="708" w:gutter="0"/>
              <w:cols w:space="708"/>
              <w:docGrid w:linePitch="360"/>
            </w:sectPr>
          </w:pPr>
          <w:r>
            <w:rPr>
              <w:szCs w:val="24"/>
            </w:rPr>
            <w:t>Ciudad de México,</w:t>
          </w:r>
          <w:r w:rsidRPr="001A660A">
            <w:rPr>
              <w:szCs w:val="24"/>
            </w:rPr>
            <w:t xml:space="preserve"> </w:t>
          </w:r>
          <w:r w:rsidR="00293D00">
            <w:rPr>
              <w:szCs w:val="24"/>
            </w:rPr>
            <w:t>15</w:t>
          </w:r>
          <w:r>
            <w:rPr>
              <w:szCs w:val="24"/>
            </w:rPr>
            <w:t xml:space="preserve"> de mayo de 2018.</w:t>
          </w:r>
        </w:p>
        <w:p w:rsidR="00874F3D" w:rsidRDefault="00874F3D" w:rsidP="00874F3D">
          <w:pPr>
            <w:spacing w:before="0" w:after="160" w:line="259" w:lineRule="auto"/>
            <w:ind w:firstLine="0"/>
            <w:jc w:val="center"/>
            <w:rPr>
              <w:b/>
              <w:smallCaps/>
              <w:szCs w:val="24"/>
            </w:rPr>
          </w:pPr>
        </w:p>
        <w:p w:rsidR="00874F3D" w:rsidRDefault="00874F3D" w:rsidP="00874F3D">
          <w:pPr>
            <w:spacing w:before="0" w:after="160" w:line="259" w:lineRule="auto"/>
            <w:ind w:firstLine="0"/>
            <w:jc w:val="center"/>
            <w:rPr>
              <w:b/>
              <w:smallCaps/>
              <w:szCs w:val="24"/>
            </w:rPr>
          </w:pPr>
        </w:p>
        <w:p w:rsidR="00874F3D" w:rsidRDefault="00874F3D" w:rsidP="00874F3D">
          <w:pPr>
            <w:spacing w:before="0" w:after="160" w:line="259" w:lineRule="auto"/>
            <w:ind w:firstLine="0"/>
            <w:jc w:val="center"/>
            <w:rPr>
              <w:b/>
              <w:smallCaps/>
              <w:szCs w:val="24"/>
            </w:rPr>
          </w:pPr>
        </w:p>
        <w:p w:rsidR="00874F3D" w:rsidRDefault="00874F3D" w:rsidP="00874F3D">
          <w:pPr>
            <w:spacing w:before="0" w:after="160" w:line="259" w:lineRule="auto"/>
            <w:ind w:firstLine="0"/>
            <w:jc w:val="center"/>
            <w:rPr>
              <w:b/>
              <w:smallCaps/>
              <w:szCs w:val="24"/>
            </w:rPr>
          </w:pPr>
        </w:p>
        <w:p w:rsidR="00874F3D" w:rsidRDefault="00874F3D" w:rsidP="00874F3D">
          <w:pPr>
            <w:spacing w:before="0" w:after="160" w:line="259" w:lineRule="auto"/>
            <w:ind w:firstLine="0"/>
            <w:jc w:val="center"/>
            <w:rPr>
              <w:b/>
              <w:smallCaps/>
              <w:szCs w:val="24"/>
            </w:rPr>
          </w:pPr>
        </w:p>
        <w:p w:rsidR="00874F3D" w:rsidRDefault="00874F3D" w:rsidP="00874F3D">
          <w:pPr>
            <w:spacing w:before="0" w:after="160" w:line="259" w:lineRule="auto"/>
            <w:ind w:firstLine="0"/>
            <w:jc w:val="center"/>
            <w:rPr>
              <w:b/>
              <w:smallCaps/>
              <w:szCs w:val="24"/>
            </w:rPr>
          </w:pPr>
          <w:r>
            <w:rPr>
              <w:b/>
              <w:smallCaps/>
              <w:szCs w:val="24"/>
            </w:rPr>
            <w:t>Contenido</w:t>
          </w:r>
        </w:p>
        <w:p w:rsidR="00874F3D" w:rsidRDefault="00874F3D" w:rsidP="00874F3D">
          <w:pPr>
            <w:spacing w:before="0" w:after="160" w:line="259" w:lineRule="auto"/>
            <w:ind w:firstLine="0"/>
            <w:rPr>
              <w:b/>
              <w:smallCaps/>
              <w:szCs w:val="24"/>
            </w:rPr>
          </w:pPr>
          <w:r>
            <w:rPr>
              <w:b/>
              <w:smallCaps/>
              <w:szCs w:val="24"/>
            </w:rPr>
            <w:t>I. Introducción……………………………………………………………………...1</w:t>
          </w:r>
        </w:p>
        <w:p w:rsidR="00874F3D" w:rsidRDefault="00874F3D" w:rsidP="00874F3D">
          <w:pPr>
            <w:spacing w:before="0" w:after="160" w:line="259" w:lineRule="auto"/>
            <w:ind w:firstLine="0"/>
            <w:rPr>
              <w:b/>
              <w:smallCaps/>
              <w:szCs w:val="24"/>
            </w:rPr>
          </w:pPr>
          <w:r>
            <w:rPr>
              <w:b/>
              <w:smallCaps/>
              <w:szCs w:val="24"/>
            </w:rPr>
            <w:t>II. F</w:t>
          </w:r>
          <w:r w:rsidRPr="00293D00">
            <w:rPr>
              <w:b/>
              <w:smallCaps/>
              <w:szCs w:val="24"/>
            </w:rPr>
            <w:t xml:space="preserve">undamentos jurídicos para el establecimiento </w:t>
          </w:r>
        </w:p>
        <w:p w:rsidR="00874F3D" w:rsidRDefault="00874F3D" w:rsidP="00874F3D">
          <w:pPr>
            <w:spacing w:before="0" w:after="160" w:line="259" w:lineRule="auto"/>
            <w:ind w:firstLine="0"/>
            <w:rPr>
              <w:b/>
              <w:smallCaps/>
              <w:szCs w:val="24"/>
            </w:rPr>
          </w:pPr>
          <w:r w:rsidRPr="00293D00">
            <w:rPr>
              <w:b/>
              <w:smallCaps/>
              <w:szCs w:val="24"/>
            </w:rPr>
            <w:t>y acreditación de la profesión jurídica en México</w:t>
          </w:r>
          <w:r>
            <w:rPr>
              <w:b/>
              <w:smallCaps/>
              <w:szCs w:val="24"/>
            </w:rPr>
            <w:t>…………………………...2</w:t>
          </w:r>
        </w:p>
        <w:p w:rsidR="00874F3D" w:rsidRDefault="00874F3D" w:rsidP="00874F3D">
          <w:pPr>
            <w:spacing w:before="0" w:after="160" w:line="259" w:lineRule="auto"/>
            <w:ind w:firstLine="0"/>
            <w:rPr>
              <w:b/>
              <w:smallCaps/>
              <w:szCs w:val="24"/>
            </w:rPr>
          </w:pPr>
          <w:r>
            <w:rPr>
              <w:b/>
              <w:smallCaps/>
              <w:szCs w:val="24"/>
            </w:rPr>
            <w:t>I</w:t>
          </w:r>
          <w:r w:rsidRPr="00293D00">
            <w:rPr>
              <w:b/>
              <w:smallCaps/>
              <w:szCs w:val="24"/>
            </w:rPr>
            <w:t xml:space="preserve">II. </w:t>
          </w:r>
          <w:r>
            <w:rPr>
              <w:b/>
              <w:smallCaps/>
              <w:szCs w:val="24"/>
            </w:rPr>
            <w:t>Asociaciones</w:t>
          </w:r>
          <w:r w:rsidRPr="00293D00">
            <w:rPr>
              <w:b/>
              <w:smallCaps/>
              <w:szCs w:val="24"/>
            </w:rPr>
            <w:t xml:space="preserve"> profesional</w:t>
          </w:r>
          <w:r>
            <w:rPr>
              <w:b/>
              <w:smallCaps/>
              <w:szCs w:val="24"/>
            </w:rPr>
            <w:t>es</w:t>
          </w:r>
          <w:r w:rsidRPr="00293D00">
            <w:rPr>
              <w:b/>
              <w:smallCaps/>
              <w:szCs w:val="24"/>
            </w:rPr>
            <w:t xml:space="preserve"> de abogados </w:t>
          </w:r>
          <w:r>
            <w:rPr>
              <w:b/>
              <w:smallCaps/>
              <w:szCs w:val="24"/>
            </w:rPr>
            <w:t>en México………………..……2</w:t>
          </w:r>
        </w:p>
        <w:p w:rsidR="00874F3D" w:rsidRDefault="00874F3D" w:rsidP="00874F3D">
          <w:pPr>
            <w:spacing w:before="0" w:after="160" w:line="259" w:lineRule="auto"/>
            <w:ind w:firstLine="0"/>
            <w:rPr>
              <w:b/>
              <w:smallCaps/>
              <w:szCs w:val="24"/>
            </w:rPr>
          </w:pPr>
          <w:r>
            <w:rPr>
              <w:b/>
              <w:smallCaps/>
              <w:szCs w:val="24"/>
            </w:rPr>
            <w:t>IV.  Obligatoriedad de</w:t>
          </w:r>
          <w:r w:rsidRPr="00874F3D">
            <w:rPr>
              <w:b/>
              <w:smallCaps/>
              <w:szCs w:val="24"/>
            </w:rPr>
            <w:t xml:space="preserve"> </w:t>
          </w:r>
          <w:r>
            <w:rPr>
              <w:b/>
              <w:smallCaps/>
              <w:szCs w:val="24"/>
            </w:rPr>
            <w:t>pertenec</w:t>
          </w:r>
          <w:r w:rsidRPr="00874F3D">
            <w:rPr>
              <w:b/>
              <w:smallCaps/>
              <w:szCs w:val="24"/>
            </w:rPr>
            <w:t xml:space="preserve">er </w:t>
          </w:r>
          <w:r>
            <w:rPr>
              <w:b/>
              <w:smallCaps/>
              <w:szCs w:val="24"/>
            </w:rPr>
            <w:t>a una</w:t>
          </w:r>
          <w:r w:rsidRPr="00874F3D">
            <w:rPr>
              <w:b/>
              <w:smallCaps/>
              <w:szCs w:val="24"/>
            </w:rPr>
            <w:t xml:space="preserve"> asociación profesional </w:t>
          </w:r>
        </w:p>
        <w:p w:rsidR="00874F3D" w:rsidRDefault="00874F3D" w:rsidP="00874F3D">
          <w:pPr>
            <w:spacing w:before="0" w:after="160" w:line="259" w:lineRule="auto"/>
            <w:ind w:firstLine="0"/>
            <w:rPr>
              <w:b/>
              <w:smallCaps/>
              <w:szCs w:val="24"/>
            </w:rPr>
          </w:pPr>
          <w:r w:rsidRPr="00874F3D">
            <w:rPr>
              <w:b/>
              <w:smallCaps/>
              <w:szCs w:val="24"/>
            </w:rPr>
            <w:t>de abogados para</w:t>
          </w:r>
          <w:r>
            <w:rPr>
              <w:b/>
              <w:smallCaps/>
              <w:szCs w:val="24"/>
            </w:rPr>
            <w:t xml:space="preserve"> ejercer la profesión en México……………………………2</w:t>
          </w:r>
        </w:p>
        <w:p w:rsidR="00A967F0" w:rsidRDefault="00623984" w:rsidP="00874F3D">
          <w:pPr>
            <w:spacing w:before="0" w:after="160" w:line="259" w:lineRule="auto"/>
            <w:ind w:firstLine="0"/>
            <w:rPr>
              <w:b/>
              <w:smallCaps/>
              <w:szCs w:val="24"/>
            </w:rPr>
          </w:pPr>
        </w:p>
      </w:sdtContent>
    </w:sdt>
    <w:p w:rsidR="00874F3D" w:rsidRDefault="00874F3D">
      <w:pPr>
        <w:spacing w:before="0" w:after="160" w:line="259" w:lineRule="auto"/>
        <w:ind w:firstLine="0"/>
        <w:jc w:val="left"/>
        <w:rPr>
          <w:b/>
          <w:smallCaps/>
          <w:szCs w:val="24"/>
        </w:rPr>
      </w:pPr>
      <w:r>
        <w:rPr>
          <w:b/>
          <w:smallCaps/>
          <w:szCs w:val="24"/>
        </w:rPr>
        <w:br w:type="page"/>
      </w:r>
    </w:p>
    <w:p w:rsidR="00A967F0" w:rsidRDefault="00A967F0" w:rsidP="00A967F0">
      <w:pPr>
        <w:spacing w:before="0" w:after="160" w:line="259" w:lineRule="auto"/>
        <w:ind w:firstLine="0"/>
        <w:jc w:val="left"/>
        <w:rPr>
          <w:b/>
          <w:smallCaps/>
          <w:szCs w:val="24"/>
        </w:rPr>
      </w:pPr>
      <w:r w:rsidRPr="00DE777A">
        <w:rPr>
          <w:b/>
          <w:smallCaps/>
          <w:szCs w:val="24"/>
        </w:rPr>
        <w:lastRenderedPageBreak/>
        <w:t>Introducción.</w:t>
      </w:r>
      <w:bookmarkEnd w:id="1"/>
    </w:p>
    <w:p w:rsidR="00040793" w:rsidRPr="00DE777A" w:rsidRDefault="00040793" w:rsidP="00A967F0">
      <w:pPr>
        <w:spacing w:before="0" w:after="160" w:line="259" w:lineRule="auto"/>
        <w:ind w:firstLine="0"/>
        <w:jc w:val="left"/>
        <w:rPr>
          <w:b/>
          <w:smallCaps/>
          <w:szCs w:val="24"/>
        </w:rPr>
      </w:pPr>
    </w:p>
    <w:p w:rsidR="00A967F0" w:rsidRDefault="00A967F0" w:rsidP="00A967F0">
      <w:pPr>
        <w:pStyle w:val="ListParagraph"/>
        <w:numPr>
          <w:ilvl w:val="0"/>
          <w:numId w:val="1"/>
        </w:numPr>
        <w:ind w:left="0" w:firstLine="0"/>
        <w:rPr>
          <w:szCs w:val="24"/>
        </w:rPr>
      </w:pPr>
      <w:r w:rsidRPr="003D0BB6">
        <w:rPr>
          <w:szCs w:val="24"/>
        </w:rPr>
        <w:t xml:space="preserve">La </w:t>
      </w:r>
      <w:r>
        <w:rPr>
          <w:szCs w:val="24"/>
        </w:rPr>
        <w:t>oficina del Relator Especial sobre la Independencia de Jueces y Abogados</w:t>
      </w:r>
      <w:r w:rsidRPr="003D0BB6">
        <w:rPr>
          <w:szCs w:val="24"/>
        </w:rPr>
        <w:t xml:space="preserve"> trasmitió una </w:t>
      </w:r>
      <w:r>
        <w:rPr>
          <w:szCs w:val="24"/>
        </w:rPr>
        <w:t xml:space="preserve">solicitud de información relativa al papel, la composición y las funciones de las asociaciones profesionales de abogados, </w:t>
      </w:r>
      <w:r w:rsidR="00293D00">
        <w:rPr>
          <w:szCs w:val="24"/>
        </w:rPr>
        <w:t>en el marco de su próximo informe, a presentarse en el siguiente periodo de sesiones del Consejo de Derechos Humanos (CoDH)</w:t>
      </w:r>
      <w:r>
        <w:rPr>
          <w:szCs w:val="24"/>
        </w:rPr>
        <w:t xml:space="preserve">. </w:t>
      </w:r>
    </w:p>
    <w:p w:rsidR="00A967F0" w:rsidRPr="00875DE9" w:rsidRDefault="00293D00" w:rsidP="00A967F0">
      <w:pPr>
        <w:pStyle w:val="ListParagraph"/>
        <w:numPr>
          <w:ilvl w:val="0"/>
          <w:numId w:val="1"/>
        </w:numPr>
        <w:spacing w:after="200"/>
        <w:ind w:left="0" w:firstLine="0"/>
        <w:contextualSpacing w:val="0"/>
        <w:rPr>
          <w:szCs w:val="24"/>
        </w:rPr>
      </w:pPr>
      <w:r>
        <w:rPr>
          <w:szCs w:val="24"/>
        </w:rPr>
        <w:t>Al respecto</w:t>
      </w:r>
      <w:r w:rsidR="00A967F0">
        <w:rPr>
          <w:szCs w:val="24"/>
        </w:rPr>
        <w:t>, el Relator Especial transmitió el siguiente cuestionario</w:t>
      </w:r>
      <w:r>
        <w:rPr>
          <w:szCs w:val="24"/>
        </w:rPr>
        <w:t xml:space="preserve"> a los Estados miembros</w:t>
      </w:r>
      <w:r w:rsidR="00A967F0" w:rsidRPr="00875DE9">
        <w:rPr>
          <w:szCs w:val="24"/>
        </w:rPr>
        <w:t xml:space="preserve">: </w:t>
      </w:r>
    </w:p>
    <w:p w:rsidR="00A967F0" w:rsidRDefault="00A967F0" w:rsidP="00A967F0">
      <w:pPr>
        <w:pStyle w:val="ListParagraph"/>
        <w:numPr>
          <w:ilvl w:val="0"/>
          <w:numId w:val="3"/>
        </w:numPr>
        <w:tabs>
          <w:tab w:val="left" w:pos="1134"/>
        </w:tabs>
        <w:ind w:right="423"/>
        <w:rPr>
          <w:szCs w:val="24"/>
        </w:rPr>
      </w:pPr>
      <w:r w:rsidRPr="009C6DD9">
        <w:rPr>
          <w:szCs w:val="24"/>
        </w:rPr>
        <w:lastRenderedPageBreak/>
        <w:t>“¿Cuáles son los fundamentos jurídicos para el establecimiento y acreditación de la profesión jurídica en México?”</w:t>
      </w:r>
    </w:p>
    <w:p w:rsidR="00A967F0" w:rsidRPr="009C6DD9" w:rsidRDefault="00A967F0" w:rsidP="00A967F0">
      <w:pPr>
        <w:pStyle w:val="ListParagraph"/>
        <w:numPr>
          <w:ilvl w:val="0"/>
          <w:numId w:val="3"/>
        </w:numPr>
        <w:tabs>
          <w:tab w:val="left" w:pos="1134"/>
        </w:tabs>
        <w:ind w:right="423"/>
        <w:rPr>
          <w:szCs w:val="24"/>
        </w:rPr>
      </w:pPr>
      <w:r w:rsidRPr="009C6DD9">
        <w:rPr>
          <w:szCs w:val="24"/>
        </w:rPr>
        <w:t>“¿Existe una asociación profesional de abogados que regule la profesión jurí</w:t>
      </w:r>
      <w:r w:rsidR="00293D00">
        <w:rPr>
          <w:szCs w:val="24"/>
        </w:rPr>
        <w:t>dica? En caso afirmativo, señalar</w:t>
      </w:r>
      <w:r w:rsidRPr="009C6DD9">
        <w:rPr>
          <w:szCs w:val="24"/>
        </w:rPr>
        <w:t xml:space="preserve"> lo siguiente:</w:t>
      </w:r>
    </w:p>
    <w:p w:rsidR="00A967F0" w:rsidRPr="009C6DD9" w:rsidRDefault="00A967F0" w:rsidP="00A967F0">
      <w:pPr>
        <w:pStyle w:val="ListParagraph"/>
        <w:numPr>
          <w:ilvl w:val="0"/>
          <w:numId w:val="4"/>
        </w:numPr>
        <w:tabs>
          <w:tab w:val="left" w:pos="1134"/>
        </w:tabs>
        <w:spacing w:before="0" w:line="276" w:lineRule="auto"/>
        <w:ind w:right="423"/>
        <w:rPr>
          <w:szCs w:val="24"/>
        </w:rPr>
      </w:pPr>
      <w:r w:rsidRPr="009C6DD9">
        <w:rPr>
          <w:szCs w:val="24"/>
        </w:rPr>
        <w:t>La denominación del organismo;</w:t>
      </w:r>
    </w:p>
    <w:p w:rsidR="00A967F0" w:rsidRPr="009C6DD9" w:rsidRDefault="00A967F0" w:rsidP="00A967F0">
      <w:pPr>
        <w:pStyle w:val="ListParagraph"/>
        <w:numPr>
          <w:ilvl w:val="0"/>
          <w:numId w:val="4"/>
        </w:numPr>
        <w:tabs>
          <w:tab w:val="left" w:pos="1134"/>
        </w:tabs>
        <w:spacing w:before="0" w:line="276" w:lineRule="auto"/>
        <w:ind w:right="423"/>
        <w:rPr>
          <w:szCs w:val="24"/>
        </w:rPr>
      </w:pPr>
      <w:r w:rsidRPr="009C6DD9">
        <w:rPr>
          <w:szCs w:val="24"/>
        </w:rPr>
        <w:t>La base jurídica de su creación;</w:t>
      </w:r>
    </w:p>
    <w:p w:rsidR="00A967F0" w:rsidRPr="009C6DD9" w:rsidRDefault="00A967F0" w:rsidP="00A967F0">
      <w:pPr>
        <w:pStyle w:val="ListParagraph"/>
        <w:numPr>
          <w:ilvl w:val="0"/>
          <w:numId w:val="4"/>
        </w:numPr>
        <w:tabs>
          <w:tab w:val="left" w:pos="1134"/>
        </w:tabs>
        <w:spacing w:before="0" w:line="276" w:lineRule="auto"/>
        <w:ind w:right="423"/>
        <w:rPr>
          <w:szCs w:val="24"/>
        </w:rPr>
      </w:pPr>
      <w:r w:rsidRPr="009C6DD9">
        <w:rPr>
          <w:szCs w:val="24"/>
        </w:rPr>
        <w:t>Su carácter (independiente/autónoma); y</w:t>
      </w:r>
    </w:p>
    <w:p w:rsidR="00A967F0" w:rsidRDefault="00A967F0" w:rsidP="00A967F0">
      <w:pPr>
        <w:pStyle w:val="ListParagraph"/>
        <w:numPr>
          <w:ilvl w:val="0"/>
          <w:numId w:val="4"/>
        </w:numPr>
        <w:tabs>
          <w:tab w:val="left" w:pos="1134"/>
        </w:tabs>
        <w:spacing w:before="0" w:line="276" w:lineRule="auto"/>
        <w:ind w:right="423"/>
        <w:rPr>
          <w:szCs w:val="24"/>
        </w:rPr>
      </w:pPr>
      <w:r w:rsidRPr="009C6DD9">
        <w:rPr>
          <w:szCs w:val="24"/>
        </w:rPr>
        <w:t>El proceso de nombramiento del órgano ejecutivo de la asociación.”</w:t>
      </w:r>
    </w:p>
    <w:p w:rsidR="00A967F0" w:rsidRPr="000E3667" w:rsidRDefault="00A967F0" w:rsidP="00A967F0">
      <w:pPr>
        <w:pStyle w:val="ListParagraph"/>
        <w:numPr>
          <w:ilvl w:val="0"/>
          <w:numId w:val="3"/>
        </w:numPr>
        <w:tabs>
          <w:tab w:val="left" w:pos="1134"/>
        </w:tabs>
        <w:ind w:right="423"/>
        <w:rPr>
          <w:szCs w:val="24"/>
        </w:rPr>
      </w:pPr>
      <w:r w:rsidRPr="000E3667">
        <w:rPr>
          <w:szCs w:val="24"/>
        </w:rPr>
        <w:lastRenderedPageBreak/>
        <w:t>“Información sobre el papel que desempeña el Poder Judicial, en relación con el establecimiento de dicha asociación profesional”</w:t>
      </w:r>
      <w:r w:rsidR="00874F3D">
        <w:rPr>
          <w:szCs w:val="24"/>
        </w:rPr>
        <w:t>.</w:t>
      </w:r>
    </w:p>
    <w:p w:rsidR="00A967F0" w:rsidRPr="000E3667" w:rsidRDefault="00A967F0" w:rsidP="00A967F0">
      <w:pPr>
        <w:pStyle w:val="ListParagraph"/>
        <w:numPr>
          <w:ilvl w:val="0"/>
          <w:numId w:val="3"/>
        </w:numPr>
        <w:tabs>
          <w:tab w:val="left" w:pos="1134"/>
        </w:tabs>
        <w:spacing w:before="0"/>
        <w:ind w:right="423"/>
        <w:rPr>
          <w:szCs w:val="24"/>
        </w:rPr>
      </w:pPr>
      <w:r w:rsidRPr="000E3667">
        <w:rPr>
          <w:szCs w:val="24"/>
        </w:rPr>
        <w:t>“Proporcionar información sobre el papel que desempeñan las asociaciones profesionales de abogados respecto a:</w:t>
      </w:r>
    </w:p>
    <w:p w:rsidR="00A967F0" w:rsidRPr="009C6DD9" w:rsidRDefault="00A967F0" w:rsidP="00A967F0">
      <w:pPr>
        <w:pStyle w:val="ListParagraph"/>
        <w:numPr>
          <w:ilvl w:val="1"/>
          <w:numId w:val="5"/>
        </w:numPr>
        <w:tabs>
          <w:tab w:val="left" w:pos="1134"/>
        </w:tabs>
        <w:spacing w:before="0" w:line="276" w:lineRule="auto"/>
        <w:ind w:right="423"/>
        <w:rPr>
          <w:szCs w:val="24"/>
        </w:rPr>
      </w:pPr>
      <w:r w:rsidRPr="009C6DD9">
        <w:rPr>
          <w:szCs w:val="24"/>
        </w:rPr>
        <w:t>El proceso de admisión a la profesión jurídica y la concesión de licencias profesionales;</w:t>
      </w:r>
    </w:p>
    <w:p w:rsidR="00A967F0" w:rsidRPr="009C6DD9" w:rsidRDefault="00A967F0" w:rsidP="00A967F0">
      <w:pPr>
        <w:pStyle w:val="ListParagraph"/>
        <w:numPr>
          <w:ilvl w:val="1"/>
          <w:numId w:val="5"/>
        </w:numPr>
        <w:tabs>
          <w:tab w:val="left" w:pos="1134"/>
        </w:tabs>
        <w:spacing w:before="0" w:line="276" w:lineRule="auto"/>
        <w:ind w:right="423"/>
        <w:rPr>
          <w:szCs w:val="24"/>
        </w:rPr>
      </w:pPr>
      <w:r w:rsidRPr="009C6DD9">
        <w:rPr>
          <w:szCs w:val="24"/>
        </w:rPr>
        <w:t>Los procedimientos disciplinarios contra los abogados;</w:t>
      </w:r>
    </w:p>
    <w:p w:rsidR="00A967F0" w:rsidRPr="009C6DD9" w:rsidRDefault="00A967F0" w:rsidP="00A967F0">
      <w:pPr>
        <w:pStyle w:val="ListParagraph"/>
        <w:numPr>
          <w:ilvl w:val="1"/>
          <w:numId w:val="5"/>
        </w:numPr>
        <w:tabs>
          <w:tab w:val="left" w:pos="1134"/>
        </w:tabs>
        <w:spacing w:before="0" w:line="276" w:lineRule="auto"/>
        <w:ind w:right="423"/>
        <w:rPr>
          <w:szCs w:val="24"/>
        </w:rPr>
      </w:pPr>
      <w:r w:rsidRPr="009C6DD9">
        <w:rPr>
          <w:szCs w:val="24"/>
        </w:rPr>
        <w:t>La prestación de asistencia jurídica gratuita;</w:t>
      </w:r>
    </w:p>
    <w:p w:rsidR="00A967F0" w:rsidRPr="009C6DD9" w:rsidRDefault="00A967F0" w:rsidP="00A967F0">
      <w:pPr>
        <w:pStyle w:val="ListParagraph"/>
        <w:numPr>
          <w:ilvl w:val="1"/>
          <w:numId w:val="5"/>
        </w:numPr>
        <w:tabs>
          <w:tab w:val="left" w:pos="1134"/>
        </w:tabs>
        <w:spacing w:before="0" w:line="276" w:lineRule="auto"/>
        <w:ind w:right="423"/>
        <w:rPr>
          <w:szCs w:val="24"/>
        </w:rPr>
      </w:pPr>
      <w:r w:rsidRPr="009C6DD9">
        <w:rPr>
          <w:szCs w:val="24"/>
        </w:rPr>
        <w:lastRenderedPageBreak/>
        <w:t xml:space="preserve">La protección otorgada a los abogados ante cualquier forma de intimidación, obstáculo, acoso o injerencia indebida en el ejercicio de sus funciones; y </w:t>
      </w:r>
    </w:p>
    <w:p w:rsidR="00A967F0" w:rsidRPr="009C6DD9" w:rsidRDefault="00A967F0" w:rsidP="00A967F0">
      <w:pPr>
        <w:pStyle w:val="ListParagraph"/>
        <w:numPr>
          <w:ilvl w:val="1"/>
          <w:numId w:val="5"/>
        </w:numPr>
        <w:tabs>
          <w:tab w:val="left" w:pos="1134"/>
        </w:tabs>
        <w:spacing w:before="0" w:line="276" w:lineRule="auto"/>
        <w:ind w:right="423"/>
        <w:rPr>
          <w:szCs w:val="24"/>
        </w:rPr>
      </w:pPr>
      <w:r w:rsidRPr="009C6DD9">
        <w:rPr>
          <w:szCs w:val="24"/>
        </w:rPr>
        <w:t>La elaboración y aplicación de la legislación relativa al libre ejercicio de la profesión jurídica y</w:t>
      </w:r>
      <w:r>
        <w:rPr>
          <w:szCs w:val="24"/>
        </w:rPr>
        <w:t xml:space="preserve"> la administración de justicia.</w:t>
      </w:r>
    </w:p>
    <w:p w:rsidR="00A967F0" w:rsidRPr="000E3667" w:rsidRDefault="00A967F0" w:rsidP="00A967F0">
      <w:pPr>
        <w:pStyle w:val="ListParagraph"/>
        <w:numPr>
          <w:ilvl w:val="0"/>
          <w:numId w:val="3"/>
        </w:numPr>
        <w:tabs>
          <w:tab w:val="left" w:pos="1134"/>
        </w:tabs>
        <w:ind w:right="423"/>
        <w:rPr>
          <w:szCs w:val="24"/>
        </w:rPr>
      </w:pPr>
      <w:r w:rsidRPr="000E3667">
        <w:rPr>
          <w:szCs w:val="24"/>
        </w:rPr>
        <w:t xml:space="preserve">¿Es obligatorio ser miembro de la asociación profesional de abogados para ejercer la profesión en México? En caso afirmativo, proporcionar información detallada sobre las medidas adoptadas por el Estado para garantizar el acceso a la justicia en los casos en </w:t>
      </w:r>
      <w:r w:rsidRPr="000E3667">
        <w:rPr>
          <w:szCs w:val="24"/>
        </w:rPr>
        <w:lastRenderedPageBreak/>
        <w:t>que no se cuenten con abogados afiliados (acreditados para ejercer la profesión).</w:t>
      </w:r>
    </w:p>
    <w:p w:rsidR="00A967F0" w:rsidRPr="009C6DD9" w:rsidRDefault="00A967F0" w:rsidP="00A967F0">
      <w:pPr>
        <w:pStyle w:val="ListParagraph"/>
        <w:tabs>
          <w:tab w:val="left" w:pos="1134"/>
        </w:tabs>
        <w:ind w:left="1494" w:right="423" w:firstLine="0"/>
        <w:rPr>
          <w:szCs w:val="24"/>
        </w:rPr>
      </w:pPr>
    </w:p>
    <w:p w:rsidR="00A967F0" w:rsidRPr="00293D00" w:rsidRDefault="00A967F0" w:rsidP="00A967F0">
      <w:pPr>
        <w:pStyle w:val="ListParagraph"/>
        <w:numPr>
          <w:ilvl w:val="0"/>
          <w:numId w:val="1"/>
        </w:numPr>
        <w:spacing w:before="0" w:after="200"/>
        <w:ind w:left="0" w:firstLine="0"/>
        <w:contextualSpacing w:val="0"/>
        <w:rPr>
          <w:szCs w:val="24"/>
        </w:rPr>
      </w:pPr>
      <w:r>
        <w:rPr>
          <w:szCs w:val="24"/>
        </w:rPr>
        <w:t xml:space="preserve">A continuación, </w:t>
      </w:r>
      <w:r w:rsidRPr="00645602">
        <w:rPr>
          <w:szCs w:val="24"/>
        </w:rPr>
        <w:t xml:space="preserve">el Estado mexicano da respuesta a la </w:t>
      </w:r>
      <w:r>
        <w:rPr>
          <w:szCs w:val="24"/>
        </w:rPr>
        <w:t>solicitud del Relator Especi</w:t>
      </w:r>
      <w:r w:rsidR="00FB0D84">
        <w:rPr>
          <w:szCs w:val="24"/>
        </w:rPr>
        <w:t>al</w:t>
      </w:r>
      <w:r>
        <w:rPr>
          <w:szCs w:val="24"/>
        </w:rPr>
        <w:t>.</w:t>
      </w:r>
    </w:p>
    <w:p w:rsidR="00040793" w:rsidRDefault="00040793" w:rsidP="00874F3D">
      <w:pPr>
        <w:spacing w:before="0" w:after="200"/>
        <w:ind w:firstLine="0"/>
        <w:outlineLvl w:val="0"/>
        <w:rPr>
          <w:b/>
          <w:smallCaps/>
          <w:szCs w:val="24"/>
        </w:rPr>
      </w:pPr>
    </w:p>
    <w:p w:rsidR="00A967F0" w:rsidRPr="00874F3D" w:rsidRDefault="00874F3D" w:rsidP="00874F3D">
      <w:pPr>
        <w:spacing w:before="0" w:after="200"/>
        <w:ind w:firstLine="0"/>
        <w:outlineLvl w:val="0"/>
        <w:rPr>
          <w:b/>
          <w:smallCaps/>
          <w:szCs w:val="24"/>
        </w:rPr>
      </w:pPr>
      <w:r>
        <w:rPr>
          <w:b/>
          <w:smallCaps/>
          <w:szCs w:val="24"/>
        </w:rPr>
        <w:t xml:space="preserve">ii. </w:t>
      </w:r>
      <w:r w:rsidR="00293D00" w:rsidRPr="00874F3D">
        <w:rPr>
          <w:b/>
          <w:smallCaps/>
          <w:szCs w:val="24"/>
        </w:rPr>
        <w:t>Fundamentos jurídicos para el establecimiento y acreditación de la profesión jurídica en México</w:t>
      </w:r>
    </w:p>
    <w:p w:rsidR="00293D00" w:rsidRDefault="00293D00" w:rsidP="00293D00">
      <w:pPr>
        <w:pStyle w:val="ListParagraph"/>
        <w:numPr>
          <w:ilvl w:val="0"/>
          <w:numId w:val="1"/>
        </w:numPr>
        <w:spacing w:before="0" w:after="200"/>
        <w:ind w:left="0" w:firstLine="0"/>
        <w:contextualSpacing w:val="0"/>
        <w:rPr>
          <w:szCs w:val="24"/>
        </w:rPr>
      </w:pPr>
      <w:r>
        <w:rPr>
          <w:szCs w:val="24"/>
        </w:rPr>
        <w:t>De conformidad con e</w:t>
      </w:r>
      <w:r w:rsidR="00A967F0">
        <w:rPr>
          <w:szCs w:val="24"/>
        </w:rPr>
        <w:t xml:space="preserve">l artículo 94 </w:t>
      </w:r>
      <w:r w:rsidR="00A967F0" w:rsidRPr="00634B30">
        <w:rPr>
          <w:szCs w:val="24"/>
        </w:rPr>
        <w:t xml:space="preserve">de la Constitución Política de los Estados Unidos Mexicanos y </w:t>
      </w:r>
      <w:r>
        <w:rPr>
          <w:szCs w:val="24"/>
        </w:rPr>
        <w:t xml:space="preserve">el artículo </w:t>
      </w:r>
      <w:r w:rsidR="00A967F0" w:rsidRPr="00634B30">
        <w:rPr>
          <w:szCs w:val="24"/>
        </w:rPr>
        <w:t xml:space="preserve">68 de </w:t>
      </w:r>
      <w:r w:rsidR="00A967F0" w:rsidRPr="00634B30">
        <w:rPr>
          <w:szCs w:val="24"/>
        </w:rPr>
        <w:lastRenderedPageBreak/>
        <w:t>la Ley Orgánica del Pode</w:t>
      </w:r>
      <w:r w:rsidR="00A967F0">
        <w:rPr>
          <w:szCs w:val="24"/>
        </w:rPr>
        <w:t>r Judicial de la Federación</w:t>
      </w:r>
      <w:r>
        <w:rPr>
          <w:szCs w:val="24"/>
        </w:rPr>
        <w:t xml:space="preserve">, el </w:t>
      </w:r>
      <w:r w:rsidR="00A967F0" w:rsidRPr="00634B30">
        <w:rPr>
          <w:szCs w:val="24"/>
        </w:rPr>
        <w:t xml:space="preserve">Consejo de la Judicatura Federal </w:t>
      </w:r>
      <w:r>
        <w:rPr>
          <w:szCs w:val="24"/>
        </w:rPr>
        <w:t xml:space="preserve">(CJF) es el organismo facultado </w:t>
      </w:r>
      <w:r w:rsidR="00A967F0">
        <w:rPr>
          <w:szCs w:val="24"/>
        </w:rPr>
        <w:t xml:space="preserve">para </w:t>
      </w:r>
      <w:r>
        <w:rPr>
          <w:szCs w:val="24"/>
        </w:rPr>
        <w:t>administrar</w:t>
      </w:r>
      <w:r w:rsidR="00A967F0" w:rsidRPr="00634B30">
        <w:rPr>
          <w:szCs w:val="24"/>
        </w:rPr>
        <w:t>, vigila</w:t>
      </w:r>
      <w:r>
        <w:rPr>
          <w:szCs w:val="24"/>
        </w:rPr>
        <w:t xml:space="preserve">r y desarrollar las normas que rigen la disciplina así como el servicio de </w:t>
      </w:r>
      <w:r w:rsidR="00A967F0" w:rsidRPr="00634B30">
        <w:rPr>
          <w:szCs w:val="24"/>
        </w:rPr>
        <w:t>carrera judicial</w:t>
      </w:r>
      <w:r>
        <w:rPr>
          <w:szCs w:val="24"/>
        </w:rPr>
        <w:t xml:space="preserve">, </w:t>
      </w:r>
      <w:r w:rsidR="00A967F0" w:rsidRPr="00634B30">
        <w:rPr>
          <w:szCs w:val="24"/>
        </w:rPr>
        <w:t>de</w:t>
      </w:r>
      <w:r>
        <w:rPr>
          <w:szCs w:val="24"/>
        </w:rPr>
        <w:t xml:space="preserve"> </w:t>
      </w:r>
      <w:r w:rsidR="00A967F0" w:rsidRPr="00634B30">
        <w:rPr>
          <w:szCs w:val="24"/>
        </w:rPr>
        <w:t>l</w:t>
      </w:r>
      <w:r>
        <w:rPr>
          <w:szCs w:val="24"/>
        </w:rPr>
        <w:t>as y los servidores públicos del</w:t>
      </w:r>
      <w:r w:rsidR="00A967F0" w:rsidRPr="00634B30">
        <w:rPr>
          <w:szCs w:val="24"/>
        </w:rPr>
        <w:t xml:space="preserve"> Poder Judicial de la Federación, con excepción de la Suprema Corte de Justicia de la </w:t>
      </w:r>
      <w:r>
        <w:rPr>
          <w:szCs w:val="24"/>
        </w:rPr>
        <w:t>Nación y del Tribunal Electoral.</w:t>
      </w:r>
    </w:p>
    <w:p w:rsidR="00040793" w:rsidRDefault="00040793" w:rsidP="00293D00">
      <w:pPr>
        <w:pStyle w:val="ListParagraph"/>
        <w:spacing w:before="0" w:after="200"/>
        <w:ind w:left="0" w:firstLine="0"/>
        <w:contextualSpacing w:val="0"/>
        <w:rPr>
          <w:b/>
          <w:smallCaps/>
          <w:szCs w:val="24"/>
        </w:rPr>
      </w:pPr>
    </w:p>
    <w:p w:rsidR="00293D00" w:rsidRDefault="00874F3D" w:rsidP="00293D00">
      <w:pPr>
        <w:pStyle w:val="ListParagraph"/>
        <w:spacing w:before="0" w:after="200"/>
        <w:ind w:left="0" w:firstLine="0"/>
        <w:contextualSpacing w:val="0"/>
        <w:rPr>
          <w:szCs w:val="24"/>
        </w:rPr>
      </w:pPr>
      <w:r>
        <w:rPr>
          <w:b/>
          <w:smallCaps/>
          <w:szCs w:val="24"/>
        </w:rPr>
        <w:t>I</w:t>
      </w:r>
      <w:r w:rsidR="00293D00" w:rsidRPr="00293D00">
        <w:rPr>
          <w:b/>
          <w:smallCaps/>
          <w:szCs w:val="24"/>
        </w:rPr>
        <w:t xml:space="preserve">II. </w:t>
      </w:r>
      <w:r w:rsidR="00293D00">
        <w:rPr>
          <w:b/>
          <w:smallCaps/>
          <w:szCs w:val="24"/>
        </w:rPr>
        <w:t>Asociaciones</w:t>
      </w:r>
      <w:r w:rsidR="00293D00" w:rsidRPr="00293D00">
        <w:rPr>
          <w:b/>
          <w:smallCaps/>
          <w:szCs w:val="24"/>
        </w:rPr>
        <w:t xml:space="preserve"> profesional</w:t>
      </w:r>
      <w:r w:rsidR="00293D00">
        <w:rPr>
          <w:b/>
          <w:smallCaps/>
          <w:szCs w:val="24"/>
        </w:rPr>
        <w:t>es</w:t>
      </w:r>
      <w:r w:rsidR="00293D00" w:rsidRPr="00293D00">
        <w:rPr>
          <w:b/>
          <w:smallCaps/>
          <w:szCs w:val="24"/>
        </w:rPr>
        <w:t xml:space="preserve"> de abogados </w:t>
      </w:r>
      <w:r w:rsidR="00293D00">
        <w:rPr>
          <w:b/>
          <w:smallCaps/>
          <w:szCs w:val="24"/>
        </w:rPr>
        <w:t>en México</w:t>
      </w:r>
    </w:p>
    <w:p w:rsidR="00A967F0" w:rsidRPr="00FB0D84" w:rsidRDefault="00FB0D84" w:rsidP="00FB0D84">
      <w:pPr>
        <w:pStyle w:val="ListParagraph"/>
        <w:numPr>
          <w:ilvl w:val="0"/>
          <w:numId w:val="1"/>
        </w:numPr>
        <w:spacing w:before="0" w:after="200"/>
        <w:ind w:left="0" w:firstLine="0"/>
        <w:contextualSpacing w:val="0"/>
        <w:rPr>
          <w:szCs w:val="24"/>
        </w:rPr>
      </w:pPr>
      <w:r>
        <w:rPr>
          <w:szCs w:val="24"/>
        </w:rPr>
        <w:lastRenderedPageBreak/>
        <w:t>El</w:t>
      </w:r>
      <w:r w:rsidR="00293D00">
        <w:rPr>
          <w:szCs w:val="24"/>
        </w:rPr>
        <w:t xml:space="preserve"> CJF </w:t>
      </w:r>
      <w:r>
        <w:rPr>
          <w:szCs w:val="24"/>
        </w:rPr>
        <w:t>no cuenta</w:t>
      </w:r>
      <w:r w:rsidR="00A967F0" w:rsidRPr="00634B30">
        <w:rPr>
          <w:szCs w:val="24"/>
        </w:rPr>
        <w:t xml:space="preserve"> con atribuciones para acreditar la profesión jurídica en México</w:t>
      </w:r>
      <w:r w:rsidR="00A967F0">
        <w:rPr>
          <w:szCs w:val="24"/>
        </w:rPr>
        <w:t xml:space="preserve"> ni </w:t>
      </w:r>
      <w:r w:rsidR="00A967F0" w:rsidRPr="00634B30">
        <w:rPr>
          <w:szCs w:val="24"/>
        </w:rPr>
        <w:t>regular asociac</w:t>
      </w:r>
      <w:r>
        <w:rPr>
          <w:szCs w:val="24"/>
        </w:rPr>
        <w:t>iones profesionales de abogados</w:t>
      </w:r>
      <w:r w:rsidR="00293D00">
        <w:rPr>
          <w:szCs w:val="24"/>
        </w:rPr>
        <w:t>.</w:t>
      </w:r>
      <w:r>
        <w:rPr>
          <w:szCs w:val="24"/>
        </w:rPr>
        <w:t xml:space="preserve"> </w:t>
      </w:r>
      <w:r w:rsidRPr="00FB0D84">
        <w:rPr>
          <w:szCs w:val="24"/>
        </w:rPr>
        <w:t>Además, n</w:t>
      </w:r>
      <w:r w:rsidR="00293D00" w:rsidRPr="00FB0D84">
        <w:rPr>
          <w:szCs w:val="24"/>
        </w:rPr>
        <w:t xml:space="preserve">inguna asociación profesional de abogados interviene en </w:t>
      </w:r>
      <w:r w:rsidR="00A967F0" w:rsidRPr="00FB0D84">
        <w:rPr>
          <w:szCs w:val="24"/>
        </w:rPr>
        <w:t>los procedimientos competencia del Consejo de la Judicatura Federal.</w:t>
      </w:r>
    </w:p>
    <w:p w:rsidR="00040793" w:rsidRDefault="00040793" w:rsidP="00874F3D">
      <w:pPr>
        <w:pStyle w:val="ListParagraph"/>
        <w:spacing w:before="0" w:after="200"/>
        <w:ind w:left="0" w:firstLine="0"/>
        <w:contextualSpacing w:val="0"/>
        <w:rPr>
          <w:b/>
          <w:smallCaps/>
          <w:szCs w:val="24"/>
        </w:rPr>
      </w:pPr>
    </w:p>
    <w:p w:rsidR="00874F3D" w:rsidRPr="00DA0E0A" w:rsidRDefault="00874F3D" w:rsidP="00874F3D">
      <w:pPr>
        <w:pStyle w:val="ListParagraph"/>
        <w:spacing w:before="0" w:after="200"/>
        <w:ind w:left="0" w:firstLine="0"/>
        <w:contextualSpacing w:val="0"/>
        <w:rPr>
          <w:szCs w:val="24"/>
        </w:rPr>
      </w:pPr>
      <w:r>
        <w:rPr>
          <w:b/>
          <w:smallCaps/>
          <w:szCs w:val="24"/>
        </w:rPr>
        <w:t>IV. Obligatoriedad de</w:t>
      </w:r>
      <w:r w:rsidRPr="00874F3D">
        <w:rPr>
          <w:b/>
          <w:smallCaps/>
          <w:szCs w:val="24"/>
        </w:rPr>
        <w:t xml:space="preserve"> </w:t>
      </w:r>
      <w:r>
        <w:rPr>
          <w:b/>
          <w:smallCaps/>
          <w:szCs w:val="24"/>
        </w:rPr>
        <w:t>pertenec</w:t>
      </w:r>
      <w:r w:rsidRPr="00874F3D">
        <w:rPr>
          <w:b/>
          <w:smallCaps/>
          <w:szCs w:val="24"/>
        </w:rPr>
        <w:t xml:space="preserve">er </w:t>
      </w:r>
      <w:r>
        <w:rPr>
          <w:b/>
          <w:smallCaps/>
          <w:szCs w:val="24"/>
        </w:rPr>
        <w:t>a una</w:t>
      </w:r>
      <w:r w:rsidRPr="00874F3D">
        <w:rPr>
          <w:b/>
          <w:smallCaps/>
          <w:szCs w:val="24"/>
        </w:rPr>
        <w:t xml:space="preserve"> asociación profesional de abogados para</w:t>
      </w:r>
      <w:r>
        <w:rPr>
          <w:b/>
          <w:smallCaps/>
          <w:szCs w:val="24"/>
        </w:rPr>
        <w:t xml:space="preserve"> ejercer la profesión en México</w:t>
      </w:r>
    </w:p>
    <w:p w:rsidR="00874F3D" w:rsidRDefault="00874F3D" w:rsidP="00A967F0">
      <w:pPr>
        <w:pStyle w:val="ListParagraph"/>
        <w:numPr>
          <w:ilvl w:val="0"/>
          <w:numId w:val="1"/>
        </w:numPr>
        <w:spacing w:before="0" w:after="200"/>
        <w:ind w:left="0" w:firstLine="0"/>
        <w:contextualSpacing w:val="0"/>
        <w:rPr>
          <w:szCs w:val="24"/>
        </w:rPr>
      </w:pPr>
      <w:r>
        <w:rPr>
          <w:szCs w:val="24"/>
        </w:rPr>
        <w:lastRenderedPageBreak/>
        <w:t>Respecto a la obligatoriedad de pertenecer a alguna asociación profesional de abogados</w:t>
      </w:r>
      <w:r w:rsidR="00A967F0" w:rsidRPr="00634B30">
        <w:rPr>
          <w:szCs w:val="24"/>
        </w:rPr>
        <w:t xml:space="preserve">, </w:t>
      </w:r>
      <w:r>
        <w:rPr>
          <w:szCs w:val="24"/>
        </w:rPr>
        <w:t xml:space="preserve">el Estado mexicano </w:t>
      </w:r>
      <w:r w:rsidR="00FB0D84">
        <w:rPr>
          <w:szCs w:val="24"/>
        </w:rPr>
        <w:t>señala</w:t>
      </w:r>
      <w:r>
        <w:rPr>
          <w:szCs w:val="24"/>
        </w:rPr>
        <w:t xml:space="preserve"> que no es un requisito para ejercer la abogacía en México. </w:t>
      </w:r>
    </w:p>
    <w:p w:rsidR="00A967F0" w:rsidRDefault="00874F3D" w:rsidP="00A967F0">
      <w:pPr>
        <w:pStyle w:val="ListParagraph"/>
        <w:numPr>
          <w:ilvl w:val="0"/>
          <w:numId w:val="1"/>
        </w:numPr>
        <w:spacing w:before="0" w:after="200"/>
        <w:ind w:left="0" w:firstLine="0"/>
        <w:contextualSpacing w:val="0"/>
        <w:rPr>
          <w:szCs w:val="24"/>
        </w:rPr>
      </w:pPr>
      <w:r>
        <w:rPr>
          <w:szCs w:val="24"/>
        </w:rPr>
        <w:t xml:space="preserve">Resulta oportuno mencionar </w:t>
      </w:r>
      <w:r w:rsidR="00A967F0" w:rsidRPr="00634B30">
        <w:rPr>
          <w:szCs w:val="24"/>
        </w:rPr>
        <w:t xml:space="preserve">que si bien existen </w:t>
      </w:r>
      <w:r>
        <w:rPr>
          <w:szCs w:val="24"/>
        </w:rPr>
        <w:t xml:space="preserve">en el país </w:t>
      </w:r>
      <w:r w:rsidR="00A967F0" w:rsidRPr="00634B30">
        <w:rPr>
          <w:szCs w:val="24"/>
        </w:rPr>
        <w:t>diversas asociaciones de juzgadores</w:t>
      </w:r>
      <w:r>
        <w:rPr>
          <w:szCs w:val="24"/>
        </w:rPr>
        <w:t xml:space="preserve">, integradas </w:t>
      </w:r>
      <w:r w:rsidR="00A967F0" w:rsidRPr="00634B30">
        <w:rPr>
          <w:szCs w:val="24"/>
        </w:rPr>
        <w:t>entre otros miembros, por jueces y magistrados del Poder Judicial de l</w:t>
      </w:r>
      <w:r>
        <w:rPr>
          <w:szCs w:val="24"/>
        </w:rPr>
        <w:t>a Federación, la pertenencia a é</w:t>
      </w:r>
      <w:r w:rsidR="00A967F0" w:rsidRPr="00634B30">
        <w:rPr>
          <w:szCs w:val="24"/>
        </w:rPr>
        <w:t>stas no es obligatoria para el ej</w:t>
      </w:r>
      <w:r w:rsidR="00FB0D84">
        <w:rPr>
          <w:szCs w:val="24"/>
        </w:rPr>
        <w:t>ercicio de los cargos referidos.</w:t>
      </w:r>
      <w:r>
        <w:rPr>
          <w:szCs w:val="24"/>
        </w:rPr>
        <w:t xml:space="preserve"> </w:t>
      </w:r>
      <w:r w:rsidR="00FB0D84">
        <w:rPr>
          <w:szCs w:val="24"/>
        </w:rPr>
        <w:t>L</w:t>
      </w:r>
      <w:r w:rsidR="00A967F0" w:rsidRPr="00634B30">
        <w:rPr>
          <w:szCs w:val="24"/>
        </w:rPr>
        <w:t xml:space="preserve">as actividades de estas asociaciones se rigen por sus estatutos, sin que el Consejo </w:t>
      </w:r>
      <w:r w:rsidR="00A967F0" w:rsidRPr="00634B30">
        <w:rPr>
          <w:szCs w:val="24"/>
        </w:rPr>
        <w:lastRenderedPageBreak/>
        <w:t xml:space="preserve">de la Judicatura intervenga en su </w:t>
      </w:r>
      <w:r w:rsidR="00A967F0">
        <w:rPr>
          <w:szCs w:val="24"/>
        </w:rPr>
        <w:t>conformación o</w:t>
      </w:r>
      <w:r w:rsidR="00A967F0" w:rsidRPr="00634B30">
        <w:rPr>
          <w:szCs w:val="24"/>
        </w:rPr>
        <w:t xml:space="preserve"> en la aprobación de su normativa.</w:t>
      </w:r>
    </w:p>
    <w:p w:rsidR="00A967F0" w:rsidRDefault="00A967F0" w:rsidP="00A967F0">
      <w:pPr>
        <w:pStyle w:val="ListParagraph"/>
        <w:numPr>
          <w:ilvl w:val="0"/>
          <w:numId w:val="1"/>
        </w:numPr>
        <w:spacing w:before="0" w:after="200"/>
        <w:ind w:left="0" w:firstLine="0"/>
        <w:contextualSpacing w:val="0"/>
        <w:rPr>
          <w:szCs w:val="24"/>
        </w:rPr>
      </w:pPr>
      <w:r w:rsidRPr="00DA0E0A">
        <w:rPr>
          <w:szCs w:val="24"/>
        </w:rPr>
        <w:t>El Consejo de la Judicatura Federal respeta las determinaciones de los Poderes del Estado, en este sentido</w:t>
      </w:r>
      <w:r>
        <w:rPr>
          <w:szCs w:val="24"/>
        </w:rPr>
        <w:t>, no</w:t>
      </w:r>
      <w:r w:rsidRPr="00DA0E0A">
        <w:rPr>
          <w:szCs w:val="24"/>
        </w:rPr>
        <w:t xml:space="preserve"> puede emitir pronunciamiento sobre el posible establecimiento de una asociación profesional que regule la profesión jurídica, pues ello implicaría </w:t>
      </w:r>
      <w:r>
        <w:rPr>
          <w:szCs w:val="24"/>
        </w:rPr>
        <w:t xml:space="preserve">fijar una posición </w:t>
      </w:r>
      <w:r w:rsidRPr="00DA0E0A">
        <w:rPr>
          <w:szCs w:val="24"/>
        </w:rPr>
        <w:t>sobre una posible reforma a la normativa</w:t>
      </w:r>
      <w:r>
        <w:rPr>
          <w:szCs w:val="24"/>
        </w:rPr>
        <w:t xml:space="preserve"> lo cual podría</w:t>
      </w:r>
      <w:r w:rsidRPr="00DA0E0A">
        <w:rPr>
          <w:szCs w:val="24"/>
        </w:rPr>
        <w:t xml:space="preserve"> </w:t>
      </w:r>
      <w:r>
        <w:rPr>
          <w:szCs w:val="24"/>
        </w:rPr>
        <w:t xml:space="preserve">ocasionar una invasión de competencias entre los poderes estatales. </w:t>
      </w:r>
    </w:p>
    <w:p w:rsidR="00A967F0" w:rsidRDefault="00A967F0" w:rsidP="00A967F0">
      <w:pPr>
        <w:pStyle w:val="ListParagraph"/>
        <w:numPr>
          <w:ilvl w:val="0"/>
          <w:numId w:val="1"/>
        </w:numPr>
        <w:spacing w:before="0" w:after="200"/>
        <w:ind w:left="0" w:firstLine="0"/>
        <w:contextualSpacing w:val="0"/>
        <w:rPr>
          <w:szCs w:val="24"/>
        </w:rPr>
      </w:pPr>
      <w:r>
        <w:rPr>
          <w:szCs w:val="24"/>
        </w:rPr>
        <w:lastRenderedPageBreak/>
        <w:t>En este sentido,</w:t>
      </w:r>
      <w:r w:rsidRPr="00DA0E0A">
        <w:rPr>
          <w:szCs w:val="24"/>
        </w:rPr>
        <w:t xml:space="preserve"> el artículo 68, párrafo segundo, de la Ley Orgánica del Poder Judicial de la Federación,</w:t>
      </w:r>
      <w:r>
        <w:rPr>
          <w:szCs w:val="24"/>
        </w:rPr>
        <w:t xml:space="preserve"> obliga al</w:t>
      </w:r>
      <w:r w:rsidRPr="00DA0E0A">
        <w:rPr>
          <w:szCs w:val="24"/>
        </w:rPr>
        <w:t xml:space="preserve"> Co</w:t>
      </w:r>
      <w:r>
        <w:rPr>
          <w:szCs w:val="24"/>
        </w:rPr>
        <w:t>nsejo de la Judicatura Federal</w:t>
      </w:r>
      <w:r w:rsidRPr="00DA0E0A">
        <w:rPr>
          <w:szCs w:val="24"/>
        </w:rPr>
        <w:t xml:space="preserve"> a velar en todo momento por la autonomía de los órganos del Poder Judicial de la Federación y por la independencia e imparcialidad de los miembros de este último, por lo cual, lejos de emitir pronunciamientos que puedan influir en las determinaciones de los juzgadores federales, debe adoptar las medidas necesarias para fortalecer tal autonomía, independencia e imparcialidad.</w:t>
      </w:r>
    </w:p>
    <w:p w:rsidR="00A967F0" w:rsidRDefault="00A967F0" w:rsidP="00A967F0">
      <w:pPr>
        <w:pStyle w:val="ListParagraph"/>
        <w:numPr>
          <w:ilvl w:val="0"/>
          <w:numId w:val="1"/>
        </w:numPr>
        <w:spacing w:before="0" w:after="200"/>
        <w:ind w:left="0" w:firstLine="0"/>
        <w:contextualSpacing w:val="0"/>
        <w:rPr>
          <w:szCs w:val="24"/>
        </w:rPr>
      </w:pPr>
      <w:r>
        <w:rPr>
          <w:szCs w:val="24"/>
        </w:rPr>
        <w:lastRenderedPageBreak/>
        <w:t>Con relación a la última pregunta, e</w:t>
      </w:r>
      <w:r w:rsidRPr="000B18E2">
        <w:rPr>
          <w:szCs w:val="24"/>
        </w:rPr>
        <w:t>n los procesos seguidos ante los Juzgados de Distrito y en los Tribunales de Circuito del Poder Judicial de la Federación, quienes intervienen representando a las partes no tienen que pertenecer a una asociación profesional de abogados para ejercer su profesión</w:t>
      </w:r>
      <w:r>
        <w:rPr>
          <w:szCs w:val="24"/>
        </w:rPr>
        <w:t>.</w:t>
      </w:r>
    </w:p>
    <w:p w:rsidR="00A967F0" w:rsidRPr="000B18E2" w:rsidRDefault="00A967F0" w:rsidP="00A967F0">
      <w:pPr>
        <w:pStyle w:val="ListParagraph"/>
        <w:numPr>
          <w:ilvl w:val="0"/>
          <w:numId w:val="1"/>
        </w:numPr>
        <w:spacing w:before="0" w:after="200"/>
        <w:ind w:left="0" w:firstLine="0"/>
        <w:contextualSpacing w:val="0"/>
        <w:rPr>
          <w:szCs w:val="24"/>
        </w:rPr>
      </w:pPr>
      <w:r w:rsidRPr="000B18E2">
        <w:rPr>
          <w:szCs w:val="24"/>
        </w:rPr>
        <w:t>Con base en las razones expuestas en el presente informe, el Estado mexicano reafirma su disposición plena para continuar implementando las acc</w:t>
      </w:r>
      <w:r w:rsidR="00874F3D">
        <w:rPr>
          <w:szCs w:val="24"/>
        </w:rPr>
        <w:t>iones tendientes a for</w:t>
      </w:r>
      <w:r w:rsidR="00874F3D">
        <w:rPr>
          <w:szCs w:val="24"/>
        </w:rPr>
        <w:lastRenderedPageBreak/>
        <w:t>talecer la política de protección a</w:t>
      </w:r>
      <w:r w:rsidRPr="000B18E2">
        <w:rPr>
          <w:szCs w:val="24"/>
        </w:rPr>
        <w:t xml:space="preserve"> los derechos </w:t>
      </w:r>
      <w:r w:rsidR="00874F3D">
        <w:rPr>
          <w:szCs w:val="24"/>
        </w:rPr>
        <w:t xml:space="preserve">humanos </w:t>
      </w:r>
      <w:r w:rsidRPr="000B18E2">
        <w:rPr>
          <w:szCs w:val="24"/>
        </w:rPr>
        <w:t>relacionados con la administración de justicia y demás derechos conexos</w:t>
      </w:r>
      <w:r w:rsidR="00874F3D">
        <w:rPr>
          <w:szCs w:val="24"/>
        </w:rPr>
        <w:t>, a fin de garantizar la independencia de jueces y magistrados</w:t>
      </w:r>
      <w:r w:rsidR="00087705">
        <w:rPr>
          <w:szCs w:val="24"/>
        </w:rPr>
        <w:t>.</w:t>
      </w:r>
    </w:p>
    <w:p w:rsidR="00AF7FCB" w:rsidRDefault="00623984"/>
    <w:sectPr w:rsidR="00AF7FCB" w:rsidSect="00A967F0">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B3" w:rsidRDefault="00A448B3" w:rsidP="00A967F0">
      <w:pPr>
        <w:spacing w:before="0" w:line="240" w:lineRule="auto"/>
      </w:pPr>
      <w:r>
        <w:separator/>
      </w:r>
    </w:p>
  </w:endnote>
  <w:endnote w:type="continuationSeparator" w:id="0">
    <w:p w:rsidR="00A448B3" w:rsidRDefault="00A448B3" w:rsidP="00A967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7F0" w:rsidRDefault="00A967F0">
    <w:pPr>
      <w:pStyle w:val="Footer"/>
      <w:jc w:val="center"/>
    </w:pPr>
  </w:p>
  <w:p w:rsidR="00A967F0" w:rsidRDefault="00A96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504368"/>
      <w:docPartObj>
        <w:docPartGallery w:val="Page Numbers (Bottom of Page)"/>
        <w:docPartUnique/>
      </w:docPartObj>
    </w:sdtPr>
    <w:sdtEndPr/>
    <w:sdtContent>
      <w:p w:rsidR="00A967F0" w:rsidRDefault="00A967F0">
        <w:pPr>
          <w:pStyle w:val="Footer"/>
          <w:jc w:val="center"/>
        </w:pPr>
        <w:r>
          <w:fldChar w:fldCharType="begin"/>
        </w:r>
        <w:r>
          <w:instrText>PAGE   \* MERGEFORMAT</w:instrText>
        </w:r>
        <w:r>
          <w:fldChar w:fldCharType="separate"/>
        </w:r>
        <w:r w:rsidR="00623984" w:rsidRPr="00623984">
          <w:rPr>
            <w:noProof/>
            <w:lang w:val="es-ES"/>
          </w:rPr>
          <w:t>3</w:t>
        </w:r>
        <w:r>
          <w:fldChar w:fldCharType="end"/>
        </w:r>
      </w:p>
    </w:sdtContent>
  </w:sdt>
  <w:p w:rsidR="00A967F0" w:rsidRDefault="00A96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B3" w:rsidRDefault="00A448B3" w:rsidP="00A967F0">
      <w:pPr>
        <w:spacing w:before="0" w:line="240" w:lineRule="auto"/>
      </w:pPr>
      <w:r>
        <w:separator/>
      </w:r>
    </w:p>
  </w:footnote>
  <w:footnote w:type="continuationSeparator" w:id="0">
    <w:p w:rsidR="00A448B3" w:rsidRDefault="00A448B3" w:rsidP="00A967F0">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5BFF"/>
    <w:multiLevelType w:val="hybridMultilevel"/>
    <w:tmpl w:val="0A8CE14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nsid w:val="07561C65"/>
    <w:multiLevelType w:val="hybridMultilevel"/>
    <w:tmpl w:val="25EEA3FE"/>
    <w:lvl w:ilvl="0" w:tplc="7BBAF10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D6E4AEF"/>
    <w:multiLevelType w:val="hybridMultilevel"/>
    <w:tmpl w:val="6130F820"/>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5A7200F8"/>
    <w:multiLevelType w:val="hybridMultilevel"/>
    <w:tmpl w:val="B3B48D76"/>
    <w:lvl w:ilvl="0" w:tplc="080A0001">
      <w:start w:val="1"/>
      <w:numFmt w:val="bullet"/>
      <w:lvlText w:val=""/>
      <w:lvlJc w:val="left"/>
      <w:pPr>
        <w:ind w:left="1494" w:hanging="360"/>
      </w:pPr>
      <w:rPr>
        <w:rFonts w:ascii="Symbol" w:hAnsi="Symbol" w:hint="default"/>
      </w:rPr>
    </w:lvl>
    <w:lvl w:ilvl="1" w:tplc="080A0017">
      <w:start w:val="1"/>
      <w:numFmt w:val="lowerLetter"/>
      <w:lvlText w:val="%2)"/>
      <w:lvlJc w:val="left"/>
      <w:pPr>
        <w:ind w:left="2214" w:hanging="360"/>
      </w:pPr>
      <w:rPr>
        <w:rFonts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4">
    <w:nsid w:val="74FB1D78"/>
    <w:multiLevelType w:val="hybridMultilevel"/>
    <w:tmpl w:val="AD2E38C0"/>
    <w:lvl w:ilvl="0" w:tplc="1CA415E6">
      <w:start w:val="1"/>
      <w:numFmt w:val="decimal"/>
      <w:lvlText w:val="%1."/>
      <w:lvlJc w:val="left"/>
      <w:pPr>
        <w:ind w:left="720" w:hanging="360"/>
      </w:pPr>
      <w:rPr>
        <w:rFonts w:hint="default"/>
        <w:b w:val="0"/>
        <w:i w:val="0"/>
        <w:sz w:val="24"/>
      </w:rPr>
    </w:lvl>
    <w:lvl w:ilvl="1" w:tplc="080A0001">
      <w:start w:val="1"/>
      <w:numFmt w:val="bullet"/>
      <w:lvlText w:val=""/>
      <w:lvlJc w:val="left"/>
      <w:pPr>
        <w:ind w:left="1440" w:hanging="360"/>
      </w:pPr>
      <w:rPr>
        <w:rFonts w:ascii="Symbol" w:hAnsi="Symbol" w:hint="default"/>
        <w:i w:val="0"/>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F0"/>
    <w:rsid w:val="00003E42"/>
    <w:rsid w:val="00040793"/>
    <w:rsid w:val="00087705"/>
    <w:rsid w:val="001956FA"/>
    <w:rsid w:val="00293D00"/>
    <w:rsid w:val="002F6A95"/>
    <w:rsid w:val="00607F24"/>
    <w:rsid w:val="00623984"/>
    <w:rsid w:val="006E433B"/>
    <w:rsid w:val="00874F3D"/>
    <w:rsid w:val="00A448B3"/>
    <w:rsid w:val="00A967F0"/>
    <w:rsid w:val="00B92780"/>
    <w:rsid w:val="00CD6873"/>
    <w:rsid w:val="00FB0D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2FB58-7085-4074-B263-BC3364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F0"/>
    <w:pPr>
      <w:spacing w:before="120" w:after="0" w:line="360" w:lineRule="auto"/>
      <w:ind w:hanging="357"/>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Normal Fv,viñetas,lp1,List Paragraph2,Normal numbered,3,DH1,MAIN CONTENT"/>
    <w:basedOn w:val="Normal"/>
    <w:link w:val="ListParagraphChar"/>
    <w:uiPriority w:val="34"/>
    <w:qFormat/>
    <w:rsid w:val="00A967F0"/>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Normal Fv Char"/>
    <w:link w:val="ListParagraph"/>
    <w:uiPriority w:val="34"/>
    <w:qFormat/>
    <w:locked/>
    <w:rsid w:val="00A967F0"/>
    <w:rPr>
      <w:rFonts w:ascii="Times New Roman" w:hAnsi="Times New Roman" w:cs="Times New Roman"/>
      <w:sz w:val="24"/>
    </w:rPr>
  </w:style>
  <w:style w:type="paragraph" w:styleId="Header">
    <w:name w:val="header"/>
    <w:basedOn w:val="Normal"/>
    <w:link w:val="HeaderChar"/>
    <w:uiPriority w:val="99"/>
    <w:unhideWhenUsed/>
    <w:rsid w:val="00A967F0"/>
    <w:pPr>
      <w:tabs>
        <w:tab w:val="center" w:pos="4419"/>
        <w:tab w:val="right" w:pos="8838"/>
      </w:tabs>
      <w:spacing w:before="0" w:line="240" w:lineRule="auto"/>
    </w:pPr>
  </w:style>
  <w:style w:type="character" w:customStyle="1" w:styleId="HeaderChar">
    <w:name w:val="Header Char"/>
    <w:basedOn w:val="DefaultParagraphFont"/>
    <w:link w:val="Header"/>
    <w:uiPriority w:val="99"/>
    <w:rsid w:val="00A967F0"/>
    <w:rPr>
      <w:rFonts w:ascii="Times New Roman" w:hAnsi="Times New Roman" w:cs="Times New Roman"/>
      <w:sz w:val="24"/>
    </w:rPr>
  </w:style>
  <w:style w:type="paragraph" w:styleId="Footer">
    <w:name w:val="footer"/>
    <w:basedOn w:val="Normal"/>
    <w:link w:val="FooterChar"/>
    <w:uiPriority w:val="99"/>
    <w:unhideWhenUsed/>
    <w:rsid w:val="00A967F0"/>
    <w:pPr>
      <w:tabs>
        <w:tab w:val="center" w:pos="4419"/>
        <w:tab w:val="right" w:pos="8838"/>
      </w:tabs>
      <w:spacing w:before="0" w:line="240" w:lineRule="auto"/>
    </w:pPr>
  </w:style>
  <w:style w:type="character" w:customStyle="1" w:styleId="FooterChar">
    <w:name w:val="Footer Char"/>
    <w:basedOn w:val="DefaultParagraphFont"/>
    <w:link w:val="Footer"/>
    <w:uiPriority w:val="99"/>
    <w:rsid w:val="00A967F0"/>
    <w:rPr>
      <w:rFonts w:ascii="Times New Roman" w:hAnsi="Times New Roman" w:cs="Times New Roman"/>
      <w:sz w:val="24"/>
    </w:rPr>
  </w:style>
  <w:style w:type="paragraph" w:styleId="NoSpacing">
    <w:name w:val="No Spacing"/>
    <w:link w:val="NoSpacingChar"/>
    <w:uiPriority w:val="1"/>
    <w:qFormat/>
    <w:rsid w:val="00A967F0"/>
    <w:pPr>
      <w:spacing w:after="0" w:line="240" w:lineRule="auto"/>
    </w:pPr>
    <w:rPr>
      <w:rFonts w:eastAsiaTheme="minorEastAsia"/>
      <w:lang w:eastAsia="es-MX"/>
    </w:rPr>
  </w:style>
  <w:style w:type="character" w:customStyle="1" w:styleId="NoSpacingChar">
    <w:name w:val="No Spacing Char"/>
    <w:basedOn w:val="DefaultParagraphFont"/>
    <w:link w:val="NoSpacing"/>
    <w:uiPriority w:val="1"/>
    <w:rsid w:val="00A967F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7491CE-4AE5-42D9-B28F-0DD5945A2D39}">
  <ds:schemaRefs>
    <ds:schemaRef ds:uri="http://schemas.openxmlformats.org/officeDocument/2006/bibliography"/>
  </ds:schemaRefs>
</ds:datastoreItem>
</file>

<file path=customXml/itemProps2.xml><?xml version="1.0" encoding="utf-8"?>
<ds:datastoreItem xmlns:ds="http://schemas.openxmlformats.org/officeDocument/2006/customXml" ds:itemID="{CD844439-A5C3-4162-9CBD-C2E10879FF43}"/>
</file>

<file path=customXml/itemProps3.xml><?xml version="1.0" encoding="utf-8"?>
<ds:datastoreItem xmlns:ds="http://schemas.openxmlformats.org/officeDocument/2006/customXml" ds:itemID="{7A6F55F9-D18C-4C8C-9CBA-0585467D5661}"/>
</file>

<file path=customXml/itemProps4.xml><?xml version="1.0" encoding="utf-8"?>
<ds:datastoreItem xmlns:ds="http://schemas.openxmlformats.org/officeDocument/2006/customXml" ds:itemID="{76B1BCB9-FA88-40B9-8B74-0B2F69B20F99}"/>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5061</Characters>
  <Application>Microsoft Office Word</Application>
  <DocSecurity>4</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dc:title>
  <dc:subject/>
  <dc:creator>Servicio Social DGDH 01</dc:creator>
  <cp:keywords/>
  <dc:description/>
  <cp:lastModifiedBy>Stefano SENSI</cp:lastModifiedBy>
  <cp:revision>2</cp:revision>
  <dcterms:created xsi:type="dcterms:W3CDTF">2018-05-16T14:59:00Z</dcterms:created>
  <dcterms:modified xsi:type="dcterms:W3CDTF">2018-05-16T14:59:00Z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