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33174E" w:rsidRDefault="00F30D31" w:rsidP="0033174E">
      <w:pPr>
        <w:jc w:val="center"/>
        <w:rPr>
          <w:b/>
          <w:bCs/>
          <w:sz w:val="24"/>
          <w:szCs w:val="24"/>
        </w:rPr>
      </w:pPr>
      <w:r w:rsidRPr="0033174E">
        <w:rPr>
          <w:b/>
          <w:bCs/>
          <w:noProof/>
        </w:rPr>
        <w:t xml:space="preserve">Mandate of the </w:t>
      </w:r>
      <w:r w:rsidRPr="0033174E">
        <w:rPr>
          <w:b/>
          <w:bCs/>
          <w:noProof/>
        </w:rPr>
        <w:t>Special Rapporteur on the Independence of Judges and L</w:t>
      </w:r>
      <w:r w:rsidRPr="0033174E">
        <w:rPr>
          <w:b/>
          <w:bCs/>
          <w:noProof/>
        </w:rPr>
        <w:t>awyers</w:t>
      </w:r>
      <w:r w:rsidR="0033174E">
        <w:rPr>
          <w:b/>
          <w:bCs/>
          <w:sz w:val="24"/>
          <w:szCs w:val="24"/>
        </w:rPr>
        <w:br/>
      </w:r>
      <w:r w:rsidRPr="00C17832">
        <w:rPr>
          <w:b/>
          <w:sz w:val="24"/>
          <w:szCs w:val="24"/>
          <w:lang w:eastAsia="de-DE"/>
        </w:rPr>
        <w:t xml:space="preserve">Questionnaire </w:t>
      </w:r>
      <w:r>
        <w:rPr>
          <w:b/>
          <w:sz w:val="24"/>
          <w:szCs w:val="24"/>
          <w:lang w:eastAsia="en-GB"/>
        </w:rPr>
        <w:t xml:space="preserve">on the </w:t>
      </w:r>
      <w:r>
        <w:rPr>
          <w:b/>
          <w:sz w:val="24"/>
          <w:szCs w:val="24"/>
          <w:lang w:eastAsia="en-GB"/>
        </w:rPr>
        <w:t>R</w:t>
      </w:r>
      <w:r>
        <w:rPr>
          <w:b/>
          <w:sz w:val="24"/>
          <w:szCs w:val="24"/>
          <w:lang w:eastAsia="en-GB"/>
        </w:rPr>
        <w:t>ole</w:t>
      </w:r>
      <w:r>
        <w:rPr>
          <w:b/>
          <w:sz w:val="24"/>
          <w:szCs w:val="24"/>
          <w:lang w:eastAsia="en-GB"/>
        </w:rPr>
        <w:t>, Composition and Functions of Bar A</w:t>
      </w:r>
      <w:r>
        <w:rPr>
          <w:b/>
          <w:sz w:val="24"/>
          <w:szCs w:val="24"/>
          <w:lang w:eastAsia="en-GB"/>
        </w:rPr>
        <w:t>ssociations</w:t>
      </w:r>
    </w:p>
    <w:p w:rsidR="00F30D31" w:rsidRDefault="00F30D31" w:rsidP="00F30D31">
      <w:pPr>
        <w:jc w:val="both"/>
        <w:rPr>
          <w:sz w:val="24"/>
          <w:szCs w:val="24"/>
          <w:lang w:eastAsia="en-GB"/>
        </w:rPr>
      </w:pPr>
    </w:p>
    <w:p w:rsidR="00F30D31" w:rsidRPr="001859C0" w:rsidRDefault="00F30D31" w:rsidP="00F30D31">
      <w:pPr>
        <w:autoSpaceDE w:val="0"/>
        <w:autoSpaceDN w:val="0"/>
        <w:adjustRightInd w:val="0"/>
        <w:rPr>
          <w:rFonts w:eastAsia="Calibri"/>
          <w:b/>
          <w:bCs/>
          <w:color w:val="000000"/>
          <w:sz w:val="24"/>
          <w:szCs w:val="24"/>
        </w:rPr>
      </w:pPr>
    </w:p>
    <w:p w:rsidR="00F30D31" w:rsidRPr="00446EB5" w:rsidRDefault="00F30D31" w:rsidP="00F30D31">
      <w:pPr>
        <w:numPr>
          <w:ilvl w:val="0"/>
          <w:numId w:val="1"/>
        </w:numPr>
        <w:ind w:left="284" w:hanging="284"/>
        <w:rPr>
          <w:sz w:val="24"/>
          <w:szCs w:val="24"/>
        </w:rPr>
      </w:pPr>
      <w:r w:rsidRPr="00446EB5">
        <w:rPr>
          <w:sz w:val="24"/>
          <w:szCs w:val="24"/>
        </w:rPr>
        <w:t>Please provi</w:t>
      </w:r>
      <w:r>
        <w:rPr>
          <w:sz w:val="24"/>
          <w:szCs w:val="24"/>
        </w:rPr>
        <w:t xml:space="preserve">de information </w:t>
      </w:r>
      <w:bookmarkStart w:id="0" w:name="_GoBack"/>
      <w:bookmarkEnd w:id="0"/>
      <w:r>
        <w:rPr>
          <w:sz w:val="24"/>
          <w:szCs w:val="24"/>
        </w:rPr>
        <w:t>on the way the le</w:t>
      </w:r>
      <w:r w:rsidRPr="00446EB5">
        <w:rPr>
          <w:sz w:val="24"/>
          <w:szCs w:val="24"/>
        </w:rPr>
        <w:t>gal profession is organised and regulated in your country. What are the legal bases for its establishment (e.g. constitutional provisions; ordinary law or other)? Please also indicate the main legal provisions protecting the right of lawyers to freely join or create a local, national or international association, and mention the existing associations.</w:t>
      </w:r>
    </w:p>
    <w:p w:rsidR="00F30D31" w:rsidRPr="00446EB5" w:rsidRDefault="00F30D31" w:rsidP="00F30D31">
      <w:pPr>
        <w:ind w:left="284"/>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Does a professional association of lawyers play a role in the regulation of the profession? If so, please provide information on:</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 xml:space="preserve">the exact denomination of the body; </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the legal basis for its establishment (e.g. constitutional provisions; ordinary law or other);</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whether the association has been established as an ‘independent’ and self-governing association;</w:t>
      </w:r>
    </w:p>
    <w:p w:rsidR="00F30D31" w:rsidRPr="00446EB5" w:rsidRDefault="00F30D31" w:rsidP="00F30D31">
      <w:pPr>
        <w:numPr>
          <w:ilvl w:val="0"/>
          <w:numId w:val="2"/>
        </w:numPr>
        <w:spacing w:before="120"/>
        <w:ind w:left="709" w:hanging="425"/>
        <w:rPr>
          <w:rFonts w:eastAsia="Calibri"/>
          <w:sz w:val="24"/>
          <w:szCs w:val="24"/>
        </w:rPr>
      </w:pPr>
      <w:proofErr w:type="gramStart"/>
      <w:r w:rsidRPr="00446EB5">
        <w:rPr>
          <w:rFonts w:eastAsia="Calibri"/>
          <w:sz w:val="24"/>
          <w:szCs w:val="24"/>
        </w:rPr>
        <w:t>the</w:t>
      </w:r>
      <w:proofErr w:type="gramEnd"/>
      <w:r w:rsidRPr="00446EB5">
        <w:rPr>
          <w:rFonts w:eastAsia="Calibri"/>
          <w:sz w:val="24"/>
          <w:szCs w:val="24"/>
        </w:rPr>
        <w:t xml:space="preserve"> composition and appointment process of the executive body of the association.</w:t>
      </w:r>
    </w:p>
    <w:p w:rsidR="00F30D31" w:rsidRPr="00446EB5" w:rsidRDefault="00F30D31" w:rsidP="00F30D31">
      <w:pPr>
        <w:spacing w:after="120"/>
        <w:ind w:left="709"/>
        <w:contextualSpacing/>
        <w:rPr>
          <w:rFonts w:eastAsia="Calibri"/>
          <w:sz w:val="24"/>
          <w:szCs w:val="24"/>
        </w:rPr>
      </w:pPr>
    </w:p>
    <w:p w:rsidR="00F30D31" w:rsidRPr="00446EB5" w:rsidRDefault="00F30D31" w:rsidP="00F30D31">
      <w:pPr>
        <w:numPr>
          <w:ilvl w:val="0"/>
          <w:numId w:val="1"/>
        </w:numPr>
        <w:ind w:left="284" w:hanging="284"/>
        <w:rPr>
          <w:sz w:val="24"/>
          <w:szCs w:val="24"/>
        </w:rPr>
      </w:pPr>
      <w:r w:rsidRPr="00446EB5">
        <w:rPr>
          <w:sz w:val="24"/>
          <w:szCs w:val="24"/>
        </w:rPr>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F30D31" w:rsidRPr="00446EB5" w:rsidRDefault="00F30D31" w:rsidP="00F30D31">
      <w:pPr>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Please provide information on the role that professional associations of lawyers play with regard to:</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admission process to the legal profession and the licensing of lawyers; </w:t>
      </w:r>
    </w:p>
    <w:p w:rsidR="00F30D31" w:rsidRPr="00446EB5" w:rsidRDefault="00F30D31" w:rsidP="00F30D31">
      <w:pPr>
        <w:numPr>
          <w:ilvl w:val="0"/>
          <w:numId w:val="3"/>
        </w:numPr>
        <w:spacing w:before="120"/>
        <w:ind w:left="709" w:hanging="425"/>
        <w:rPr>
          <w:rFonts w:eastAsia="Calibri"/>
          <w:sz w:val="24"/>
          <w:szCs w:val="24"/>
        </w:rPr>
      </w:pPr>
      <w:r w:rsidRPr="00446EB5">
        <w:rPr>
          <w:rFonts w:eastAsia="Calibri"/>
          <w:sz w:val="24"/>
          <w:szCs w:val="24"/>
        </w:rPr>
        <w:t xml:space="preserve">the conduct of disciplinary proceedings against lawyers; </w:t>
      </w:r>
    </w:p>
    <w:p w:rsidR="00F30D31" w:rsidRPr="00446EB5" w:rsidRDefault="00F30D31" w:rsidP="00F30D31">
      <w:pPr>
        <w:numPr>
          <w:ilvl w:val="0"/>
          <w:numId w:val="3"/>
        </w:numPr>
        <w:spacing w:before="120"/>
        <w:ind w:left="709" w:hanging="425"/>
        <w:rPr>
          <w:rFonts w:eastAsia="Calibri"/>
          <w:sz w:val="24"/>
          <w:szCs w:val="24"/>
        </w:rPr>
      </w:pPr>
      <w:r w:rsidRPr="00446EB5">
        <w:rPr>
          <w:rFonts w:eastAsia="Calibri"/>
          <w:sz w:val="24"/>
          <w:szCs w:val="24"/>
        </w:rPr>
        <w:t>the provision of legal aid;</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t>the protection of individual lawyers from any form of intimidation, hindrance, harassment or improper interference in the exercise of their functions;</w:t>
      </w:r>
    </w:p>
    <w:p w:rsidR="00F30D31" w:rsidRPr="00446EB5" w:rsidRDefault="00F30D31" w:rsidP="00F30D31">
      <w:pPr>
        <w:numPr>
          <w:ilvl w:val="0"/>
          <w:numId w:val="3"/>
        </w:numPr>
        <w:spacing w:before="120"/>
        <w:ind w:hanging="436"/>
        <w:rPr>
          <w:rFonts w:eastAsia="Calibri"/>
          <w:sz w:val="24"/>
          <w:szCs w:val="24"/>
        </w:rPr>
      </w:pPr>
      <w:proofErr w:type="gramStart"/>
      <w:r w:rsidRPr="00446EB5">
        <w:rPr>
          <w:rFonts w:eastAsia="Calibri"/>
          <w:sz w:val="24"/>
          <w:szCs w:val="24"/>
        </w:rPr>
        <w:t>the</w:t>
      </w:r>
      <w:proofErr w:type="gramEnd"/>
      <w:r w:rsidRPr="00446EB5">
        <w:rPr>
          <w:rFonts w:eastAsia="Calibri"/>
          <w:sz w:val="24"/>
          <w:szCs w:val="24"/>
        </w:rPr>
        <w:t xml:space="preserve"> development and implementation of legislation concerning the free exercise of the legal profession and the administration of justice. </w:t>
      </w:r>
    </w:p>
    <w:p w:rsidR="00F30D31" w:rsidRPr="00446EB5" w:rsidRDefault="00F30D31" w:rsidP="00F30D31">
      <w:pPr>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w:t>
      </w:r>
    </w:p>
    <w:p w:rsidR="00BF7A4D" w:rsidRDefault="002036F7"/>
    <w:sectPr w:rsidR="00BF7A4D" w:rsidSect="00C772EF">
      <w:headerReference w:type="default" r:id="rId5"/>
      <w:footerReference w:type="default" r:id="rId6"/>
      <w:headerReference w:type="first" r:id="rId7"/>
      <w:pgSz w:w="11906" w:h="16838" w:code="9"/>
      <w:pgMar w:top="1134" w:right="1701" w:bottom="1134" w:left="1701" w:header="284" w:footer="567"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Default="002036F7" w:rsidP="00F80A14">
    <w:pPr>
      <w:pStyle w:val="Footer"/>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AEAE1E8" wp14:editId="1FE9872E">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D4007B" w:rsidRPr="00B73FD1" w:rsidRDefault="002036F7"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31"/>
    <w:rsid w:val="002036F7"/>
    <w:rsid w:val="0033174E"/>
    <w:rsid w:val="00B34B72"/>
    <w:rsid w:val="00DD6F78"/>
    <w:rsid w:val="00F30D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AFAF3-4D41-4DB2-8765-AB483A6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3A9CC-6EB4-42C8-87CD-AE3B568EE1AF}"/>
</file>

<file path=customXml/itemProps2.xml><?xml version="1.0" encoding="utf-8"?>
<ds:datastoreItem xmlns:ds="http://schemas.openxmlformats.org/officeDocument/2006/customXml" ds:itemID="{D2E0FF45-1BC5-4D91-9FB2-6C8AFD4FC4B2}"/>
</file>

<file path=customXml/itemProps3.xml><?xml version="1.0" encoding="utf-8"?>
<ds:datastoreItem xmlns:ds="http://schemas.openxmlformats.org/officeDocument/2006/customXml" ds:itemID="{865A9663-3CB1-45BC-996A-CB8C14801929}"/>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OHCHR SPB Intern11</cp:lastModifiedBy>
  <cp:revision>2</cp:revision>
  <dcterms:created xsi:type="dcterms:W3CDTF">2018-04-20T13:57:00Z</dcterms:created>
  <dcterms:modified xsi:type="dcterms:W3CDTF">2018-04-20T13:57:00Z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