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FFAE" w14:textId="77777777" w:rsidR="00444325" w:rsidRDefault="00444325" w:rsidP="00444325">
      <w:pPr>
        <w:tabs>
          <w:tab w:val="left" w:pos="567"/>
        </w:tabs>
        <w:jc w:val="right"/>
        <w:rPr>
          <w:b/>
          <w:sz w:val="24"/>
          <w:szCs w:val="24"/>
          <w:lang w:eastAsia="de-DE"/>
        </w:rPr>
      </w:pPr>
      <w:bookmarkStart w:id="0" w:name="_GoBack"/>
      <w:bookmarkEnd w:id="0"/>
    </w:p>
    <w:p w14:paraId="5AC88555" w14:textId="0C3295AD" w:rsidR="00444325" w:rsidRDefault="00444325" w:rsidP="00444325">
      <w:pPr>
        <w:tabs>
          <w:tab w:val="left" w:pos="851"/>
        </w:tabs>
        <w:jc w:val="center"/>
        <w:rPr>
          <w:b/>
          <w:sz w:val="24"/>
          <w:szCs w:val="24"/>
          <w:lang w:eastAsia="de-DE"/>
        </w:rPr>
      </w:pPr>
      <w:r>
        <w:rPr>
          <w:b/>
          <w:sz w:val="24"/>
          <w:szCs w:val="24"/>
          <w:lang w:eastAsia="de-DE"/>
        </w:rPr>
        <w:t xml:space="preserve">QUESTIONNAIRE </w:t>
      </w:r>
    </w:p>
    <w:p w14:paraId="0BA4C72C" w14:textId="4B7994BD" w:rsidR="008A55A1" w:rsidRDefault="008A55A1" w:rsidP="00444325">
      <w:pPr>
        <w:tabs>
          <w:tab w:val="left" w:pos="851"/>
        </w:tabs>
        <w:jc w:val="center"/>
        <w:rPr>
          <w:b/>
          <w:sz w:val="24"/>
          <w:szCs w:val="24"/>
          <w:lang w:eastAsia="de-DE"/>
        </w:rPr>
      </w:pPr>
    </w:p>
    <w:p w14:paraId="124BE184" w14:textId="7AD95D84" w:rsidR="008A55A1" w:rsidRDefault="008A55A1" w:rsidP="00444325">
      <w:pPr>
        <w:tabs>
          <w:tab w:val="left" w:pos="851"/>
        </w:tabs>
        <w:jc w:val="center"/>
        <w:rPr>
          <w:b/>
          <w:sz w:val="24"/>
          <w:szCs w:val="24"/>
          <w:lang w:eastAsia="de-DE"/>
        </w:rPr>
      </w:pPr>
      <w:r>
        <w:rPr>
          <w:b/>
          <w:sz w:val="24"/>
          <w:szCs w:val="24"/>
          <w:lang w:eastAsia="de-DE"/>
        </w:rPr>
        <w:t>RESPONSE BY THE COMMONWEALTH MAGISTRATES’ AND JUDGES’ ASSOCIATION</w:t>
      </w:r>
    </w:p>
    <w:p w14:paraId="59B006E3" w14:textId="77777777" w:rsidR="00444325" w:rsidRDefault="00444325" w:rsidP="00444325">
      <w:pPr>
        <w:tabs>
          <w:tab w:val="left" w:pos="567"/>
        </w:tabs>
        <w:jc w:val="right"/>
        <w:rPr>
          <w:b/>
          <w:sz w:val="24"/>
          <w:szCs w:val="24"/>
          <w:lang w:eastAsia="de-DE"/>
        </w:rPr>
      </w:pPr>
    </w:p>
    <w:p w14:paraId="510519B7" w14:textId="77777777" w:rsidR="00444325" w:rsidRPr="00182265" w:rsidRDefault="00444325" w:rsidP="00444325">
      <w:pPr>
        <w:autoSpaceDE w:val="0"/>
        <w:autoSpaceDN w:val="0"/>
        <w:adjustRightInd w:val="0"/>
        <w:rPr>
          <w:rFonts w:eastAsia="Calibri"/>
          <w:bCs/>
          <w:color w:val="000000"/>
          <w:sz w:val="24"/>
          <w:szCs w:val="24"/>
          <w:u w:val="single"/>
        </w:rPr>
      </w:pPr>
      <w:r w:rsidRPr="00182265">
        <w:rPr>
          <w:rFonts w:eastAsia="Calibri"/>
          <w:bCs/>
          <w:color w:val="000000"/>
          <w:sz w:val="24"/>
          <w:szCs w:val="24"/>
          <w:u w:val="single"/>
        </w:rPr>
        <w:t>Disciplinary liability</w:t>
      </w:r>
    </w:p>
    <w:p w14:paraId="4BB866DC" w14:textId="77777777" w:rsidR="00444325" w:rsidRPr="00182265" w:rsidRDefault="00444325" w:rsidP="00444325">
      <w:pPr>
        <w:autoSpaceDE w:val="0"/>
        <w:autoSpaceDN w:val="0"/>
        <w:adjustRightInd w:val="0"/>
        <w:rPr>
          <w:rFonts w:eastAsia="Calibri"/>
          <w:b/>
          <w:bCs/>
          <w:color w:val="000000"/>
          <w:sz w:val="24"/>
          <w:szCs w:val="24"/>
          <w:u w:val="single"/>
        </w:rPr>
      </w:pPr>
    </w:p>
    <w:p w14:paraId="7C4ED68B" w14:textId="77777777" w:rsidR="00444325" w:rsidRPr="0018226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 xml:space="preserve">What are the types of misbehaviour that may give rise to disciplinary proceedings against judges? Are these violations codified in national legislation and/or professional codes of ethics?    </w:t>
      </w:r>
    </w:p>
    <w:p w14:paraId="74927790" w14:textId="54700C31" w:rsidR="008A55A1" w:rsidRDefault="00937ECB" w:rsidP="00937ECB">
      <w:pPr>
        <w:rPr>
          <w:color w:val="1F4E79" w:themeColor="accent1" w:themeShade="80"/>
          <w:sz w:val="24"/>
          <w:szCs w:val="24"/>
        </w:rPr>
      </w:pPr>
      <w:r w:rsidRPr="00937ECB">
        <w:rPr>
          <w:color w:val="1F4E79" w:themeColor="accent1" w:themeShade="80"/>
          <w:sz w:val="24"/>
          <w:szCs w:val="24"/>
        </w:rPr>
        <w:lastRenderedPageBreak/>
        <w:t xml:space="preserve">The CMJA, as a pan-Commonwealth </w:t>
      </w:r>
      <w:r w:rsidR="009F2E55">
        <w:rPr>
          <w:color w:val="1F4E79" w:themeColor="accent1" w:themeShade="80"/>
          <w:sz w:val="24"/>
          <w:szCs w:val="24"/>
        </w:rPr>
        <w:t>non-governmental</w:t>
      </w:r>
      <w:r w:rsidR="005C5E24">
        <w:rPr>
          <w:color w:val="1F4E79" w:themeColor="accent1" w:themeShade="80"/>
          <w:sz w:val="24"/>
          <w:szCs w:val="24"/>
        </w:rPr>
        <w:t xml:space="preserve"> </w:t>
      </w:r>
      <w:r w:rsidR="00FE5B9A">
        <w:rPr>
          <w:color w:val="1F4E79" w:themeColor="accent1" w:themeShade="80"/>
          <w:sz w:val="24"/>
          <w:szCs w:val="24"/>
        </w:rPr>
        <w:t xml:space="preserve">association which monitors issues around the Commonwealth.  It </w:t>
      </w:r>
      <w:r w:rsidRPr="00937ECB">
        <w:rPr>
          <w:color w:val="1F4E79" w:themeColor="accent1" w:themeShade="80"/>
          <w:sz w:val="24"/>
          <w:szCs w:val="24"/>
        </w:rPr>
        <w:t>has received information on the disciplinary proceedings against a number of judicial officers at all levels</w:t>
      </w:r>
      <w:r>
        <w:rPr>
          <w:color w:val="1F4E79" w:themeColor="accent1" w:themeShade="80"/>
          <w:sz w:val="24"/>
          <w:szCs w:val="24"/>
        </w:rPr>
        <w:t xml:space="preserve"> although only judges of the superior courts are protected by constitutional provisions and can usually only be removed for “inability </w:t>
      </w:r>
      <w:r w:rsidR="008A55A1">
        <w:rPr>
          <w:color w:val="1F4E79" w:themeColor="accent1" w:themeShade="80"/>
          <w:sz w:val="24"/>
          <w:szCs w:val="24"/>
        </w:rPr>
        <w:t xml:space="preserve">to perform their functions or gross misbehaviour”.  </w:t>
      </w:r>
      <w:r w:rsidRPr="00937ECB">
        <w:rPr>
          <w:color w:val="1F4E79" w:themeColor="accent1" w:themeShade="80"/>
          <w:sz w:val="24"/>
          <w:szCs w:val="24"/>
        </w:rPr>
        <w:t xml:space="preserve"> </w:t>
      </w:r>
      <w:r w:rsidR="008A55A1">
        <w:rPr>
          <w:color w:val="1F4E79" w:themeColor="accent1" w:themeShade="80"/>
          <w:sz w:val="24"/>
          <w:szCs w:val="24"/>
        </w:rPr>
        <w:t>Judicial Officers in the lower courts are mostly not as well protected as the judges in the superior courts and some have been removed by government officials without any protection for the security of tenure (</w:t>
      </w:r>
      <w:proofErr w:type="spellStart"/>
      <w:r w:rsidR="008A55A1">
        <w:rPr>
          <w:color w:val="1F4E79" w:themeColor="accent1" w:themeShade="80"/>
          <w:sz w:val="24"/>
          <w:szCs w:val="24"/>
        </w:rPr>
        <w:t>e.g</w:t>
      </w:r>
      <w:proofErr w:type="spellEnd"/>
      <w:r w:rsidR="008A55A1">
        <w:rPr>
          <w:color w:val="1F4E79" w:themeColor="accent1" w:themeShade="80"/>
          <w:sz w:val="24"/>
          <w:szCs w:val="24"/>
        </w:rPr>
        <w:t>: Nauru and Gambia under the former President Yaya Jammeh).</w:t>
      </w:r>
    </w:p>
    <w:p w14:paraId="793642BE" w14:textId="77777777" w:rsidR="008A55A1" w:rsidRDefault="008A55A1" w:rsidP="00937ECB">
      <w:pPr>
        <w:rPr>
          <w:color w:val="1F4E79" w:themeColor="accent1" w:themeShade="80"/>
          <w:sz w:val="24"/>
          <w:szCs w:val="24"/>
        </w:rPr>
      </w:pPr>
    </w:p>
    <w:p w14:paraId="3A8DBD08" w14:textId="5D9C1FDF" w:rsidR="00937ECB" w:rsidRDefault="00937ECB" w:rsidP="00937ECB">
      <w:pPr>
        <w:rPr>
          <w:color w:val="1F4E79" w:themeColor="accent1" w:themeShade="80"/>
          <w:sz w:val="24"/>
          <w:szCs w:val="24"/>
        </w:rPr>
      </w:pPr>
      <w:r w:rsidRPr="00937ECB">
        <w:rPr>
          <w:color w:val="1F4E79" w:themeColor="accent1" w:themeShade="80"/>
          <w:sz w:val="24"/>
          <w:szCs w:val="24"/>
        </w:rPr>
        <w:lastRenderedPageBreak/>
        <w:t>Whilst there are professional codes of conduct in over 40 jurisdictions in the Commonwealth, many of these are guidelines rather than codes with specific sanctions. Only two jurisdictions</w:t>
      </w:r>
      <w:r w:rsidR="00E734B9">
        <w:rPr>
          <w:color w:val="1F4E79" w:themeColor="accent1" w:themeShade="80"/>
          <w:sz w:val="24"/>
          <w:szCs w:val="24"/>
        </w:rPr>
        <w:t xml:space="preserve"> in the Commonwealth</w:t>
      </w:r>
      <w:r w:rsidRPr="00937ECB">
        <w:rPr>
          <w:color w:val="1F4E79" w:themeColor="accent1" w:themeShade="80"/>
          <w:sz w:val="24"/>
          <w:szCs w:val="24"/>
        </w:rPr>
        <w:t xml:space="preserve"> to date have codified the codes into national legislation</w:t>
      </w:r>
      <w:r>
        <w:rPr>
          <w:color w:val="1F4E79" w:themeColor="accent1" w:themeShade="80"/>
          <w:sz w:val="24"/>
          <w:szCs w:val="24"/>
        </w:rPr>
        <w:t xml:space="preserve">.  </w:t>
      </w:r>
    </w:p>
    <w:p w14:paraId="25DE320F" w14:textId="77777777" w:rsidR="00937ECB" w:rsidRDefault="00937ECB" w:rsidP="00937ECB">
      <w:pPr>
        <w:rPr>
          <w:color w:val="1F4E79" w:themeColor="accent1" w:themeShade="80"/>
          <w:sz w:val="24"/>
          <w:szCs w:val="24"/>
        </w:rPr>
      </w:pPr>
    </w:p>
    <w:p w14:paraId="77897D6A" w14:textId="0164C901" w:rsidR="00444325" w:rsidRDefault="00937ECB" w:rsidP="00937ECB">
      <w:pPr>
        <w:rPr>
          <w:color w:val="1F4E79" w:themeColor="accent1" w:themeShade="80"/>
          <w:sz w:val="24"/>
          <w:szCs w:val="24"/>
        </w:rPr>
      </w:pPr>
      <w:r>
        <w:rPr>
          <w:color w:val="1F4E79" w:themeColor="accent1" w:themeShade="80"/>
          <w:sz w:val="24"/>
          <w:szCs w:val="24"/>
        </w:rPr>
        <w:t>The CMJA only intervenes in cases where due process has not been followed</w:t>
      </w:r>
      <w:r w:rsidR="003B2707">
        <w:rPr>
          <w:color w:val="1F4E79" w:themeColor="accent1" w:themeShade="80"/>
          <w:sz w:val="24"/>
          <w:szCs w:val="24"/>
        </w:rPr>
        <w:t xml:space="preserve"> and when it is evident that the cases are linked to a disregard of the Commonwealth fundamental values in particular the Commonwealth (Latimer House) Principles on the Three branches of government. </w:t>
      </w:r>
      <w:r w:rsidR="00CD122C">
        <w:rPr>
          <w:color w:val="1F4E79" w:themeColor="accent1" w:themeShade="80"/>
          <w:sz w:val="24"/>
          <w:szCs w:val="24"/>
        </w:rPr>
        <w:t xml:space="preserve">  </w:t>
      </w:r>
      <w:r w:rsidR="008A55A1">
        <w:rPr>
          <w:color w:val="1F4E79" w:themeColor="accent1" w:themeShade="80"/>
          <w:sz w:val="24"/>
          <w:szCs w:val="24"/>
        </w:rPr>
        <w:t xml:space="preserve">  </w:t>
      </w:r>
    </w:p>
    <w:p w14:paraId="0F5A7F6D" w14:textId="77777777" w:rsidR="00937ECB" w:rsidRPr="00937ECB" w:rsidRDefault="00937ECB" w:rsidP="00937ECB">
      <w:pPr>
        <w:rPr>
          <w:color w:val="1F4E79" w:themeColor="accent1" w:themeShade="80"/>
          <w:sz w:val="24"/>
          <w:szCs w:val="24"/>
        </w:rPr>
      </w:pPr>
    </w:p>
    <w:p w14:paraId="709D5380" w14:textId="6F69EC8A" w:rsidR="00444325" w:rsidRDefault="00444325" w:rsidP="00937ECB">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Please describe the proc</w:t>
      </w:r>
      <w:r w:rsidRPr="00937ECB">
        <w:rPr>
          <w:rFonts w:ascii="Times New Roman" w:hAnsi="Times New Roman" w:cs="Times New Roman"/>
          <w:sz w:val="24"/>
          <w:szCs w:val="24"/>
        </w:rPr>
        <w:t xml:space="preserve">edure for bringing disciplinary complaints against judges. Who can initiate disciplinary proceedings against judges? Which </w:t>
      </w:r>
      <w:r w:rsidRPr="00937ECB">
        <w:rPr>
          <w:rFonts w:ascii="Times New Roman" w:hAnsi="Times New Roman" w:cs="Times New Roman"/>
          <w:sz w:val="24"/>
          <w:szCs w:val="24"/>
        </w:rPr>
        <w:lastRenderedPageBreak/>
        <w:t>body is responsible for receiving disciplinary complaints and conducting disciplinary investigations? Can decisions of the disciplinary body be appealed before a competent court?</w:t>
      </w:r>
    </w:p>
    <w:p w14:paraId="4DA44D43" w14:textId="3334E92B" w:rsidR="008A55A1" w:rsidRDefault="008A55A1" w:rsidP="008A55A1">
      <w:pPr>
        <w:pStyle w:val="ListParagraph"/>
        <w:spacing w:after="160" w:line="259" w:lineRule="auto"/>
        <w:ind w:left="0"/>
        <w:jc w:val="both"/>
        <w:rPr>
          <w:rFonts w:ascii="Times New Roman" w:hAnsi="Times New Roman" w:cs="Times New Roman"/>
          <w:sz w:val="24"/>
          <w:szCs w:val="24"/>
        </w:rPr>
      </w:pPr>
    </w:p>
    <w:p w14:paraId="5E99496A" w14:textId="45FD8BDB" w:rsidR="00444325" w:rsidRDefault="002534AB" w:rsidP="00C569FA">
      <w:pPr>
        <w:pStyle w:val="ListParagraph"/>
        <w:spacing w:after="160" w:line="259" w:lineRule="auto"/>
        <w:ind w:left="0"/>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Procedures for bringing disciplinary complaints against judges differ</w:t>
      </w:r>
      <w:r w:rsidR="008A55A1" w:rsidRPr="008A55A1">
        <w:rPr>
          <w:rFonts w:ascii="Times New Roman" w:hAnsi="Times New Roman" w:cs="Times New Roman"/>
          <w:color w:val="1F4E79" w:themeColor="accent1" w:themeShade="80"/>
          <w:sz w:val="24"/>
          <w:szCs w:val="24"/>
        </w:rPr>
        <w:t xml:space="preserve"> from jurisdiction to jurisdiction but we have seen an increase in the establishment over the last 10 years of Judicial Services Commissions (responsible for appointments, investigations and discipline for judicial officers). </w:t>
      </w:r>
      <w:r w:rsidR="00C642DF">
        <w:rPr>
          <w:rFonts w:ascii="Times New Roman" w:hAnsi="Times New Roman" w:cs="Times New Roman"/>
          <w:color w:val="1F4E79" w:themeColor="accent1" w:themeShade="80"/>
          <w:sz w:val="24"/>
          <w:szCs w:val="24"/>
        </w:rPr>
        <w:t xml:space="preserve"> The CMJA cooperated with the Commonwealth Secretariat on the </w:t>
      </w:r>
      <w:r w:rsidR="00ED4E3C">
        <w:rPr>
          <w:rFonts w:ascii="Times New Roman" w:hAnsi="Times New Roman" w:cs="Times New Roman"/>
          <w:color w:val="1F4E79" w:themeColor="accent1" w:themeShade="80"/>
          <w:sz w:val="24"/>
          <w:szCs w:val="24"/>
        </w:rPr>
        <w:t xml:space="preserve">formulation of a </w:t>
      </w:r>
      <w:r w:rsidR="00C642DF">
        <w:rPr>
          <w:rFonts w:ascii="Times New Roman" w:hAnsi="Times New Roman" w:cs="Times New Roman"/>
          <w:color w:val="1F4E79" w:themeColor="accent1" w:themeShade="80"/>
          <w:sz w:val="24"/>
          <w:szCs w:val="24"/>
        </w:rPr>
        <w:t xml:space="preserve">Model Law for Judicial Services Commissions </w:t>
      </w:r>
      <w:r w:rsidR="00ED4E3C">
        <w:rPr>
          <w:rFonts w:ascii="Times New Roman" w:hAnsi="Times New Roman" w:cs="Times New Roman"/>
          <w:color w:val="1F4E79" w:themeColor="accent1" w:themeShade="80"/>
          <w:sz w:val="24"/>
          <w:szCs w:val="24"/>
        </w:rPr>
        <w:t>(</w:t>
      </w:r>
      <w:hyperlink r:id="rId8" w:history="1">
        <w:r w:rsidR="00ED4E3C" w:rsidRPr="00710DAE">
          <w:rPr>
            <w:rStyle w:val="Hyperlink"/>
            <w:rFonts w:ascii="Times New Roman" w:hAnsi="Times New Roman" w:cs="Times New Roman"/>
            <w:sz w:val="24"/>
            <w:szCs w:val="24"/>
          </w:rPr>
          <w:t>https://thecommon</w:t>
        </w:r>
        <w:r w:rsidR="00ED4E3C" w:rsidRPr="00710DAE">
          <w:rPr>
            <w:rStyle w:val="Hyperlink"/>
            <w:rFonts w:ascii="Times New Roman" w:hAnsi="Times New Roman" w:cs="Times New Roman"/>
            <w:sz w:val="24"/>
            <w:szCs w:val="24"/>
          </w:rPr>
          <w:lastRenderedPageBreak/>
          <w:t>wealth.org/sites/default/files/key_reform_pdfs/D16227_2_GPD_ROL_Model_Law_Judicial_Service_Commissions.pdf</w:t>
        </w:r>
      </w:hyperlink>
      <w:r w:rsidR="00ED4E3C">
        <w:rPr>
          <w:rFonts w:ascii="Times New Roman" w:hAnsi="Times New Roman" w:cs="Times New Roman"/>
          <w:color w:val="1F4E79" w:themeColor="accent1" w:themeShade="80"/>
          <w:sz w:val="24"/>
          <w:szCs w:val="24"/>
        </w:rPr>
        <w:t>)</w:t>
      </w:r>
    </w:p>
    <w:p w14:paraId="176ADBA3" w14:textId="7978AB0B" w:rsidR="001A3A84" w:rsidRDefault="001A3A84" w:rsidP="003B2707">
      <w:pPr>
        <w:pStyle w:val="ListParagraph"/>
        <w:spacing w:after="160" w:line="259" w:lineRule="auto"/>
        <w:ind w:left="0"/>
        <w:jc w:val="both"/>
        <w:rPr>
          <w:rFonts w:ascii="Times New Roman" w:hAnsi="Times New Roman" w:cs="Times New Roman"/>
          <w:color w:val="1F4E79" w:themeColor="accent1" w:themeShade="80"/>
          <w:sz w:val="24"/>
          <w:szCs w:val="24"/>
        </w:rPr>
      </w:pPr>
    </w:p>
    <w:p w14:paraId="2546B2FE" w14:textId="11516B5A" w:rsidR="001A3A84" w:rsidRDefault="001A3A84" w:rsidP="00C569FA">
      <w:pPr>
        <w:pStyle w:val="ListParagraph"/>
        <w:spacing w:after="160" w:line="259" w:lineRule="auto"/>
        <w:ind w:left="0"/>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Also of interest is the Compe</w:t>
      </w:r>
      <w:r w:rsidR="00443375">
        <w:rPr>
          <w:rFonts w:ascii="Times New Roman" w:hAnsi="Times New Roman" w:cs="Times New Roman"/>
          <w:color w:val="1F4E79" w:themeColor="accent1" w:themeShade="80"/>
          <w:sz w:val="24"/>
          <w:szCs w:val="24"/>
        </w:rPr>
        <w:t xml:space="preserve">ndium on the Appointment, Tenure and Removal of Judges under the Commonwealth Principles </w:t>
      </w:r>
      <w:r w:rsidR="00367597">
        <w:rPr>
          <w:rFonts w:ascii="Times New Roman" w:hAnsi="Times New Roman" w:cs="Times New Roman"/>
          <w:color w:val="1F4E79" w:themeColor="accent1" w:themeShade="80"/>
          <w:sz w:val="24"/>
          <w:szCs w:val="24"/>
        </w:rPr>
        <w:t xml:space="preserve">published by the Bingham Centre in 2015 </w:t>
      </w:r>
      <w:hyperlink r:id="rId9" w:history="1">
        <w:r w:rsidR="00367597" w:rsidRPr="00710DAE">
          <w:rPr>
            <w:rStyle w:val="Hyperlink"/>
            <w:rFonts w:ascii="Times New Roman" w:hAnsi="Times New Roman" w:cs="Times New Roman"/>
            <w:sz w:val="24"/>
            <w:szCs w:val="24"/>
          </w:rPr>
          <w:t>https://binghamcentre.biicl.org/publications/the-appointment-tenure-and-removal-of-judges-under-commonwealth-principles-a-compendium-and-analysis-of-best-practice</w:t>
        </w:r>
      </w:hyperlink>
    </w:p>
    <w:p w14:paraId="32093373" w14:textId="77777777" w:rsidR="00367597" w:rsidRDefault="00367597" w:rsidP="003B2707">
      <w:pPr>
        <w:pStyle w:val="ListParagraph"/>
        <w:spacing w:after="160" w:line="259" w:lineRule="auto"/>
        <w:ind w:left="0"/>
        <w:jc w:val="both"/>
        <w:rPr>
          <w:rFonts w:ascii="Times New Roman" w:hAnsi="Times New Roman" w:cs="Times New Roman"/>
          <w:color w:val="1F4E79" w:themeColor="accent1" w:themeShade="80"/>
          <w:sz w:val="24"/>
          <w:szCs w:val="24"/>
        </w:rPr>
      </w:pPr>
    </w:p>
    <w:p w14:paraId="3C34EA50" w14:textId="77777777" w:rsidR="003B2707" w:rsidRPr="003B2707" w:rsidRDefault="003B2707" w:rsidP="003B2707">
      <w:pPr>
        <w:pStyle w:val="ListParagraph"/>
        <w:spacing w:after="160" w:line="259" w:lineRule="auto"/>
        <w:ind w:left="0"/>
        <w:jc w:val="both"/>
        <w:rPr>
          <w:rFonts w:ascii="Times New Roman" w:hAnsi="Times New Roman" w:cs="Times New Roman"/>
          <w:color w:val="1F4E79" w:themeColor="accent1" w:themeShade="80"/>
          <w:sz w:val="24"/>
          <w:szCs w:val="24"/>
        </w:rPr>
      </w:pPr>
    </w:p>
    <w:p w14:paraId="39A24159" w14:textId="6A6F63F8" w:rsidR="00444325" w:rsidRPr="00FE5B9A" w:rsidRDefault="00444325" w:rsidP="00FE5B9A">
      <w:pPr>
        <w:pStyle w:val="ListParagraph"/>
        <w:numPr>
          <w:ilvl w:val="0"/>
          <w:numId w:val="1"/>
        </w:numPr>
        <w:spacing w:after="160" w:line="259" w:lineRule="auto"/>
        <w:ind w:left="0" w:firstLine="0"/>
        <w:rPr>
          <w:rFonts w:ascii="Times New Roman" w:hAnsi="Times New Roman" w:cs="Times New Roman"/>
          <w:color w:val="2E74B5" w:themeColor="accent1" w:themeShade="BF"/>
          <w:sz w:val="24"/>
          <w:szCs w:val="24"/>
        </w:rPr>
      </w:pPr>
      <w:r w:rsidRPr="00182265">
        <w:rPr>
          <w:rFonts w:ascii="Times New Roman" w:hAnsi="Times New Roman" w:cs="Times New Roman"/>
          <w:sz w:val="24"/>
          <w:szCs w:val="24"/>
        </w:rPr>
        <w:lastRenderedPageBreak/>
        <w:t xml:space="preserve">Please provide information on the disciplinary penalties that may be imposed on the judge if found guilty of a professional misconduct. Are these penalties codified in national legislation and/or professional codes of ethics? </w:t>
      </w:r>
      <w:r w:rsidR="005C5E24">
        <w:rPr>
          <w:rFonts w:ascii="Times New Roman" w:hAnsi="Times New Roman" w:cs="Times New Roman"/>
          <w:sz w:val="24"/>
          <w:szCs w:val="24"/>
        </w:rPr>
        <w:br/>
      </w:r>
      <w:r w:rsidR="005C5E24" w:rsidRPr="00FE5B9A">
        <w:rPr>
          <w:rFonts w:ascii="Times New Roman" w:hAnsi="Times New Roman" w:cs="Times New Roman"/>
          <w:color w:val="2E74B5" w:themeColor="accent1" w:themeShade="BF"/>
          <w:sz w:val="24"/>
          <w:szCs w:val="24"/>
        </w:rPr>
        <w:br/>
        <w:t xml:space="preserve">In many </w:t>
      </w:r>
      <w:r w:rsidR="00FE5B9A">
        <w:rPr>
          <w:rFonts w:ascii="Times New Roman" w:hAnsi="Times New Roman" w:cs="Times New Roman"/>
          <w:color w:val="2E74B5" w:themeColor="accent1" w:themeShade="BF"/>
          <w:sz w:val="24"/>
          <w:szCs w:val="24"/>
        </w:rPr>
        <w:t>jurisdictions</w:t>
      </w:r>
      <w:r w:rsidR="001677E8">
        <w:rPr>
          <w:rFonts w:ascii="Times New Roman" w:hAnsi="Times New Roman" w:cs="Times New Roman"/>
          <w:color w:val="2E74B5" w:themeColor="accent1" w:themeShade="BF"/>
          <w:sz w:val="24"/>
          <w:szCs w:val="24"/>
        </w:rPr>
        <w:t xml:space="preserve">, whilst minor disciplinary issues are dealt with by the Head of the Judiciary (usually the Chief Justice), </w:t>
      </w:r>
      <w:r w:rsidR="00076090">
        <w:rPr>
          <w:rFonts w:ascii="Times New Roman" w:hAnsi="Times New Roman" w:cs="Times New Roman"/>
          <w:color w:val="2E74B5" w:themeColor="accent1" w:themeShade="BF"/>
          <w:sz w:val="24"/>
          <w:szCs w:val="24"/>
        </w:rPr>
        <w:t xml:space="preserve">if a judge is found guilty of gross misconduct then they are removed from office.  </w:t>
      </w:r>
      <w:r w:rsidR="00F90787">
        <w:rPr>
          <w:rFonts w:ascii="Times New Roman" w:hAnsi="Times New Roman" w:cs="Times New Roman"/>
          <w:color w:val="2E74B5" w:themeColor="accent1" w:themeShade="BF"/>
          <w:sz w:val="24"/>
          <w:szCs w:val="24"/>
        </w:rPr>
        <w:t xml:space="preserve">The provisions for the removal of judges at the superior level are outlined in the constitutions. </w:t>
      </w:r>
      <w:r w:rsidR="008D3778">
        <w:rPr>
          <w:rFonts w:ascii="Times New Roman" w:hAnsi="Times New Roman" w:cs="Times New Roman"/>
          <w:color w:val="2E74B5" w:themeColor="accent1" w:themeShade="BF"/>
          <w:sz w:val="24"/>
          <w:szCs w:val="24"/>
        </w:rPr>
        <w:t>This is sometimes supported by legislative norms.  However, there has been confusion in the past (</w:t>
      </w:r>
      <w:proofErr w:type="spellStart"/>
      <w:r w:rsidR="008D3778">
        <w:rPr>
          <w:rFonts w:ascii="Times New Roman" w:hAnsi="Times New Roman" w:cs="Times New Roman"/>
          <w:color w:val="2E74B5" w:themeColor="accent1" w:themeShade="BF"/>
          <w:sz w:val="24"/>
          <w:szCs w:val="24"/>
        </w:rPr>
        <w:t>e.g</w:t>
      </w:r>
      <w:proofErr w:type="spellEnd"/>
      <w:r w:rsidR="008D3778">
        <w:rPr>
          <w:rFonts w:ascii="Times New Roman" w:hAnsi="Times New Roman" w:cs="Times New Roman"/>
          <w:color w:val="2E74B5" w:themeColor="accent1" w:themeShade="BF"/>
          <w:sz w:val="24"/>
          <w:szCs w:val="24"/>
        </w:rPr>
        <w:t>: Zambia</w:t>
      </w:r>
      <w:r w:rsidR="00582C6D">
        <w:rPr>
          <w:rFonts w:ascii="Times New Roman" w:hAnsi="Times New Roman" w:cs="Times New Roman"/>
          <w:color w:val="2E74B5" w:themeColor="accent1" w:themeShade="BF"/>
          <w:sz w:val="24"/>
          <w:szCs w:val="24"/>
        </w:rPr>
        <w:t>, Sri Lanka</w:t>
      </w:r>
      <w:proofErr w:type="gramStart"/>
      <w:r w:rsidR="00DF18F1">
        <w:rPr>
          <w:rFonts w:ascii="Times New Roman" w:hAnsi="Times New Roman" w:cs="Times New Roman"/>
          <w:color w:val="2E74B5" w:themeColor="accent1" w:themeShade="BF"/>
          <w:sz w:val="24"/>
          <w:szCs w:val="24"/>
        </w:rPr>
        <w:t>)  when</w:t>
      </w:r>
      <w:proofErr w:type="gramEnd"/>
      <w:r w:rsidR="00DF18F1">
        <w:rPr>
          <w:rFonts w:ascii="Times New Roman" w:hAnsi="Times New Roman" w:cs="Times New Roman"/>
          <w:color w:val="2E74B5" w:themeColor="accent1" w:themeShade="BF"/>
          <w:sz w:val="24"/>
          <w:szCs w:val="24"/>
        </w:rPr>
        <w:t xml:space="preserve"> constitutional and legislative provisions have been </w:t>
      </w:r>
      <w:r w:rsidR="00082C12">
        <w:rPr>
          <w:rFonts w:ascii="Times New Roman" w:hAnsi="Times New Roman" w:cs="Times New Roman"/>
          <w:color w:val="2E74B5" w:themeColor="accent1" w:themeShade="BF"/>
          <w:sz w:val="24"/>
          <w:szCs w:val="24"/>
        </w:rPr>
        <w:t xml:space="preserve">contradictory in what they establish as </w:t>
      </w:r>
      <w:r w:rsidR="00082C12">
        <w:rPr>
          <w:rFonts w:ascii="Times New Roman" w:hAnsi="Times New Roman" w:cs="Times New Roman"/>
          <w:color w:val="2E74B5" w:themeColor="accent1" w:themeShade="BF"/>
          <w:sz w:val="24"/>
          <w:szCs w:val="24"/>
        </w:rPr>
        <w:lastRenderedPageBreak/>
        <w:t xml:space="preserve">a procedure.   </w:t>
      </w:r>
      <w:r w:rsidR="00F90787">
        <w:rPr>
          <w:rFonts w:ascii="Times New Roman" w:hAnsi="Times New Roman" w:cs="Times New Roman"/>
          <w:color w:val="2E74B5" w:themeColor="accent1" w:themeShade="BF"/>
          <w:sz w:val="24"/>
          <w:szCs w:val="24"/>
        </w:rPr>
        <w:t xml:space="preserve">At the lower level, </w:t>
      </w:r>
      <w:r w:rsidR="00637A95">
        <w:rPr>
          <w:rFonts w:ascii="Times New Roman" w:hAnsi="Times New Roman" w:cs="Times New Roman"/>
          <w:color w:val="2E74B5" w:themeColor="accent1" w:themeShade="BF"/>
          <w:sz w:val="24"/>
          <w:szCs w:val="24"/>
        </w:rPr>
        <w:t xml:space="preserve">judges are subject </w:t>
      </w:r>
      <w:r w:rsidR="00822A42">
        <w:rPr>
          <w:rFonts w:ascii="Times New Roman" w:hAnsi="Times New Roman" w:cs="Times New Roman"/>
          <w:color w:val="2E74B5" w:themeColor="accent1" w:themeShade="BF"/>
          <w:sz w:val="24"/>
          <w:szCs w:val="24"/>
        </w:rPr>
        <w:t xml:space="preserve">legislative provisions, where they exist or an internal process established by the judiciary. </w:t>
      </w:r>
    </w:p>
    <w:p w14:paraId="20B1C502" w14:textId="77777777" w:rsidR="00444325" w:rsidRPr="00182265" w:rsidRDefault="00444325" w:rsidP="00444325">
      <w:pPr>
        <w:pStyle w:val="ListParagraph"/>
        <w:rPr>
          <w:rFonts w:ascii="Times New Roman" w:hAnsi="Times New Roman" w:cs="Times New Roman"/>
          <w:sz w:val="24"/>
          <w:szCs w:val="24"/>
        </w:rPr>
      </w:pPr>
    </w:p>
    <w:p w14:paraId="5EDF90C0" w14:textId="2471660C" w:rsidR="0044432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Please provide detailed information on the number of judges that have been subject to disciplinary proceedings in the last ten years. How many of them were found guilty of a disciplinary misconduct? How many of them were removed from office?</w:t>
      </w:r>
    </w:p>
    <w:p w14:paraId="08459E07" w14:textId="77777777" w:rsidR="008224AA" w:rsidRPr="008224AA" w:rsidRDefault="008224AA" w:rsidP="008224AA">
      <w:pPr>
        <w:pStyle w:val="ListParagraph"/>
        <w:rPr>
          <w:rFonts w:ascii="Times New Roman" w:hAnsi="Times New Roman" w:cs="Times New Roman"/>
          <w:sz w:val="24"/>
          <w:szCs w:val="24"/>
        </w:rPr>
      </w:pPr>
    </w:p>
    <w:p w14:paraId="18B0F5F8" w14:textId="2BD22536" w:rsidR="008224AA" w:rsidRPr="003D7BC6" w:rsidRDefault="008224AA" w:rsidP="003D7BC6">
      <w:pPr>
        <w:pStyle w:val="ListParagraph"/>
        <w:spacing w:after="160" w:line="259" w:lineRule="auto"/>
        <w:ind w:left="0"/>
        <w:jc w:val="both"/>
        <w:rPr>
          <w:rFonts w:ascii="Times New Roman" w:hAnsi="Times New Roman" w:cs="Times New Roman"/>
          <w:color w:val="2E74B5" w:themeColor="accent1" w:themeShade="BF"/>
          <w:sz w:val="24"/>
          <w:szCs w:val="24"/>
        </w:rPr>
      </w:pPr>
      <w:r w:rsidRPr="00582C6D">
        <w:rPr>
          <w:rFonts w:ascii="Times New Roman" w:hAnsi="Times New Roman" w:cs="Times New Roman"/>
          <w:color w:val="2E74B5" w:themeColor="accent1" w:themeShade="BF"/>
          <w:sz w:val="24"/>
          <w:szCs w:val="24"/>
        </w:rPr>
        <w:t xml:space="preserve">As indicated above, the CMJA only gets involved in cases where due process has not been </w:t>
      </w:r>
      <w:r w:rsidR="00582C6D" w:rsidRPr="00582C6D">
        <w:rPr>
          <w:rFonts w:ascii="Times New Roman" w:hAnsi="Times New Roman" w:cs="Times New Roman"/>
          <w:color w:val="2E74B5" w:themeColor="accent1" w:themeShade="BF"/>
          <w:sz w:val="24"/>
          <w:szCs w:val="24"/>
        </w:rPr>
        <w:t>followed</w:t>
      </w:r>
      <w:r w:rsidR="00582C6D">
        <w:rPr>
          <w:rFonts w:ascii="Times New Roman" w:hAnsi="Times New Roman" w:cs="Times New Roman"/>
          <w:color w:val="2E74B5" w:themeColor="accent1" w:themeShade="BF"/>
          <w:sz w:val="24"/>
          <w:szCs w:val="24"/>
        </w:rPr>
        <w:t>.  In the last 10 years we have dealt with the following cases</w:t>
      </w:r>
      <w:r w:rsidR="00785F8F">
        <w:rPr>
          <w:rFonts w:ascii="Times New Roman" w:hAnsi="Times New Roman" w:cs="Times New Roman"/>
          <w:color w:val="2E74B5" w:themeColor="accent1" w:themeShade="BF"/>
          <w:sz w:val="24"/>
          <w:szCs w:val="24"/>
        </w:rPr>
        <w:t xml:space="preserve"> (see separate list of statements issued attached). In addition the CMJA </w:t>
      </w:r>
      <w:r w:rsidR="00785F8F">
        <w:rPr>
          <w:rFonts w:ascii="Times New Roman" w:hAnsi="Times New Roman" w:cs="Times New Roman"/>
          <w:color w:val="2E74B5" w:themeColor="accent1" w:themeShade="BF"/>
          <w:sz w:val="24"/>
          <w:szCs w:val="24"/>
        </w:rPr>
        <w:lastRenderedPageBreak/>
        <w:t xml:space="preserve">has followed cases in Zambia and </w:t>
      </w:r>
      <w:r w:rsidR="00642ADA">
        <w:rPr>
          <w:rFonts w:ascii="Times New Roman" w:hAnsi="Times New Roman" w:cs="Times New Roman"/>
          <w:color w:val="2E74B5" w:themeColor="accent1" w:themeShade="BF"/>
          <w:sz w:val="24"/>
          <w:szCs w:val="24"/>
        </w:rPr>
        <w:t xml:space="preserve">Kenya where judicial officers who have decided against government in a number of cases, have been threatened </w:t>
      </w:r>
      <w:r w:rsidR="00533E79">
        <w:rPr>
          <w:rFonts w:ascii="Times New Roman" w:hAnsi="Times New Roman" w:cs="Times New Roman"/>
          <w:color w:val="2E74B5" w:themeColor="accent1" w:themeShade="BF"/>
          <w:sz w:val="24"/>
          <w:szCs w:val="24"/>
        </w:rPr>
        <w:t xml:space="preserve">by the executive branch </w:t>
      </w:r>
      <w:r w:rsidR="003D7BC6">
        <w:rPr>
          <w:rFonts w:ascii="Times New Roman" w:hAnsi="Times New Roman" w:cs="Times New Roman"/>
          <w:color w:val="2E74B5" w:themeColor="accent1" w:themeShade="BF"/>
          <w:sz w:val="24"/>
          <w:szCs w:val="24"/>
        </w:rPr>
        <w:t xml:space="preserve">with impeachment or discipline.  These situations are unacceptable. </w:t>
      </w:r>
    </w:p>
    <w:p w14:paraId="41C10A57" w14:textId="77777777" w:rsidR="00444325" w:rsidRPr="00182265" w:rsidRDefault="00444325" w:rsidP="00444325">
      <w:pPr>
        <w:autoSpaceDE w:val="0"/>
        <w:autoSpaceDN w:val="0"/>
        <w:adjustRightInd w:val="0"/>
        <w:rPr>
          <w:rFonts w:eastAsia="Calibri"/>
          <w:bCs/>
          <w:color w:val="000000"/>
          <w:sz w:val="24"/>
          <w:szCs w:val="24"/>
          <w:u w:val="single"/>
        </w:rPr>
      </w:pPr>
      <w:r w:rsidRPr="00182265">
        <w:rPr>
          <w:rFonts w:eastAsia="Calibri"/>
          <w:bCs/>
          <w:color w:val="000000"/>
          <w:sz w:val="24"/>
          <w:szCs w:val="24"/>
          <w:u w:val="single"/>
        </w:rPr>
        <w:t>Civil and criminal liability</w:t>
      </w:r>
    </w:p>
    <w:p w14:paraId="25B6775C" w14:textId="77777777" w:rsidR="00444325" w:rsidRPr="00182265" w:rsidRDefault="00444325" w:rsidP="00444325">
      <w:pPr>
        <w:pStyle w:val="ListParagraph"/>
        <w:ind w:left="0"/>
        <w:jc w:val="both"/>
        <w:rPr>
          <w:rFonts w:ascii="Times New Roman" w:hAnsi="Times New Roman" w:cs="Times New Roman"/>
          <w:sz w:val="24"/>
          <w:szCs w:val="24"/>
        </w:rPr>
      </w:pPr>
    </w:p>
    <w:p w14:paraId="640DD066" w14:textId="75E6C6F5" w:rsidR="0044432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 xml:space="preserve">Can a judge be subject to civil liability and/or criminal responsibility as a result of the exercise of his or her functions? If so, in which cases? Who may lodge a complaint against the judge? And which authority is responsible for adjudicating these cases? </w:t>
      </w:r>
    </w:p>
    <w:p w14:paraId="316B98FE" w14:textId="7370CC95" w:rsidR="00481EA9" w:rsidRDefault="00481EA9" w:rsidP="00481EA9">
      <w:pPr>
        <w:pStyle w:val="ListParagraph"/>
        <w:spacing w:after="160" w:line="259" w:lineRule="auto"/>
        <w:ind w:left="0"/>
        <w:jc w:val="both"/>
        <w:rPr>
          <w:rFonts w:ascii="Times New Roman" w:hAnsi="Times New Roman" w:cs="Times New Roman"/>
          <w:sz w:val="24"/>
          <w:szCs w:val="24"/>
        </w:rPr>
      </w:pPr>
    </w:p>
    <w:p w14:paraId="496560D2" w14:textId="34044352" w:rsidR="00481EA9" w:rsidRPr="00481EA9" w:rsidRDefault="00481EA9" w:rsidP="00481EA9">
      <w:pPr>
        <w:pStyle w:val="ListParagraph"/>
        <w:spacing w:after="160" w:line="259" w:lineRule="auto"/>
        <w:ind w:left="0"/>
        <w:jc w:val="both"/>
        <w:rPr>
          <w:rFonts w:ascii="Times New Roman" w:hAnsi="Times New Roman" w:cs="Times New Roman"/>
          <w:color w:val="2E74B5" w:themeColor="accent1" w:themeShade="BF"/>
          <w:sz w:val="24"/>
          <w:szCs w:val="24"/>
        </w:rPr>
      </w:pPr>
      <w:r w:rsidRPr="00481EA9">
        <w:rPr>
          <w:rFonts w:ascii="Times New Roman" w:hAnsi="Times New Roman" w:cs="Times New Roman"/>
          <w:color w:val="2E74B5" w:themeColor="accent1" w:themeShade="BF"/>
          <w:sz w:val="24"/>
          <w:szCs w:val="24"/>
        </w:rPr>
        <w:lastRenderedPageBreak/>
        <w:t xml:space="preserve">The CMJA unfortunately does not have any data on this issue. </w:t>
      </w:r>
    </w:p>
    <w:p w14:paraId="0100B9F1" w14:textId="77777777" w:rsidR="00444325" w:rsidRPr="00182265" w:rsidRDefault="00444325" w:rsidP="00444325">
      <w:pPr>
        <w:pStyle w:val="ListParagraph"/>
        <w:spacing w:after="160" w:line="259" w:lineRule="auto"/>
        <w:ind w:left="0"/>
        <w:jc w:val="both"/>
        <w:rPr>
          <w:rFonts w:ascii="Times New Roman" w:hAnsi="Times New Roman" w:cs="Times New Roman"/>
          <w:sz w:val="24"/>
          <w:szCs w:val="24"/>
        </w:rPr>
      </w:pPr>
    </w:p>
    <w:p w14:paraId="13EA00B6" w14:textId="77777777" w:rsidR="00444325" w:rsidRPr="0018226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Please provide detailed information, including disaggregated data, on the number of judges that have been subject to civil/criminal liability proceedings in the last ten years. How many of them were found liable for judicial errors? What was the outcome of these proceedings?</w:t>
      </w:r>
    </w:p>
    <w:p w14:paraId="1329F567" w14:textId="77777777" w:rsidR="00444325" w:rsidRDefault="00444325" w:rsidP="00444325">
      <w:pPr>
        <w:ind w:left="360"/>
        <w:jc w:val="center"/>
        <w:rPr>
          <w:sz w:val="24"/>
          <w:szCs w:val="24"/>
        </w:rPr>
      </w:pPr>
    </w:p>
    <w:p w14:paraId="4BB820A2" w14:textId="77777777" w:rsidR="00444325" w:rsidRDefault="00444325" w:rsidP="00444325">
      <w:pPr>
        <w:ind w:left="360"/>
        <w:jc w:val="center"/>
        <w:rPr>
          <w:sz w:val="24"/>
          <w:szCs w:val="24"/>
          <w:lang w:eastAsia="en-GB"/>
        </w:rPr>
      </w:pPr>
      <w:r>
        <w:rPr>
          <w:sz w:val="24"/>
          <w:szCs w:val="24"/>
        </w:rPr>
        <w:t>* * * * *</w:t>
      </w:r>
    </w:p>
    <w:tbl>
      <w:tblPr>
        <w:tblpPr w:leftFromText="180" w:rightFromText="180" w:vertAnchor="text" w:tblpY="1"/>
        <w:tblOverlap w:val="never"/>
        <w:tblW w:w="0" w:type="auto"/>
        <w:tblLook w:val="04A0" w:firstRow="1" w:lastRow="0" w:firstColumn="1" w:lastColumn="0" w:noHBand="0" w:noVBand="1"/>
      </w:tblPr>
      <w:tblGrid>
        <w:gridCol w:w="119"/>
      </w:tblGrid>
      <w:tr w:rsidR="00444325" w:rsidRPr="00E72180" w14:paraId="3FCCCE78" w14:textId="77777777" w:rsidTr="002B05F2">
        <w:tc>
          <w:tcPr>
            <w:tcW w:w="0" w:type="auto"/>
            <w:shd w:val="clear" w:color="auto" w:fill="auto"/>
            <w:tcMar>
              <w:top w:w="113" w:type="dxa"/>
              <w:left w:w="113" w:type="dxa"/>
              <w:bottom w:w="113" w:type="dxa"/>
              <w:right w:w="0" w:type="dxa"/>
            </w:tcMar>
          </w:tcPr>
          <w:p w14:paraId="71C8CF7C" w14:textId="77777777" w:rsidR="00444325" w:rsidRPr="00E72180" w:rsidRDefault="00444325" w:rsidP="002B05F2">
            <w:pPr>
              <w:jc w:val="both"/>
              <w:rPr>
                <w:sz w:val="24"/>
                <w:szCs w:val="24"/>
                <w:lang w:eastAsia="en-GB"/>
              </w:rPr>
            </w:pPr>
          </w:p>
        </w:tc>
      </w:tr>
    </w:tbl>
    <w:p w14:paraId="2F19A657" w14:textId="77777777" w:rsidR="00C70CBF" w:rsidRDefault="00444325">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t xml:space="preserve">        </w:t>
      </w:r>
    </w:p>
    <w:sectPr w:rsidR="00C70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44D4D"/>
    <w:multiLevelType w:val="hybridMultilevel"/>
    <w:tmpl w:val="5EF69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25"/>
    <w:rsid w:val="00076090"/>
    <w:rsid w:val="00082C12"/>
    <w:rsid w:val="001677E8"/>
    <w:rsid w:val="001A3A84"/>
    <w:rsid w:val="002534AB"/>
    <w:rsid w:val="00367597"/>
    <w:rsid w:val="003B2707"/>
    <w:rsid w:val="003D7BC6"/>
    <w:rsid w:val="00443375"/>
    <w:rsid w:val="00444325"/>
    <w:rsid w:val="00481EA9"/>
    <w:rsid w:val="00533E79"/>
    <w:rsid w:val="00582C6D"/>
    <w:rsid w:val="005C5E24"/>
    <w:rsid w:val="00637A95"/>
    <w:rsid w:val="00642ADA"/>
    <w:rsid w:val="00785F8F"/>
    <w:rsid w:val="008224AA"/>
    <w:rsid w:val="00822A42"/>
    <w:rsid w:val="008A55A1"/>
    <w:rsid w:val="008D3778"/>
    <w:rsid w:val="00937ECB"/>
    <w:rsid w:val="009F2E55"/>
    <w:rsid w:val="00C569FA"/>
    <w:rsid w:val="00C642DF"/>
    <w:rsid w:val="00C70CBF"/>
    <w:rsid w:val="00C86A88"/>
    <w:rsid w:val="00CD122C"/>
    <w:rsid w:val="00DF18F1"/>
    <w:rsid w:val="00E734B9"/>
    <w:rsid w:val="00ED4E3C"/>
    <w:rsid w:val="00F03451"/>
    <w:rsid w:val="00F90787"/>
    <w:rsid w:val="00FE5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F977"/>
  <w15:chartTrackingRefBased/>
  <w15:docId w15:val="{D8C7BCA3-BB39-4EA8-B3FA-E7E5E28C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325"/>
    <w:pPr>
      <w:spacing w:after="200" w:line="276" w:lineRule="auto"/>
      <w:ind w:left="720"/>
      <w:contextualSpacing/>
    </w:pPr>
    <w:rPr>
      <w:rFonts w:ascii="Calibri" w:eastAsia="Calibri" w:hAnsi="Calibri" w:cs="Calibri"/>
      <w:sz w:val="22"/>
      <w:szCs w:val="22"/>
    </w:rPr>
  </w:style>
  <w:style w:type="character" w:styleId="Hyperlink">
    <w:name w:val="Hyperlink"/>
    <w:basedOn w:val="DefaultParagraphFont"/>
    <w:uiPriority w:val="99"/>
    <w:unhideWhenUsed/>
    <w:rsid w:val="00ED4E3C"/>
    <w:rPr>
      <w:color w:val="0563C1" w:themeColor="hyperlink"/>
      <w:u w:val="single"/>
    </w:rPr>
  </w:style>
  <w:style w:type="character" w:customStyle="1" w:styleId="UnresolvedMention">
    <w:name w:val="Unresolved Mention"/>
    <w:basedOn w:val="DefaultParagraphFont"/>
    <w:uiPriority w:val="99"/>
    <w:semiHidden/>
    <w:unhideWhenUsed/>
    <w:rsid w:val="00ED4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mmonwealth.org/sites/default/files/key_reform_pdfs/D16227_2_GPD_ROL_Model_Law_Judicial_Service_Commission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nghamcentre.biicl.org/publications/the-appointment-tenure-and-removal-of-judges-under-commonwealth-principles-a-compendium-and-analysis-of-best-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D2E5F-46D0-46BF-A6BC-A008040BF8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68b7cb5-cb0d-4dcc-a361-4668509a482a"/>
    <ds:schemaRef ds:uri="http://www.w3.org/XML/1998/namespace"/>
    <ds:schemaRef ds:uri="http://purl.org/dc/dcmitype/"/>
  </ds:schemaRefs>
</ds:datastoreItem>
</file>

<file path=customXml/itemProps2.xml><?xml version="1.0" encoding="utf-8"?>
<ds:datastoreItem xmlns:ds="http://schemas.openxmlformats.org/officeDocument/2006/customXml" ds:itemID="{C5BEB2E0-7778-4624-B9EB-C72539F77B37}">
  <ds:schemaRefs>
    <ds:schemaRef ds:uri="http://schemas.microsoft.com/sharepoint/v3/contenttype/forms"/>
  </ds:schemaRefs>
</ds:datastoreItem>
</file>

<file path=customXml/itemProps3.xml><?xml version="1.0" encoding="utf-8"?>
<ds:datastoreItem xmlns:ds="http://schemas.openxmlformats.org/officeDocument/2006/customXml" ds:itemID="{BBDBE5AB-F9B1-4C9E-AD2A-D0B2AEA35FB0}"/>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4528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SENSI Stefano</dc:creator>
  <cp:keywords/>
  <dc:description/>
  <cp:lastModifiedBy>SENSI Stefano</cp:lastModifiedBy>
  <cp:revision>2</cp:revision>
  <dcterms:created xsi:type="dcterms:W3CDTF">2020-04-29T13:35:00Z</dcterms:created>
  <dcterms:modified xsi:type="dcterms:W3CDTF">2020-04-29T13:35:00Z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