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8" w:rsidRPr="00CF6CED" w:rsidRDefault="00520D98" w:rsidP="00CF6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 xml:space="preserve">Statement </w:t>
      </w:r>
      <w:r w:rsidR="00CF6CED" w:rsidRPr="00CF6CED">
        <w:rPr>
          <w:rFonts w:ascii="Times New Roman" w:hAnsi="Times New Roman" w:cs="Times New Roman"/>
          <w:sz w:val="24"/>
          <w:szCs w:val="24"/>
        </w:rPr>
        <w:t xml:space="preserve">by </w:t>
      </w:r>
      <w:r w:rsidRPr="00CF6CED">
        <w:rPr>
          <w:rFonts w:ascii="Times New Roman" w:hAnsi="Times New Roman" w:cs="Times New Roman"/>
          <w:sz w:val="24"/>
          <w:szCs w:val="24"/>
        </w:rPr>
        <w:t xml:space="preserve">the Independent Expert on the promotion of a democratic and equitable international order, Alfred de </w:t>
      </w:r>
      <w:proofErr w:type="spellStart"/>
      <w:r w:rsidRPr="00CF6CED">
        <w:rPr>
          <w:rFonts w:ascii="Times New Roman" w:hAnsi="Times New Roman" w:cs="Times New Roman"/>
          <w:sz w:val="24"/>
          <w:szCs w:val="24"/>
        </w:rPr>
        <w:t>Zayas</w:t>
      </w:r>
      <w:proofErr w:type="spellEnd"/>
      <w:r w:rsidRPr="00CF6CED">
        <w:rPr>
          <w:rFonts w:ascii="Times New Roman" w:hAnsi="Times New Roman" w:cs="Times New Roman"/>
          <w:sz w:val="24"/>
          <w:szCs w:val="24"/>
        </w:rPr>
        <w:t xml:space="preserve"> on the European Court of Justice’s decision </w:t>
      </w:r>
      <w:r w:rsidR="000940AB" w:rsidRPr="00CF6CED">
        <w:rPr>
          <w:rFonts w:ascii="Times New Roman" w:hAnsi="Times New Roman" w:cs="Times New Roman"/>
          <w:sz w:val="24"/>
          <w:szCs w:val="24"/>
        </w:rPr>
        <w:t>on the</w:t>
      </w:r>
      <w:r w:rsidRPr="00CF6CED">
        <w:rPr>
          <w:rFonts w:ascii="Times New Roman" w:hAnsi="Times New Roman" w:cs="Times New Roman"/>
          <w:sz w:val="24"/>
          <w:szCs w:val="24"/>
        </w:rPr>
        <w:t xml:space="preserve"> free trade agreement between the European Union and Singapore</w:t>
      </w:r>
    </w:p>
    <w:p w:rsidR="00CF6CED" w:rsidRPr="00CF6CED" w:rsidRDefault="00CF6CED" w:rsidP="00CF6C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28A" w:rsidRPr="00CF6CED" w:rsidRDefault="002E628A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 xml:space="preserve">The United Nations Independent Expert on the promotion of a democratic and equitable international order, Alfred de </w:t>
      </w:r>
      <w:proofErr w:type="spellStart"/>
      <w:r w:rsidRPr="00CF6CED">
        <w:rPr>
          <w:rFonts w:ascii="Times New Roman" w:hAnsi="Times New Roman" w:cs="Times New Roman"/>
          <w:sz w:val="24"/>
          <w:szCs w:val="24"/>
        </w:rPr>
        <w:t>Zayas</w:t>
      </w:r>
      <w:proofErr w:type="spellEnd"/>
      <w:r w:rsidRPr="00CF6CED">
        <w:rPr>
          <w:rFonts w:ascii="Times New Roman" w:hAnsi="Times New Roman" w:cs="Times New Roman"/>
          <w:sz w:val="24"/>
          <w:szCs w:val="24"/>
        </w:rPr>
        <w:t xml:space="preserve">, today welcomed the decision of the </w:t>
      </w:r>
      <w:r w:rsidR="00B66A34" w:rsidRPr="00CF6CED">
        <w:rPr>
          <w:rFonts w:ascii="Times New Roman" w:hAnsi="Times New Roman" w:cs="Times New Roman"/>
          <w:sz w:val="24"/>
          <w:szCs w:val="24"/>
        </w:rPr>
        <w:t>European</w:t>
      </w:r>
      <w:r w:rsidRPr="00CF6CED">
        <w:rPr>
          <w:rFonts w:ascii="Times New Roman" w:hAnsi="Times New Roman" w:cs="Times New Roman"/>
          <w:sz w:val="24"/>
          <w:szCs w:val="24"/>
        </w:rPr>
        <w:t xml:space="preserve"> Court of Justice</w:t>
      </w:r>
      <w:r w:rsidR="00B66A34" w:rsidRPr="00CF6CED">
        <w:rPr>
          <w:rFonts w:ascii="Times New Roman" w:hAnsi="Times New Roman" w:cs="Times New Roman"/>
          <w:sz w:val="24"/>
          <w:szCs w:val="24"/>
        </w:rPr>
        <w:t xml:space="preserve"> in Luxembourg</w:t>
      </w:r>
      <w:r w:rsidRPr="00CF6CED">
        <w:rPr>
          <w:rFonts w:ascii="Times New Roman" w:hAnsi="Times New Roman" w:cs="Times New Roman"/>
          <w:sz w:val="24"/>
          <w:szCs w:val="24"/>
        </w:rPr>
        <w:t xml:space="preserve"> that ruled that the EU-Singapore trade deal will only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 come into</w:t>
      </w:r>
      <w:r w:rsidRPr="00CF6CED">
        <w:rPr>
          <w:rFonts w:ascii="Times New Roman" w:hAnsi="Times New Roman" w:cs="Times New Roman"/>
          <w:sz w:val="24"/>
          <w:szCs w:val="24"/>
        </w:rPr>
        <w:t xml:space="preserve"> effect when parliaments in all </w:t>
      </w:r>
      <w:r w:rsidR="00FF0377" w:rsidRPr="00CF6CED">
        <w:rPr>
          <w:rFonts w:ascii="Times New Roman" w:hAnsi="Times New Roman" w:cs="Times New Roman"/>
          <w:sz w:val="24"/>
          <w:szCs w:val="24"/>
        </w:rPr>
        <w:t>EU-</w:t>
      </w:r>
      <w:r w:rsidR="00520D98" w:rsidRPr="00CF6CED">
        <w:rPr>
          <w:rFonts w:ascii="Times New Roman" w:hAnsi="Times New Roman" w:cs="Times New Roman"/>
          <w:sz w:val="24"/>
          <w:szCs w:val="24"/>
        </w:rPr>
        <w:t>Member S</w:t>
      </w:r>
      <w:r w:rsidRPr="00CF6CED">
        <w:rPr>
          <w:rFonts w:ascii="Times New Roman" w:hAnsi="Times New Roman" w:cs="Times New Roman"/>
          <w:sz w:val="24"/>
          <w:szCs w:val="24"/>
        </w:rPr>
        <w:t>tates approve it.</w:t>
      </w:r>
    </w:p>
    <w:p w:rsidR="002E628A" w:rsidRPr="00CF6CED" w:rsidRDefault="002E628A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>“This landmark decision of the European Court of Justice</w:t>
      </w:r>
      <w:r w:rsidR="00CF6CE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92375C">
        <w:rPr>
          <w:rFonts w:ascii="Times New Roman" w:hAnsi="Times New Roman" w:cs="Times New Roman"/>
          <w:sz w:val="24"/>
          <w:szCs w:val="24"/>
        </w:rPr>
        <w:t xml:space="preserve"> confirms</w:t>
      </w:r>
      <w:r w:rsidRPr="00CF6CED">
        <w:rPr>
          <w:rFonts w:ascii="Times New Roman" w:hAnsi="Times New Roman" w:cs="Times New Roman"/>
          <w:sz w:val="24"/>
          <w:szCs w:val="24"/>
        </w:rPr>
        <w:t xml:space="preserve"> that trade deals excluding affected individuals and peoples are fundamentally flawed and have </w:t>
      </w:r>
      <w:r w:rsidR="00FF0377" w:rsidRPr="00CF6CED">
        <w:rPr>
          <w:rFonts w:ascii="Times New Roman" w:hAnsi="Times New Roman" w:cs="Times New Roman"/>
          <w:sz w:val="24"/>
          <w:szCs w:val="24"/>
        </w:rPr>
        <w:t>no</w:t>
      </w:r>
      <w:r w:rsidRPr="00CF6CED">
        <w:rPr>
          <w:rFonts w:ascii="Times New Roman" w:hAnsi="Times New Roman" w:cs="Times New Roman"/>
          <w:sz w:val="24"/>
          <w:szCs w:val="24"/>
        </w:rPr>
        <w:t xml:space="preserve"> democratic legitimacy.</w:t>
      </w:r>
    </w:p>
    <w:p w:rsidR="0092375C" w:rsidRDefault="00C45D69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>It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92375C">
        <w:rPr>
          <w:rFonts w:ascii="Times New Roman" w:hAnsi="Times New Roman" w:cs="Times New Roman"/>
          <w:sz w:val="24"/>
          <w:szCs w:val="24"/>
        </w:rPr>
        <w:t>provides a unique opportunity to make</w:t>
      </w:r>
      <w:r w:rsidRPr="00CF6CED">
        <w:rPr>
          <w:rFonts w:ascii="Times New Roman" w:hAnsi="Times New Roman" w:cs="Times New Roman"/>
          <w:sz w:val="24"/>
          <w:szCs w:val="24"/>
        </w:rPr>
        <w:t xml:space="preserve"> clear that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FF0377" w:rsidRPr="00CF6CED">
        <w:rPr>
          <w:rFonts w:ascii="Times New Roman" w:hAnsi="Times New Roman" w:cs="Times New Roman"/>
          <w:sz w:val="24"/>
          <w:szCs w:val="24"/>
        </w:rPr>
        <w:t xml:space="preserve">the continued privileges given to foreign investors, the discrimination against domestic investors and the one-way investor-State-dispute settlement </w:t>
      </w:r>
      <w:r w:rsidR="002B730A" w:rsidRPr="00CF6CED">
        <w:rPr>
          <w:rFonts w:ascii="Times New Roman" w:hAnsi="Times New Roman" w:cs="Times New Roman"/>
          <w:sz w:val="24"/>
          <w:szCs w:val="24"/>
        </w:rPr>
        <w:t xml:space="preserve">mechanism </w:t>
      </w:r>
      <w:r w:rsidR="00FF0377" w:rsidRPr="00CF6CED">
        <w:rPr>
          <w:rFonts w:ascii="Times New Roman" w:hAnsi="Times New Roman" w:cs="Times New Roman"/>
          <w:sz w:val="24"/>
          <w:szCs w:val="24"/>
        </w:rPr>
        <w:t>are incompatible with fundamental norms of human rights</w:t>
      </w:r>
      <w:r w:rsidR="002B730A" w:rsidRPr="00CF6CED">
        <w:rPr>
          <w:rFonts w:ascii="Times New Roman" w:hAnsi="Times New Roman" w:cs="Times New Roman"/>
          <w:sz w:val="24"/>
          <w:szCs w:val="24"/>
        </w:rPr>
        <w:t xml:space="preserve"> and EU-law.</w:t>
      </w:r>
      <w:r w:rsidR="00FF0377" w:rsidRPr="00CF6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58" w:rsidRPr="00CF6CED" w:rsidRDefault="00FF0377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>As I explained in April 2016 before the Parliamentary Assembly of the Council of Europe,</w:t>
      </w:r>
      <w:r w:rsidR="00CF6CE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CF6CED">
        <w:rPr>
          <w:rFonts w:ascii="Times New Roman" w:hAnsi="Times New Roman" w:cs="Times New Roman"/>
          <w:sz w:val="24"/>
          <w:szCs w:val="24"/>
        </w:rPr>
        <w:t xml:space="preserve"> these treaties must be subject to proper consultation and debate by all stakeholders</w:t>
      </w:r>
      <w:r w:rsidR="00514358" w:rsidRPr="00CF6CED">
        <w:rPr>
          <w:rFonts w:ascii="Times New Roman" w:hAnsi="Times New Roman" w:cs="Times New Roman"/>
          <w:sz w:val="24"/>
          <w:szCs w:val="24"/>
        </w:rPr>
        <w:t>.</w:t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92375C">
        <w:rPr>
          <w:rFonts w:ascii="Times New Roman" w:hAnsi="Times New Roman" w:cs="Times New Roman"/>
          <w:sz w:val="24"/>
          <w:szCs w:val="24"/>
        </w:rPr>
        <w:t>As a result, this decision</w:t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FC2124" w:rsidRPr="00CF6CED">
        <w:rPr>
          <w:rFonts w:ascii="Times New Roman" w:hAnsi="Times New Roman" w:cs="Times New Roman"/>
          <w:sz w:val="24"/>
          <w:szCs w:val="24"/>
        </w:rPr>
        <w:t xml:space="preserve">constitutes a milestone </w:t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for the </w:t>
      </w:r>
      <w:r w:rsidRPr="00CF6CED">
        <w:rPr>
          <w:rFonts w:ascii="Times New Roman" w:hAnsi="Times New Roman" w:cs="Times New Roman"/>
          <w:sz w:val="24"/>
          <w:szCs w:val="24"/>
        </w:rPr>
        <w:t xml:space="preserve">rule of law in the European Union and at the same time for the </w:t>
      </w:r>
      <w:r w:rsidR="00C45D69" w:rsidRPr="00CF6CED">
        <w:rPr>
          <w:rFonts w:ascii="Times New Roman" w:hAnsi="Times New Roman" w:cs="Times New Roman"/>
          <w:sz w:val="24"/>
          <w:szCs w:val="24"/>
        </w:rPr>
        <w:t>promotion of a democratic and equitable international order.</w:t>
      </w:r>
    </w:p>
    <w:p w:rsidR="009426F2" w:rsidRPr="00CF6CED" w:rsidRDefault="002E628A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 xml:space="preserve">I now urge every Parliament of the European Union – and of Singapore – to </w:t>
      </w:r>
      <w:r w:rsidR="002B730A" w:rsidRPr="00CF6CED">
        <w:rPr>
          <w:rFonts w:ascii="Times New Roman" w:hAnsi="Times New Roman" w:cs="Times New Roman"/>
          <w:sz w:val="24"/>
          <w:szCs w:val="24"/>
        </w:rPr>
        <w:t>test</w:t>
      </w:r>
      <w:r w:rsidRPr="00CF6CED">
        <w:rPr>
          <w:rFonts w:ascii="Times New Roman" w:hAnsi="Times New Roman" w:cs="Times New Roman"/>
          <w:sz w:val="24"/>
          <w:szCs w:val="24"/>
        </w:rPr>
        <w:t xml:space="preserve"> the </w:t>
      </w:r>
      <w:r w:rsidR="002B730A" w:rsidRPr="00CF6CED">
        <w:rPr>
          <w:rFonts w:ascii="Times New Roman" w:hAnsi="Times New Roman" w:cs="Times New Roman"/>
          <w:sz w:val="24"/>
          <w:szCs w:val="24"/>
        </w:rPr>
        <w:t>compatibility</w:t>
      </w:r>
      <w:r w:rsidRPr="00CF6CED">
        <w:rPr>
          <w:rFonts w:ascii="Times New Roman" w:hAnsi="Times New Roman" w:cs="Times New Roman"/>
          <w:sz w:val="24"/>
          <w:szCs w:val="24"/>
        </w:rPr>
        <w:t xml:space="preserve"> of the trade deal </w:t>
      </w:r>
      <w:r w:rsidR="002B730A" w:rsidRPr="00CF6CED">
        <w:rPr>
          <w:rFonts w:ascii="Times New Roman" w:hAnsi="Times New Roman" w:cs="Times New Roman"/>
          <w:sz w:val="24"/>
          <w:szCs w:val="24"/>
        </w:rPr>
        <w:t>again their</w:t>
      </w:r>
      <w:r w:rsidRPr="00CF6CED">
        <w:rPr>
          <w:rFonts w:ascii="Times New Roman" w:hAnsi="Times New Roman" w:cs="Times New Roman"/>
          <w:sz w:val="24"/>
          <w:szCs w:val="24"/>
        </w:rPr>
        <w:t xml:space="preserve"> obligations under international human rights law</w:t>
      </w:r>
      <w:r w:rsidR="00520D98" w:rsidRPr="00CF6CED">
        <w:rPr>
          <w:rFonts w:ascii="Times New Roman" w:hAnsi="Times New Roman" w:cs="Times New Roman"/>
          <w:sz w:val="24"/>
          <w:szCs w:val="24"/>
        </w:rPr>
        <w:t>,</w:t>
      </w:r>
      <w:r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520D98" w:rsidRPr="00CF6CED">
        <w:rPr>
          <w:rFonts w:ascii="Times New Roman" w:hAnsi="Times New Roman" w:cs="Times New Roman"/>
          <w:sz w:val="24"/>
          <w:szCs w:val="24"/>
        </w:rPr>
        <w:t>to articulate the pros and cons of the treaty</w:t>
      </w:r>
      <w:r w:rsidR="00514358" w:rsidRPr="00CF6CED">
        <w:rPr>
          <w:rFonts w:ascii="Times New Roman" w:hAnsi="Times New Roman" w:cs="Times New Roman"/>
          <w:sz w:val="24"/>
          <w:szCs w:val="24"/>
        </w:rPr>
        <w:t>,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 in the short and long run, </w:t>
      </w:r>
      <w:r w:rsidRPr="00CF6CED">
        <w:rPr>
          <w:rFonts w:ascii="Times New Roman" w:hAnsi="Times New Roman" w:cs="Times New Roman"/>
          <w:sz w:val="24"/>
          <w:szCs w:val="24"/>
        </w:rPr>
        <w:t>and to condition the ratification of the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 treaty on the</w:t>
      </w:r>
      <w:r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FF0377" w:rsidRPr="00CF6CED">
        <w:rPr>
          <w:rFonts w:ascii="Times New Roman" w:hAnsi="Times New Roman" w:cs="Times New Roman"/>
          <w:sz w:val="24"/>
          <w:szCs w:val="24"/>
        </w:rPr>
        <w:t>clear understanding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 that </w:t>
      </w:r>
      <w:r w:rsidR="00514358" w:rsidRPr="00CF6CED">
        <w:rPr>
          <w:rFonts w:ascii="Times New Roman" w:hAnsi="Times New Roman" w:cs="Times New Roman"/>
          <w:sz w:val="24"/>
          <w:szCs w:val="24"/>
        </w:rPr>
        <w:t>it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 will not compromise the </w:t>
      </w:r>
      <w:proofErr w:type="spellStart"/>
      <w:r w:rsidR="00520D98" w:rsidRPr="00CF6CED">
        <w:rPr>
          <w:rFonts w:ascii="Times New Roman" w:hAnsi="Times New Roman" w:cs="Times New Roman"/>
          <w:sz w:val="24"/>
          <w:szCs w:val="24"/>
        </w:rPr>
        <w:t>fulfillment</w:t>
      </w:r>
      <w:proofErr w:type="spellEnd"/>
      <w:r w:rsidR="00520D98" w:rsidRPr="00CF6CED">
        <w:rPr>
          <w:rFonts w:ascii="Times New Roman" w:hAnsi="Times New Roman" w:cs="Times New Roman"/>
          <w:sz w:val="24"/>
          <w:szCs w:val="24"/>
        </w:rPr>
        <w:t xml:space="preserve"> of </w:t>
      </w:r>
      <w:r w:rsidR="00514358" w:rsidRPr="00CF6CED">
        <w:rPr>
          <w:rFonts w:ascii="Times New Roman" w:hAnsi="Times New Roman" w:cs="Times New Roman"/>
          <w:sz w:val="24"/>
          <w:szCs w:val="24"/>
        </w:rPr>
        <w:t>States’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 human rights treaty obligations</w:t>
      </w:r>
      <w:r w:rsidR="00FF0377" w:rsidRPr="00CF6CED">
        <w:rPr>
          <w:rFonts w:ascii="Times New Roman" w:hAnsi="Times New Roman" w:cs="Times New Roman"/>
          <w:sz w:val="24"/>
          <w:szCs w:val="24"/>
        </w:rPr>
        <w:t>, especially in the fields of health, labour and environmental standards</w:t>
      </w:r>
      <w:r w:rsidR="00520D98" w:rsidRPr="00CF6CED">
        <w:rPr>
          <w:rFonts w:ascii="Times New Roman" w:hAnsi="Times New Roman" w:cs="Times New Roman"/>
          <w:sz w:val="24"/>
          <w:szCs w:val="24"/>
        </w:rPr>
        <w:t>. </w:t>
      </w:r>
      <w:r w:rsidR="002B730A" w:rsidRPr="00CF6CED">
        <w:rPr>
          <w:rFonts w:ascii="Times New Roman" w:hAnsi="Times New Roman" w:cs="Times New Roman"/>
          <w:sz w:val="24"/>
          <w:szCs w:val="24"/>
        </w:rPr>
        <w:t>In case of conflict between a commercial arrangement and human rights treaties, the latter must prevail.</w:t>
      </w:r>
    </w:p>
    <w:p w:rsidR="009426F2" w:rsidRPr="00CF6CED" w:rsidRDefault="002E628A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 xml:space="preserve">As I made clear in my previous </w:t>
      </w:r>
      <w:r w:rsidR="00FF0377" w:rsidRPr="00CF6CED">
        <w:rPr>
          <w:rFonts w:ascii="Times New Roman" w:hAnsi="Times New Roman" w:cs="Times New Roman"/>
          <w:sz w:val="24"/>
          <w:szCs w:val="24"/>
        </w:rPr>
        <w:t>reports to the Human Rights Council and General Assembly</w:t>
      </w:r>
      <w:r w:rsidRPr="00CF6CED">
        <w:rPr>
          <w:rFonts w:ascii="Times New Roman" w:hAnsi="Times New Roman" w:cs="Times New Roman"/>
          <w:sz w:val="24"/>
          <w:szCs w:val="24"/>
        </w:rPr>
        <w:t xml:space="preserve"> on free trade and investment agreements,</w:t>
      </w:r>
      <w:r w:rsidR="00CF6CED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Pr="00CF6CED">
        <w:rPr>
          <w:rFonts w:ascii="Times New Roman" w:hAnsi="Times New Roman" w:cs="Times New Roman"/>
          <w:sz w:val="24"/>
          <w:szCs w:val="24"/>
        </w:rPr>
        <w:t xml:space="preserve"> t</w:t>
      </w:r>
      <w:r w:rsidR="009426F2" w:rsidRPr="00CF6CED">
        <w:rPr>
          <w:rFonts w:ascii="Times New Roman" w:hAnsi="Times New Roman" w:cs="Times New Roman"/>
          <w:sz w:val="24"/>
          <w:szCs w:val="24"/>
        </w:rPr>
        <w:t>rade deals prepared and negotiated in secret, excluding individuals and peoples</w:t>
      </w:r>
      <w:r w:rsidR="00C45D69" w:rsidRPr="00CF6CED">
        <w:rPr>
          <w:rFonts w:ascii="Times New Roman" w:hAnsi="Times New Roman" w:cs="Times New Roman"/>
          <w:sz w:val="24"/>
          <w:szCs w:val="24"/>
        </w:rPr>
        <w:t>, especially civil society, trade unions and professional experts,</w:t>
      </w:r>
      <w:r w:rsidR="009426F2" w:rsidRPr="00CF6CED">
        <w:rPr>
          <w:rFonts w:ascii="Times New Roman" w:hAnsi="Times New Roman" w:cs="Times New Roman"/>
          <w:sz w:val="24"/>
          <w:szCs w:val="24"/>
        </w:rPr>
        <w:t xml:space="preserve"> from participation in decision-making</w:t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 not only</w:t>
      </w:r>
      <w:r w:rsidR="009426F2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put into question their validity </w:t>
      </w:r>
      <w:r w:rsidR="00C45D69" w:rsidRPr="00CF6CED">
        <w:rPr>
          <w:rFonts w:ascii="Times New Roman" w:hAnsi="Times New Roman" w:cs="Times New Roman"/>
          <w:sz w:val="24"/>
          <w:szCs w:val="24"/>
        </w:rPr>
        <w:t>but actually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 </w:t>
      </w:r>
      <w:r w:rsidR="009426F2" w:rsidRPr="00CF6CED">
        <w:rPr>
          <w:rFonts w:ascii="Times New Roman" w:hAnsi="Times New Roman" w:cs="Times New Roman"/>
          <w:sz w:val="24"/>
          <w:szCs w:val="24"/>
        </w:rPr>
        <w:t>violate international human rights standards</w:t>
      </w:r>
      <w:r w:rsidR="00520D98" w:rsidRPr="00CF6CED">
        <w:rPr>
          <w:rFonts w:ascii="Times New Roman" w:hAnsi="Times New Roman" w:cs="Times New Roman"/>
          <w:sz w:val="24"/>
          <w:szCs w:val="24"/>
        </w:rPr>
        <w:t>.</w:t>
      </w:r>
      <w:r w:rsidR="009426F2" w:rsidRPr="00CF6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58" w:rsidRPr="00CF6CED" w:rsidRDefault="00514358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 xml:space="preserve">I trust this decision will </w:t>
      </w:r>
      <w:r w:rsidR="00FC2124" w:rsidRPr="00CF6CED">
        <w:rPr>
          <w:rFonts w:ascii="Times New Roman" w:hAnsi="Times New Roman" w:cs="Times New Roman"/>
          <w:sz w:val="24"/>
          <w:szCs w:val="24"/>
        </w:rPr>
        <w:t>also</w:t>
      </w:r>
      <w:r w:rsidRPr="00CF6CED">
        <w:rPr>
          <w:rFonts w:ascii="Times New Roman" w:hAnsi="Times New Roman" w:cs="Times New Roman"/>
          <w:sz w:val="24"/>
          <w:szCs w:val="24"/>
        </w:rPr>
        <w:t xml:space="preserve"> provide an opportunity for each Parliament to discuss the impact of Investor-State dispute settlement mechanisms that have been used to subvert the rule of law and violate numerous civil, political, economic, social and cultural rights. I also encourage each of the 28 Parliaments to carry out human rights, health and environmental </w:t>
      </w:r>
      <w:r w:rsidRPr="00CF6CED">
        <w:rPr>
          <w:rFonts w:ascii="Times New Roman" w:hAnsi="Times New Roman" w:cs="Times New Roman"/>
          <w:sz w:val="24"/>
          <w:szCs w:val="24"/>
        </w:rPr>
        <w:lastRenderedPageBreak/>
        <w:t>impact assessments</w:t>
      </w:r>
      <w:r w:rsidR="00C45D69" w:rsidRPr="00CF6CED">
        <w:rPr>
          <w:rFonts w:ascii="Times New Roman" w:hAnsi="Times New Roman" w:cs="Times New Roman"/>
          <w:sz w:val="24"/>
          <w:szCs w:val="24"/>
        </w:rPr>
        <w:t xml:space="preserve"> to make sure the deal will entail no retrogression in human rights protection</w:t>
      </w:r>
      <w:r w:rsidRPr="00CF6CED">
        <w:rPr>
          <w:rFonts w:ascii="Times New Roman" w:hAnsi="Times New Roman" w:cs="Times New Roman"/>
          <w:sz w:val="24"/>
          <w:szCs w:val="24"/>
        </w:rPr>
        <w:t>.</w:t>
      </w:r>
    </w:p>
    <w:p w:rsidR="009426F2" w:rsidRPr="00CF6CED" w:rsidRDefault="00FC2124" w:rsidP="00CF6CED">
      <w:pPr>
        <w:rPr>
          <w:rFonts w:ascii="Times New Roman" w:hAnsi="Times New Roman" w:cs="Times New Roman"/>
          <w:sz w:val="24"/>
          <w:szCs w:val="24"/>
        </w:rPr>
      </w:pPr>
      <w:r w:rsidRPr="00CF6CED">
        <w:rPr>
          <w:rFonts w:ascii="Times New Roman" w:hAnsi="Times New Roman" w:cs="Times New Roman"/>
          <w:sz w:val="24"/>
          <w:szCs w:val="24"/>
        </w:rPr>
        <w:t>Lastly</w:t>
      </w:r>
      <w:r w:rsidR="00520D98" w:rsidRPr="00CF6CED">
        <w:rPr>
          <w:rFonts w:ascii="Times New Roman" w:hAnsi="Times New Roman" w:cs="Times New Roman"/>
          <w:sz w:val="24"/>
          <w:szCs w:val="24"/>
        </w:rPr>
        <w:t xml:space="preserve">, </w:t>
      </w:r>
      <w:r w:rsidR="009426F2" w:rsidRPr="00CF6CED">
        <w:rPr>
          <w:rFonts w:ascii="Times New Roman" w:hAnsi="Times New Roman" w:cs="Times New Roman"/>
          <w:sz w:val="24"/>
          <w:szCs w:val="24"/>
        </w:rPr>
        <w:t>I would also call for all European Union countries</w:t>
      </w:r>
      <w:r w:rsidR="00514358" w:rsidRPr="00CF6CED">
        <w:rPr>
          <w:rFonts w:ascii="Times New Roman" w:hAnsi="Times New Roman" w:cs="Times New Roman"/>
          <w:sz w:val="24"/>
          <w:szCs w:val="24"/>
        </w:rPr>
        <w:t xml:space="preserve"> – and Singapore –</w:t>
      </w:r>
      <w:r w:rsidRPr="00CF6CED">
        <w:rPr>
          <w:rFonts w:ascii="Times New Roman" w:hAnsi="Times New Roman" w:cs="Times New Roman"/>
          <w:sz w:val="24"/>
          <w:szCs w:val="24"/>
        </w:rPr>
        <w:t xml:space="preserve"> to consider putting the </w:t>
      </w:r>
      <w:r w:rsidR="002B730A" w:rsidRPr="00CF6CED">
        <w:rPr>
          <w:rFonts w:ascii="Times New Roman" w:hAnsi="Times New Roman" w:cs="Times New Roman"/>
          <w:sz w:val="24"/>
          <w:szCs w:val="24"/>
        </w:rPr>
        <w:t>treaty</w:t>
      </w:r>
      <w:r w:rsidRPr="00CF6CED">
        <w:rPr>
          <w:rFonts w:ascii="Times New Roman" w:hAnsi="Times New Roman" w:cs="Times New Roman"/>
          <w:sz w:val="24"/>
          <w:szCs w:val="24"/>
        </w:rPr>
        <w:t xml:space="preserve"> to </w:t>
      </w:r>
      <w:r w:rsidR="002B730A" w:rsidRPr="00CF6CED">
        <w:rPr>
          <w:rFonts w:ascii="Times New Roman" w:hAnsi="Times New Roman" w:cs="Times New Roman"/>
          <w:sz w:val="24"/>
          <w:szCs w:val="24"/>
        </w:rPr>
        <w:t xml:space="preserve">public </w:t>
      </w:r>
      <w:r w:rsidRPr="00CF6CED">
        <w:rPr>
          <w:rFonts w:ascii="Times New Roman" w:hAnsi="Times New Roman" w:cs="Times New Roman"/>
          <w:sz w:val="24"/>
          <w:szCs w:val="24"/>
        </w:rPr>
        <w:t>referendum</w:t>
      </w:r>
      <w:r w:rsidR="002B730A" w:rsidRPr="00CF6CED">
        <w:rPr>
          <w:rFonts w:ascii="Times New Roman" w:hAnsi="Times New Roman" w:cs="Times New Roman"/>
          <w:sz w:val="24"/>
          <w:szCs w:val="24"/>
        </w:rPr>
        <w:t>,</w:t>
      </w:r>
      <w:r w:rsidR="00FC5CDC" w:rsidRPr="00CF6CED">
        <w:rPr>
          <w:rFonts w:ascii="Times New Roman" w:hAnsi="Times New Roman" w:cs="Times New Roman"/>
          <w:sz w:val="24"/>
          <w:szCs w:val="24"/>
        </w:rPr>
        <w:t xml:space="preserve"> as di</w:t>
      </w:r>
      <w:bookmarkStart w:id="0" w:name="_GoBack"/>
      <w:bookmarkEnd w:id="0"/>
      <w:r w:rsidR="00FC5CDC" w:rsidRPr="00CF6CED">
        <w:rPr>
          <w:rFonts w:ascii="Times New Roman" w:hAnsi="Times New Roman" w:cs="Times New Roman"/>
          <w:sz w:val="24"/>
          <w:szCs w:val="24"/>
        </w:rPr>
        <w:t>rect democracy is the best way to ensure public decisions correspond with the wishes of the electorate.</w:t>
      </w:r>
      <w:r w:rsidR="00520D98" w:rsidRPr="00CF6CED">
        <w:rPr>
          <w:rFonts w:ascii="Times New Roman" w:hAnsi="Times New Roman" w:cs="Times New Roman"/>
          <w:sz w:val="24"/>
          <w:szCs w:val="24"/>
        </w:rPr>
        <w:t>”</w:t>
      </w:r>
    </w:p>
    <w:p w:rsidR="00CF6CED" w:rsidRPr="00CF6CED" w:rsidRDefault="00CF6CED" w:rsidP="00CF6C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6CED">
        <w:rPr>
          <w:rFonts w:ascii="Times New Roman" w:hAnsi="Times New Roman" w:cs="Times New Roman"/>
          <w:i/>
          <w:sz w:val="24"/>
          <w:szCs w:val="24"/>
        </w:rPr>
        <w:t xml:space="preserve">Alfred de </w:t>
      </w:r>
      <w:proofErr w:type="spellStart"/>
      <w:r w:rsidRPr="00CF6CED">
        <w:rPr>
          <w:rFonts w:ascii="Times New Roman" w:hAnsi="Times New Roman" w:cs="Times New Roman"/>
          <w:i/>
          <w:sz w:val="24"/>
          <w:szCs w:val="24"/>
        </w:rPr>
        <w:t>Zayas</w:t>
      </w:r>
      <w:proofErr w:type="spellEnd"/>
      <w:r w:rsidRPr="00CF6CED">
        <w:rPr>
          <w:rFonts w:ascii="Times New Roman" w:hAnsi="Times New Roman" w:cs="Times New Roman"/>
          <w:i/>
          <w:sz w:val="24"/>
          <w:szCs w:val="24"/>
        </w:rPr>
        <w:br/>
        <w:t>Independent Expert on the Promotion of a Democratic and Equitable International Order</w:t>
      </w:r>
    </w:p>
    <w:p w:rsidR="00CF6CED" w:rsidRPr="00CF6CED" w:rsidRDefault="00CF6CED" w:rsidP="00CF6C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6CED">
        <w:rPr>
          <w:rFonts w:ascii="Times New Roman" w:hAnsi="Times New Roman" w:cs="Times New Roman"/>
          <w:i/>
          <w:sz w:val="24"/>
          <w:szCs w:val="24"/>
        </w:rPr>
        <w:t>17 May 2017</w:t>
      </w:r>
    </w:p>
    <w:p w:rsidR="009426F2" w:rsidRPr="00CF6CED" w:rsidRDefault="009426F2" w:rsidP="00CF6CED">
      <w:pPr>
        <w:rPr>
          <w:rFonts w:ascii="Times New Roman" w:hAnsi="Times New Roman" w:cs="Times New Roman"/>
          <w:sz w:val="24"/>
          <w:szCs w:val="24"/>
        </w:rPr>
      </w:pPr>
    </w:p>
    <w:sectPr w:rsidR="009426F2" w:rsidRPr="00CF6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82" w:rsidRDefault="00490C82" w:rsidP="00520D98">
      <w:pPr>
        <w:spacing w:after="0" w:line="240" w:lineRule="auto"/>
      </w:pPr>
      <w:r>
        <w:separator/>
      </w:r>
    </w:p>
  </w:endnote>
  <w:endnote w:type="continuationSeparator" w:id="0">
    <w:p w:rsidR="00490C82" w:rsidRDefault="00490C82" w:rsidP="005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82" w:rsidRDefault="00490C82" w:rsidP="00520D98">
      <w:pPr>
        <w:spacing w:after="0" w:line="240" w:lineRule="auto"/>
      </w:pPr>
      <w:r>
        <w:separator/>
      </w:r>
    </w:p>
  </w:footnote>
  <w:footnote w:type="continuationSeparator" w:id="0">
    <w:p w:rsidR="00490C82" w:rsidRDefault="00490C82" w:rsidP="00520D98">
      <w:pPr>
        <w:spacing w:after="0" w:line="240" w:lineRule="auto"/>
      </w:pPr>
      <w:r>
        <w:continuationSeparator/>
      </w:r>
    </w:p>
  </w:footnote>
  <w:footnote w:id="1">
    <w:p w:rsidR="00CF6CED" w:rsidRPr="00CF6CED" w:rsidRDefault="00CF6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E2EEE">
          <w:rPr>
            <w:rStyle w:val="Hyperlink"/>
          </w:rPr>
          <w:t>https://curia.europa.eu/jcms/upload/docs/application/pdf/2017-05/cp170052en.pdf</w:t>
        </w:r>
      </w:hyperlink>
    </w:p>
  </w:footnote>
  <w:footnote w:id="2">
    <w:p w:rsidR="00CF6CED" w:rsidRPr="00CF6CED" w:rsidRDefault="00CF6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05267">
          <w:rPr>
            <w:rStyle w:val="Hyperlink"/>
          </w:rPr>
          <w:t>http://www.ohchr.org/EN/Issues/IntOrder/Pages/Articles.aspx</w:t>
        </w:r>
      </w:hyperlink>
      <w:r>
        <w:t xml:space="preserve"> </w:t>
      </w:r>
    </w:p>
  </w:footnote>
  <w:footnote w:id="3">
    <w:p w:rsidR="00CF6CED" w:rsidRPr="00CF6CED" w:rsidRDefault="00CF6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0D98">
        <w:t>See reports A/HRC/30/44 ;</w:t>
      </w:r>
      <w:r>
        <w:t xml:space="preserve"> A/HRC/33/40 and A/70/28</w:t>
      </w:r>
      <w:r w:rsidRPr="00520D98">
        <w:t>5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red de zayas">
    <w15:presenceInfo w15:providerId="None" w15:userId="alfred de zay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F2"/>
    <w:rsid w:val="000940AB"/>
    <w:rsid w:val="001827F7"/>
    <w:rsid w:val="002B730A"/>
    <w:rsid w:val="002E628A"/>
    <w:rsid w:val="00490C82"/>
    <w:rsid w:val="00514358"/>
    <w:rsid w:val="00520D98"/>
    <w:rsid w:val="006B3ABE"/>
    <w:rsid w:val="0092375C"/>
    <w:rsid w:val="009426F2"/>
    <w:rsid w:val="00B66A34"/>
    <w:rsid w:val="00C45D69"/>
    <w:rsid w:val="00CF6CED"/>
    <w:rsid w:val="00FC2124"/>
    <w:rsid w:val="00FC5CDC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6F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98"/>
    <w:rPr>
      <w:vertAlign w:val="superscript"/>
    </w:rPr>
  </w:style>
  <w:style w:type="paragraph" w:customStyle="1" w:styleId="Default">
    <w:name w:val="Default"/>
    <w:rsid w:val="00520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6F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98"/>
    <w:rPr>
      <w:vertAlign w:val="superscript"/>
    </w:rPr>
  </w:style>
  <w:style w:type="paragraph" w:customStyle="1" w:styleId="Default">
    <w:name w:val="Default"/>
    <w:rsid w:val="00520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hchr.org/EN/Issues/IntOrder/Pages/Articles.aspx" TargetMode="External"/><Relationship Id="rId1" Type="http://schemas.openxmlformats.org/officeDocument/2006/relationships/hyperlink" Target="https://curia.europa.eu/jcms/upload/docs/application/pdf/2017-05/cp170052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732BDB-041A-41D6-A3E4-7158889B0DD3}"/>
</file>

<file path=customXml/itemProps2.xml><?xml version="1.0" encoding="utf-8"?>
<ds:datastoreItem xmlns:ds="http://schemas.openxmlformats.org/officeDocument/2006/customXml" ds:itemID="{1A2ABE78-FA13-4537-B11B-9841DE769ADD}"/>
</file>

<file path=customXml/itemProps3.xml><?xml version="1.0" encoding="utf-8"?>
<ds:datastoreItem xmlns:ds="http://schemas.openxmlformats.org/officeDocument/2006/customXml" ds:itemID="{36186A30-2FB3-4297-9F00-80033CDFB400}"/>
</file>

<file path=customXml/itemProps4.xml><?xml version="1.0" encoding="utf-8"?>
<ds:datastoreItem xmlns:ds="http://schemas.openxmlformats.org/officeDocument/2006/customXml" ds:itemID="{1958BFD0-4613-45CF-82F5-D1719F91E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ECJ decision</dc:title>
  <dc:creator>Thibaut Guillet</dc:creator>
  <cp:lastModifiedBy>Thibaut Guillet</cp:lastModifiedBy>
  <cp:revision>2</cp:revision>
  <dcterms:created xsi:type="dcterms:W3CDTF">2017-05-18T07:23:00Z</dcterms:created>
  <dcterms:modified xsi:type="dcterms:W3CDTF">2017-05-18T07:23:00Z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