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1383E" w14:textId="0FBE8DEF" w:rsidR="006F0EE4" w:rsidRDefault="0002309D" w:rsidP="006F0EE4">
      <w:pPr>
        <w:jc w:val="center"/>
        <w:rPr>
          <w:b/>
          <w:bCs/>
        </w:rPr>
      </w:pPr>
      <w:bookmarkStart w:id="0" w:name="_GoBack"/>
      <w:bookmarkEnd w:id="0"/>
      <w:r w:rsidRPr="0002309D">
        <w:rPr>
          <w:b/>
        </w:rPr>
        <w:t>Mandate of the Independent Expert on the effects of foreign debt and other related international financial obligations of States on the full enjoyment of all human rights, particularly economic, social and cultural rights</w:t>
      </w:r>
      <w:r w:rsidR="009E00AF">
        <w:rPr>
          <w:b/>
          <w:bCs/>
          <w:noProof/>
        </w:rPr>
        <w:t xml:space="preserve"> </w:t>
      </w:r>
    </w:p>
    <w:p w14:paraId="28F7189E" w14:textId="77777777" w:rsidR="00C922E3" w:rsidRPr="00065F99" w:rsidRDefault="00C922E3" w:rsidP="006F0EE4">
      <w:pPr>
        <w:jc w:val="center"/>
        <w:rPr>
          <w:b/>
          <w:sz w:val="22"/>
        </w:rPr>
      </w:pPr>
    </w:p>
    <w:tbl>
      <w:tblPr>
        <w:tblW w:w="0" w:type="auto"/>
        <w:tblLook w:val="04A0" w:firstRow="1" w:lastRow="0" w:firstColumn="1" w:lastColumn="0" w:noHBand="0" w:noVBand="1"/>
      </w:tblPr>
      <w:tblGrid>
        <w:gridCol w:w="2461"/>
        <w:gridCol w:w="236"/>
      </w:tblGrid>
      <w:tr w:rsidR="009E00AF" w:rsidRPr="0025174E" w14:paraId="0276FBA7" w14:textId="77777777" w:rsidTr="00991BC1">
        <w:tc>
          <w:tcPr>
            <w:tcW w:w="2461" w:type="dxa"/>
            <w:shd w:val="clear" w:color="auto" w:fill="auto"/>
            <w:tcMar>
              <w:top w:w="113" w:type="dxa"/>
              <w:left w:w="57" w:type="dxa"/>
              <w:bottom w:w="113" w:type="dxa"/>
              <w:right w:w="0" w:type="dxa"/>
            </w:tcMar>
          </w:tcPr>
          <w:p w14:paraId="0276FBA5" w14:textId="38D2B566" w:rsidR="009E00AF" w:rsidRPr="006F0EE4" w:rsidRDefault="00991BC1" w:rsidP="00991BC1">
            <w:pPr>
              <w:rPr>
                <w:sz w:val="16"/>
                <w:szCs w:val="16"/>
              </w:rPr>
            </w:pPr>
            <w:r>
              <w:rPr>
                <w:sz w:val="16"/>
                <w:szCs w:val="16"/>
              </w:rPr>
              <w:t>REFERENCE:</w:t>
            </w:r>
            <w:r w:rsidR="00F4210A">
              <w:rPr>
                <w:sz w:val="16"/>
                <w:szCs w:val="16"/>
              </w:rPr>
              <w:t xml:space="preserve"> Re.NP/HV</w:t>
            </w:r>
            <w:r w:rsidR="009E00AF">
              <w:rPr>
                <w:sz w:val="16"/>
                <w:szCs w:val="16"/>
              </w:rPr>
              <w:fldChar w:fldCharType="begin"/>
            </w:r>
            <w:r w:rsidR="009E00AF">
              <w:rPr>
                <w:sz w:val="16"/>
                <w:szCs w:val="16"/>
              </w:rPr>
              <w:instrText xml:space="preserve"> MERGEFIELD  reference </w:instrText>
            </w:r>
            <w:r w:rsidR="009E00AF">
              <w:rPr>
                <w:sz w:val="16"/>
                <w:szCs w:val="16"/>
              </w:rPr>
              <w:fldChar w:fldCharType="end"/>
            </w:r>
          </w:p>
        </w:tc>
        <w:tc>
          <w:tcPr>
            <w:tcW w:w="236" w:type="dxa"/>
            <w:shd w:val="clear" w:color="auto" w:fill="auto"/>
            <w:tcMar>
              <w:top w:w="113" w:type="dxa"/>
              <w:left w:w="113" w:type="dxa"/>
              <w:bottom w:w="113" w:type="dxa"/>
              <w:right w:w="0" w:type="dxa"/>
            </w:tcMar>
          </w:tcPr>
          <w:p w14:paraId="0276FBA6" w14:textId="77777777" w:rsidR="009E00AF" w:rsidRPr="0025174E" w:rsidRDefault="009E00AF" w:rsidP="00687D69">
            <w:pPr>
              <w:rPr>
                <w:sz w:val="24"/>
                <w:szCs w:val="24"/>
              </w:rPr>
            </w:pPr>
          </w:p>
        </w:tc>
      </w:tr>
    </w:tbl>
    <w:p w14:paraId="0276FBA8" w14:textId="77777777" w:rsidR="009E00AF" w:rsidRPr="00E46570" w:rsidRDefault="009E00AF" w:rsidP="009E00AF">
      <w:pPr>
        <w:ind w:right="-1"/>
        <w:jc w:val="right"/>
        <w:rPr>
          <w:sz w:val="24"/>
          <w:szCs w:val="24"/>
          <w:lang w:val="en-US"/>
        </w:rPr>
      </w:pPr>
    </w:p>
    <w:p w14:paraId="35293000" w14:textId="5C8C0BD3" w:rsidR="00C922E3" w:rsidRPr="00E46570" w:rsidRDefault="00F4210A" w:rsidP="00C922E3">
      <w:pPr>
        <w:tabs>
          <w:tab w:val="left" w:pos="709"/>
        </w:tabs>
        <w:ind w:left="5771" w:firstLine="709"/>
        <w:jc w:val="right"/>
        <w:rPr>
          <w:sz w:val="24"/>
          <w:szCs w:val="24"/>
          <w:lang w:val="en-US"/>
        </w:rPr>
      </w:pPr>
      <w:r>
        <w:rPr>
          <w:sz w:val="24"/>
          <w:szCs w:val="24"/>
          <w:lang w:val="en-US"/>
        </w:rPr>
        <w:t>18 February 2019</w:t>
      </w:r>
    </w:p>
    <w:p w14:paraId="0276FBAA" w14:textId="77777777" w:rsidR="009E00AF" w:rsidRPr="00E46570" w:rsidRDefault="009E00AF" w:rsidP="009E00AF">
      <w:pPr>
        <w:tabs>
          <w:tab w:val="left" w:pos="709"/>
        </w:tabs>
        <w:jc w:val="both"/>
        <w:rPr>
          <w:sz w:val="24"/>
          <w:szCs w:val="24"/>
          <w:lang w:val="en-US"/>
        </w:rPr>
      </w:pPr>
    </w:p>
    <w:p w14:paraId="36DC5F26" w14:textId="77777777" w:rsidR="00C8497B" w:rsidRPr="00C8497B" w:rsidRDefault="00C8497B" w:rsidP="00C8497B">
      <w:pPr>
        <w:rPr>
          <w:rFonts w:eastAsia="Calibri"/>
          <w:sz w:val="24"/>
          <w:szCs w:val="24"/>
          <w:lang w:eastAsia="en-GB"/>
        </w:rPr>
      </w:pPr>
    </w:p>
    <w:p w14:paraId="3F3AF6BE" w14:textId="77777777" w:rsidR="00C8497B" w:rsidRPr="00C8497B" w:rsidRDefault="00C8497B" w:rsidP="00C8497B">
      <w:pPr>
        <w:rPr>
          <w:rFonts w:eastAsia="Calibri"/>
          <w:sz w:val="24"/>
          <w:szCs w:val="24"/>
          <w:lang w:eastAsia="en-GB"/>
        </w:rPr>
      </w:pPr>
      <w:r w:rsidRPr="00C8497B">
        <w:rPr>
          <w:rFonts w:eastAsia="Calibri"/>
          <w:sz w:val="24"/>
          <w:szCs w:val="24"/>
          <w:lang w:eastAsia="en-GB"/>
        </w:rPr>
        <w:t xml:space="preserve">Dear Ms. </w:t>
      </w:r>
      <w:proofErr w:type="spellStart"/>
      <w:r w:rsidRPr="00C8497B">
        <w:rPr>
          <w:rFonts w:eastAsia="Calibri"/>
          <w:sz w:val="24"/>
          <w:szCs w:val="24"/>
          <w:lang w:eastAsia="en-GB"/>
        </w:rPr>
        <w:t>Prouvez</w:t>
      </w:r>
      <w:proofErr w:type="spellEnd"/>
      <w:r w:rsidRPr="00C8497B">
        <w:rPr>
          <w:rFonts w:eastAsia="Calibri"/>
          <w:sz w:val="24"/>
          <w:szCs w:val="24"/>
          <w:lang w:eastAsia="en-GB"/>
        </w:rPr>
        <w:t xml:space="preserve">, </w:t>
      </w:r>
    </w:p>
    <w:p w14:paraId="5418AADE" w14:textId="77777777" w:rsidR="00C8497B" w:rsidRPr="00C8497B" w:rsidRDefault="00C8497B" w:rsidP="00C8497B">
      <w:pPr>
        <w:rPr>
          <w:rFonts w:eastAsia="Calibri"/>
          <w:sz w:val="24"/>
          <w:szCs w:val="24"/>
          <w:lang w:eastAsia="en-GB"/>
        </w:rPr>
      </w:pPr>
    </w:p>
    <w:p w14:paraId="515FEA4D" w14:textId="1054F273" w:rsidR="00C8497B" w:rsidRPr="00C8497B" w:rsidRDefault="00F4210A" w:rsidP="00C8497B">
      <w:pPr>
        <w:jc w:val="both"/>
        <w:rPr>
          <w:rFonts w:eastAsia="Calibri"/>
          <w:sz w:val="24"/>
          <w:szCs w:val="24"/>
          <w:lang w:eastAsia="en-GB"/>
        </w:rPr>
      </w:pPr>
      <w:r>
        <w:rPr>
          <w:rFonts w:eastAsia="Calibri"/>
          <w:sz w:val="24"/>
          <w:szCs w:val="24"/>
          <w:lang w:eastAsia="en-GB"/>
        </w:rPr>
        <w:tab/>
      </w:r>
      <w:r w:rsidR="00C8497B" w:rsidRPr="00C8497B">
        <w:rPr>
          <w:rFonts w:eastAsia="Calibri"/>
          <w:sz w:val="24"/>
          <w:szCs w:val="24"/>
          <w:lang w:eastAsia="en-GB"/>
        </w:rPr>
        <w:t xml:space="preserve">I am writing with reference to your letter, dated 13 December 2018, inviting mandate holders to submit contributions in connection with the preparation of a report on Local Government and Human Rights by the United Nations High Commissioner for Human Rights (Human Rights Council Resolution 39/7). </w:t>
      </w:r>
    </w:p>
    <w:p w14:paraId="67AC7C23" w14:textId="77777777" w:rsidR="00C8497B" w:rsidRPr="00C8497B" w:rsidRDefault="00C8497B" w:rsidP="00C8497B">
      <w:pPr>
        <w:jc w:val="both"/>
        <w:rPr>
          <w:rFonts w:eastAsia="Calibri"/>
          <w:sz w:val="24"/>
          <w:szCs w:val="24"/>
          <w:lang w:eastAsia="en-GB"/>
        </w:rPr>
      </w:pPr>
    </w:p>
    <w:p w14:paraId="5F2347B2" w14:textId="25E5D835" w:rsidR="00C8497B" w:rsidRPr="00C8497B" w:rsidRDefault="00F4210A" w:rsidP="00C8497B">
      <w:pPr>
        <w:jc w:val="both"/>
        <w:rPr>
          <w:rFonts w:eastAsia="Calibri"/>
          <w:sz w:val="24"/>
          <w:szCs w:val="24"/>
          <w:lang w:eastAsia="en-GB"/>
        </w:rPr>
      </w:pPr>
      <w:r>
        <w:rPr>
          <w:rFonts w:eastAsia="Calibri"/>
          <w:sz w:val="24"/>
          <w:szCs w:val="24"/>
          <w:lang w:eastAsia="en-GB"/>
        </w:rPr>
        <w:tab/>
      </w:r>
      <w:r w:rsidR="00C8497B" w:rsidRPr="00C8497B">
        <w:rPr>
          <w:rFonts w:eastAsia="Calibri"/>
          <w:sz w:val="24"/>
          <w:szCs w:val="24"/>
          <w:lang w:eastAsia="en-GB"/>
        </w:rPr>
        <w:t xml:space="preserve">Your request touches upon a theme of importance and I have paid particular attention to the issue in the development of the Guiding principles on human rights impact assessment of economic reform policies. </w:t>
      </w:r>
    </w:p>
    <w:p w14:paraId="6782509A" w14:textId="77777777" w:rsidR="00C8497B" w:rsidRPr="00C8497B" w:rsidRDefault="00C8497B" w:rsidP="00C8497B">
      <w:pPr>
        <w:jc w:val="both"/>
        <w:rPr>
          <w:rFonts w:eastAsia="Calibri"/>
          <w:sz w:val="24"/>
          <w:szCs w:val="24"/>
          <w:lang w:eastAsia="en-GB"/>
        </w:rPr>
      </w:pPr>
    </w:p>
    <w:p w14:paraId="0D5B1517" w14:textId="3B308D8C" w:rsidR="00C8497B" w:rsidRPr="00C8497B" w:rsidRDefault="00F4210A" w:rsidP="00C8497B">
      <w:pPr>
        <w:jc w:val="both"/>
        <w:rPr>
          <w:rFonts w:eastAsia="Calibri"/>
          <w:sz w:val="24"/>
          <w:szCs w:val="24"/>
          <w:lang w:eastAsia="en-GB"/>
        </w:rPr>
      </w:pPr>
      <w:r>
        <w:rPr>
          <w:rFonts w:eastAsia="Calibri"/>
          <w:sz w:val="24"/>
          <w:szCs w:val="24"/>
          <w:lang w:eastAsia="en-GB"/>
        </w:rPr>
        <w:tab/>
      </w:r>
      <w:r w:rsidR="00C8497B" w:rsidRPr="00C8497B">
        <w:rPr>
          <w:rFonts w:eastAsia="Calibri"/>
          <w:sz w:val="24"/>
          <w:szCs w:val="24"/>
          <w:lang w:eastAsia="en-GB"/>
        </w:rPr>
        <w:t>More specifically, Human Rights Council resolutions</w:t>
      </w:r>
      <w:r w:rsidR="00C8497B" w:rsidRPr="00C8497B">
        <w:rPr>
          <w:color w:val="0563C1"/>
          <w:sz w:val="24"/>
          <w:szCs w:val="24"/>
        </w:rPr>
        <w:t xml:space="preserve"> </w:t>
      </w:r>
      <w:hyperlink r:id="rId11" w:history="1">
        <w:r w:rsidR="00C8497B" w:rsidRPr="00C8497B">
          <w:rPr>
            <w:rStyle w:val="Hyperlink"/>
            <w:rFonts w:eastAsia="Calibri"/>
            <w:sz w:val="24"/>
            <w:szCs w:val="24"/>
            <w:lang w:eastAsia="en-GB"/>
          </w:rPr>
          <w:t>34/3</w:t>
        </w:r>
      </w:hyperlink>
      <w:r w:rsidR="00C8497B" w:rsidRPr="00C8497B">
        <w:rPr>
          <w:rFonts w:eastAsia="Calibri"/>
          <w:sz w:val="24"/>
          <w:szCs w:val="24"/>
          <w:lang w:eastAsia="en-GB"/>
        </w:rPr>
        <w:t xml:space="preserve"> and </w:t>
      </w:r>
      <w:hyperlink r:id="rId12" w:history="1">
        <w:r w:rsidR="00C8497B" w:rsidRPr="00C8497B">
          <w:rPr>
            <w:rStyle w:val="Hyperlink"/>
            <w:rFonts w:eastAsia="Calibri"/>
            <w:sz w:val="24"/>
            <w:szCs w:val="24"/>
            <w:lang w:eastAsia="en-GB"/>
          </w:rPr>
          <w:t>37/11</w:t>
        </w:r>
      </w:hyperlink>
      <w:r w:rsidR="00C8497B" w:rsidRPr="00C8497B">
        <w:rPr>
          <w:rFonts w:eastAsia="Calibri"/>
          <w:sz w:val="24"/>
          <w:szCs w:val="24"/>
          <w:lang w:eastAsia="en-GB"/>
        </w:rPr>
        <w:t xml:space="preserve"> requested me to develo</w:t>
      </w:r>
      <w:r w:rsidR="008120D8">
        <w:rPr>
          <w:rFonts w:eastAsia="Calibri"/>
          <w:sz w:val="24"/>
          <w:szCs w:val="24"/>
          <w:lang w:eastAsia="en-GB"/>
        </w:rPr>
        <w:t>p Guiding p</w:t>
      </w:r>
      <w:r w:rsidR="00C8497B" w:rsidRPr="00C8497B">
        <w:rPr>
          <w:rFonts w:eastAsia="Calibri"/>
          <w:sz w:val="24"/>
          <w:szCs w:val="24"/>
          <w:lang w:eastAsia="en-GB"/>
        </w:rPr>
        <w:t>rinciples on human rights impact assessment of economic reform policies, in consultation with States, international financial institutions and other relevant stakeholders and to submit them at its 40</w:t>
      </w:r>
      <w:r w:rsidR="00C8497B" w:rsidRPr="00C8497B">
        <w:rPr>
          <w:rFonts w:eastAsia="Calibri"/>
          <w:sz w:val="24"/>
          <w:szCs w:val="24"/>
          <w:vertAlign w:val="superscript"/>
          <w:lang w:eastAsia="en-GB"/>
        </w:rPr>
        <w:t>th</w:t>
      </w:r>
      <w:r w:rsidR="00C8497B" w:rsidRPr="00C8497B">
        <w:rPr>
          <w:rFonts w:eastAsia="Calibri"/>
          <w:sz w:val="24"/>
          <w:szCs w:val="24"/>
          <w:lang w:eastAsia="en-GB"/>
        </w:rPr>
        <w:t xml:space="preserve"> session. They are based on existing human rights obligations and responsibilities of States and other actors and underlined the importance of systematically assessing the impact of economic reforms on the enjoyment of all human rights before decisions are taken to implement such reforms, as well as during and after the</w:t>
      </w:r>
      <w:r w:rsidR="009F14BD">
        <w:rPr>
          <w:rFonts w:eastAsia="Calibri"/>
          <w:sz w:val="24"/>
          <w:szCs w:val="24"/>
          <w:lang w:eastAsia="en-GB"/>
        </w:rPr>
        <w:t>ir implementation. The Guiding P</w:t>
      </w:r>
      <w:r w:rsidR="00C8497B" w:rsidRPr="00C8497B">
        <w:rPr>
          <w:rFonts w:eastAsia="Calibri"/>
          <w:sz w:val="24"/>
          <w:szCs w:val="24"/>
          <w:lang w:eastAsia="en-GB"/>
        </w:rPr>
        <w:t>rinciples (</w:t>
      </w:r>
      <w:hyperlink r:id="rId13" w:history="1">
        <w:r w:rsidR="00C8497B" w:rsidRPr="00C8497B">
          <w:rPr>
            <w:rStyle w:val="Hyperlink"/>
            <w:rFonts w:eastAsia="Calibri"/>
            <w:sz w:val="24"/>
            <w:szCs w:val="24"/>
            <w:lang w:eastAsia="en-GB"/>
          </w:rPr>
          <w:t>A/HRC/40/57</w:t>
        </w:r>
      </w:hyperlink>
      <w:r w:rsidR="00C8497B" w:rsidRPr="00C8497B">
        <w:rPr>
          <w:rFonts w:eastAsia="Calibri"/>
          <w:sz w:val="24"/>
          <w:szCs w:val="24"/>
          <w:lang w:eastAsia="en-GB"/>
        </w:rPr>
        <w:t xml:space="preserve">) </w:t>
      </w:r>
      <w:proofErr w:type="gramStart"/>
      <w:r w:rsidR="00C8497B" w:rsidRPr="00C8497B">
        <w:rPr>
          <w:rFonts w:eastAsia="Calibri"/>
          <w:sz w:val="24"/>
          <w:szCs w:val="24"/>
          <w:lang w:eastAsia="en-GB"/>
        </w:rPr>
        <w:t>will be presented</w:t>
      </w:r>
      <w:proofErr w:type="gramEnd"/>
      <w:r w:rsidR="00C8497B" w:rsidRPr="00C8497B">
        <w:rPr>
          <w:rFonts w:eastAsia="Calibri"/>
          <w:sz w:val="24"/>
          <w:szCs w:val="24"/>
          <w:lang w:eastAsia="en-GB"/>
        </w:rPr>
        <w:t xml:space="preserve"> to the Human Rights Council on 28 February 2019. For more background information, please see my </w:t>
      </w:r>
      <w:hyperlink r:id="rId14" w:history="1">
        <w:r w:rsidR="00C8497B" w:rsidRPr="00C8497B">
          <w:rPr>
            <w:rStyle w:val="Hyperlink"/>
            <w:rFonts w:eastAsia="Calibri"/>
            <w:sz w:val="24"/>
            <w:szCs w:val="24"/>
            <w:lang w:eastAsia="en-GB"/>
          </w:rPr>
          <w:t>webpage</w:t>
        </w:r>
      </w:hyperlink>
      <w:r w:rsidR="00C8497B" w:rsidRPr="00C8497B">
        <w:rPr>
          <w:rFonts w:eastAsia="Calibri"/>
          <w:sz w:val="24"/>
          <w:szCs w:val="24"/>
          <w:lang w:eastAsia="en-GB"/>
        </w:rPr>
        <w:t xml:space="preserve">. </w:t>
      </w:r>
    </w:p>
    <w:p w14:paraId="7A44D178" w14:textId="77777777" w:rsidR="00C8497B" w:rsidRPr="00C8497B" w:rsidRDefault="00C8497B" w:rsidP="00C8497B">
      <w:pPr>
        <w:jc w:val="both"/>
        <w:rPr>
          <w:rFonts w:eastAsia="Calibri"/>
          <w:sz w:val="24"/>
          <w:szCs w:val="24"/>
          <w:lang w:eastAsia="en-GB"/>
        </w:rPr>
      </w:pPr>
    </w:p>
    <w:p w14:paraId="3D24D8B0" w14:textId="1D565371" w:rsidR="00C8497B" w:rsidRDefault="00F4210A" w:rsidP="00C8497B">
      <w:pPr>
        <w:jc w:val="both"/>
        <w:rPr>
          <w:rFonts w:eastAsia="Calibri"/>
          <w:bCs/>
          <w:sz w:val="24"/>
          <w:szCs w:val="24"/>
          <w:lang w:eastAsia="en-GB"/>
        </w:rPr>
      </w:pPr>
      <w:r>
        <w:rPr>
          <w:rFonts w:eastAsia="Calibri"/>
          <w:sz w:val="24"/>
          <w:szCs w:val="24"/>
          <w:lang w:eastAsia="en-GB"/>
        </w:rPr>
        <w:tab/>
      </w:r>
      <w:r w:rsidR="00C8497B" w:rsidRPr="00C8497B">
        <w:rPr>
          <w:rFonts w:eastAsia="Calibri"/>
          <w:sz w:val="24"/>
          <w:szCs w:val="24"/>
          <w:lang w:eastAsia="en-GB"/>
        </w:rPr>
        <w:t xml:space="preserve">The Guiding Principles include various references to the important role of local and subnational governments for the effective promotion and protection of human rights. Principle 4, in particular, focusses on the </w:t>
      </w:r>
      <w:r w:rsidR="00C8497B" w:rsidRPr="00C8497B">
        <w:rPr>
          <w:rFonts w:eastAsia="Calibri"/>
          <w:b/>
          <w:bCs/>
          <w:sz w:val="24"/>
          <w:szCs w:val="24"/>
          <w:lang w:eastAsia="en-GB"/>
        </w:rPr>
        <w:t xml:space="preserve">Obligations of local and subnational governments </w:t>
      </w:r>
      <w:r w:rsidR="00C8497B" w:rsidRPr="00C8497B">
        <w:rPr>
          <w:rFonts w:eastAsia="Calibri"/>
          <w:bCs/>
          <w:sz w:val="24"/>
          <w:szCs w:val="24"/>
          <w:lang w:eastAsia="en-GB"/>
        </w:rPr>
        <w:t xml:space="preserve">and specifically provides that </w:t>
      </w:r>
    </w:p>
    <w:p w14:paraId="7ED912CB" w14:textId="77777777" w:rsidR="0002309D" w:rsidRPr="00C8497B" w:rsidRDefault="0002309D" w:rsidP="00C8497B">
      <w:pPr>
        <w:jc w:val="both"/>
        <w:rPr>
          <w:rFonts w:eastAsia="Calibri"/>
          <w:bCs/>
          <w:sz w:val="24"/>
          <w:szCs w:val="24"/>
          <w:lang w:eastAsia="en-GB"/>
        </w:rPr>
      </w:pPr>
    </w:p>
    <w:p w14:paraId="4999A796" w14:textId="591B712F" w:rsidR="00C8497B" w:rsidRDefault="00C8497B" w:rsidP="00C8497B">
      <w:pPr>
        <w:ind w:left="720"/>
        <w:jc w:val="both"/>
        <w:rPr>
          <w:bCs/>
          <w:sz w:val="24"/>
          <w:szCs w:val="24"/>
        </w:rPr>
      </w:pPr>
      <w:r w:rsidRPr="00C8497B">
        <w:rPr>
          <w:rFonts w:eastAsia="Calibri"/>
          <w:bCs/>
          <w:sz w:val="24"/>
          <w:szCs w:val="24"/>
          <w:lang w:eastAsia="en-GB"/>
        </w:rPr>
        <w:t>“</w:t>
      </w:r>
      <w:r w:rsidRPr="00C8497B">
        <w:rPr>
          <w:bCs/>
          <w:sz w:val="24"/>
          <w:szCs w:val="24"/>
        </w:rPr>
        <w:t>Economic and financial crises should not be used to justify a reduction of the policy and fiscal space necessary at local and subnational government levels to ensure the protection of human rights. In turn, although all levels of government have human rights obligations, the central Government can in no circumstances circumvent its responsibilities for the human rights impacts of its policies by delegating economic reform-related powers or f</w:t>
      </w:r>
      <w:r w:rsidR="00F4210A">
        <w:rPr>
          <w:bCs/>
          <w:sz w:val="24"/>
          <w:szCs w:val="24"/>
        </w:rPr>
        <w:t>unctions to local governments”.</w:t>
      </w:r>
    </w:p>
    <w:p w14:paraId="12B8DDA3" w14:textId="77777777" w:rsidR="00F4210A" w:rsidRPr="00C8497B" w:rsidRDefault="00F4210A" w:rsidP="00C8497B">
      <w:pPr>
        <w:ind w:left="720"/>
        <w:jc w:val="both"/>
        <w:rPr>
          <w:sz w:val="24"/>
          <w:szCs w:val="24"/>
        </w:rPr>
      </w:pPr>
    </w:p>
    <w:p w14:paraId="26BF028E" w14:textId="68B2FEDD" w:rsidR="00C8497B" w:rsidRPr="00C8497B" w:rsidRDefault="0002309D" w:rsidP="00C8497B">
      <w:pPr>
        <w:jc w:val="both"/>
        <w:rPr>
          <w:rFonts w:eastAsia="Calibri"/>
          <w:sz w:val="24"/>
          <w:szCs w:val="24"/>
          <w:lang w:eastAsia="en-GB"/>
        </w:rPr>
      </w:pPr>
      <w:r>
        <w:rPr>
          <w:rFonts w:eastAsia="Calibri"/>
          <w:sz w:val="24"/>
          <w:szCs w:val="24"/>
          <w:lang w:eastAsia="en-GB"/>
        </w:rPr>
        <w:tab/>
      </w:r>
      <w:r w:rsidR="00C8497B" w:rsidRPr="00C8497B">
        <w:rPr>
          <w:rFonts w:eastAsia="Calibri"/>
          <w:sz w:val="24"/>
          <w:szCs w:val="24"/>
          <w:lang w:eastAsia="en-GB"/>
        </w:rPr>
        <w:t>In addition, comment 4.1 highlights the key role of local and subnational governments in the effective implementation of human rights</w:t>
      </w:r>
      <w:r w:rsidR="00F4210A">
        <w:rPr>
          <w:rFonts w:eastAsia="Calibri"/>
          <w:sz w:val="24"/>
          <w:szCs w:val="24"/>
          <w:lang w:eastAsia="en-GB"/>
        </w:rPr>
        <w:t>.</w:t>
      </w:r>
    </w:p>
    <w:p w14:paraId="08D1CBFE" w14:textId="77777777" w:rsidR="00C8497B" w:rsidRPr="00C8497B" w:rsidRDefault="00C8497B" w:rsidP="00C8497B">
      <w:pPr>
        <w:jc w:val="both"/>
        <w:rPr>
          <w:rFonts w:eastAsia="Calibri"/>
          <w:sz w:val="24"/>
          <w:szCs w:val="24"/>
          <w:lang w:eastAsia="en-GB"/>
        </w:rPr>
      </w:pPr>
    </w:p>
    <w:p w14:paraId="738B90E8" w14:textId="25A9D43B" w:rsidR="00C8497B" w:rsidRPr="00C8497B" w:rsidRDefault="0002309D" w:rsidP="00C8497B">
      <w:pPr>
        <w:jc w:val="both"/>
        <w:rPr>
          <w:rFonts w:eastAsia="Calibri"/>
          <w:sz w:val="24"/>
          <w:szCs w:val="24"/>
          <w:lang w:eastAsia="en-GB"/>
        </w:rPr>
      </w:pPr>
      <w:r>
        <w:rPr>
          <w:rFonts w:eastAsia="Calibri"/>
          <w:sz w:val="24"/>
          <w:szCs w:val="24"/>
          <w:lang w:eastAsia="en-GB"/>
        </w:rPr>
        <w:tab/>
      </w:r>
      <w:r w:rsidR="00C8497B" w:rsidRPr="00C8497B">
        <w:rPr>
          <w:rFonts w:eastAsia="Calibri"/>
          <w:sz w:val="24"/>
          <w:szCs w:val="24"/>
          <w:lang w:eastAsia="en-GB"/>
        </w:rPr>
        <w:t>Comment 4.2 touches upon coordination among the various level of governments, especially when it comes to sufficient resources and policy space for the implementation o</w:t>
      </w:r>
      <w:r w:rsidR="009F14BD">
        <w:rPr>
          <w:rFonts w:eastAsia="Calibri"/>
          <w:sz w:val="24"/>
          <w:szCs w:val="24"/>
          <w:lang w:eastAsia="en-GB"/>
        </w:rPr>
        <w:t xml:space="preserve">f human rights. It </w:t>
      </w:r>
      <w:proofErr w:type="gramStart"/>
      <w:r w:rsidR="009F14BD">
        <w:rPr>
          <w:rFonts w:eastAsia="Calibri"/>
          <w:sz w:val="24"/>
          <w:szCs w:val="24"/>
          <w:lang w:eastAsia="en-GB"/>
        </w:rPr>
        <w:t>states that</w:t>
      </w:r>
      <w:proofErr w:type="gramEnd"/>
      <w:r w:rsidR="009F14BD">
        <w:rPr>
          <w:rFonts w:eastAsia="Calibri"/>
          <w:sz w:val="24"/>
          <w:szCs w:val="24"/>
          <w:lang w:eastAsia="en-GB"/>
        </w:rPr>
        <w:t xml:space="preserve"> </w:t>
      </w:r>
      <w:r w:rsidR="00C8497B" w:rsidRPr="00C8497B">
        <w:rPr>
          <w:rFonts w:eastAsia="Calibri"/>
          <w:sz w:val="24"/>
          <w:szCs w:val="24"/>
          <w:lang w:eastAsia="en-GB"/>
        </w:rPr>
        <w:t xml:space="preserve">“Recognition of multilevel governance in areas such as revenue collection, tax policy, labour reforms and solidarity across regions is crucial”. </w:t>
      </w:r>
    </w:p>
    <w:p w14:paraId="4C4318FB" w14:textId="77777777" w:rsidR="00C8497B" w:rsidRPr="00C8497B" w:rsidRDefault="00C8497B" w:rsidP="00C8497B">
      <w:pPr>
        <w:jc w:val="both"/>
        <w:rPr>
          <w:rFonts w:eastAsia="Calibri"/>
          <w:sz w:val="24"/>
          <w:szCs w:val="24"/>
          <w:lang w:eastAsia="en-GB"/>
        </w:rPr>
      </w:pPr>
    </w:p>
    <w:p w14:paraId="45222309" w14:textId="49FD1B3F" w:rsidR="00C8497B" w:rsidRPr="00C8497B" w:rsidRDefault="0002309D" w:rsidP="00C8497B">
      <w:pPr>
        <w:jc w:val="both"/>
        <w:rPr>
          <w:rFonts w:eastAsia="Calibri"/>
          <w:sz w:val="24"/>
          <w:szCs w:val="24"/>
          <w:lang w:eastAsia="en-GB"/>
        </w:rPr>
      </w:pPr>
      <w:r>
        <w:rPr>
          <w:rFonts w:eastAsia="Calibri"/>
          <w:sz w:val="24"/>
          <w:szCs w:val="24"/>
          <w:lang w:eastAsia="en-GB"/>
        </w:rPr>
        <w:tab/>
      </w:r>
      <w:r w:rsidR="009F14BD">
        <w:rPr>
          <w:rFonts w:eastAsia="Calibri"/>
          <w:sz w:val="24"/>
          <w:szCs w:val="24"/>
          <w:lang w:eastAsia="en-GB"/>
        </w:rPr>
        <w:t>Comment</w:t>
      </w:r>
      <w:r w:rsidR="00C8497B" w:rsidRPr="00C8497B">
        <w:rPr>
          <w:rFonts w:eastAsia="Calibri"/>
          <w:sz w:val="24"/>
          <w:szCs w:val="24"/>
          <w:lang w:eastAsia="en-GB"/>
        </w:rPr>
        <w:t xml:space="preserve"> 4.3 provides that local and subnational governments have the same obligations as States with regard to carrying out human rights impact assessments, when carrying out economic reforms independently. </w:t>
      </w:r>
    </w:p>
    <w:p w14:paraId="49A6DF8B" w14:textId="77777777" w:rsidR="00C8497B" w:rsidRPr="00C8497B" w:rsidRDefault="00C8497B" w:rsidP="00C8497B">
      <w:pPr>
        <w:jc w:val="both"/>
        <w:rPr>
          <w:rFonts w:eastAsia="Calibri"/>
          <w:sz w:val="24"/>
          <w:szCs w:val="24"/>
          <w:lang w:eastAsia="en-GB"/>
        </w:rPr>
      </w:pPr>
    </w:p>
    <w:p w14:paraId="21DAB815" w14:textId="50B31065" w:rsidR="00C8497B" w:rsidRPr="00C8497B" w:rsidRDefault="0002309D" w:rsidP="00C8497B">
      <w:pPr>
        <w:jc w:val="both"/>
        <w:rPr>
          <w:rFonts w:eastAsia="Calibri"/>
          <w:sz w:val="24"/>
          <w:szCs w:val="24"/>
          <w:lang w:eastAsia="en-GB"/>
        </w:rPr>
      </w:pPr>
      <w:r>
        <w:rPr>
          <w:rFonts w:eastAsia="Calibri"/>
          <w:sz w:val="24"/>
          <w:szCs w:val="24"/>
          <w:lang w:eastAsia="en-GB"/>
        </w:rPr>
        <w:tab/>
      </w:r>
      <w:r w:rsidR="009F14BD">
        <w:rPr>
          <w:rFonts w:eastAsia="Calibri"/>
          <w:sz w:val="24"/>
          <w:szCs w:val="24"/>
          <w:lang w:eastAsia="en-GB"/>
        </w:rPr>
        <w:t>Besides principle 4, Guiding P</w:t>
      </w:r>
      <w:r w:rsidR="00C8497B" w:rsidRPr="00C8497B">
        <w:rPr>
          <w:rFonts w:eastAsia="Calibri"/>
          <w:sz w:val="24"/>
          <w:szCs w:val="24"/>
          <w:lang w:eastAsia="en-GB"/>
        </w:rPr>
        <w:t xml:space="preserve">rinciples’ comments relating to principles </w:t>
      </w:r>
      <w:r w:rsidR="009F14BD">
        <w:rPr>
          <w:rFonts w:eastAsia="Calibri"/>
          <w:sz w:val="24"/>
          <w:szCs w:val="24"/>
          <w:lang w:eastAsia="en-GB"/>
        </w:rPr>
        <w:t>19 (Participation) and 21 (A</w:t>
      </w:r>
      <w:r w:rsidR="00C8497B" w:rsidRPr="00C8497B">
        <w:rPr>
          <w:rFonts w:eastAsia="Calibri"/>
          <w:sz w:val="24"/>
          <w:szCs w:val="24"/>
          <w:lang w:eastAsia="en-GB"/>
        </w:rPr>
        <w:t>ccess to justice, accountability and remedy) also specifically refer to the role of local governments.</w:t>
      </w:r>
    </w:p>
    <w:p w14:paraId="5ED4B646" w14:textId="77777777" w:rsidR="00C8497B" w:rsidRPr="00C8497B" w:rsidRDefault="00C8497B" w:rsidP="00C8497B">
      <w:pPr>
        <w:jc w:val="both"/>
        <w:rPr>
          <w:rFonts w:eastAsia="Calibri"/>
          <w:sz w:val="24"/>
          <w:szCs w:val="24"/>
          <w:lang w:eastAsia="en-GB"/>
        </w:rPr>
      </w:pPr>
    </w:p>
    <w:p w14:paraId="2161818F" w14:textId="46A4B7EF" w:rsidR="00C8497B" w:rsidRPr="00C8497B" w:rsidRDefault="0002309D" w:rsidP="00C8497B">
      <w:pPr>
        <w:jc w:val="both"/>
        <w:rPr>
          <w:rFonts w:eastAsia="Calibri"/>
          <w:sz w:val="24"/>
          <w:szCs w:val="24"/>
          <w:lang w:eastAsia="en-GB"/>
        </w:rPr>
      </w:pPr>
      <w:r>
        <w:rPr>
          <w:rFonts w:eastAsia="Calibri"/>
          <w:sz w:val="24"/>
          <w:szCs w:val="24"/>
          <w:lang w:eastAsia="en-GB"/>
        </w:rPr>
        <w:tab/>
      </w:r>
      <w:r w:rsidR="00C8497B" w:rsidRPr="00C8497B">
        <w:rPr>
          <w:rFonts w:eastAsia="Calibri"/>
          <w:sz w:val="24"/>
          <w:szCs w:val="24"/>
          <w:lang w:eastAsia="en-GB"/>
        </w:rPr>
        <w:t xml:space="preserve">More specifically, principle 19 focusses on the issue of participation </w:t>
      </w:r>
      <w:r w:rsidR="00C8497B" w:rsidRPr="00C8497B">
        <w:rPr>
          <w:rFonts w:eastAsia="Calibri"/>
          <w:bCs/>
          <w:sz w:val="24"/>
          <w:szCs w:val="24"/>
          <w:lang w:eastAsia="en-GB"/>
        </w:rPr>
        <w:t xml:space="preserve">in the process of conducting human rights </w:t>
      </w:r>
      <w:r w:rsidR="009F14BD">
        <w:rPr>
          <w:rFonts w:eastAsia="Calibri"/>
          <w:bCs/>
          <w:sz w:val="24"/>
          <w:szCs w:val="24"/>
          <w:lang w:eastAsia="en-GB"/>
        </w:rPr>
        <w:t>impact assessments. Its comment</w:t>
      </w:r>
      <w:r w:rsidR="00C8497B" w:rsidRPr="00C8497B">
        <w:rPr>
          <w:rFonts w:eastAsia="Calibri"/>
          <w:bCs/>
          <w:sz w:val="24"/>
          <w:szCs w:val="24"/>
          <w:lang w:eastAsia="en-GB"/>
        </w:rPr>
        <w:t xml:space="preserve"> 19.2 </w:t>
      </w:r>
      <w:r w:rsidR="00C8497B" w:rsidRPr="00C8497B">
        <w:rPr>
          <w:rFonts w:eastAsia="Calibri"/>
          <w:sz w:val="24"/>
          <w:szCs w:val="24"/>
          <w:lang w:eastAsia="en-GB"/>
        </w:rPr>
        <w:t xml:space="preserve">provides that “Different levels of government should also be adequately informed and consulted, and corresponding channels of communication and information should be followed, including within the legislative branches and administrative mechanisms in place for interaction among different levels of local and subnational governments”. </w:t>
      </w:r>
    </w:p>
    <w:p w14:paraId="34B41488" w14:textId="77777777" w:rsidR="00C8497B" w:rsidRPr="00C8497B" w:rsidRDefault="00C8497B" w:rsidP="00C8497B">
      <w:pPr>
        <w:jc w:val="both"/>
        <w:rPr>
          <w:rFonts w:eastAsia="Calibri"/>
          <w:sz w:val="24"/>
          <w:szCs w:val="24"/>
          <w:lang w:eastAsia="en-GB"/>
        </w:rPr>
      </w:pPr>
    </w:p>
    <w:p w14:paraId="7B84671D" w14:textId="4A9CE393" w:rsidR="00C8497B" w:rsidRPr="00C8497B" w:rsidRDefault="0002309D" w:rsidP="00C8497B">
      <w:pPr>
        <w:jc w:val="both"/>
        <w:rPr>
          <w:rFonts w:eastAsia="Calibri"/>
          <w:sz w:val="24"/>
          <w:szCs w:val="24"/>
          <w:lang w:eastAsia="en-GB"/>
        </w:rPr>
      </w:pPr>
      <w:r>
        <w:rPr>
          <w:rFonts w:eastAsia="Calibri"/>
          <w:sz w:val="24"/>
          <w:szCs w:val="24"/>
          <w:lang w:eastAsia="en-GB"/>
        </w:rPr>
        <w:tab/>
      </w:r>
      <w:r w:rsidR="00C8497B" w:rsidRPr="00C8497B">
        <w:rPr>
          <w:rFonts w:eastAsia="Calibri"/>
          <w:sz w:val="24"/>
          <w:szCs w:val="24"/>
          <w:lang w:eastAsia="en-GB"/>
        </w:rPr>
        <w:t>Comment 21.3, states that “measures covered by the present guiding principles should be agreed at all governmental levels, paying special attention to the ways in which burdens are distributed over and financial resources allocated to local authorities, which are often the main providers of social services to the population”.</w:t>
      </w:r>
    </w:p>
    <w:p w14:paraId="2174CF34" w14:textId="77777777" w:rsidR="00C8497B" w:rsidRPr="00C8497B" w:rsidRDefault="00C8497B" w:rsidP="00C8497B">
      <w:pPr>
        <w:jc w:val="both"/>
        <w:rPr>
          <w:rFonts w:eastAsia="Calibri"/>
          <w:sz w:val="24"/>
          <w:szCs w:val="24"/>
          <w:lang w:eastAsia="en-GB"/>
        </w:rPr>
      </w:pPr>
      <w:r w:rsidRPr="00C8497B">
        <w:rPr>
          <w:rFonts w:eastAsia="Calibri"/>
          <w:sz w:val="24"/>
          <w:szCs w:val="24"/>
          <w:lang w:eastAsia="en-GB"/>
        </w:rPr>
        <w:t xml:space="preserve"> </w:t>
      </w:r>
    </w:p>
    <w:p w14:paraId="193DC78C" w14:textId="64102CFA" w:rsidR="00C8497B" w:rsidRPr="00C8497B" w:rsidRDefault="0002309D" w:rsidP="00C8497B">
      <w:pPr>
        <w:jc w:val="both"/>
        <w:rPr>
          <w:rFonts w:eastAsia="Calibri"/>
          <w:sz w:val="24"/>
          <w:szCs w:val="24"/>
          <w:lang w:eastAsia="en-GB"/>
        </w:rPr>
      </w:pPr>
      <w:r>
        <w:rPr>
          <w:rFonts w:eastAsia="Calibri"/>
          <w:sz w:val="24"/>
          <w:szCs w:val="24"/>
          <w:lang w:eastAsia="en-GB"/>
        </w:rPr>
        <w:tab/>
      </w:r>
      <w:r w:rsidR="00C8497B" w:rsidRPr="00C8497B">
        <w:rPr>
          <w:rFonts w:eastAsia="Calibri"/>
          <w:sz w:val="24"/>
          <w:szCs w:val="24"/>
          <w:lang w:eastAsia="en-GB"/>
        </w:rPr>
        <w:t>Please find attached a copy of t</w:t>
      </w:r>
      <w:r w:rsidR="009F14BD">
        <w:rPr>
          <w:rFonts w:eastAsia="Calibri"/>
          <w:sz w:val="24"/>
          <w:szCs w:val="24"/>
          <w:lang w:eastAsia="en-GB"/>
        </w:rPr>
        <w:t>he Guiding Principles on human r</w:t>
      </w:r>
      <w:r w:rsidR="00C8497B" w:rsidRPr="00C8497B">
        <w:rPr>
          <w:rFonts w:eastAsia="Calibri"/>
          <w:sz w:val="24"/>
          <w:szCs w:val="24"/>
          <w:lang w:eastAsia="en-GB"/>
        </w:rPr>
        <w:t>ights impact assessment of economic reform policies. </w:t>
      </w:r>
    </w:p>
    <w:p w14:paraId="721D0E89" w14:textId="77777777" w:rsidR="00C8497B" w:rsidRPr="00C8497B" w:rsidRDefault="00C8497B" w:rsidP="00C8497B">
      <w:pPr>
        <w:jc w:val="both"/>
        <w:rPr>
          <w:rFonts w:eastAsia="Calibri"/>
          <w:sz w:val="24"/>
          <w:szCs w:val="24"/>
          <w:lang w:eastAsia="en-GB"/>
        </w:rPr>
      </w:pPr>
    </w:p>
    <w:p w14:paraId="5FC3A550" w14:textId="6977397F" w:rsidR="00C8497B" w:rsidRPr="00C8497B" w:rsidRDefault="0002309D" w:rsidP="00C8497B">
      <w:pPr>
        <w:jc w:val="both"/>
        <w:rPr>
          <w:rFonts w:eastAsia="Calibri"/>
          <w:sz w:val="24"/>
          <w:szCs w:val="24"/>
          <w:lang w:eastAsia="en-GB"/>
        </w:rPr>
      </w:pPr>
      <w:r>
        <w:rPr>
          <w:rFonts w:eastAsia="Calibri"/>
          <w:sz w:val="24"/>
          <w:szCs w:val="24"/>
          <w:lang w:eastAsia="en-GB"/>
        </w:rPr>
        <w:tab/>
      </w:r>
      <w:r w:rsidR="00C8497B" w:rsidRPr="00C8497B">
        <w:rPr>
          <w:rFonts w:eastAsia="Calibri"/>
          <w:sz w:val="24"/>
          <w:szCs w:val="24"/>
          <w:lang w:eastAsia="en-GB"/>
        </w:rPr>
        <w:t xml:space="preserve">Thank you very much for this opportunity,  </w:t>
      </w:r>
    </w:p>
    <w:p w14:paraId="6FA9DE87" w14:textId="77777777" w:rsidR="00C8497B" w:rsidRPr="00C8497B" w:rsidRDefault="00C8497B" w:rsidP="00C8497B">
      <w:pPr>
        <w:jc w:val="both"/>
        <w:rPr>
          <w:rFonts w:eastAsia="Calibri"/>
          <w:sz w:val="24"/>
          <w:szCs w:val="24"/>
          <w:lang w:eastAsia="en-GB"/>
        </w:rPr>
      </w:pPr>
    </w:p>
    <w:p w14:paraId="62CAD388" w14:textId="1C253A84" w:rsidR="00C8497B" w:rsidRDefault="00C8497B" w:rsidP="0002309D">
      <w:pPr>
        <w:jc w:val="center"/>
        <w:rPr>
          <w:rFonts w:eastAsia="Calibri"/>
          <w:sz w:val="24"/>
          <w:szCs w:val="24"/>
          <w:lang w:eastAsia="en-GB"/>
        </w:rPr>
      </w:pPr>
      <w:r w:rsidRPr="00C8497B">
        <w:rPr>
          <w:rFonts w:eastAsia="Calibri"/>
          <w:sz w:val="24"/>
          <w:szCs w:val="24"/>
          <w:lang w:eastAsia="en-GB"/>
        </w:rPr>
        <w:t>Best regards,</w:t>
      </w:r>
    </w:p>
    <w:p w14:paraId="5B42A1BC" w14:textId="77777777" w:rsidR="0002309D" w:rsidRPr="00C8497B" w:rsidRDefault="0002309D" w:rsidP="0002309D">
      <w:pPr>
        <w:jc w:val="center"/>
        <w:rPr>
          <w:rFonts w:eastAsia="Calibri"/>
          <w:sz w:val="24"/>
          <w:szCs w:val="24"/>
          <w:lang w:eastAsia="en-GB"/>
        </w:rPr>
      </w:pPr>
    </w:p>
    <w:p w14:paraId="5DBC9019" w14:textId="77777777" w:rsidR="0002309D" w:rsidRDefault="0002309D" w:rsidP="0002309D">
      <w:pPr>
        <w:jc w:val="center"/>
        <w:rPr>
          <w:sz w:val="24"/>
          <w:szCs w:val="24"/>
        </w:rPr>
      </w:pPr>
      <w:r>
        <w:rPr>
          <w:noProof/>
          <w:sz w:val="24"/>
          <w:szCs w:val="24"/>
          <w:lang w:eastAsia="en-GB"/>
        </w:rPr>
        <w:drawing>
          <wp:inline distT="0" distB="0" distL="0" distR="0" wp14:anchorId="096BBCCC" wp14:editId="0536A359">
            <wp:extent cx="1796691" cy="75038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a:blip r:embed="rId15">
                      <a:extLst>
                        <a:ext uri="{28A0092B-C50C-407E-A947-70E740481C1C}">
                          <a14:useLocalDpi xmlns:a14="http://schemas.microsoft.com/office/drawing/2010/main" val="0"/>
                        </a:ext>
                      </a:extLst>
                    </a:blip>
                    <a:stretch>
                      <a:fillRect/>
                    </a:stretch>
                  </pic:blipFill>
                  <pic:spPr>
                    <a:xfrm>
                      <a:off x="0" y="0"/>
                      <a:ext cx="1815587" cy="758275"/>
                    </a:xfrm>
                    <a:prstGeom prst="rect">
                      <a:avLst/>
                    </a:prstGeom>
                  </pic:spPr>
                </pic:pic>
              </a:graphicData>
            </a:graphic>
          </wp:inline>
        </w:drawing>
      </w:r>
    </w:p>
    <w:p w14:paraId="26438396" w14:textId="77777777" w:rsidR="0002309D" w:rsidRDefault="0002309D" w:rsidP="0002309D">
      <w:pPr>
        <w:jc w:val="center"/>
        <w:rPr>
          <w:sz w:val="24"/>
          <w:szCs w:val="24"/>
        </w:rPr>
      </w:pPr>
    </w:p>
    <w:p w14:paraId="25F0E720" w14:textId="77777777" w:rsidR="0002309D" w:rsidRDefault="0002309D" w:rsidP="0002309D">
      <w:pPr>
        <w:jc w:val="center"/>
      </w:pPr>
      <w:r>
        <w:rPr>
          <w:noProof/>
          <w:sz w:val="24"/>
          <w:szCs w:val="24"/>
        </w:rPr>
        <w:t>Juan Pablo Bohoslavsky</w:t>
      </w:r>
      <w:r>
        <w:rPr>
          <w:sz w:val="24"/>
          <w:szCs w:val="24"/>
        </w:rPr>
        <w:t xml:space="preserve"> </w:t>
      </w:r>
    </w:p>
    <w:p w14:paraId="25DF7A83" w14:textId="77777777" w:rsidR="0002309D" w:rsidRPr="00E0313A" w:rsidRDefault="0002309D" w:rsidP="0002309D">
      <w:pPr>
        <w:jc w:val="center"/>
        <w:rPr>
          <w:noProof/>
          <w:sz w:val="24"/>
          <w:szCs w:val="24"/>
        </w:rPr>
      </w:pPr>
      <w:r>
        <w:rPr>
          <w:noProof/>
          <w:sz w:val="24"/>
          <w:szCs w:val="24"/>
        </w:rPr>
        <w:t>Independent Expert on the effects of foreign debt and other related international financial obligations of States on the full enjoyment of all human rights, particularly economic, social and cultural rights</w:t>
      </w:r>
    </w:p>
    <w:p w14:paraId="456F6683" w14:textId="77777777" w:rsidR="0002309D" w:rsidRPr="00C8497B" w:rsidRDefault="0002309D" w:rsidP="00C8497B">
      <w:pPr>
        <w:jc w:val="both"/>
        <w:rPr>
          <w:rFonts w:eastAsia="Calibri"/>
          <w:sz w:val="24"/>
          <w:szCs w:val="24"/>
          <w:lang w:eastAsia="en-GB"/>
        </w:rPr>
      </w:pPr>
    </w:p>
    <w:p w14:paraId="1B39DB98" w14:textId="77777777" w:rsidR="00991BC1" w:rsidRPr="00C8497B" w:rsidRDefault="00991BC1" w:rsidP="00F75B1A">
      <w:pPr>
        <w:tabs>
          <w:tab w:val="left" w:pos="680"/>
          <w:tab w:val="left" w:pos="709"/>
          <w:tab w:val="left" w:pos="1360"/>
          <w:tab w:val="left" w:pos="1984"/>
          <w:tab w:val="left" w:pos="6349"/>
          <w:tab w:val="left" w:pos="6916"/>
        </w:tabs>
        <w:rPr>
          <w:sz w:val="24"/>
          <w:szCs w:val="24"/>
          <w:lang w:val="en-US"/>
        </w:rPr>
      </w:pPr>
    </w:p>
    <w:p w14:paraId="15AA0DF8" w14:textId="77777777" w:rsidR="00991BC1" w:rsidRPr="00C8497B" w:rsidRDefault="00991BC1" w:rsidP="00F75B1A">
      <w:pPr>
        <w:tabs>
          <w:tab w:val="left" w:pos="680"/>
          <w:tab w:val="left" w:pos="709"/>
          <w:tab w:val="left" w:pos="1360"/>
          <w:tab w:val="left" w:pos="1984"/>
          <w:tab w:val="left" w:pos="6349"/>
          <w:tab w:val="left" w:pos="6916"/>
        </w:tabs>
        <w:rPr>
          <w:sz w:val="24"/>
          <w:szCs w:val="24"/>
          <w:lang w:val="en-US"/>
        </w:rPr>
      </w:pPr>
    </w:p>
    <w:sectPr w:rsidR="00991BC1" w:rsidRPr="00C8497B" w:rsidSect="00ED053D">
      <w:footerReference w:type="default" r:id="rId16"/>
      <w:headerReference w:type="first" r:id="rId17"/>
      <w:footerReference w:type="first" r:id="rId18"/>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1F185" w14:textId="77777777" w:rsidR="00AC5E64" w:rsidRDefault="00AC5E64">
      <w:r>
        <w:separator/>
      </w:r>
    </w:p>
  </w:endnote>
  <w:endnote w:type="continuationSeparator" w:id="0">
    <w:p w14:paraId="4B1BDDA2" w14:textId="77777777" w:rsidR="00AC5E64" w:rsidRDefault="00AC5E64">
      <w:r>
        <w:continuationSeparator/>
      </w:r>
    </w:p>
  </w:endnote>
  <w:endnote w:type="continuationNotice" w:id="1">
    <w:p w14:paraId="6B2ADD6A" w14:textId="77777777" w:rsidR="00AC5E64" w:rsidRDefault="00AC5E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6FBBF" w14:textId="77777777" w:rsidR="00A93F3F" w:rsidRDefault="00A93F3F" w:rsidP="00F80A14">
    <w:pPr>
      <w:pStyle w:val="Footer"/>
      <w:tabs>
        <w:tab w:val="clear" w:pos="4153"/>
        <w:tab w:val="clear" w:pos="8306"/>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6FBC4" w14:textId="77777777" w:rsidR="00A93F3F" w:rsidRDefault="00A93F3F" w:rsidP="00E56372">
    <w:pPr>
      <w:pStyle w:val="Footer"/>
    </w:pPr>
  </w:p>
  <w:p w14:paraId="5658A27C" w14:textId="4ADA2C3F" w:rsidR="00F75B1A" w:rsidRDefault="00C8497B" w:rsidP="00F75B1A">
    <w:pPr>
      <w:pStyle w:val="Footer"/>
      <w:rPr>
        <w:noProof/>
        <w:sz w:val="24"/>
        <w:szCs w:val="24"/>
      </w:rPr>
    </w:pPr>
    <w:r>
      <w:rPr>
        <w:noProof/>
        <w:sz w:val="24"/>
        <w:szCs w:val="24"/>
      </w:rPr>
      <w:t>Ms. Natahalie Prouvez</w:t>
    </w:r>
  </w:p>
  <w:p w14:paraId="639F8E28" w14:textId="41FB8421" w:rsidR="00C8497B" w:rsidRDefault="00F4210A" w:rsidP="00F75B1A">
    <w:pPr>
      <w:pStyle w:val="Footer"/>
      <w:rPr>
        <w:noProof/>
        <w:sz w:val="24"/>
        <w:szCs w:val="24"/>
      </w:rPr>
    </w:pPr>
    <w:r>
      <w:rPr>
        <w:noProof/>
        <w:sz w:val="24"/>
        <w:szCs w:val="24"/>
      </w:rPr>
      <w:t>Chief</w:t>
    </w:r>
  </w:p>
  <w:p w14:paraId="1E7D24DA" w14:textId="6908C405" w:rsidR="00F4210A" w:rsidRDefault="00F4210A" w:rsidP="00F75B1A">
    <w:pPr>
      <w:pStyle w:val="Footer"/>
      <w:rPr>
        <w:noProof/>
        <w:sz w:val="24"/>
        <w:szCs w:val="24"/>
      </w:rPr>
    </w:pPr>
    <w:r>
      <w:rPr>
        <w:noProof/>
        <w:sz w:val="24"/>
        <w:szCs w:val="24"/>
      </w:rPr>
      <w:t>Rule of Law and Democracy Section</w:t>
    </w:r>
  </w:p>
  <w:p w14:paraId="0276FBC9" w14:textId="77777777" w:rsidR="00A93F3F" w:rsidRDefault="00A93F3F" w:rsidP="00F75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B85DC" w14:textId="77777777" w:rsidR="00AC5E64" w:rsidRDefault="00AC5E64">
      <w:r>
        <w:separator/>
      </w:r>
    </w:p>
  </w:footnote>
  <w:footnote w:type="continuationSeparator" w:id="0">
    <w:p w14:paraId="6F08FACF" w14:textId="77777777" w:rsidR="00AC5E64" w:rsidRDefault="00AC5E64">
      <w:r>
        <w:continuationSeparator/>
      </w:r>
    </w:p>
  </w:footnote>
  <w:footnote w:type="continuationNotice" w:id="1">
    <w:p w14:paraId="5711C09D" w14:textId="77777777" w:rsidR="00AC5E64" w:rsidRDefault="00AC5E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FF177" w14:textId="6093684D" w:rsidR="0080366A" w:rsidRPr="00925A9D" w:rsidRDefault="005F458D" w:rsidP="0080366A">
    <w:pPr>
      <w:pStyle w:val="Header"/>
      <w:tabs>
        <w:tab w:val="clear" w:pos="4153"/>
        <w:tab w:val="clear" w:pos="8306"/>
      </w:tabs>
      <w:jc w:val="center"/>
      <w:rPr>
        <w:sz w:val="14"/>
        <w:szCs w:val="14"/>
        <w:lang w:val="en-GB"/>
      </w:rPr>
    </w:pPr>
    <w:r>
      <w:rPr>
        <w:noProof/>
        <w:snapToGrid/>
        <w:sz w:val="14"/>
        <w:szCs w:val="14"/>
        <w:lang w:val="en-GB" w:eastAsia="en-GB"/>
      </w:rPr>
      <w:drawing>
        <wp:inline distT="0" distB="0" distL="0" distR="0" wp14:anchorId="0681C916" wp14:editId="46204F6A">
          <wp:extent cx="2838450" cy="1219200"/>
          <wp:effectExtent l="0" t="0" r="0" b="0"/>
          <wp:docPr id="1"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1219200"/>
                  </a:xfrm>
                  <a:prstGeom prst="rect">
                    <a:avLst/>
                  </a:prstGeom>
                  <a:noFill/>
                  <a:ln>
                    <a:noFill/>
                  </a:ln>
                </pic:spPr>
              </pic:pic>
            </a:graphicData>
          </a:graphic>
        </wp:inline>
      </w:drawing>
    </w:r>
  </w:p>
  <w:p w14:paraId="20EF2166" w14:textId="77777777" w:rsidR="0080366A" w:rsidRPr="002745FF" w:rsidRDefault="0080366A" w:rsidP="0080366A">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14:paraId="10E0FE41" w14:textId="77777777" w:rsidR="0080366A" w:rsidRPr="002745FF" w:rsidRDefault="0080366A" w:rsidP="0080366A">
    <w:pPr>
      <w:pStyle w:val="Header"/>
      <w:tabs>
        <w:tab w:val="clear" w:pos="4153"/>
        <w:tab w:val="clear" w:pos="8306"/>
        <w:tab w:val="right" w:pos="3686"/>
        <w:tab w:val="left" w:pos="5812"/>
      </w:tabs>
      <w:spacing w:before="80" w:after="360"/>
      <w:jc w:val="center"/>
      <w:rPr>
        <w:sz w:val="14"/>
        <w:szCs w:val="14"/>
        <w:lang w:val="fr-CH"/>
      </w:rPr>
    </w:pPr>
    <w:r w:rsidRPr="002745FF">
      <w:rPr>
        <w:sz w:val="14"/>
        <w:szCs w:val="14"/>
        <w:lang w:val="fr-CH"/>
      </w:rPr>
      <w:t>www.ohchr.org • TEL:  +41 22 917 9000 • FAX:  +41 22 917 9008 • E-MAIL:  registry@ohchr.org</w:t>
    </w:r>
  </w:p>
  <w:p w14:paraId="0276FBC3" w14:textId="77777777" w:rsidR="00A93F3F" w:rsidRPr="00687D69" w:rsidRDefault="00A93F3F" w:rsidP="0003674D">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7"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1" w15:restartNumberingAfterBreak="0">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3"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4"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6"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9"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0"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2"/>
  </w:num>
  <w:num w:numId="3">
    <w:abstractNumId w:val="16"/>
  </w:num>
  <w:num w:numId="4">
    <w:abstractNumId w:val="7"/>
  </w:num>
  <w:num w:numId="5">
    <w:abstractNumId w:val="17"/>
  </w:num>
  <w:num w:numId="6">
    <w:abstractNumId w:val="9"/>
  </w:num>
  <w:num w:numId="7">
    <w:abstractNumId w:val="2"/>
  </w:num>
  <w:num w:numId="8">
    <w:abstractNumId w:val="10"/>
  </w:num>
  <w:num w:numId="9">
    <w:abstractNumId w:val="3"/>
  </w:num>
  <w:num w:numId="10">
    <w:abstractNumId w:val="1"/>
  </w:num>
  <w:num w:numId="11">
    <w:abstractNumId w:val="8"/>
  </w:num>
  <w:num w:numId="12">
    <w:abstractNumId w:val="20"/>
  </w:num>
  <w:num w:numId="13">
    <w:abstractNumId w:val="21"/>
  </w:num>
  <w:num w:numId="14">
    <w:abstractNumId w:val="13"/>
  </w:num>
  <w:num w:numId="15">
    <w:abstractNumId w:val="5"/>
  </w:num>
  <w:num w:numId="16">
    <w:abstractNumId w:val="0"/>
  </w:num>
  <w:num w:numId="17">
    <w:abstractNumId w:val="19"/>
  </w:num>
  <w:num w:numId="18">
    <w:abstractNumId w:val="6"/>
  </w:num>
  <w:num w:numId="19">
    <w:abstractNumId w:val="12"/>
  </w:num>
  <w:num w:numId="20">
    <w:abstractNumId w:val="4"/>
  </w:num>
  <w:num w:numId="21">
    <w:abstractNumId w:val="18"/>
  </w:num>
  <w:num w:numId="22">
    <w:abstractNumId w:val="1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138F6"/>
    <w:rsid w:val="0002309D"/>
    <w:rsid w:val="00023D7B"/>
    <w:rsid w:val="00026D1F"/>
    <w:rsid w:val="0003674D"/>
    <w:rsid w:val="0005390B"/>
    <w:rsid w:val="000552AA"/>
    <w:rsid w:val="00063BFD"/>
    <w:rsid w:val="00077294"/>
    <w:rsid w:val="000875C6"/>
    <w:rsid w:val="00091BF0"/>
    <w:rsid w:val="000A2B89"/>
    <w:rsid w:val="000A6F03"/>
    <w:rsid w:val="000D210E"/>
    <w:rsid w:val="000D34F2"/>
    <w:rsid w:val="000E42EE"/>
    <w:rsid w:val="000F183C"/>
    <w:rsid w:val="00106F64"/>
    <w:rsid w:val="00115798"/>
    <w:rsid w:val="001205D6"/>
    <w:rsid w:val="00127D35"/>
    <w:rsid w:val="001456CB"/>
    <w:rsid w:val="001537CC"/>
    <w:rsid w:val="00153DB2"/>
    <w:rsid w:val="0015615C"/>
    <w:rsid w:val="001676BA"/>
    <w:rsid w:val="00194332"/>
    <w:rsid w:val="001B7B09"/>
    <w:rsid w:val="001C4360"/>
    <w:rsid w:val="001D3313"/>
    <w:rsid w:val="001E3384"/>
    <w:rsid w:val="002028A9"/>
    <w:rsid w:val="0021296A"/>
    <w:rsid w:val="002129D5"/>
    <w:rsid w:val="00221893"/>
    <w:rsid w:val="00224386"/>
    <w:rsid w:val="00227E2F"/>
    <w:rsid w:val="00230775"/>
    <w:rsid w:val="00235A1A"/>
    <w:rsid w:val="002431DB"/>
    <w:rsid w:val="00244860"/>
    <w:rsid w:val="0024583B"/>
    <w:rsid w:val="0025174E"/>
    <w:rsid w:val="00266D70"/>
    <w:rsid w:val="00273A31"/>
    <w:rsid w:val="00282E14"/>
    <w:rsid w:val="0028546D"/>
    <w:rsid w:val="0028624E"/>
    <w:rsid w:val="002863A2"/>
    <w:rsid w:val="00293243"/>
    <w:rsid w:val="002969BF"/>
    <w:rsid w:val="002E65F4"/>
    <w:rsid w:val="00305B08"/>
    <w:rsid w:val="00315265"/>
    <w:rsid w:val="00335FB9"/>
    <w:rsid w:val="00356299"/>
    <w:rsid w:val="003577DB"/>
    <w:rsid w:val="00380489"/>
    <w:rsid w:val="00392604"/>
    <w:rsid w:val="003956EF"/>
    <w:rsid w:val="00396E4C"/>
    <w:rsid w:val="003A3957"/>
    <w:rsid w:val="003A66B7"/>
    <w:rsid w:val="003C37C3"/>
    <w:rsid w:val="003C63AC"/>
    <w:rsid w:val="003D0C10"/>
    <w:rsid w:val="003D3D66"/>
    <w:rsid w:val="003E552B"/>
    <w:rsid w:val="003F3CBC"/>
    <w:rsid w:val="00401FD2"/>
    <w:rsid w:val="00410560"/>
    <w:rsid w:val="004153DE"/>
    <w:rsid w:val="00415EFC"/>
    <w:rsid w:val="00440385"/>
    <w:rsid w:val="00440E30"/>
    <w:rsid w:val="00440ED0"/>
    <w:rsid w:val="00443DF5"/>
    <w:rsid w:val="00447412"/>
    <w:rsid w:val="00455C6D"/>
    <w:rsid w:val="00456419"/>
    <w:rsid w:val="00460258"/>
    <w:rsid w:val="0048657B"/>
    <w:rsid w:val="004A5D9B"/>
    <w:rsid w:val="004B4CAC"/>
    <w:rsid w:val="004C044F"/>
    <w:rsid w:val="004C3905"/>
    <w:rsid w:val="004D21C9"/>
    <w:rsid w:val="004D5717"/>
    <w:rsid w:val="004D5D19"/>
    <w:rsid w:val="004E0AB6"/>
    <w:rsid w:val="004E49EC"/>
    <w:rsid w:val="004E4D86"/>
    <w:rsid w:val="004F4DB0"/>
    <w:rsid w:val="00520DCB"/>
    <w:rsid w:val="005275A0"/>
    <w:rsid w:val="00530EF5"/>
    <w:rsid w:val="00535992"/>
    <w:rsid w:val="005417E4"/>
    <w:rsid w:val="005455F8"/>
    <w:rsid w:val="0055573E"/>
    <w:rsid w:val="00562D63"/>
    <w:rsid w:val="00570A1B"/>
    <w:rsid w:val="00570E41"/>
    <w:rsid w:val="00576638"/>
    <w:rsid w:val="005849E6"/>
    <w:rsid w:val="00585F8E"/>
    <w:rsid w:val="005871D9"/>
    <w:rsid w:val="005957ED"/>
    <w:rsid w:val="005E7C37"/>
    <w:rsid w:val="005F1A5B"/>
    <w:rsid w:val="005F283E"/>
    <w:rsid w:val="005F458D"/>
    <w:rsid w:val="0060068B"/>
    <w:rsid w:val="0060785C"/>
    <w:rsid w:val="00627A52"/>
    <w:rsid w:val="006306D3"/>
    <w:rsid w:val="0063240F"/>
    <w:rsid w:val="00635102"/>
    <w:rsid w:val="00636BD7"/>
    <w:rsid w:val="006375A5"/>
    <w:rsid w:val="006412EA"/>
    <w:rsid w:val="00645695"/>
    <w:rsid w:val="00650CD4"/>
    <w:rsid w:val="006605E5"/>
    <w:rsid w:val="00660EDA"/>
    <w:rsid w:val="006617A4"/>
    <w:rsid w:val="00667227"/>
    <w:rsid w:val="006749F6"/>
    <w:rsid w:val="00682D26"/>
    <w:rsid w:val="00682DDB"/>
    <w:rsid w:val="006834E4"/>
    <w:rsid w:val="00687D69"/>
    <w:rsid w:val="00687E4F"/>
    <w:rsid w:val="00695D3E"/>
    <w:rsid w:val="006A7352"/>
    <w:rsid w:val="006B441C"/>
    <w:rsid w:val="006B5A71"/>
    <w:rsid w:val="006E6CC3"/>
    <w:rsid w:val="006F0EE4"/>
    <w:rsid w:val="006F790C"/>
    <w:rsid w:val="007114F8"/>
    <w:rsid w:val="00712363"/>
    <w:rsid w:val="00712EFD"/>
    <w:rsid w:val="00716D30"/>
    <w:rsid w:val="007210F6"/>
    <w:rsid w:val="00723438"/>
    <w:rsid w:val="00733660"/>
    <w:rsid w:val="00741EBC"/>
    <w:rsid w:val="007432E5"/>
    <w:rsid w:val="007450E8"/>
    <w:rsid w:val="007625BA"/>
    <w:rsid w:val="00776BDB"/>
    <w:rsid w:val="00790C76"/>
    <w:rsid w:val="00790CBE"/>
    <w:rsid w:val="0079503A"/>
    <w:rsid w:val="00795469"/>
    <w:rsid w:val="00796729"/>
    <w:rsid w:val="00797214"/>
    <w:rsid w:val="007B01A6"/>
    <w:rsid w:val="007B5929"/>
    <w:rsid w:val="007C4483"/>
    <w:rsid w:val="007C4A8E"/>
    <w:rsid w:val="007C5369"/>
    <w:rsid w:val="007D1657"/>
    <w:rsid w:val="007D47FE"/>
    <w:rsid w:val="007E39E1"/>
    <w:rsid w:val="007F7DA3"/>
    <w:rsid w:val="0080366A"/>
    <w:rsid w:val="008120D8"/>
    <w:rsid w:val="0081788D"/>
    <w:rsid w:val="00842120"/>
    <w:rsid w:val="00842220"/>
    <w:rsid w:val="008427AA"/>
    <w:rsid w:val="00846B4A"/>
    <w:rsid w:val="008553DE"/>
    <w:rsid w:val="008568EA"/>
    <w:rsid w:val="008656FA"/>
    <w:rsid w:val="00874280"/>
    <w:rsid w:val="008774E3"/>
    <w:rsid w:val="008A2957"/>
    <w:rsid w:val="008B33E8"/>
    <w:rsid w:val="008B4DD7"/>
    <w:rsid w:val="008B4F3E"/>
    <w:rsid w:val="008C2924"/>
    <w:rsid w:val="008C60C0"/>
    <w:rsid w:val="008D1A3C"/>
    <w:rsid w:val="008D3B8A"/>
    <w:rsid w:val="008E46C1"/>
    <w:rsid w:val="009240B2"/>
    <w:rsid w:val="00925A9D"/>
    <w:rsid w:val="009337F5"/>
    <w:rsid w:val="009358CD"/>
    <w:rsid w:val="00944040"/>
    <w:rsid w:val="00944E25"/>
    <w:rsid w:val="00945265"/>
    <w:rsid w:val="009469B5"/>
    <w:rsid w:val="00951601"/>
    <w:rsid w:val="00977C96"/>
    <w:rsid w:val="00982FCF"/>
    <w:rsid w:val="00983FB8"/>
    <w:rsid w:val="0098565E"/>
    <w:rsid w:val="00986237"/>
    <w:rsid w:val="00991BC1"/>
    <w:rsid w:val="00997618"/>
    <w:rsid w:val="009A2849"/>
    <w:rsid w:val="009B113A"/>
    <w:rsid w:val="009B459A"/>
    <w:rsid w:val="009D76A9"/>
    <w:rsid w:val="009E00AF"/>
    <w:rsid w:val="009F14BD"/>
    <w:rsid w:val="009F18EC"/>
    <w:rsid w:val="009F2043"/>
    <w:rsid w:val="00A01741"/>
    <w:rsid w:val="00A1021E"/>
    <w:rsid w:val="00A153DB"/>
    <w:rsid w:val="00A21EF1"/>
    <w:rsid w:val="00A34DA7"/>
    <w:rsid w:val="00A364CF"/>
    <w:rsid w:val="00A3761B"/>
    <w:rsid w:val="00A40490"/>
    <w:rsid w:val="00A439B9"/>
    <w:rsid w:val="00A54482"/>
    <w:rsid w:val="00A564C7"/>
    <w:rsid w:val="00A61E26"/>
    <w:rsid w:val="00A63977"/>
    <w:rsid w:val="00A86B19"/>
    <w:rsid w:val="00A86E08"/>
    <w:rsid w:val="00A9048E"/>
    <w:rsid w:val="00A93F3F"/>
    <w:rsid w:val="00AA3895"/>
    <w:rsid w:val="00AB12FC"/>
    <w:rsid w:val="00AC50E4"/>
    <w:rsid w:val="00AC5E64"/>
    <w:rsid w:val="00AD1796"/>
    <w:rsid w:val="00AD4CA9"/>
    <w:rsid w:val="00AE2231"/>
    <w:rsid w:val="00AE69A2"/>
    <w:rsid w:val="00AE796C"/>
    <w:rsid w:val="00AF1317"/>
    <w:rsid w:val="00AF291B"/>
    <w:rsid w:val="00AF3626"/>
    <w:rsid w:val="00B04529"/>
    <w:rsid w:val="00B13589"/>
    <w:rsid w:val="00B14752"/>
    <w:rsid w:val="00B234F6"/>
    <w:rsid w:val="00B246B4"/>
    <w:rsid w:val="00B31236"/>
    <w:rsid w:val="00B42B30"/>
    <w:rsid w:val="00B43D96"/>
    <w:rsid w:val="00B458F6"/>
    <w:rsid w:val="00B54DD5"/>
    <w:rsid w:val="00B61545"/>
    <w:rsid w:val="00B7425B"/>
    <w:rsid w:val="00B84F46"/>
    <w:rsid w:val="00BD2C78"/>
    <w:rsid w:val="00BD4464"/>
    <w:rsid w:val="00BD6119"/>
    <w:rsid w:val="00BF69D2"/>
    <w:rsid w:val="00C07B5F"/>
    <w:rsid w:val="00C12BED"/>
    <w:rsid w:val="00C234D8"/>
    <w:rsid w:val="00C23DDD"/>
    <w:rsid w:val="00C35851"/>
    <w:rsid w:val="00C6141D"/>
    <w:rsid w:val="00C64254"/>
    <w:rsid w:val="00C73CD7"/>
    <w:rsid w:val="00C74811"/>
    <w:rsid w:val="00C772EF"/>
    <w:rsid w:val="00C82CCE"/>
    <w:rsid w:val="00C8497B"/>
    <w:rsid w:val="00C922E3"/>
    <w:rsid w:val="00CA5B8E"/>
    <w:rsid w:val="00CA65D2"/>
    <w:rsid w:val="00CB1C6E"/>
    <w:rsid w:val="00CC5BEF"/>
    <w:rsid w:val="00CE6A0E"/>
    <w:rsid w:val="00D00DDC"/>
    <w:rsid w:val="00D02F61"/>
    <w:rsid w:val="00D1125E"/>
    <w:rsid w:val="00D115F7"/>
    <w:rsid w:val="00D230B7"/>
    <w:rsid w:val="00D24502"/>
    <w:rsid w:val="00D32E5B"/>
    <w:rsid w:val="00D3608E"/>
    <w:rsid w:val="00D36635"/>
    <w:rsid w:val="00D40240"/>
    <w:rsid w:val="00D4635B"/>
    <w:rsid w:val="00D5082F"/>
    <w:rsid w:val="00D67524"/>
    <w:rsid w:val="00D70178"/>
    <w:rsid w:val="00D84C7E"/>
    <w:rsid w:val="00D963DD"/>
    <w:rsid w:val="00D968C8"/>
    <w:rsid w:val="00DA5FC2"/>
    <w:rsid w:val="00DB5055"/>
    <w:rsid w:val="00DB5616"/>
    <w:rsid w:val="00DC0CA6"/>
    <w:rsid w:val="00DD4909"/>
    <w:rsid w:val="00E15347"/>
    <w:rsid w:val="00E22392"/>
    <w:rsid w:val="00E30296"/>
    <w:rsid w:val="00E4367D"/>
    <w:rsid w:val="00E56372"/>
    <w:rsid w:val="00E60057"/>
    <w:rsid w:val="00E679E8"/>
    <w:rsid w:val="00E84288"/>
    <w:rsid w:val="00EA6B3E"/>
    <w:rsid w:val="00EB4CDE"/>
    <w:rsid w:val="00EC123F"/>
    <w:rsid w:val="00EC3E83"/>
    <w:rsid w:val="00ED053D"/>
    <w:rsid w:val="00EE0A7C"/>
    <w:rsid w:val="00EE5BA8"/>
    <w:rsid w:val="00EE6765"/>
    <w:rsid w:val="00EF0B0D"/>
    <w:rsid w:val="00F006B5"/>
    <w:rsid w:val="00F4210A"/>
    <w:rsid w:val="00F44EA7"/>
    <w:rsid w:val="00F47B64"/>
    <w:rsid w:val="00F611C6"/>
    <w:rsid w:val="00F62027"/>
    <w:rsid w:val="00F75B1A"/>
    <w:rsid w:val="00F80A14"/>
    <w:rsid w:val="00F80D28"/>
    <w:rsid w:val="00F81658"/>
    <w:rsid w:val="00F927D4"/>
    <w:rsid w:val="00FA61F7"/>
    <w:rsid w:val="00FB1650"/>
    <w:rsid w:val="00FB365F"/>
    <w:rsid w:val="00FB41B6"/>
    <w:rsid w:val="00FC0B84"/>
    <w:rsid w:val="00FC1DDB"/>
    <w:rsid w:val="00FD41D3"/>
    <w:rsid w:val="00FD659F"/>
    <w:rsid w:val="00FE6E4C"/>
    <w:rsid w:val="00FF3CEE"/>
    <w:rsid w:val="00FF63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276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8A2957"/>
    <w:rPr>
      <w:sz w:val="16"/>
      <w:szCs w:val="16"/>
    </w:rPr>
  </w:style>
  <w:style w:type="paragraph" w:styleId="CommentText">
    <w:name w:val="annotation text"/>
    <w:basedOn w:val="Normal"/>
    <w:link w:val="CommentTextChar"/>
    <w:rsid w:val="008A2957"/>
  </w:style>
  <w:style w:type="character" w:customStyle="1" w:styleId="CommentTextChar">
    <w:name w:val="Comment Text Char"/>
    <w:link w:val="CommentText"/>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 w:type="character" w:styleId="FollowedHyperlink">
    <w:name w:val="FollowedHyperlink"/>
    <w:basedOn w:val="DefaultParagraphFont"/>
    <w:semiHidden/>
    <w:unhideWhenUsed/>
    <w:rsid w:val="008120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uments-dds-ny.un.org/doc/UNDOC/GEN/G18/443/52/PDF/G1844352.pdf?OpenElemen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hchr.org/EN/Issues/Development/IEDebt/Pages/Resolutions.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org/ga/search/view_doc.asp?symbol=A/HRC/34/L.3" TargetMode="External"/><Relationship Id="rId5" Type="http://schemas.openxmlformats.org/officeDocument/2006/relationships/numbering" Target="numbering.xml"/><Relationship Id="rId15" Type="http://schemas.openxmlformats.org/officeDocument/2006/relationships/image" Target="media/image1.jp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hchr.org/EN/Issues/Development/IEDebt/Pages/DebtAndimpactassessment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97D9D-B806-44D4-AB63-373517796834}">
  <ds:schemaRefs>
    <ds:schemaRef ds:uri="http://schemas.microsoft.com/sharepoint/v3/contenttype/forms"/>
  </ds:schemaRefs>
</ds:datastoreItem>
</file>

<file path=customXml/itemProps2.xml><?xml version="1.0" encoding="utf-8"?>
<ds:datastoreItem xmlns:ds="http://schemas.openxmlformats.org/officeDocument/2006/customXml" ds:itemID="{0FB61197-64E8-4CDB-94D4-B18B6C19301B}">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f62cadcd-e163-4118-ac05-a32b5a627a72"/>
    <ds:schemaRef ds:uri="http://www.w3.org/XML/1998/namespace"/>
    <ds:schemaRef ds:uri="http://purl.org/dc/dcmitype/"/>
  </ds:schemaRefs>
</ds:datastoreItem>
</file>

<file path=customXml/itemProps3.xml><?xml version="1.0" encoding="utf-8"?>
<ds:datastoreItem xmlns:ds="http://schemas.openxmlformats.org/officeDocument/2006/customXml" ds:itemID="{A1763510-A45C-4F3C-A095-6B8798834784}"/>
</file>

<file path=customXml/itemProps4.xml><?xml version="1.0" encoding="utf-8"?>
<ds:datastoreItem xmlns:ds="http://schemas.openxmlformats.org/officeDocument/2006/customXml" ds:itemID="{DC9F599F-62E7-4F88-B8EB-31A1CD7F4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4259</Characters>
  <Application>Microsoft Office Word</Application>
  <DocSecurity>4</DocSecurity>
  <Lines>35</Lines>
  <Paragraphs>9</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2019-02-27T12:54:00Z</dcterms:created>
  <dcterms:modified xsi:type="dcterms:W3CDTF">2019-02-27T12:54:00Z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