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26" w:rsidRDefault="00C91326" w:rsidP="00C91326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Consultation on Human Rights and Mental Health</w:t>
      </w:r>
    </w:p>
    <w:p w:rsidR="00C91326" w:rsidRPr="00C91326" w:rsidRDefault="00C91326" w:rsidP="00C91326">
      <w:pPr>
        <w:jc w:val="center"/>
        <w:rPr>
          <w:lang w:val="en-US"/>
        </w:rPr>
      </w:pPr>
      <w:r>
        <w:rPr>
          <w:lang w:val="en-US"/>
        </w:rPr>
        <w:t>“Identifying strategies to promote human rights and mental health”</w:t>
      </w:r>
    </w:p>
    <w:p w:rsidR="00C91326" w:rsidRDefault="00C91326" w:rsidP="00C91326">
      <w:pPr>
        <w:rPr>
          <w:b/>
          <w:bCs/>
          <w:lang w:val="en-US"/>
        </w:rPr>
      </w:pPr>
    </w:p>
    <w:p w:rsidR="00E72138" w:rsidRPr="00C91326" w:rsidRDefault="00C91326" w:rsidP="00C91326">
      <w:pPr>
        <w:rPr>
          <w:rFonts w:ascii="Garamond" w:hAnsi="Garamond"/>
          <w:bCs/>
          <w:sz w:val="22"/>
          <w:szCs w:val="22"/>
          <w:lang w:val="en-US"/>
        </w:rPr>
      </w:pPr>
      <w:r w:rsidRPr="00C91326">
        <w:rPr>
          <w:rFonts w:ascii="Garamond" w:hAnsi="Garamond"/>
          <w:bCs/>
          <w:sz w:val="22"/>
          <w:szCs w:val="22"/>
          <w:lang w:val="en-US"/>
        </w:rPr>
        <w:t>14 May 2018</w:t>
      </w:r>
    </w:p>
    <w:p w:rsidR="00C91326" w:rsidRPr="00C91326" w:rsidRDefault="00C91326" w:rsidP="00C91326">
      <w:pPr>
        <w:rPr>
          <w:rFonts w:ascii="Garamond" w:hAnsi="Garamond"/>
          <w:bCs/>
          <w:sz w:val="22"/>
          <w:szCs w:val="22"/>
          <w:lang w:val="en-US"/>
        </w:rPr>
      </w:pPr>
    </w:p>
    <w:p w:rsidR="00C91326" w:rsidRPr="00C91326" w:rsidRDefault="00C91326" w:rsidP="00C91326">
      <w:pPr>
        <w:rPr>
          <w:rFonts w:ascii="Garamond" w:hAnsi="Garamond"/>
          <w:bCs/>
          <w:sz w:val="22"/>
          <w:szCs w:val="22"/>
          <w:lang w:val="en-US"/>
        </w:rPr>
      </w:pPr>
      <w:r w:rsidRPr="00C91326">
        <w:rPr>
          <w:rFonts w:ascii="Garamond" w:hAnsi="Garamond"/>
          <w:bCs/>
          <w:sz w:val="22"/>
          <w:szCs w:val="22"/>
          <w:lang w:val="en-US"/>
        </w:rPr>
        <w:t>16:30 – 18:00 Panel 3 – Identifying human rights-based services and supports to improve the enjoyment of human rights in the context of mental health.</w:t>
      </w:r>
    </w:p>
    <w:p w:rsidR="00C91326" w:rsidRPr="00C91326" w:rsidRDefault="00C91326" w:rsidP="00C91326">
      <w:pPr>
        <w:rPr>
          <w:rFonts w:ascii="Garamond" w:hAnsi="Garamond"/>
          <w:bCs/>
          <w:sz w:val="22"/>
          <w:szCs w:val="22"/>
          <w:lang w:val="en-US"/>
        </w:rPr>
      </w:pPr>
    </w:p>
    <w:p w:rsidR="00C91326" w:rsidRPr="00195B4C" w:rsidRDefault="00C91326" w:rsidP="00C91326">
      <w:pPr>
        <w:rPr>
          <w:rFonts w:ascii="Garamond" w:hAnsi="Garamond"/>
          <w:bCs/>
          <w:sz w:val="22"/>
          <w:szCs w:val="22"/>
          <w:u w:val="single"/>
          <w:lang w:val="en-US"/>
        </w:rPr>
      </w:pPr>
      <w:r w:rsidRPr="00195B4C">
        <w:rPr>
          <w:rFonts w:ascii="Garamond" w:hAnsi="Garamond"/>
          <w:bCs/>
          <w:sz w:val="22"/>
          <w:szCs w:val="22"/>
          <w:u w:val="single"/>
          <w:lang w:val="en-US"/>
        </w:rPr>
        <w:t>S P Sashidharan</w:t>
      </w:r>
    </w:p>
    <w:p w:rsidR="00C91326" w:rsidRDefault="00C91326" w:rsidP="00C91326">
      <w:pPr>
        <w:jc w:val="both"/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</w:pPr>
      <w:r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  <w:t>In my presentation, I will argue that evidence from diverse settings shows that while mental health care and treatment confer</w:t>
      </w:r>
      <w:r w:rsidR="00B06682"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  <w:t>s</w:t>
      </w:r>
      <w:r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  <w:t xml:space="preserve"> significant clinical benefits for those who use these services, psychiatry remains a ‘toxic brand’.  This is fundamentally due to the contradiction at the heart of mental health practice between care and coercion.</w:t>
      </w:r>
    </w:p>
    <w:p w:rsidR="00C91326" w:rsidRDefault="00C91326" w:rsidP="00C91326">
      <w:pPr>
        <w:jc w:val="both"/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</w:pPr>
    </w:p>
    <w:p w:rsidR="00C91326" w:rsidRPr="00F969F4" w:rsidRDefault="00C91326" w:rsidP="00C91326">
      <w:pPr>
        <w:jc w:val="both"/>
        <w:rPr>
          <w:rFonts w:ascii="Garamond" w:eastAsia="Times New Roman" w:hAnsi="Garamond" w:cs="Times New Roman"/>
          <w:color w:val="000000"/>
          <w:sz w:val="22"/>
          <w:shd w:val="clear" w:color="auto" w:fill="FFFFFF"/>
          <w:lang w:val="en-US" w:eastAsia="en-GB"/>
        </w:rPr>
      </w:pPr>
      <w:r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  <w:t xml:space="preserve">Success of strategies to promote human rights in mental health is dependent on reducing if not eliminating coercive practice. This calls for radical reforms in legislation, policies and clinical practice. I will consider two areas within contemporary Western psychiatry where </w:t>
      </w:r>
      <w:r w:rsidR="00B06682">
        <w:rPr>
          <w:rFonts w:ascii="Garamond" w:eastAsia="Times New Roman" w:hAnsi="Garamond" w:cs="Times New Roman"/>
          <w:color w:val="000000"/>
          <w:sz w:val="22"/>
          <w:shd w:val="clear" w:color="auto" w:fill="FFFFFF"/>
          <w:lang w:eastAsia="en-GB"/>
        </w:rPr>
        <w:t>such reforms are urgently required, namely Forensic Psychiatry (or ‘secure’ care) and the treatment of people from minority ethnic groups and migrants.</w:t>
      </w:r>
    </w:p>
    <w:p w:rsidR="00C91326" w:rsidRDefault="00C91326" w:rsidP="00C91326">
      <w:pPr>
        <w:rPr>
          <w:bCs/>
          <w:lang w:val="en-US"/>
        </w:rPr>
      </w:pPr>
    </w:p>
    <w:p w:rsidR="00C91326" w:rsidRPr="00C91326" w:rsidRDefault="00C91326" w:rsidP="00C91326"/>
    <w:sectPr w:rsidR="00C91326" w:rsidRPr="00C91326" w:rsidSect="00120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26"/>
    <w:rsid w:val="001207C4"/>
    <w:rsid w:val="00195B4C"/>
    <w:rsid w:val="006A3F86"/>
    <w:rsid w:val="00B06682"/>
    <w:rsid w:val="00C91326"/>
    <w:rsid w:val="00D23230"/>
    <w:rsid w:val="00E325E8"/>
    <w:rsid w:val="00E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9CC766-EFE8-E14E-94BE-875F1C13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F67986-4132-4428-9509-E43166479D68}"/>
</file>

<file path=customXml/itemProps2.xml><?xml version="1.0" encoding="utf-8"?>
<ds:datastoreItem xmlns:ds="http://schemas.openxmlformats.org/officeDocument/2006/customXml" ds:itemID="{62D70A7F-DF6E-4AC4-9404-11617762D03A}"/>
</file>

<file path=customXml/itemProps3.xml><?xml version="1.0" encoding="utf-8"?>
<ds:datastoreItem xmlns:ds="http://schemas.openxmlformats.org/officeDocument/2006/customXml" ds:itemID="{ADE92DBD-70B4-4B80-B75C-CEC35AC4C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 Sashidharan</dc:creator>
  <cp:keywords/>
  <dc:description/>
  <cp:lastModifiedBy>FRANCO PARRA Marta</cp:lastModifiedBy>
  <cp:revision>2</cp:revision>
  <dcterms:created xsi:type="dcterms:W3CDTF">2018-05-10T11:56:00Z</dcterms:created>
  <dcterms:modified xsi:type="dcterms:W3CDTF">2018-05-10T11:56:00Z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