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bidiVisual/>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7"/>
      </w:tblGrid>
      <w:tr w:rsidR="00757D9B" w:rsidRPr="00545CD6" w14:paraId="0C9F9308" w14:textId="77777777" w:rsidTr="004E3630">
        <w:trPr>
          <w:trHeight w:val="387"/>
        </w:trPr>
        <w:tc>
          <w:tcPr>
            <w:tcW w:w="4608" w:type="dxa"/>
            <w:tcBorders>
              <w:top w:val="single" w:sz="12" w:space="0" w:color="4F81BD" w:themeColor="accent1"/>
            </w:tcBorders>
          </w:tcPr>
          <w:p w14:paraId="61FB7794" w14:textId="4AAEB79C" w:rsidR="00757D9B" w:rsidRPr="00125C79" w:rsidRDefault="009567D8" w:rsidP="00125C79">
            <w:pPr>
              <w:pStyle w:val="Heading2"/>
              <w:jc w:val="right"/>
              <w:outlineLvl w:val="1"/>
              <w:rPr>
                <w:rFonts w:ascii="Tahoma" w:hAnsi="Tahoma" w:cs="Tahoma"/>
                <w:b/>
                <w:bCs/>
                <w:sz w:val="18"/>
                <w:szCs w:val="18"/>
              </w:rPr>
            </w:pPr>
            <w:r>
              <w:rPr>
                <w:rFonts w:ascii="Tahoma" w:hAnsi="Tahoma" w:cs="Tahoma" w:hint="cs"/>
                <w:b/>
                <w:bCs/>
                <w:color w:val="auto"/>
                <w:sz w:val="18"/>
                <w:szCs w:val="18"/>
                <w:rtl/>
              </w:rPr>
              <w:t>1</w:t>
            </w:r>
            <w:r w:rsidR="005A1B8B">
              <w:rPr>
                <w:rFonts w:ascii="Tahoma" w:hAnsi="Tahoma" w:cs="Tahoma"/>
                <w:b/>
                <w:bCs/>
                <w:color w:val="auto"/>
                <w:sz w:val="18"/>
                <w:szCs w:val="18"/>
              </w:rPr>
              <w:t>2</w:t>
            </w:r>
            <w:r w:rsidR="002C3A22" w:rsidRPr="00125C79">
              <w:rPr>
                <w:rFonts w:ascii="Tahoma" w:hAnsi="Tahoma" w:cs="Tahoma"/>
                <w:b/>
                <w:bCs/>
                <w:color w:val="auto"/>
                <w:sz w:val="18"/>
                <w:szCs w:val="18"/>
              </w:rPr>
              <w:t>.</w:t>
            </w:r>
            <w:r w:rsidR="00545CD6" w:rsidRPr="00125C79">
              <w:rPr>
                <w:rFonts w:ascii="Tahoma" w:hAnsi="Tahoma" w:cs="Tahoma"/>
                <w:b/>
                <w:bCs/>
                <w:color w:val="auto"/>
                <w:sz w:val="18"/>
                <w:szCs w:val="18"/>
                <w:rtl/>
              </w:rPr>
              <w:t>0</w:t>
            </w:r>
            <w:r w:rsidR="005359CE">
              <w:rPr>
                <w:rFonts w:ascii="Tahoma" w:hAnsi="Tahoma" w:cs="Tahoma" w:hint="cs"/>
                <w:b/>
                <w:bCs/>
                <w:color w:val="auto"/>
                <w:sz w:val="18"/>
                <w:szCs w:val="18"/>
                <w:rtl/>
              </w:rPr>
              <w:t>5</w:t>
            </w:r>
            <w:r w:rsidR="002C3A22" w:rsidRPr="00125C79">
              <w:rPr>
                <w:rFonts w:ascii="Tahoma" w:hAnsi="Tahoma" w:cs="Tahoma"/>
                <w:b/>
                <w:bCs/>
                <w:color w:val="auto"/>
                <w:sz w:val="18"/>
                <w:szCs w:val="18"/>
              </w:rPr>
              <w:t>.</w:t>
            </w:r>
            <w:r w:rsidR="00D21472" w:rsidRPr="00125C79">
              <w:rPr>
                <w:rFonts w:ascii="Tahoma" w:hAnsi="Tahoma" w:cs="Tahoma"/>
                <w:b/>
                <w:bCs/>
                <w:color w:val="auto"/>
                <w:sz w:val="18"/>
                <w:szCs w:val="18"/>
              </w:rPr>
              <w:t>20</w:t>
            </w:r>
            <w:r w:rsidR="005359CE">
              <w:rPr>
                <w:rFonts w:ascii="Tahoma" w:hAnsi="Tahoma" w:cs="Tahoma" w:hint="cs"/>
                <w:b/>
                <w:bCs/>
                <w:color w:val="auto"/>
                <w:sz w:val="18"/>
                <w:szCs w:val="18"/>
                <w:rtl/>
              </w:rPr>
              <w:t>20</w:t>
            </w:r>
          </w:p>
        </w:tc>
        <w:tc>
          <w:tcPr>
            <w:tcW w:w="4608" w:type="dxa"/>
            <w:tcBorders>
              <w:top w:val="single" w:sz="12" w:space="0" w:color="4F81BD" w:themeColor="accent1"/>
            </w:tcBorders>
          </w:tcPr>
          <w:p w14:paraId="07276021" w14:textId="32C9F4BD" w:rsidR="00757D9B" w:rsidRPr="00406710" w:rsidRDefault="00B572F1" w:rsidP="00B572F1">
            <w:pPr>
              <w:spacing w:line="276" w:lineRule="auto"/>
              <w:rPr>
                <w:rFonts w:ascii="Tahoma" w:hAnsi="Tahoma" w:cs="Tahoma"/>
                <w:b/>
                <w:bCs/>
                <w:sz w:val="18"/>
                <w:szCs w:val="18"/>
                <w:lang w:val="en-US"/>
              </w:rPr>
            </w:pPr>
            <w:r w:rsidRPr="00B572F1">
              <w:rPr>
                <w:rFonts w:ascii="Tahoma" w:hAnsi="Tahoma" w:cs="Tahoma"/>
                <w:b/>
                <w:bCs/>
                <w:sz w:val="18"/>
                <w:szCs w:val="18"/>
                <w:lang w:val="en-US"/>
              </w:rPr>
              <w:t>REF:</w:t>
            </w:r>
            <w:r w:rsidR="009669B7">
              <w:rPr>
                <w:rFonts w:ascii="Tahoma" w:hAnsi="Tahoma" w:cs="Tahoma"/>
                <w:b/>
                <w:bCs/>
                <w:sz w:val="18"/>
                <w:szCs w:val="18"/>
                <w:lang w:val="en-US"/>
              </w:rPr>
              <w:t xml:space="preserve"> </w:t>
            </w:r>
            <w:r w:rsidR="00406710">
              <w:rPr>
                <w:rFonts w:ascii="Tahoma" w:hAnsi="Tahoma" w:cs="Tahoma"/>
                <w:b/>
                <w:bCs/>
                <w:sz w:val="18"/>
                <w:szCs w:val="18"/>
                <w:lang w:val="en-US"/>
              </w:rPr>
              <w:t>RPT</w:t>
            </w:r>
            <w:r w:rsidR="009669B7">
              <w:rPr>
                <w:rFonts w:ascii="Tahoma" w:hAnsi="Tahoma" w:cs="Tahoma"/>
                <w:b/>
                <w:bCs/>
                <w:sz w:val="18"/>
                <w:szCs w:val="18"/>
                <w:lang w:val="en-US"/>
              </w:rPr>
              <w:t xml:space="preserve"> </w:t>
            </w:r>
            <w:r w:rsidRPr="00B572F1">
              <w:rPr>
                <w:rFonts w:ascii="Tahoma" w:hAnsi="Tahoma" w:cs="Tahoma"/>
                <w:b/>
                <w:bCs/>
                <w:sz w:val="18"/>
                <w:szCs w:val="18"/>
                <w:lang w:val="en-US"/>
              </w:rPr>
              <w:t>20</w:t>
            </w:r>
            <w:r w:rsidR="007A527F">
              <w:rPr>
                <w:rFonts w:ascii="Tahoma" w:hAnsi="Tahoma" w:cs="Tahoma"/>
                <w:b/>
                <w:bCs/>
                <w:sz w:val="18"/>
                <w:szCs w:val="18"/>
                <w:lang w:val="en-US"/>
              </w:rPr>
              <w:t>20</w:t>
            </w:r>
            <w:r w:rsidRPr="00B572F1">
              <w:rPr>
                <w:rFonts w:ascii="Tahoma" w:hAnsi="Tahoma" w:cs="Tahoma"/>
                <w:b/>
                <w:bCs/>
                <w:sz w:val="18"/>
                <w:szCs w:val="18"/>
                <w:lang w:val="en-US"/>
              </w:rPr>
              <w:t>/</w:t>
            </w:r>
            <w:r w:rsidR="0062684F">
              <w:rPr>
                <w:rFonts w:ascii="Tahoma" w:hAnsi="Tahoma" w:cs="Tahoma"/>
                <w:b/>
                <w:bCs/>
                <w:sz w:val="18"/>
                <w:szCs w:val="18"/>
                <w:lang w:val="en-US"/>
              </w:rPr>
              <w:t>05</w:t>
            </w:r>
            <w:r w:rsidRPr="00B572F1">
              <w:rPr>
                <w:rFonts w:ascii="Tahoma" w:hAnsi="Tahoma" w:cs="Tahoma"/>
                <w:b/>
                <w:bCs/>
                <w:sz w:val="18"/>
                <w:szCs w:val="18"/>
                <w:lang w:val="en-US"/>
              </w:rPr>
              <w:t>/</w:t>
            </w:r>
            <w:r w:rsidR="0062684F">
              <w:rPr>
                <w:rFonts w:ascii="Tahoma" w:hAnsi="Tahoma" w:cs="Tahoma"/>
                <w:b/>
                <w:bCs/>
                <w:sz w:val="18"/>
                <w:szCs w:val="18"/>
                <w:lang w:val="en-US"/>
              </w:rPr>
              <w:t>118</w:t>
            </w:r>
          </w:p>
        </w:tc>
      </w:tr>
    </w:tbl>
    <w:p w14:paraId="60D8407E" w14:textId="77777777" w:rsidR="00452433" w:rsidRDefault="00452433" w:rsidP="005A1B8B">
      <w:pPr>
        <w:spacing w:after="240" w:line="276" w:lineRule="auto"/>
        <w:jc w:val="center"/>
        <w:rPr>
          <w:rFonts w:ascii="Tahoma" w:hAnsi="Tahoma" w:cs="Tahoma"/>
          <w:b/>
          <w:bCs/>
          <w:sz w:val="28"/>
          <w:szCs w:val="28"/>
          <w:rtl/>
          <w:lang w:val="en-GB"/>
        </w:rPr>
      </w:pPr>
    </w:p>
    <w:p w14:paraId="53DE5C35" w14:textId="681180D7" w:rsidR="00406710" w:rsidRPr="00D80B90" w:rsidRDefault="0062684F" w:rsidP="0062684F">
      <w:pPr>
        <w:shd w:val="clear" w:color="auto" w:fill="FFFFFF"/>
        <w:spacing w:after="200" w:line="276" w:lineRule="auto"/>
        <w:jc w:val="center"/>
        <w:rPr>
          <w:rFonts w:ascii="Tahoma" w:hAnsi="Tahoma" w:cs="Tahoma"/>
          <w:color w:val="000000"/>
          <w:sz w:val="28"/>
          <w:szCs w:val="28"/>
        </w:rPr>
      </w:pPr>
      <w:r w:rsidRPr="00D80B90">
        <w:rPr>
          <w:rFonts w:ascii="Tahoma" w:hAnsi="Tahoma" w:cs="Tahoma"/>
          <w:b/>
          <w:bCs/>
          <w:color w:val="000000"/>
          <w:sz w:val="28"/>
          <w:szCs w:val="28"/>
        </w:rPr>
        <w:t xml:space="preserve">Libyan </w:t>
      </w:r>
      <w:r w:rsidR="00406710" w:rsidRPr="00D80B90">
        <w:rPr>
          <w:rFonts w:ascii="Tahoma" w:hAnsi="Tahoma" w:cs="Tahoma"/>
          <w:b/>
          <w:bCs/>
          <w:color w:val="000000"/>
          <w:sz w:val="28"/>
          <w:szCs w:val="28"/>
        </w:rPr>
        <w:t xml:space="preserve">Legislation or </w:t>
      </w:r>
      <w:r w:rsidRPr="00D80B90">
        <w:rPr>
          <w:rFonts w:ascii="Tahoma" w:hAnsi="Tahoma" w:cs="Tahoma"/>
          <w:b/>
          <w:bCs/>
          <w:color w:val="000000"/>
          <w:sz w:val="28"/>
          <w:szCs w:val="28"/>
        </w:rPr>
        <w:t>P</w:t>
      </w:r>
      <w:r w:rsidR="00406710" w:rsidRPr="00D80B90">
        <w:rPr>
          <w:rFonts w:ascii="Tahoma" w:hAnsi="Tahoma" w:cs="Tahoma"/>
          <w:b/>
          <w:bCs/>
          <w:color w:val="000000"/>
          <w:sz w:val="28"/>
          <w:szCs w:val="28"/>
        </w:rPr>
        <w:t>olicies that prohibit or restrict the use of immigration detention of children and their families</w:t>
      </w:r>
      <w:r w:rsidR="00406710" w:rsidRPr="00D80B90">
        <w:rPr>
          <w:rFonts w:ascii="Tahoma" w:hAnsi="Tahoma" w:cs="Tahoma"/>
          <w:color w:val="000000"/>
          <w:sz w:val="28"/>
          <w:szCs w:val="28"/>
        </w:rPr>
        <w:t>;</w:t>
      </w:r>
    </w:p>
    <w:p w14:paraId="3C53CEC7" w14:textId="77777777" w:rsidR="00D80B90" w:rsidRDefault="00D80B90" w:rsidP="0062684F">
      <w:pPr>
        <w:spacing w:after="200" w:line="276" w:lineRule="auto"/>
        <w:rPr>
          <w:rFonts w:ascii="Tahoma" w:hAnsi="Tahoma" w:cs="Tahoma"/>
          <w:b/>
          <w:bCs/>
          <w:szCs w:val="24"/>
        </w:rPr>
      </w:pPr>
    </w:p>
    <w:p w14:paraId="0D450681" w14:textId="6AB1A6AB" w:rsidR="00916594" w:rsidRPr="001B4FF6" w:rsidRDefault="00916594" w:rsidP="0062684F">
      <w:pPr>
        <w:spacing w:after="200" w:line="276" w:lineRule="auto"/>
        <w:rPr>
          <w:rFonts w:ascii="Tahoma" w:hAnsi="Tahoma" w:cs="Tahoma"/>
          <w:b/>
          <w:bCs/>
          <w:szCs w:val="24"/>
        </w:rPr>
      </w:pPr>
      <w:r w:rsidRPr="001B4FF6">
        <w:rPr>
          <w:rFonts w:ascii="Tahoma" w:hAnsi="Tahoma" w:cs="Tahoma"/>
          <w:b/>
          <w:bCs/>
          <w:szCs w:val="24"/>
        </w:rPr>
        <w:t>Preface:</w:t>
      </w:r>
    </w:p>
    <w:p w14:paraId="642FD9B9" w14:textId="77777777" w:rsidR="00B8618B" w:rsidRDefault="00406710" w:rsidP="00B8618B">
      <w:pPr>
        <w:spacing w:after="200" w:line="276" w:lineRule="auto"/>
        <w:jc w:val="both"/>
        <w:rPr>
          <w:rFonts w:ascii="Tahoma" w:hAnsi="Tahoma" w:cs="Tahoma"/>
          <w:szCs w:val="24"/>
        </w:rPr>
      </w:pPr>
      <w:r w:rsidRPr="0062684F">
        <w:rPr>
          <w:rFonts w:ascii="Tahoma" w:hAnsi="Tahoma" w:cs="Tahoma"/>
          <w:szCs w:val="24"/>
        </w:rPr>
        <w:t xml:space="preserve">In </w:t>
      </w:r>
      <w:r w:rsidR="00916594">
        <w:rPr>
          <w:rFonts w:ascii="Tahoma" w:hAnsi="Tahoma" w:cs="Tahoma"/>
          <w:szCs w:val="24"/>
        </w:rPr>
        <w:t>g</w:t>
      </w:r>
      <w:r w:rsidRPr="0062684F">
        <w:rPr>
          <w:rFonts w:ascii="Tahoma" w:hAnsi="Tahoma" w:cs="Tahoma"/>
          <w:szCs w:val="24"/>
        </w:rPr>
        <w:t>eneral</w:t>
      </w:r>
      <w:r w:rsidR="00916594">
        <w:rPr>
          <w:rFonts w:ascii="Tahoma" w:hAnsi="Tahoma" w:cs="Tahoma"/>
          <w:szCs w:val="24"/>
        </w:rPr>
        <w:t>,</w:t>
      </w:r>
      <w:r w:rsidRPr="0062684F">
        <w:rPr>
          <w:rFonts w:ascii="Tahoma" w:hAnsi="Tahoma" w:cs="Tahoma"/>
          <w:szCs w:val="24"/>
        </w:rPr>
        <w:t xml:space="preserve"> Libyan legislation lack clear articles that address the issues</w:t>
      </w:r>
      <w:r w:rsidR="00916594">
        <w:rPr>
          <w:rFonts w:ascii="Tahoma" w:hAnsi="Tahoma" w:cs="Tahoma"/>
          <w:szCs w:val="24"/>
        </w:rPr>
        <w:t xml:space="preserve"> and rights </w:t>
      </w:r>
      <w:r w:rsidRPr="0062684F">
        <w:rPr>
          <w:rFonts w:ascii="Tahoma" w:hAnsi="Tahoma" w:cs="Tahoma"/>
          <w:szCs w:val="24"/>
        </w:rPr>
        <w:t xml:space="preserve">of </w:t>
      </w:r>
      <w:r w:rsidR="00916594">
        <w:rPr>
          <w:rFonts w:ascii="Tahoma" w:hAnsi="Tahoma" w:cs="Tahoma"/>
          <w:szCs w:val="24"/>
        </w:rPr>
        <w:t>m</w:t>
      </w:r>
      <w:r w:rsidRPr="0062684F">
        <w:rPr>
          <w:rFonts w:ascii="Tahoma" w:hAnsi="Tahoma" w:cs="Tahoma"/>
          <w:szCs w:val="24"/>
        </w:rPr>
        <w:t>igra</w:t>
      </w:r>
      <w:r w:rsidR="00916594">
        <w:rPr>
          <w:rFonts w:ascii="Tahoma" w:hAnsi="Tahoma" w:cs="Tahoma"/>
          <w:szCs w:val="24"/>
        </w:rPr>
        <w:t>n</w:t>
      </w:r>
      <w:r w:rsidRPr="0062684F">
        <w:rPr>
          <w:rFonts w:ascii="Tahoma" w:hAnsi="Tahoma" w:cs="Tahoma"/>
          <w:szCs w:val="24"/>
        </w:rPr>
        <w:t>t child</w:t>
      </w:r>
      <w:r w:rsidR="00916594">
        <w:rPr>
          <w:rFonts w:ascii="Tahoma" w:hAnsi="Tahoma" w:cs="Tahoma"/>
          <w:szCs w:val="24"/>
        </w:rPr>
        <w:t>ren,</w:t>
      </w:r>
      <w:r w:rsidRPr="0062684F">
        <w:rPr>
          <w:rFonts w:ascii="Tahoma" w:hAnsi="Tahoma" w:cs="Tahoma"/>
          <w:szCs w:val="24"/>
        </w:rPr>
        <w:t xml:space="preserve"> including the </w:t>
      </w:r>
      <w:r w:rsidR="00916594">
        <w:rPr>
          <w:rFonts w:ascii="Tahoma" w:hAnsi="Tahoma" w:cs="Tahoma"/>
          <w:szCs w:val="24"/>
        </w:rPr>
        <w:t>right to education and health services,</w:t>
      </w:r>
      <w:r w:rsidRPr="0062684F">
        <w:rPr>
          <w:rFonts w:ascii="Tahoma" w:hAnsi="Tahoma" w:cs="Tahoma"/>
          <w:szCs w:val="24"/>
        </w:rPr>
        <w:t xml:space="preserve"> and prevention from detention. </w:t>
      </w:r>
      <w:r w:rsidR="00916594">
        <w:rPr>
          <w:rFonts w:ascii="Tahoma" w:hAnsi="Tahoma" w:cs="Tahoma"/>
          <w:szCs w:val="24"/>
        </w:rPr>
        <w:t xml:space="preserve">All Libyan laws </w:t>
      </w:r>
      <w:r w:rsidRPr="0062684F">
        <w:rPr>
          <w:rFonts w:ascii="Tahoma" w:hAnsi="Tahoma" w:cs="Tahoma"/>
          <w:szCs w:val="24"/>
        </w:rPr>
        <w:t>and decrees</w:t>
      </w:r>
      <w:r w:rsidR="00916594">
        <w:rPr>
          <w:rFonts w:ascii="Tahoma" w:hAnsi="Tahoma" w:cs="Tahoma"/>
          <w:szCs w:val="24"/>
        </w:rPr>
        <w:t>,</w:t>
      </w:r>
      <w:r w:rsidRPr="0062684F">
        <w:rPr>
          <w:rFonts w:ascii="Tahoma" w:hAnsi="Tahoma" w:cs="Tahoma"/>
          <w:szCs w:val="24"/>
        </w:rPr>
        <w:t xml:space="preserve"> that concern </w:t>
      </w:r>
      <w:r w:rsidR="00916594">
        <w:rPr>
          <w:rFonts w:ascii="Tahoma" w:hAnsi="Tahoma" w:cs="Tahoma"/>
          <w:szCs w:val="24"/>
        </w:rPr>
        <w:t xml:space="preserve">the </w:t>
      </w:r>
      <w:r w:rsidRPr="0062684F">
        <w:rPr>
          <w:rFonts w:ascii="Tahoma" w:hAnsi="Tahoma" w:cs="Tahoma"/>
          <w:szCs w:val="24"/>
        </w:rPr>
        <w:t>child</w:t>
      </w:r>
      <w:r w:rsidR="00916594">
        <w:rPr>
          <w:rFonts w:ascii="Tahoma" w:hAnsi="Tahoma" w:cs="Tahoma"/>
          <w:szCs w:val="24"/>
        </w:rPr>
        <w:t xml:space="preserve">, </w:t>
      </w:r>
      <w:r w:rsidR="00B8618B">
        <w:rPr>
          <w:rFonts w:ascii="Tahoma" w:hAnsi="Tahoma" w:cs="Tahoma"/>
          <w:szCs w:val="24"/>
        </w:rPr>
        <w:t>are written without any restrictions based on</w:t>
      </w:r>
      <w:r w:rsidR="00102545">
        <w:rPr>
          <w:rFonts w:ascii="Tahoma" w:hAnsi="Tahoma" w:cs="Tahoma"/>
          <w:szCs w:val="24"/>
        </w:rPr>
        <w:t xml:space="preserve"> residency or citizenship </w:t>
      </w:r>
      <w:r w:rsidR="00B8618B">
        <w:rPr>
          <w:rFonts w:ascii="Tahoma" w:hAnsi="Tahoma" w:cs="Tahoma"/>
          <w:szCs w:val="24"/>
        </w:rPr>
        <w:t>status</w:t>
      </w:r>
      <w:r w:rsidR="00102545">
        <w:rPr>
          <w:rFonts w:ascii="Tahoma" w:hAnsi="Tahoma" w:cs="Tahoma"/>
          <w:szCs w:val="24"/>
        </w:rPr>
        <w:t xml:space="preserve">. Further, </w:t>
      </w:r>
      <w:r w:rsidR="00F811BB" w:rsidRPr="0062684F">
        <w:rPr>
          <w:rFonts w:ascii="Tahoma" w:hAnsi="Tahoma" w:cs="Tahoma"/>
          <w:szCs w:val="24"/>
        </w:rPr>
        <w:t>Libya has</w:t>
      </w:r>
      <w:r w:rsidR="00F811BB">
        <w:rPr>
          <w:rFonts w:ascii="Tahoma" w:hAnsi="Tahoma" w:cs="Tahoma"/>
          <w:szCs w:val="24"/>
        </w:rPr>
        <w:t xml:space="preserve"> </w:t>
      </w:r>
      <w:r w:rsidR="00F811BB" w:rsidRPr="0062684F">
        <w:rPr>
          <w:rFonts w:ascii="Tahoma" w:hAnsi="Tahoma" w:cs="Tahoma"/>
          <w:szCs w:val="24"/>
        </w:rPr>
        <w:t>ratified international conventions that guarantee the rights of the Child</w:t>
      </w:r>
      <w:r w:rsidR="00F811BB">
        <w:rPr>
          <w:rFonts w:ascii="Tahoma" w:hAnsi="Tahoma" w:cs="Tahoma"/>
          <w:szCs w:val="24"/>
        </w:rPr>
        <w:t xml:space="preserve">, regardless of citizenship and </w:t>
      </w:r>
      <w:r w:rsidR="00B8618B">
        <w:rPr>
          <w:rFonts w:ascii="Tahoma" w:hAnsi="Tahoma" w:cs="Tahoma"/>
          <w:szCs w:val="24"/>
        </w:rPr>
        <w:t xml:space="preserve">residency status. But the problem in Libya, is that authorities interpret the laws as if that they are exclusively concern Libyan children. </w:t>
      </w:r>
    </w:p>
    <w:p w14:paraId="32925F3E" w14:textId="38A34598" w:rsidR="00406710" w:rsidRPr="0062684F" w:rsidRDefault="00406710" w:rsidP="00D80B90">
      <w:pPr>
        <w:spacing w:after="200" w:line="276" w:lineRule="auto"/>
        <w:jc w:val="both"/>
        <w:rPr>
          <w:rFonts w:ascii="Tahoma" w:hAnsi="Tahoma" w:cs="Tahoma"/>
          <w:szCs w:val="24"/>
        </w:rPr>
      </w:pPr>
      <w:r w:rsidRPr="0062684F">
        <w:rPr>
          <w:rFonts w:ascii="Tahoma" w:hAnsi="Tahoma" w:cs="Tahoma"/>
          <w:szCs w:val="24"/>
        </w:rPr>
        <w:t xml:space="preserve">Ratifying International </w:t>
      </w:r>
      <w:r w:rsidR="00B8618B">
        <w:rPr>
          <w:rFonts w:ascii="Tahoma" w:hAnsi="Tahoma" w:cs="Tahoma"/>
          <w:szCs w:val="24"/>
        </w:rPr>
        <w:t>C</w:t>
      </w:r>
      <w:r w:rsidRPr="0062684F">
        <w:rPr>
          <w:rFonts w:ascii="Tahoma" w:hAnsi="Tahoma" w:cs="Tahoma"/>
          <w:szCs w:val="24"/>
        </w:rPr>
        <w:t>onvention</w:t>
      </w:r>
      <w:r w:rsidR="00B8618B">
        <w:rPr>
          <w:rFonts w:ascii="Tahoma" w:hAnsi="Tahoma" w:cs="Tahoma"/>
          <w:szCs w:val="24"/>
        </w:rPr>
        <w:t>s</w:t>
      </w:r>
      <w:r w:rsidRPr="0062684F">
        <w:rPr>
          <w:rFonts w:ascii="Tahoma" w:hAnsi="Tahoma" w:cs="Tahoma"/>
          <w:szCs w:val="24"/>
        </w:rPr>
        <w:t xml:space="preserve"> is a positive step but there is no adherence or fulfillment by the state to its </w:t>
      </w:r>
      <w:r w:rsidR="00492D35">
        <w:rPr>
          <w:rFonts w:ascii="Tahoma" w:hAnsi="Tahoma" w:cs="Tahoma"/>
          <w:szCs w:val="24"/>
        </w:rPr>
        <w:t>i</w:t>
      </w:r>
      <w:r w:rsidRPr="0062684F">
        <w:rPr>
          <w:rFonts w:ascii="Tahoma" w:hAnsi="Tahoma" w:cs="Tahoma"/>
          <w:szCs w:val="24"/>
        </w:rPr>
        <w:t>nternational obligation</w:t>
      </w:r>
      <w:r w:rsidR="00492D35">
        <w:rPr>
          <w:rFonts w:ascii="Tahoma" w:hAnsi="Tahoma" w:cs="Tahoma"/>
          <w:szCs w:val="24"/>
        </w:rPr>
        <w:t>s.</w:t>
      </w:r>
      <w:r w:rsidRPr="0062684F">
        <w:rPr>
          <w:rFonts w:ascii="Tahoma" w:hAnsi="Tahoma" w:cs="Tahoma"/>
          <w:szCs w:val="24"/>
        </w:rPr>
        <w:t xml:space="preserve"> </w:t>
      </w:r>
    </w:p>
    <w:p w14:paraId="20293FA5" w14:textId="77777777" w:rsidR="001B4FF6" w:rsidRDefault="001B4FF6" w:rsidP="0029496D">
      <w:pPr>
        <w:suppressAutoHyphens w:val="0"/>
        <w:spacing w:after="200" w:line="276" w:lineRule="auto"/>
        <w:rPr>
          <w:rFonts w:ascii="Tahoma" w:hAnsi="Tahoma" w:cs="Tahoma"/>
          <w:b/>
          <w:bCs/>
          <w:szCs w:val="24"/>
        </w:rPr>
      </w:pPr>
    </w:p>
    <w:p w14:paraId="345C8C77" w14:textId="3FD31714" w:rsidR="00406710" w:rsidRPr="0029496D" w:rsidRDefault="00406710" w:rsidP="0029496D">
      <w:pPr>
        <w:suppressAutoHyphens w:val="0"/>
        <w:spacing w:after="200" w:line="276" w:lineRule="auto"/>
        <w:rPr>
          <w:rFonts w:ascii="Tahoma" w:hAnsi="Tahoma" w:cs="Tahoma"/>
          <w:szCs w:val="24"/>
        </w:rPr>
      </w:pPr>
      <w:r w:rsidRPr="0029496D">
        <w:rPr>
          <w:rFonts w:ascii="Tahoma" w:hAnsi="Tahoma" w:cs="Tahoma"/>
          <w:b/>
          <w:bCs/>
          <w:szCs w:val="24"/>
        </w:rPr>
        <w:t xml:space="preserve">Decrees and National Laws on </w:t>
      </w:r>
      <w:r w:rsidR="00492D35" w:rsidRPr="0029496D">
        <w:rPr>
          <w:rFonts w:ascii="Tahoma" w:hAnsi="Tahoma" w:cs="Tahoma"/>
          <w:b/>
          <w:bCs/>
          <w:szCs w:val="24"/>
        </w:rPr>
        <w:t>the</w:t>
      </w:r>
      <w:r w:rsidRPr="0029496D">
        <w:rPr>
          <w:rFonts w:ascii="Tahoma" w:hAnsi="Tahoma" w:cs="Tahoma"/>
          <w:b/>
          <w:bCs/>
          <w:szCs w:val="24"/>
        </w:rPr>
        <w:t xml:space="preserve"> protection of </w:t>
      </w:r>
      <w:r w:rsidR="00492D35" w:rsidRPr="0029496D">
        <w:rPr>
          <w:rFonts w:ascii="Tahoma" w:hAnsi="Tahoma" w:cs="Tahoma"/>
          <w:b/>
          <w:bCs/>
          <w:szCs w:val="24"/>
        </w:rPr>
        <w:t>the rights of the</w:t>
      </w:r>
      <w:r w:rsidRPr="0029496D">
        <w:rPr>
          <w:rFonts w:ascii="Tahoma" w:hAnsi="Tahoma" w:cs="Tahoma"/>
          <w:b/>
          <w:bCs/>
          <w:szCs w:val="24"/>
        </w:rPr>
        <w:t xml:space="preserve"> Child</w:t>
      </w:r>
      <w:r w:rsidR="00492D35" w:rsidRPr="0029496D">
        <w:rPr>
          <w:rFonts w:ascii="Tahoma" w:hAnsi="Tahoma" w:cs="Tahoma"/>
          <w:szCs w:val="24"/>
        </w:rPr>
        <w:t>:</w:t>
      </w:r>
    </w:p>
    <w:p w14:paraId="65B698BB" w14:textId="04A89596" w:rsidR="00E71F04" w:rsidRDefault="00492D35" w:rsidP="0029496D">
      <w:pPr>
        <w:pStyle w:val="ListParagraph"/>
        <w:numPr>
          <w:ilvl w:val="0"/>
          <w:numId w:val="10"/>
        </w:numPr>
        <w:suppressAutoHyphens w:val="0"/>
        <w:spacing w:after="200" w:line="276" w:lineRule="auto"/>
        <w:jc w:val="both"/>
        <w:rPr>
          <w:rFonts w:ascii="Tahoma" w:hAnsi="Tahoma" w:cs="Tahoma"/>
          <w:szCs w:val="24"/>
        </w:rPr>
      </w:pPr>
      <w:r w:rsidRPr="00F91BD0">
        <w:rPr>
          <w:rFonts w:ascii="Tahoma" w:hAnsi="Tahoma" w:cs="Tahoma"/>
          <w:szCs w:val="24"/>
        </w:rPr>
        <w:t xml:space="preserve"> </w:t>
      </w:r>
      <w:r w:rsidR="00406710" w:rsidRPr="00F91BD0">
        <w:rPr>
          <w:rFonts w:ascii="Tahoma" w:hAnsi="Tahoma" w:cs="Tahoma"/>
          <w:color w:val="5A5A5A"/>
          <w:szCs w:val="24"/>
          <w:shd w:val="clear" w:color="auto" w:fill="FFFFFF"/>
        </w:rPr>
        <w:t xml:space="preserve">Law No. (12) </w:t>
      </w:r>
      <w:r w:rsidRPr="00F91BD0">
        <w:rPr>
          <w:rFonts w:ascii="Tahoma" w:hAnsi="Tahoma" w:cs="Tahoma"/>
          <w:color w:val="5A5A5A"/>
          <w:szCs w:val="24"/>
          <w:shd w:val="clear" w:color="auto" w:fill="FFFFFF"/>
        </w:rPr>
        <w:t xml:space="preserve">of </w:t>
      </w:r>
      <w:r w:rsidR="00406710" w:rsidRPr="00F91BD0">
        <w:rPr>
          <w:rFonts w:ascii="Tahoma" w:hAnsi="Tahoma" w:cs="Tahoma"/>
          <w:szCs w:val="24"/>
        </w:rPr>
        <w:t>2010</w:t>
      </w:r>
      <w:r w:rsidRPr="00F91BD0">
        <w:rPr>
          <w:rFonts w:ascii="Tahoma" w:hAnsi="Tahoma" w:cs="Tahoma"/>
          <w:szCs w:val="24"/>
        </w:rPr>
        <w:t>, Article (27)</w:t>
      </w:r>
      <w:r w:rsidR="00E71F04">
        <w:rPr>
          <w:rStyle w:val="EndnoteReference"/>
          <w:rFonts w:ascii="Tahoma" w:hAnsi="Tahoma" w:cs="Tahoma"/>
          <w:szCs w:val="24"/>
        </w:rPr>
        <w:endnoteReference w:id="1"/>
      </w:r>
      <w:r w:rsidR="00E71F04" w:rsidRPr="00F91BD0">
        <w:rPr>
          <w:rFonts w:ascii="Tahoma" w:hAnsi="Tahoma" w:cs="Tahoma"/>
          <w:szCs w:val="24"/>
        </w:rPr>
        <w:t>: “A person under the age of eighteen years may not engage in any kind of work. As an exception to the provision of the preceding paragraph, juveniles may be allowed to work upon completing sixteen years, provided his health, safety, and morals are maintained and provided he is employed to receive vocational education or training”</w:t>
      </w:r>
      <w:r w:rsidR="00E71F04">
        <w:rPr>
          <w:rFonts w:ascii="Tahoma" w:hAnsi="Tahoma" w:cs="Tahoma"/>
          <w:szCs w:val="24"/>
        </w:rPr>
        <w:t>.</w:t>
      </w:r>
    </w:p>
    <w:p w14:paraId="7FF0E048" w14:textId="1E38AFE6" w:rsidR="00E71F04" w:rsidRPr="00216678" w:rsidRDefault="00E71F04" w:rsidP="001B4FF6">
      <w:pPr>
        <w:pStyle w:val="ListParagraph"/>
        <w:numPr>
          <w:ilvl w:val="0"/>
          <w:numId w:val="10"/>
        </w:numPr>
        <w:suppressAutoHyphens w:val="0"/>
        <w:spacing w:after="200" w:line="276" w:lineRule="auto"/>
        <w:jc w:val="both"/>
        <w:rPr>
          <w:rFonts w:ascii="Tahoma" w:hAnsi="Tahoma" w:cs="Tahoma"/>
          <w:szCs w:val="24"/>
        </w:rPr>
      </w:pPr>
      <w:r w:rsidRPr="00216678">
        <w:rPr>
          <w:rFonts w:ascii="Tahoma" w:hAnsi="Tahoma" w:cs="Tahoma"/>
          <w:color w:val="5A5A5A"/>
          <w:szCs w:val="24"/>
          <w:shd w:val="clear" w:color="auto" w:fill="FFFFFF"/>
        </w:rPr>
        <w:t>The General People's Committee</w:t>
      </w:r>
      <w:r>
        <w:rPr>
          <w:rStyle w:val="EndnoteReference"/>
          <w:rFonts w:ascii="Tahoma" w:hAnsi="Tahoma" w:cs="Tahoma"/>
          <w:color w:val="5A5A5A"/>
          <w:szCs w:val="24"/>
          <w:shd w:val="clear" w:color="auto" w:fill="FFFFFF"/>
        </w:rPr>
        <w:endnoteReference w:id="2"/>
      </w:r>
      <w:r w:rsidRPr="00216678">
        <w:rPr>
          <w:rFonts w:ascii="Tahoma" w:hAnsi="Tahoma" w:cs="Tahoma"/>
          <w:color w:val="5A5A5A"/>
          <w:szCs w:val="24"/>
          <w:shd w:val="clear" w:color="auto" w:fill="FFFFFF"/>
        </w:rPr>
        <w:t xml:space="preserve"> issued Decree No. (979)</w:t>
      </w:r>
      <w:r>
        <w:rPr>
          <w:rStyle w:val="EndnoteReference"/>
          <w:rFonts w:ascii="Tahoma" w:hAnsi="Tahoma" w:cs="Tahoma"/>
          <w:color w:val="5A5A5A"/>
          <w:szCs w:val="24"/>
          <w:shd w:val="clear" w:color="auto" w:fill="FFFFFF"/>
        </w:rPr>
        <w:endnoteReference w:id="3"/>
      </w:r>
      <w:r w:rsidRPr="00216678">
        <w:rPr>
          <w:rFonts w:ascii="Tahoma" w:hAnsi="Tahoma" w:cs="Tahoma"/>
          <w:color w:val="5A5A5A"/>
          <w:szCs w:val="24"/>
          <w:shd w:val="clear" w:color="auto" w:fill="FFFFFF"/>
        </w:rPr>
        <w:t xml:space="preserve"> of 1993 forming “The Supreme National Committee for Family Care”, chaired by the Assistant Secretary for Women's Affairs at the Secretariat of the General People's Congress</w:t>
      </w:r>
      <w:r>
        <w:rPr>
          <w:rStyle w:val="EndnoteReference"/>
          <w:rFonts w:ascii="Tahoma" w:hAnsi="Tahoma" w:cs="Tahoma"/>
          <w:color w:val="5A5A5A"/>
          <w:szCs w:val="24"/>
          <w:shd w:val="clear" w:color="auto" w:fill="FFFFFF"/>
        </w:rPr>
        <w:endnoteReference w:id="4"/>
      </w:r>
      <w:r w:rsidRPr="00216678">
        <w:rPr>
          <w:rFonts w:ascii="Tahoma" w:hAnsi="Tahoma" w:cs="Tahoma"/>
          <w:color w:val="5A5A5A"/>
          <w:szCs w:val="24"/>
          <w:shd w:val="clear" w:color="auto" w:fill="FFFFFF"/>
        </w:rPr>
        <w:t>. Members of this supreme committee included; the Coordinator of the Supreme Committee for Childhood, the Secretary</w:t>
      </w:r>
      <w:r>
        <w:rPr>
          <w:rStyle w:val="EndnoteReference"/>
          <w:rFonts w:ascii="Tahoma" w:hAnsi="Tahoma" w:cs="Tahoma"/>
          <w:color w:val="5A5A5A"/>
          <w:szCs w:val="24"/>
          <w:shd w:val="clear" w:color="auto" w:fill="FFFFFF"/>
        </w:rPr>
        <w:endnoteReference w:id="5"/>
      </w:r>
      <w:r w:rsidRPr="00216678">
        <w:rPr>
          <w:rFonts w:ascii="Tahoma" w:hAnsi="Tahoma" w:cs="Tahoma"/>
          <w:color w:val="5A5A5A"/>
          <w:szCs w:val="24"/>
          <w:shd w:val="clear" w:color="auto" w:fill="FFFFFF"/>
        </w:rPr>
        <w:t xml:space="preserve"> of Health and Social Security, the Secretary of the Public Authority for Social Affairs, and three family sociology experts. The Supreme National Committee for Family Care was assigned several tasks, including drawing plans and programs necessary to care for the family, the most important of which are:</w:t>
      </w:r>
    </w:p>
    <w:p w14:paraId="155E7044" w14:textId="77777777" w:rsidR="00E71F04" w:rsidRPr="00216678" w:rsidRDefault="00E71F04" w:rsidP="00216678">
      <w:pPr>
        <w:pStyle w:val="ListParagraph"/>
        <w:numPr>
          <w:ilvl w:val="1"/>
          <w:numId w:val="10"/>
        </w:numPr>
        <w:suppressAutoHyphens w:val="0"/>
        <w:spacing w:after="200" w:line="276" w:lineRule="auto"/>
        <w:jc w:val="both"/>
        <w:rPr>
          <w:rFonts w:ascii="Tahoma" w:hAnsi="Tahoma" w:cs="Tahoma"/>
          <w:szCs w:val="24"/>
        </w:rPr>
      </w:pPr>
      <w:r w:rsidRPr="00216678">
        <w:rPr>
          <w:rFonts w:ascii="Tahoma" w:hAnsi="Tahoma" w:cs="Tahoma"/>
          <w:color w:val="5A5A5A"/>
          <w:szCs w:val="24"/>
          <w:shd w:val="clear" w:color="auto" w:fill="FFFFFF"/>
        </w:rPr>
        <w:t xml:space="preserve">Grants the powers and the authority of law enforcement officers to enforce the law on the protection of children and monitor entities and individuals who are </w:t>
      </w:r>
      <w:r w:rsidRPr="00216678">
        <w:rPr>
          <w:rFonts w:ascii="Tahoma" w:hAnsi="Tahoma" w:cs="Tahoma"/>
          <w:color w:val="5A5A5A"/>
          <w:szCs w:val="24"/>
          <w:shd w:val="clear" w:color="auto" w:fill="FFFFFF"/>
        </w:rPr>
        <w:lastRenderedPageBreak/>
        <w:t xml:space="preserve">in charge of the affairs of orphaned children, and the children reported to be victims of domestic abuse or mistreatment, </w:t>
      </w:r>
    </w:p>
    <w:p w14:paraId="5CD6711A" w14:textId="77777777" w:rsidR="00E71F04" w:rsidRPr="00216678" w:rsidRDefault="00E71F04" w:rsidP="00216678">
      <w:pPr>
        <w:pStyle w:val="ListParagraph"/>
        <w:numPr>
          <w:ilvl w:val="1"/>
          <w:numId w:val="10"/>
        </w:numPr>
        <w:suppressAutoHyphens w:val="0"/>
        <w:spacing w:after="200" w:line="276" w:lineRule="auto"/>
        <w:jc w:val="both"/>
        <w:rPr>
          <w:rFonts w:ascii="Tahoma" w:hAnsi="Tahoma" w:cs="Tahoma"/>
          <w:szCs w:val="24"/>
        </w:rPr>
      </w:pPr>
      <w:r w:rsidRPr="0029496D">
        <w:rPr>
          <w:rFonts w:ascii="Tahoma" w:hAnsi="Tahoma" w:cs="Tahoma"/>
          <w:color w:val="5A5A5A"/>
          <w:szCs w:val="24"/>
          <w:shd w:val="clear" w:color="auto" w:fill="FFFFFF"/>
        </w:rPr>
        <w:t>To setup special juvenile courts that have jurisdiction over preventive measures for juveniles, and jurisdiction to try minors over 14 and under 18 years of age,</w:t>
      </w:r>
    </w:p>
    <w:p w14:paraId="6371202E" w14:textId="77777777" w:rsidR="00E71F04" w:rsidRPr="00216678" w:rsidRDefault="00E71F04" w:rsidP="00216678">
      <w:pPr>
        <w:pStyle w:val="ListParagraph"/>
        <w:numPr>
          <w:ilvl w:val="1"/>
          <w:numId w:val="10"/>
        </w:numPr>
        <w:suppressAutoHyphens w:val="0"/>
        <w:spacing w:after="200" w:line="276" w:lineRule="auto"/>
        <w:jc w:val="both"/>
        <w:rPr>
          <w:rFonts w:ascii="Tahoma" w:hAnsi="Tahoma" w:cs="Tahoma"/>
          <w:szCs w:val="24"/>
        </w:rPr>
      </w:pPr>
      <w:r w:rsidRPr="00216678">
        <w:rPr>
          <w:rFonts w:ascii="Tahoma" w:hAnsi="Tahoma" w:cs="Tahoma"/>
          <w:color w:val="5A5A5A"/>
          <w:szCs w:val="24"/>
          <w:shd w:val="clear" w:color="auto" w:fill="FFFFFF"/>
        </w:rPr>
        <w:t xml:space="preserve"> </w:t>
      </w:r>
      <w:r w:rsidRPr="0029496D">
        <w:rPr>
          <w:rFonts w:ascii="Tahoma" w:hAnsi="Tahoma" w:cs="Tahoma"/>
          <w:color w:val="5A5A5A"/>
          <w:szCs w:val="24"/>
          <w:shd w:val="clear" w:color="auto" w:fill="FFFFFF"/>
        </w:rPr>
        <w:t>For cases that require the detention of a minor over the age of 14, the minor must be placed in a reform school, or a designated institution or charity, or in the custody of a trustworthy guardian,</w:t>
      </w:r>
      <w:r w:rsidRPr="00216678">
        <w:rPr>
          <w:rFonts w:ascii="Tahoma" w:hAnsi="Tahoma" w:cs="Tahoma"/>
          <w:color w:val="5A5A5A"/>
          <w:szCs w:val="24"/>
          <w:shd w:val="clear" w:color="auto" w:fill="FFFFFF"/>
        </w:rPr>
        <w:t xml:space="preserve"> </w:t>
      </w:r>
    </w:p>
    <w:p w14:paraId="4B2E215B" w14:textId="77777777" w:rsidR="00E71F04" w:rsidRPr="00216678" w:rsidRDefault="00E71F04" w:rsidP="00216678">
      <w:pPr>
        <w:pStyle w:val="ListParagraph"/>
        <w:numPr>
          <w:ilvl w:val="1"/>
          <w:numId w:val="10"/>
        </w:numPr>
        <w:suppressAutoHyphens w:val="0"/>
        <w:spacing w:after="200" w:line="276" w:lineRule="auto"/>
        <w:jc w:val="both"/>
        <w:rPr>
          <w:rFonts w:ascii="Tahoma" w:hAnsi="Tahoma" w:cs="Tahoma"/>
          <w:szCs w:val="24"/>
        </w:rPr>
      </w:pPr>
      <w:r w:rsidRPr="0029496D">
        <w:rPr>
          <w:rFonts w:ascii="Tahoma" w:hAnsi="Tahoma" w:cs="Tahoma"/>
          <w:color w:val="5A5A5A"/>
          <w:szCs w:val="24"/>
          <w:shd w:val="clear" w:color="auto" w:fill="FFFFFF"/>
        </w:rPr>
        <w:t>The social and the general environment, in which the child was brought up and the reasons for the crime, must be investigated before a sentence is struck,</w:t>
      </w:r>
      <w:r w:rsidRPr="00216678">
        <w:t xml:space="preserve"> </w:t>
      </w:r>
    </w:p>
    <w:p w14:paraId="3A64A3AC" w14:textId="77777777" w:rsidR="00E71F04" w:rsidRPr="00216678" w:rsidRDefault="00E71F04" w:rsidP="00216678">
      <w:pPr>
        <w:pStyle w:val="ListParagraph"/>
        <w:numPr>
          <w:ilvl w:val="1"/>
          <w:numId w:val="10"/>
        </w:numPr>
        <w:suppressAutoHyphens w:val="0"/>
        <w:spacing w:after="200" w:line="276" w:lineRule="auto"/>
        <w:jc w:val="both"/>
        <w:rPr>
          <w:rFonts w:ascii="Tahoma" w:hAnsi="Tahoma" w:cs="Tahoma"/>
          <w:szCs w:val="24"/>
        </w:rPr>
      </w:pPr>
      <w:r w:rsidRPr="00216678">
        <w:rPr>
          <w:rFonts w:ascii="Tahoma" w:hAnsi="Tahoma" w:cs="Tahoma"/>
          <w:color w:val="5A5A5A"/>
          <w:szCs w:val="24"/>
          <w:shd w:val="clear" w:color="auto" w:fill="FFFFFF"/>
        </w:rPr>
        <w:t>The presence of a lawyer must be specified in the felony articles,</w:t>
      </w:r>
      <w:r w:rsidRPr="00216678">
        <w:t xml:space="preserve"> </w:t>
      </w:r>
    </w:p>
    <w:p w14:paraId="603D7E71" w14:textId="77777777" w:rsidR="00E71F04" w:rsidRPr="00216678" w:rsidRDefault="00E71F04" w:rsidP="00216678">
      <w:pPr>
        <w:pStyle w:val="ListParagraph"/>
        <w:numPr>
          <w:ilvl w:val="1"/>
          <w:numId w:val="10"/>
        </w:numPr>
        <w:suppressAutoHyphens w:val="0"/>
        <w:spacing w:after="200" w:line="276" w:lineRule="auto"/>
        <w:jc w:val="both"/>
        <w:rPr>
          <w:rFonts w:ascii="Tahoma" w:hAnsi="Tahoma" w:cs="Tahoma"/>
          <w:szCs w:val="24"/>
        </w:rPr>
      </w:pPr>
      <w:r w:rsidRPr="00216678">
        <w:rPr>
          <w:rFonts w:ascii="Tahoma" w:hAnsi="Tahoma" w:cs="Tahoma"/>
          <w:color w:val="5A5A5A"/>
          <w:szCs w:val="24"/>
          <w:shd w:val="clear" w:color="auto" w:fill="FFFFFF"/>
        </w:rPr>
        <w:t>The juvenile court procedures follow the prescribed procedures in felony cases,</w:t>
      </w:r>
    </w:p>
    <w:p w14:paraId="43B8AA96" w14:textId="77777777" w:rsidR="00E71F04" w:rsidRPr="00216678" w:rsidRDefault="00E71F04" w:rsidP="00216678">
      <w:pPr>
        <w:pStyle w:val="ListParagraph"/>
        <w:numPr>
          <w:ilvl w:val="1"/>
          <w:numId w:val="10"/>
        </w:numPr>
        <w:suppressAutoHyphens w:val="0"/>
        <w:spacing w:after="200" w:line="276" w:lineRule="auto"/>
        <w:jc w:val="both"/>
        <w:rPr>
          <w:rFonts w:ascii="Tahoma" w:hAnsi="Tahoma" w:cs="Tahoma"/>
          <w:szCs w:val="24"/>
        </w:rPr>
      </w:pPr>
      <w:r w:rsidRPr="00216678">
        <w:t xml:space="preserve"> </w:t>
      </w:r>
      <w:r w:rsidRPr="00216678">
        <w:rPr>
          <w:rFonts w:ascii="Tahoma" w:hAnsi="Tahoma" w:cs="Tahoma"/>
          <w:color w:val="5A5A5A"/>
          <w:szCs w:val="24"/>
          <w:shd w:val="clear" w:color="auto" w:fill="FFFFFF"/>
        </w:rPr>
        <w:t>Trial proceedings are attended only by the defendant’s relatives, representatives of charitable organizations concerned with juvenile affairs, and representatives from Ministry of Justice,</w:t>
      </w:r>
      <w:r w:rsidRPr="00216678">
        <w:t xml:space="preserve"> </w:t>
      </w:r>
    </w:p>
    <w:p w14:paraId="52D68C95" w14:textId="77777777" w:rsidR="00E71F04" w:rsidRPr="00216678" w:rsidRDefault="00E71F04" w:rsidP="00216678">
      <w:pPr>
        <w:pStyle w:val="ListParagraph"/>
        <w:numPr>
          <w:ilvl w:val="1"/>
          <w:numId w:val="10"/>
        </w:numPr>
        <w:suppressAutoHyphens w:val="0"/>
        <w:spacing w:after="200" w:line="276" w:lineRule="auto"/>
        <w:jc w:val="both"/>
        <w:rPr>
          <w:rFonts w:ascii="Tahoma" w:hAnsi="Tahoma" w:cs="Tahoma"/>
          <w:szCs w:val="24"/>
        </w:rPr>
      </w:pPr>
      <w:r w:rsidRPr="00216678">
        <w:rPr>
          <w:rFonts w:ascii="Tahoma" w:hAnsi="Tahoma" w:cs="Tahoma"/>
          <w:color w:val="5A5A5A"/>
          <w:szCs w:val="24"/>
          <w:shd w:val="clear" w:color="auto" w:fill="FFFFFF"/>
        </w:rPr>
        <w:t>The verdict is issued in an open hearing, and testimonies of witnesses are heard without the presence of the defendant,</w:t>
      </w:r>
      <w:r w:rsidRPr="00216678">
        <w:t xml:space="preserve"> </w:t>
      </w:r>
    </w:p>
    <w:p w14:paraId="1293A1FE" w14:textId="77777777" w:rsidR="00E71F04" w:rsidRPr="00216678" w:rsidRDefault="00E71F04" w:rsidP="00216678">
      <w:pPr>
        <w:pStyle w:val="ListParagraph"/>
        <w:numPr>
          <w:ilvl w:val="1"/>
          <w:numId w:val="10"/>
        </w:numPr>
        <w:suppressAutoHyphens w:val="0"/>
        <w:spacing w:after="200" w:line="276" w:lineRule="auto"/>
        <w:jc w:val="both"/>
        <w:rPr>
          <w:rFonts w:ascii="Tahoma" w:hAnsi="Tahoma" w:cs="Tahoma"/>
          <w:szCs w:val="24"/>
        </w:rPr>
      </w:pPr>
      <w:r w:rsidRPr="00216678">
        <w:rPr>
          <w:rFonts w:ascii="Tahoma" w:hAnsi="Tahoma" w:cs="Tahoma"/>
          <w:color w:val="5A5A5A"/>
          <w:szCs w:val="24"/>
          <w:shd w:val="clear" w:color="auto" w:fill="FFFFFF"/>
        </w:rPr>
        <w:t>All judicial announcements must be made known to the defendant’s parents or guardians, and they may resort, in the best interest of the child, to all prescribed methods of appeal,</w:t>
      </w:r>
      <w:r w:rsidRPr="00216678">
        <w:t xml:space="preserve"> </w:t>
      </w:r>
    </w:p>
    <w:p w14:paraId="2A954F86" w14:textId="7ECE5E41" w:rsidR="00E71F04" w:rsidRPr="00216678" w:rsidRDefault="00E71F04" w:rsidP="00216678">
      <w:pPr>
        <w:pStyle w:val="ListParagraph"/>
        <w:numPr>
          <w:ilvl w:val="1"/>
          <w:numId w:val="10"/>
        </w:numPr>
        <w:suppressAutoHyphens w:val="0"/>
        <w:spacing w:after="200" w:line="276" w:lineRule="auto"/>
        <w:jc w:val="both"/>
        <w:rPr>
          <w:rFonts w:ascii="Tahoma" w:hAnsi="Tahoma" w:cs="Tahoma"/>
          <w:szCs w:val="24"/>
        </w:rPr>
      </w:pPr>
      <w:r>
        <w:rPr>
          <w:rFonts w:ascii="Tahoma" w:hAnsi="Tahoma" w:cs="Tahoma"/>
          <w:color w:val="5A5A5A"/>
          <w:szCs w:val="24"/>
          <w:shd w:val="clear" w:color="auto" w:fill="FFFFFF"/>
        </w:rPr>
        <w:t xml:space="preserve"> </w:t>
      </w:r>
      <w:r w:rsidRPr="00216678">
        <w:rPr>
          <w:rFonts w:ascii="Tahoma" w:hAnsi="Tahoma" w:cs="Tahoma"/>
          <w:color w:val="5A5A5A"/>
          <w:szCs w:val="24"/>
          <w:shd w:val="clear" w:color="auto" w:fill="FFFFFF"/>
        </w:rPr>
        <w:t>Appeals in juvenile cases must be expediated,</w:t>
      </w:r>
      <w:r w:rsidRPr="00216678">
        <w:t xml:space="preserve"> </w:t>
      </w:r>
    </w:p>
    <w:p w14:paraId="1AA6D26A" w14:textId="10CC0AFE" w:rsidR="00E71F04" w:rsidRPr="00216678" w:rsidRDefault="00E71F04" w:rsidP="00216678">
      <w:pPr>
        <w:pStyle w:val="ListParagraph"/>
        <w:numPr>
          <w:ilvl w:val="1"/>
          <w:numId w:val="10"/>
        </w:numPr>
        <w:suppressAutoHyphens w:val="0"/>
        <w:spacing w:after="200" w:line="276" w:lineRule="auto"/>
        <w:jc w:val="both"/>
        <w:rPr>
          <w:rFonts w:ascii="Tahoma" w:hAnsi="Tahoma" w:cs="Tahoma"/>
          <w:szCs w:val="24"/>
        </w:rPr>
      </w:pPr>
      <w:r>
        <w:rPr>
          <w:rFonts w:ascii="Tahoma" w:hAnsi="Tahoma" w:cs="Tahoma"/>
          <w:color w:val="5A5A5A"/>
          <w:szCs w:val="24"/>
          <w:shd w:val="clear" w:color="auto" w:fill="FFFFFF"/>
        </w:rPr>
        <w:t xml:space="preserve"> </w:t>
      </w:r>
      <w:r w:rsidRPr="00216678">
        <w:rPr>
          <w:rFonts w:ascii="Tahoma" w:hAnsi="Tahoma" w:cs="Tahoma"/>
          <w:color w:val="5A5A5A"/>
          <w:szCs w:val="24"/>
          <w:shd w:val="clear" w:color="auto" w:fill="FFFFFF"/>
        </w:rPr>
        <w:t>Juvenile Court Judge supervises the implementation of the verdicts issued accused juveniles in his court,</w:t>
      </w:r>
      <w:r w:rsidRPr="00216678">
        <w:t xml:space="preserve"> </w:t>
      </w:r>
    </w:p>
    <w:p w14:paraId="756AAD29" w14:textId="7E474FC4" w:rsidR="00E71F04" w:rsidRPr="00216678" w:rsidRDefault="00E71F04" w:rsidP="00216678">
      <w:pPr>
        <w:pStyle w:val="ListParagraph"/>
        <w:numPr>
          <w:ilvl w:val="1"/>
          <w:numId w:val="10"/>
        </w:numPr>
        <w:suppressAutoHyphens w:val="0"/>
        <w:spacing w:after="200" w:line="276" w:lineRule="auto"/>
        <w:jc w:val="both"/>
        <w:rPr>
          <w:rFonts w:ascii="Tahoma" w:hAnsi="Tahoma" w:cs="Tahoma"/>
          <w:szCs w:val="24"/>
        </w:rPr>
      </w:pPr>
      <w:r>
        <w:rPr>
          <w:rFonts w:ascii="Tahoma" w:hAnsi="Tahoma" w:cs="Tahoma"/>
          <w:color w:val="5A5A5A"/>
          <w:szCs w:val="24"/>
          <w:shd w:val="clear" w:color="auto" w:fill="FFFFFF"/>
        </w:rPr>
        <w:t xml:space="preserve"> </w:t>
      </w:r>
      <w:r w:rsidRPr="00216678">
        <w:rPr>
          <w:rFonts w:ascii="Tahoma" w:hAnsi="Tahoma" w:cs="Tahoma"/>
          <w:color w:val="5A5A5A"/>
          <w:szCs w:val="24"/>
          <w:shd w:val="clear" w:color="auto" w:fill="FFFFFF"/>
        </w:rPr>
        <w:t>Convicted juveniles serve their sentences in a juvenile education facilities specifically established to preparing accused and convicted juveniles, caring for them, raising them, developing their talents and hobbies, and training them in various professions. These facilities are under the supervision of the Social Affairs [Authority].  The Juveniles in the facilities will be classified based on their age group (7 to 12 years), (12 to 15 years) and (15 to 18 years) categories, and</w:t>
      </w:r>
      <w:r w:rsidRPr="00216678">
        <w:t xml:space="preserve"> </w:t>
      </w:r>
    </w:p>
    <w:p w14:paraId="78294462" w14:textId="1E92BC1C" w:rsidR="00E71F04" w:rsidRPr="00216678" w:rsidRDefault="00E71F04" w:rsidP="00216678">
      <w:pPr>
        <w:pStyle w:val="ListParagraph"/>
        <w:numPr>
          <w:ilvl w:val="1"/>
          <w:numId w:val="10"/>
        </w:numPr>
        <w:suppressAutoHyphens w:val="0"/>
        <w:spacing w:after="200" w:line="276" w:lineRule="auto"/>
        <w:jc w:val="both"/>
        <w:rPr>
          <w:rFonts w:ascii="Tahoma" w:hAnsi="Tahoma" w:cs="Tahoma"/>
          <w:szCs w:val="24"/>
        </w:rPr>
      </w:pPr>
      <w:r>
        <w:rPr>
          <w:rFonts w:ascii="Tahoma" w:hAnsi="Tahoma" w:cs="Tahoma"/>
          <w:color w:val="5A5A5A"/>
          <w:szCs w:val="24"/>
          <w:shd w:val="clear" w:color="auto" w:fill="FFFFFF"/>
        </w:rPr>
        <w:t xml:space="preserve"> </w:t>
      </w:r>
      <w:r w:rsidRPr="00216678">
        <w:rPr>
          <w:rFonts w:ascii="Tahoma" w:hAnsi="Tahoma" w:cs="Tahoma"/>
          <w:color w:val="5A5A5A"/>
          <w:szCs w:val="24"/>
          <w:shd w:val="clear" w:color="auto" w:fill="FFFFFF"/>
        </w:rPr>
        <w:t>Relatives are allowed to visit the juvenile once every week.</w:t>
      </w:r>
    </w:p>
    <w:p w14:paraId="6D30132B" w14:textId="3F54E66E" w:rsidR="00E71F04" w:rsidRDefault="00E71F04" w:rsidP="00216678">
      <w:pPr>
        <w:pStyle w:val="ListParagraph"/>
        <w:numPr>
          <w:ilvl w:val="0"/>
          <w:numId w:val="10"/>
        </w:numPr>
        <w:suppressAutoHyphens w:val="0"/>
        <w:spacing w:after="200" w:line="276" w:lineRule="auto"/>
        <w:jc w:val="both"/>
        <w:rPr>
          <w:rFonts w:ascii="Tahoma" w:hAnsi="Tahoma" w:cs="Tahoma"/>
          <w:szCs w:val="24"/>
        </w:rPr>
      </w:pPr>
      <w:r w:rsidRPr="00A36AC7">
        <w:rPr>
          <w:rFonts w:ascii="Tahoma" w:hAnsi="Tahoma" w:cs="Tahoma"/>
          <w:szCs w:val="24"/>
        </w:rPr>
        <w:t>The measures taken by the Libyan legislature to ensure the physical and psychological recovery of children who have been subjected to torture or ill-treatment and their reintegration into society</w:t>
      </w:r>
      <w:r>
        <w:rPr>
          <w:rFonts w:ascii="Tahoma" w:hAnsi="Tahoma" w:cs="Tahoma"/>
          <w:szCs w:val="24"/>
        </w:rPr>
        <w:t>;</w:t>
      </w:r>
      <w:r w:rsidRPr="00A36AC7">
        <w:rPr>
          <w:rFonts w:ascii="Tahoma" w:hAnsi="Tahoma" w:cs="Tahoma"/>
          <w:szCs w:val="24"/>
        </w:rPr>
        <w:t xml:space="preserve"> </w:t>
      </w:r>
      <w:r>
        <w:rPr>
          <w:rFonts w:ascii="Tahoma" w:hAnsi="Tahoma" w:cs="Tahoma"/>
          <w:szCs w:val="24"/>
        </w:rPr>
        <w:t>these issues are cared for by the</w:t>
      </w:r>
      <w:r w:rsidRPr="00A36AC7">
        <w:rPr>
          <w:rFonts w:ascii="Tahoma" w:hAnsi="Tahoma" w:cs="Tahoma"/>
          <w:szCs w:val="24"/>
        </w:rPr>
        <w:t xml:space="preserve"> mental health clinics, social service</w:t>
      </w:r>
      <w:r>
        <w:rPr>
          <w:rFonts w:ascii="Tahoma" w:hAnsi="Tahoma" w:cs="Tahoma"/>
          <w:szCs w:val="24"/>
        </w:rPr>
        <w:t xml:space="preserve">s and </w:t>
      </w:r>
      <w:r w:rsidRPr="00A36AC7">
        <w:rPr>
          <w:rFonts w:ascii="Tahoma" w:hAnsi="Tahoma" w:cs="Tahoma"/>
          <w:szCs w:val="24"/>
        </w:rPr>
        <w:t>rehabilitation</w:t>
      </w:r>
      <w:r>
        <w:rPr>
          <w:rFonts w:ascii="Tahoma" w:hAnsi="Tahoma" w:cs="Tahoma"/>
          <w:szCs w:val="24"/>
        </w:rPr>
        <w:t xml:space="preserve"> centers,</w:t>
      </w:r>
      <w:r w:rsidRPr="00A36AC7">
        <w:rPr>
          <w:rFonts w:ascii="Tahoma" w:hAnsi="Tahoma" w:cs="Tahoma"/>
          <w:szCs w:val="24"/>
        </w:rPr>
        <w:t xml:space="preserve"> and the social </w:t>
      </w:r>
      <w:r>
        <w:rPr>
          <w:rFonts w:ascii="Tahoma" w:hAnsi="Tahoma" w:cs="Tahoma"/>
          <w:szCs w:val="24"/>
        </w:rPr>
        <w:t>welfare</w:t>
      </w:r>
      <w:r w:rsidRPr="00A36AC7">
        <w:rPr>
          <w:rFonts w:ascii="Tahoma" w:hAnsi="Tahoma" w:cs="Tahoma"/>
          <w:szCs w:val="24"/>
        </w:rPr>
        <w:t xml:space="preserve"> institution</w:t>
      </w:r>
      <w:r>
        <w:rPr>
          <w:rFonts w:ascii="Tahoma" w:hAnsi="Tahoma" w:cs="Tahoma"/>
          <w:szCs w:val="24"/>
        </w:rPr>
        <w:t>s</w:t>
      </w:r>
      <w:r w:rsidRPr="00A36AC7">
        <w:rPr>
          <w:rFonts w:ascii="Tahoma" w:hAnsi="Tahoma" w:cs="Tahoma"/>
          <w:szCs w:val="24"/>
        </w:rPr>
        <w:t xml:space="preserve"> of </w:t>
      </w:r>
      <w:r>
        <w:rPr>
          <w:rFonts w:ascii="Tahoma" w:hAnsi="Tahoma" w:cs="Tahoma"/>
          <w:szCs w:val="24"/>
        </w:rPr>
        <w:t xml:space="preserve">the </w:t>
      </w:r>
      <w:r w:rsidRPr="00A36AC7">
        <w:rPr>
          <w:rFonts w:ascii="Tahoma" w:hAnsi="Tahoma" w:cs="Tahoma"/>
          <w:szCs w:val="24"/>
        </w:rPr>
        <w:t>Social Security</w:t>
      </w:r>
      <w:r>
        <w:rPr>
          <w:rFonts w:ascii="Tahoma" w:hAnsi="Tahoma" w:cs="Tahoma"/>
          <w:szCs w:val="24"/>
        </w:rPr>
        <w:t xml:space="preserve"> Authority,</w:t>
      </w:r>
      <w:r w:rsidRPr="00A36AC7">
        <w:rPr>
          <w:rFonts w:ascii="Tahoma" w:hAnsi="Tahoma" w:cs="Tahoma"/>
          <w:szCs w:val="24"/>
        </w:rPr>
        <w:t xml:space="preserve"> through their specialists and  experts</w:t>
      </w:r>
      <w:r>
        <w:rPr>
          <w:rFonts w:ascii="Tahoma" w:hAnsi="Tahoma" w:cs="Tahoma"/>
          <w:szCs w:val="24"/>
        </w:rPr>
        <w:t>.</w:t>
      </w:r>
    </w:p>
    <w:p w14:paraId="40F2D9E5" w14:textId="77777777" w:rsidR="00E71F04" w:rsidRDefault="00E71F04" w:rsidP="00216678">
      <w:pPr>
        <w:pStyle w:val="ListParagraph"/>
        <w:numPr>
          <w:ilvl w:val="0"/>
          <w:numId w:val="10"/>
        </w:numPr>
        <w:suppressAutoHyphens w:val="0"/>
        <w:spacing w:after="200" w:line="276" w:lineRule="auto"/>
        <w:jc w:val="both"/>
        <w:rPr>
          <w:rFonts w:ascii="Tahoma" w:hAnsi="Tahoma" w:cs="Tahoma"/>
          <w:szCs w:val="24"/>
        </w:rPr>
      </w:pPr>
      <w:bookmarkStart w:id="0" w:name="_Hlk40441924"/>
      <w:r>
        <w:rPr>
          <w:rFonts w:ascii="Tahoma" w:hAnsi="Tahoma" w:cs="Tahoma"/>
          <w:szCs w:val="24"/>
        </w:rPr>
        <w:t>Law No. (17) of 1992 “on the Affairs of Minors and the Like”</w:t>
      </w:r>
      <w:bookmarkEnd w:id="0"/>
      <w:r>
        <w:rPr>
          <w:rStyle w:val="EndnoteReference"/>
          <w:rFonts w:ascii="Tahoma" w:hAnsi="Tahoma" w:cs="Tahoma"/>
          <w:szCs w:val="24"/>
        </w:rPr>
        <w:endnoteReference w:id="6"/>
      </w:r>
      <w:r>
        <w:rPr>
          <w:rFonts w:ascii="Tahoma" w:hAnsi="Tahoma" w:cs="Tahoma"/>
          <w:szCs w:val="24"/>
        </w:rPr>
        <w:t xml:space="preserve"> defines </w:t>
      </w:r>
      <w:r w:rsidRPr="008276BF">
        <w:rPr>
          <w:rFonts w:ascii="Tahoma" w:hAnsi="Tahoma" w:cs="Tahoma"/>
          <w:szCs w:val="24"/>
        </w:rPr>
        <w:t xml:space="preserve">the Age of Adulthood and the civil rights of the </w:t>
      </w:r>
      <w:r>
        <w:rPr>
          <w:rFonts w:ascii="Tahoma" w:hAnsi="Tahoma" w:cs="Tahoma"/>
          <w:szCs w:val="24"/>
        </w:rPr>
        <w:t>c</w:t>
      </w:r>
      <w:r w:rsidRPr="008276BF">
        <w:rPr>
          <w:rFonts w:ascii="Tahoma" w:hAnsi="Tahoma" w:cs="Tahoma"/>
          <w:szCs w:val="24"/>
        </w:rPr>
        <w:t xml:space="preserve">hild </w:t>
      </w:r>
      <w:r>
        <w:rPr>
          <w:rFonts w:ascii="Tahoma" w:hAnsi="Tahoma" w:cs="Tahoma"/>
          <w:szCs w:val="24"/>
        </w:rPr>
        <w:t>who is capable or incapable to distinguish</w:t>
      </w:r>
      <w:r w:rsidRPr="008276BF">
        <w:rPr>
          <w:rFonts w:ascii="Tahoma" w:hAnsi="Tahoma" w:cs="Tahoma"/>
          <w:szCs w:val="24"/>
        </w:rPr>
        <w:t xml:space="preserve">. </w:t>
      </w:r>
      <w:r>
        <w:rPr>
          <w:rFonts w:ascii="Tahoma" w:hAnsi="Tahoma" w:cs="Tahoma"/>
          <w:szCs w:val="24"/>
        </w:rPr>
        <w:t xml:space="preserve">It also defined the appointment </w:t>
      </w:r>
      <w:r w:rsidRPr="008276BF">
        <w:rPr>
          <w:rFonts w:ascii="Tahoma" w:hAnsi="Tahoma" w:cs="Tahoma"/>
          <w:szCs w:val="24"/>
        </w:rPr>
        <w:t xml:space="preserve">a custodian or guardian, and the provisions of the </w:t>
      </w:r>
      <w:r w:rsidRPr="008276BF">
        <w:rPr>
          <w:rFonts w:ascii="Tahoma" w:hAnsi="Tahoma" w:cs="Tahoma"/>
          <w:szCs w:val="24"/>
        </w:rPr>
        <w:lastRenderedPageBreak/>
        <w:t>guardianship</w:t>
      </w:r>
      <w:r>
        <w:rPr>
          <w:rFonts w:ascii="Tahoma" w:hAnsi="Tahoma" w:cs="Tahoma"/>
          <w:szCs w:val="24"/>
        </w:rPr>
        <w:t>s and custodianships over the self and t</w:t>
      </w:r>
      <w:r w:rsidRPr="008276BF">
        <w:rPr>
          <w:rFonts w:ascii="Tahoma" w:hAnsi="Tahoma" w:cs="Tahoma"/>
          <w:szCs w:val="24"/>
        </w:rPr>
        <w:t>he money</w:t>
      </w:r>
      <w:r>
        <w:rPr>
          <w:rFonts w:ascii="Tahoma" w:hAnsi="Tahoma" w:cs="Tahoma"/>
          <w:szCs w:val="24"/>
        </w:rPr>
        <w:t>.</w:t>
      </w:r>
      <w:r w:rsidRPr="008276BF">
        <w:rPr>
          <w:rFonts w:ascii="Tahoma" w:hAnsi="Tahoma" w:cs="Tahoma"/>
          <w:szCs w:val="24"/>
        </w:rPr>
        <w:t xml:space="preserve"> </w:t>
      </w:r>
      <w:r>
        <w:rPr>
          <w:rFonts w:ascii="Tahoma" w:hAnsi="Tahoma" w:cs="Tahoma"/>
          <w:szCs w:val="24"/>
        </w:rPr>
        <w:t>The selection</w:t>
      </w:r>
      <w:r w:rsidRPr="008276BF">
        <w:rPr>
          <w:rFonts w:ascii="Tahoma" w:hAnsi="Tahoma" w:cs="Tahoma"/>
          <w:szCs w:val="24"/>
        </w:rPr>
        <w:t xml:space="preserve"> </w:t>
      </w:r>
      <w:r>
        <w:rPr>
          <w:rFonts w:ascii="Tahoma" w:hAnsi="Tahoma" w:cs="Tahoma"/>
          <w:szCs w:val="24"/>
        </w:rPr>
        <w:t>of</w:t>
      </w:r>
      <w:r w:rsidRPr="008276BF">
        <w:rPr>
          <w:rFonts w:ascii="Tahoma" w:hAnsi="Tahoma" w:cs="Tahoma"/>
          <w:szCs w:val="24"/>
        </w:rPr>
        <w:t xml:space="preserve"> </w:t>
      </w:r>
      <w:r>
        <w:rPr>
          <w:rFonts w:ascii="Tahoma" w:hAnsi="Tahoma" w:cs="Tahoma"/>
          <w:szCs w:val="24"/>
        </w:rPr>
        <w:t>a</w:t>
      </w:r>
      <w:r w:rsidRPr="008276BF">
        <w:rPr>
          <w:rFonts w:ascii="Tahoma" w:hAnsi="Tahoma" w:cs="Tahoma"/>
          <w:szCs w:val="24"/>
        </w:rPr>
        <w:t xml:space="preserve"> guardian or </w:t>
      </w:r>
      <w:r>
        <w:rPr>
          <w:rFonts w:ascii="Tahoma" w:hAnsi="Tahoma" w:cs="Tahoma"/>
          <w:szCs w:val="24"/>
        </w:rPr>
        <w:t xml:space="preserve">a </w:t>
      </w:r>
      <w:r w:rsidRPr="008276BF">
        <w:rPr>
          <w:rFonts w:ascii="Tahoma" w:hAnsi="Tahoma" w:cs="Tahoma"/>
          <w:szCs w:val="24"/>
        </w:rPr>
        <w:t>custodian may be conducted only with the permission of the court</w:t>
      </w:r>
      <w:r>
        <w:rPr>
          <w:rFonts w:ascii="Tahoma" w:hAnsi="Tahoma" w:cs="Tahoma"/>
          <w:szCs w:val="24"/>
        </w:rPr>
        <w:t xml:space="preserve">. If </w:t>
      </w:r>
      <w:r w:rsidRPr="008276BF">
        <w:rPr>
          <w:rFonts w:ascii="Tahoma" w:hAnsi="Tahoma" w:cs="Tahoma"/>
          <w:szCs w:val="24"/>
        </w:rPr>
        <w:t>no special provision</w:t>
      </w:r>
      <w:r>
        <w:rPr>
          <w:rFonts w:ascii="Tahoma" w:hAnsi="Tahoma" w:cs="Tahoma"/>
          <w:szCs w:val="24"/>
        </w:rPr>
        <w:t>s</w:t>
      </w:r>
      <w:r w:rsidRPr="008276BF">
        <w:rPr>
          <w:rFonts w:ascii="Tahoma" w:hAnsi="Tahoma" w:cs="Tahoma"/>
          <w:szCs w:val="24"/>
        </w:rPr>
        <w:t xml:space="preserve"> in this Law</w:t>
      </w:r>
      <w:r>
        <w:rPr>
          <w:rFonts w:ascii="Tahoma" w:hAnsi="Tahoma" w:cs="Tahoma"/>
          <w:szCs w:val="24"/>
        </w:rPr>
        <w:t xml:space="preserve"> are available, </w:t>
      </w:r>
      <w:r w:rsidRPr="008276BF">
        <w:rPr>
          <w:rFonts w:ascii="Tahoma" w:hAnsi="Tahoma" w:cs="Tahoma"/>
          <w:szCs w:val="24"/>
        </w:rPr>
        <w:t>the most appropriate principles of Islamic law shall apply in matters of guardianship and curatorship</w:t>
      </w:r>
      <w:r>
        <w:rPr>
          <w:rFonts w:ascii="Tahoma" w:hAnsi="Tahoma" w:cs="Tahoma"/>
          <w:szCs w:val="24"/>
        </w:rPr>
        <w:t>.</w:t>
      </w:r>
    </w:p>
    <w:p w14:paraId="3E3A8242" w14:textId="77777777" w:rsidR="00E71F04" w:rsidRPr="00A96F7C" w:rsidRDefault="00E71F04" w:rsidP="00216678">
      <w:pPr>
        <w:pStyle w:val="ListParagraph"/>
        <w:numPr>
          <w:ilvl w:val="0"/>
          <w:numId w:val="10"/>
        </w:numPr>
        <w:suppressAutoHyphens w:val="0"/>
        <w:spacing w:after="200" w:line="276" w:lineRule="auto"/>
        <w:jc w:val="both"/>
        <w:rPr>
          <w:rFonts w:ascii="Tahoma" w:hAnsi="Tahoma" w:cs="Tahoma"/>
          <w:szCs w:val="24"/>
        </w:rPr>
      </w:pPr>
      <w:r w:rsidRPr="0062684F">
        <w:rPr>
          <w:rFonts w:ascii="Tahoma" w:hAnsi="Tahoma" w:cs="Tahoma"/>
          <w:color w:val="5A5A5A"/>
          <w:szCs w:val="24"/>
          <w:shd w:val="clear" w:color="auto" w:fill="FFFFFF"/>
        </w:rPr>
        <w:t xml:space="preserve">On 29 December 1997, </w:t>
      </w:r>
      <w:r>
        <w:rPr>
          <w:rFonts w:ascii="Tahoma" w:hAnsi="Tahoma" w:cs="Tahoma"/>
          <w:color w:val="5A5A5A"/>
          <w:szCs w:val="24"/>
          <w:shd w:val="clear" w:color="auto" w:fill="FFFFFF"/>
        </w:rPr>
        <w:t>Law No. (5) of 1997 “on Childhood Protection”</w:t>
      </w:r>
      <w:r>
        <w:rPr>
          <w:rStyle w:val="EndnoteReference"/>
          <w:rFonts w:ascii="Tahoma" w:hAnsi="Tahoma" w:cs="Tahoma"/>
          <w:color w:val="5A5A5A"/>
          <w:szCs w:val="24"/>
          <w:shd w:val="clear" w:color="auto" w:fill="FFFFFF"/>
        </w:rPr>
        <w:endnoteReference w:id="7"/>
      </w:r>
      <w:r w:rsidRPr="0062684F">
        <w:rPr>
          <w:rFonts w:ascii="Tahoma" w:hAnsi="Tahoma" w:cs="Tahoma"/>
          <w:szCs w:val="24"/>
        </w:rPr>
        <w:t xml:space="preserve"> was issued,</w:t>
      </w:r>
      <w:r>
        <w:rPr>
          <w:rFonts w:ascii="Tahoma" w:hAnsi="Tahoma" w:cs="Tahoma"/>
          <w:szCs w:val="24"/>
        </w:rPr>
        <w:t xml:space="preserve"> it made it </w:t>
      </w:r>
      <w:r w:rsidRPr="0062684F">
        <w:rPr>
          <w:rFonts w:ascii="Tahoma" w:hAnsi="Tahoma" w:cs="Tahoma"/>
          <w:color w:val="5A5A5A"/>
          <w:szCs w:val="24"/>
          <w:shd w:val="clear" w:color="auto" w:fill="FFFFFF"/>
        </w:rPr>
        <w:t xml:space="preserve">compulsory </w:t>
      </w:r>
      <w:r>
        <w:rPr>
          <w:rFonts w:ascii="Tahoma" w:hAnsi="Tahoma" w:cs="Tahoma"/>
          <w:color w:val="5A5A5A"/>
          <w:szCs w:val="24"/>
          <w:shd w:val="clear" w:color="auto" w:fill="FFFFFF"/>
        </w:rPr>
        <w:t xml:space="preserve">to carry out </w:t>
      </w:r>
      <w:r w:rsidRPr="0062684F">
        <w:rPr>
          <w:rFonts w:ascii="Tahoma" w:hAnsi="Tahoma" w:cs="Tahoma"/>
          <w:color w:val="5A5A5A"/>
          <w:szCs w:val="24"/>
          <w:shd w:val="clear" w:color="auto" w:fill="FFFFFF"/>
        </w:rPr>
        <w:t xml:space="preserve">medical examination before marriage to detect hereditary diseases which may affect the physical or mental health of children. </w:t>
      </w:r>
      <w:r>
        <w:rPr>
          <w:rFonts w:ascii="Tahoma" w:hAnsi="Tahoma" w:cs="Tahoma"/>
          <w:color w:val="5A5A5A"/>
          <w:szCs w:val="24"/>
          <w:shd w:val="clear" w:color="auto" w:fill="FFFFFF"/>
        </w:rPr>
        <w:t>Law No. (5) of 1997</w:t>
      </w:r>
      <w:r w:rsidRPr="0062684F">
        <w:rPr>
          <w:rFonts w:ascii="Tahoma" w:hAnsi="Tahoma" w:cs="Tahoma"/>
          <w:color w:val="5A5A5A"/>
          <w:szCs w:val="24"/>
          <w:shd w:val="clear" w:color="auto" w:fill="FFFFFF"/>
        </w:rPr>
        <w:t xml:space="preserve"> confirmed some of the provisions contained in the legislation in force, such as the Criminal Procedures </w:t>
      </w:r>
      <w:r>
        <w:rPr>
          <w:rFonts w:ascii="Tahoma" w:hAnsi="Tahoma" w:cs="Tahoma"/>
          <w:color w:val="5A5A5A"/>
          <w:szCs w:val="24"/>
          <w:shd w:val="clear" w:color="auto" w:fill="FFFFFF"/>
        </w:rPr>
        <w:t>Law,</w:t>
      </w:r>
      <w:r w:rsidRPr="0062684F">
        <w:rPr>
          <w:rFonts w:ascii="Tahoma" w:hAnsi="Tahoma" w:cs="Tahoma"/>
          <w:color w:val="5A5A5A"/>
          <w:szCs w:val="24"/>
          <w:shd w:val="clear" w:color="auto" w:fill="FFFFFF"/>
        </w:rPr>
        <w:t xml:space="preserve"> the Social Security </w:t>
      </w:r>
      <w:r>
        <w:rPr>
          <w:rFonts w:ascii="Tahoma" w:hAnsi="Tahoma" w:cs="Tahoma"/>
          <w:color w:val="5A5A5A"/>
          <w:szCs w:val="24"/>
          <w:shd w:val="clear" w:color="auto" w:fill="FFFFFF"/>
        </w:rPr>
        <w:t>Law</w:t>
      </w:r>
      <w:r w:rsidRPr="0062684F">
        <w:rPr>
          <w:rFonts w:ascii="Tahoma" w:hAnsi="Tahoma" w:cs="Tahoma"/>
          <w:color w:val="5A5A5A"/>
          <w:szCs w:val="24"/>
          <w:shd w:val="clear" w:color="auto" w:fill="FFFFFF"/>
        </w:rPr>
        <w:t xml:space="preserve">, the Civil Status </w:t>
      </w:r>
      <w:r>
        <w:rPr>
          <w:rFonts w:ascii="Tahoma" w:hAnsi="Tahoma" w:cs="Tahoma"/>
          <w:color w:val="5A5A5A"/>
          <w:szCs w:val="24"/>
          <w:shd w:val="clear" w:color="auto" w:fill="FFFFFF"/>
        </w:rPr>
        <w:t>Law</w:t>
      </w:r>
      <w:r w:rsidRPr="0062684F">
        <w:rPr>
          <w:rFonts w:ascii="Tahoma" w:hAnsi="Tahoma" w:cs="Tahoma"/>
          <w:color w:val="5A5A5A"/>
          <w:szCs w:val="24"/>
          <w:shd w:val="clear" w:color="auto" w:fill="FFFFFF"/>
        </w:rPr>
        <w:t xml:space="preserve">, the Compulsory Education Law and the </w:t>
      </w:r>
      <w:r>
        <w:rPr>
          <w:rFonts w:ascii="Tahoma" w:hAnsi="Tahoma" w:cs="Tahoma"/>
          <w:color w:val="5A5A5A"/>
          <w:szCs w:val="24"/>
          <w:shd w:val="clear" w:color="auto" w:fill="FFFFFF"/>
        </w:rPr>
        <w:t>L</w:t>
      </w:r>
      <w:r w:rsidRPr="0062684F">
        <w:rPr>
          <w:rFonts w:ascii="Tahoma" w:hAnsi="Tahoma" w:cs="Tahoma"/>
          <w:color w:val="5A5A5A"/>
          <w:szCs w:val="24"/>
          <w:shd w:val="clear" w:color="auto" w:fill="FFFFFF"/>
        </w:rPr>
        <w:t xml:space="preserve">abor law. </w:t>
      </w:r>
      <w:r>
        <w:rPr>
          <w:rFonts w:ascii="Tahoma" w:hAnsi="Tahoma" w:cs="Tahoma"/>
          <w:color w:val="5A5A5A"/>
          <w:szCs w:val="24"/>
          <w:shd w:val="clear" w:color="auto" w:fill="FFFFFF"/>
        </w:rPr>
        <w:t>A new entity was created by this law, the “</w:t>
      </w:r>
      <w:r w:rsidRPr="006D592F">
        <w:rPr>
          <w:rFonts w:ascii="Tahoma" w:hAnsi="Tahoma" w:cs="Tahoma"/>
          <w:color w:val="5A5A5A"/>
          <w:szCs w:val="24"/>
          <w:shd w:val="clear" w:color="auto" w:fill="FFFFFF"/>
        </w:rPr>
        <w:t>Higher Committee for Children</w:t>
      </w:r>
      <w:r>
        <w:rPr>
          <w:rFonts w:ascii="Tahoma" w:hAnsi="Tahoma" w:cs="Tahoma"/>
          <w:color w:val="5A5A5A"/>
          <w:szCs w:val="24"/>
          <w:shd w:val="clear" w:color="auto" w:fill="FFFFFF"/>
        </w:rPr>
        <w:t>”, to supervise the implementation of the provisions of the law and monitor the institutions entrusted with the welfare of the child</w:t>
      </w:r>
      <w:r>
        <w:rPr>
          <w:rStyle w:val="EndnoteReference"/>
          <w:rFonts w:ascii="Tahoma" w:hAnsi="Tahoma" w:cs="Tahoma"/>
          <w:color w:val="5A5A5A"/>
          <w:szCs w:val="24"/>
          <w:shd w:val="clear" w:color="auto" w:fill="FFFFFF"/>
        </w:rPr>
        <w:endnoteReference w:id="8"/>
      </w:r>
      <w:r>
        <w:rPr>
          <w:rFonts w:ascii="Tahoma" w:hAnsi="Tahoma" w:cs="Tahoma"/>
          <w:color w:val="5A5A5A"/>
          <w:szCs w:val="24"/>
          <w:shd w:val="clear" w:color="auto" w:fill="FFFFFF"/>
        </w:rPr>
        <w:t>. The Presidential Council of the Government of National Accord issued Decree</w:t>
      </w:r>
      <w:r>
        <w:rPr>
          <w:rStyle w:val="EndnoteReference"/>
          <w:rFonts w:ascii="Tahoma" w:hAnsi="Tahoma" w:cs="Tahoma"/>
          <w:color w:val="5A5A5A"/>
          <w:szCs w:val="24"/>
          <w:shd w:val="clear" w:color="auto" w:fill="FFFFFF"/>
        </w:rPr>
        <w:endnoteReference w:id="9"/>
      </w:r>
      <w:r>
        <w:rPr>
          <w:rFonts w:ascii="Tahoma" w:hAnsi="Tahoma" w:cs="Tahoma"/>
          <w:color w:val="5A5A5A"/>
          <w:szCs w:val="24"/>
          <w:shd w:val="clear" w:color="auto" w:fill="FFFFFF"/>
        </w:rPr>
        <w:t xml:space="preserve"> (259) of 2018 “to Establish the Higher Committee for Children” to replace the one established by Law (5) of 1997.</w:t>
      </w:r>
    </w:p>
    <w:p w14:paraId="3718DA6F" w14:textId="65A3F2F1" w:rsidR="00E71F04" w:rsidRPr="00216678" w:rsidRDefault="00E71F04" w:rsidP="00216678">
      <w:pPr>
        <w:pStyle w:val="ListParagraph"/>
        <w:numPr>
          <w:ilvl w:val="0"/>
          <w:numId w:val="10"/>
        </w:numPr>
        <w:suppressAutoHyphens w:val="0"/>
        <w:spacing w:after="200" w:line="276" w:lineRule="auto"/>
        <w:jc w:val="both"/>
        <w:rPr>
          <w:rFonts w:ascii="Tahoma" w:hAnsi="Tahoma" w:cs="Tahoma"/>
          <w:szCs w:val="24"/>
        </w:rPr>
      </w:pPr>
      <w:r>
        <w:rPr>
          <w:rFonts w:ascii="Tahoma" w:hAnsi="Tahoma" w:cs="Tahoma"/>
          <w:szCs w:val="24"/>
        </w:rPr>
        <w:t>Libya r</w:t>
      </w:r>
      <w:r w:rsidRPr="0062684F">
        <w:rPr>
          <w:rFonts w:ascii="Tahoma" w:hAnsi="Tahoma" w:cs="Tahoma"/>
          <w:color w:val="5A5A5A"/>
          <w:szCs w:val="24"/>
          <w:shd w:val="clear" w:color="auto" w:fill="FFFFFF"/>
        </w:rPr>
        <w:t>atifi</w:t>
      </w:r>
      <w:r>
        <w:rPr>
          <w:rFonts w:ascii="Tahoma" w:hAnsi="Tahoma" w:cs="Tahoma"/>
          <w:color w:val="5A5A5A"/>
          <w:szCs w:val="24"/>
          <w:shd w:val="clear" w:color="auto" w:fill="FFFFFF"/>
        </w:rPr>
        <w:t>ed</w:t>
      </w:r>
      <w:r w:rsidRPr="0062684F">
        <w:rPr>
          <w:rFonts w:ascii="Tahoma" w:hAnsi="Tahoma" w:cs="Tahoma"/>
          <w:color w:val="5A5A5A"/>
          <w:szCs w:val="24"/>
          <w:shd w:val="clear" w:color="auto" w:fill="FFFFFF"/>
        </w:rPr>
        <w:t xml:space="preserve"> </w:t>
      </w:r>
      <w:r>
        <w:rPr>
          <w:rFonts w:ascii="Tahoma" w:hAnsi="Tahoma" w:cs="Tahoma"/>
          <w:color w:val="5A5A5A"/>
          <w:szCs w:val="24"/>
          <w:shd w:val="clear" w:color="auto" w:fill="FFFFFF"/>
        </w:rPr>
        <w:t>“</w:t>
      </w:r>
      <w:r w:rsidRPr="0062684F">
        <w:rPr>
          <w:rFonts w:ascii="Tahoma" w:hAnsi="Tahoma" w:cs="Tahoma"/>
          <w:color w:val="5A5A5A"/>
          <w:szCs w:val="24"/>
          <w:shd w:val="clear" w:color="auto" w:fill="FFFFFF"/>
        </w:rPr>
        <w:t xml:space="preserve">African Charter on the </w:t>
      </w:r>
      <w:r>
        <w:rPr>
          <w:rFonts w:ascii="Tahoma" w:hAnsi="Tahoma" w:cs="Tahoma"/>
          <w:color w:val="5A5A5A"/>
          <w:szCs w:val="24"/>
          <w:shd w:val="clear" w:color="auto" w:fill="FFFFFF"/>
        </w:rPr>
        <w:t>R</w:t>
      </w:r>
      <w:r w:rsidRPr="0062684F">
        <w:rPr>
          <w:rFonts w:ascii="Tahoma" w:hAnsi="Tahoma" w:cs="Tahoma"/>
          <w:color w:val="5A5A5A"/>
          <w:szCs w:val="24"/>
          <w:shd w:val="clear" w:color="auto" w:fill="FFFFFF"/>
        </w:rPr>
        <w:t xml:space="preserve">ights and </w:t>
      </w:r>
      <w:r>
        <w:rPr>
          <w:rFonts w:ascii="Tahoma" w:hAnsi="Tahoma" w:cs="Tahoma"/>
          <w:color w:val="5A5A5A"/>
          <w:szCs w:val="24"/>
          <w:shd w:val="clear" w:color="auto" w:fill="FFFFFF"/>
        </w:rPr>
        <w:t>W</w:t>
      </w:r>
      <w:r w:rsidRPr="0062684F">
        <w:rPr>
          <w:rFonts w:ascii="Tahoma" w:hAnsi="Tahoma" w:cs="Tahoma"/>
          <w:color w:val="5A5A5A"/>
          <w:szCs w:val="24"/>
          <w:shd w:val="clear" w:color="auto" w:fill="FFFFFF"/>
        </w:rPr>
        <w:t xml:space="preserve">elfare of the </w:t>
      </w:r>
      <w:r>
        <w:rPr>
          <w:rFonts w:ascii="Tahoma" w:hAnsi="Tahoma" w:cs="Tahoma"/>
          <w:color w:val="5A5A5A"/>
          <w:szCs w:val="24"/>
          <w:shd w:val="clear" w:color="auto" w:fill="FFFFFF"/>
        </w:rPr>
        <w:t>C</w:t>
      </w:r>
      <w:r w:rsidRPr="0062684F">
        <w:rPr>
          <w:rFonts w:ascii="Tahoma" w:hAnsi="Tahoma" w:cs="Tahoma"/>
          <w:color w:val="5A5A5A"/>
          <w:szCs w:val="24"/>
          <w:shd w:val="clear" w:color="auto" w:fill="FFFFFF"/>
        </w:rPr>
        <w:t>hild</w:t>
      </w:r>
      <w:r>
        <w:rPr>
          <w:rFonts w:ascii="Tahoma" w:hAnsi="Tahoma" w:cs="Tahoma"/>
          <w:color w:val="5A5A5A"/>
          <w:szCs w:val="24"/>
          <w:shd w:val="clear" w:color="auto" w:fill="FFFFFF"/>
        </w:rPr>
        <w:t xml:space="preserve"> in Africa”</w:t>
      </w:r>
      <w:r w:rsidRPr="0062684F">
        <w:rPr>
          <w:rFonts w:ascii="Tahoma" w:hAnsi="Tahoma" w:cs="Tahoma"/>
          <w:color w:val="5A5A5A"/>
          <w:szCs w:val="24"/>
          <w:shd w:val="clear" w:color="auto" w:fill="FFFFFF"/>
        </w:rPr>
        <w:t xml:space="preserve"> </w:t>
      </w:r>
      <w:r>
        <w:rPr>
          <w:rFonts w:ascii="Tahoma" w:hAnsi="Tahoma" w:cs="Tahoma"/>
          <w:color w:val="5A5A5A"/>
          <w:szCs w:val="24"/>
          <w:shd w:val="clear" w:color="auto" w:fill="FFFFFF"/>
        </w:rPr>
        <w:t>on September 23, 2000</w:t>
      </w:r>
      <w:r>
        <w:rPr>
          <w:rStyle w:val="EndnoteReference"/>
          <w:rFonts w:ascii="Tahoma" w:hAnsi="Tahoma" w:cs="Tahoma"/>
          <w:color w:val="5A5A5A"/>
          <w:szCs w:val="24"/>
          <w:shd w:val="clear" w:color="auto" w:fill="FFFFFF"/>
        </w:rPr>
        <w:endnoteReference w:id="10"/>
      </w:r>
      <w:r>
        <w:rPr>
          <w:rFonts w:ascii="Tahoma" w:hAnsi="Tahoma" w:cs="Tahoma"/>
          <w:color w:val="5A5A5A"/>
          <w:szCs w:val="24"/>
          <w:shd w:val="clear" w:color="auto" w:fill="FFFFFF"/>
        </w:rPr>
        <w:t xml:space="preserve">. </w:t>
      </w:r>
      <w:r w:rsidRPr="0062684F">
        <w:rPr>
          <w:rFonts w:ascii="Tahoma" w:hAnsi="Tahoma" w:cs="Tahoma"/>
          <w:color w:val="5A5A5A"/>
          <w:szCs w:val="24"/>
          <w:shd w:val="clear" w:color="auto" w:fill="FFFFFF"/>
        </w:rPr>
        <w:t>The Charter ensures the rights of all children on the Libyan territory</w:t>
      </w:r>
      <w:r>
        <w:rPr>
          <w:rFonts w:ascii="Tahoma" w:hAnsi="Tahoma" w:cs="Tahoma"/>
          <w:color w:val="5A5A5A"/>
          <w:szCs w:val="24"/>
          <w:shd w:val="clear" w:color="auto" w:fill="FFFFFF"/>
        </w:rPr>
        <w:t>.</w:t>
      </w:r>
      <w:r w:rsidRPr="008276BF">
        <w:rPr>
          <w:rFonts w:ascii="Tahoma" w:hAnsi="Tahoma" w:cs="Tahoma"/>
          <w:szCs w:val="24"/>
        </w:rPr>
        <w:t xml:space="preserve"> </w:t>
      </w:r>
    </w:p>
    <w:p w14:paraId="5D80419D" w14:textId="77777777" w:rsidR="00E71F04" w:rsidRDefault="00E71F04" w:rsidP="0062684F">
      <w:pPr>
        <w:shd w:val="clear" w:color="auto" w:fill="FFFFFF"/>
        <w:spacing w:after="200" w:line="276" w:lineRule="auto"/>
        <w:rPr>
          <w:rFonts w:ascii="Tahoma" w:hAnsi="Tahoma" w:cs="Tahoma"/>
          <w:b/>
          <w:bCs/>
          <w:color w:val="000000"/>
          <w:szCs w:val="24"/>
        </w:rPr>
      </w:pPr>
    </w:p>
    <w:p w14:paraId="7F77E1B2" w14:textId="7F3CE092" w:rsidR="00E71F04" w:rsidRPr="0062684F" w:rsidRDefault="00E71F04" w:rsidP="0062684F">
      <w:pPr>
        <w:shd w:val="clear" w:color="auto" w:fill="FFFFFF"/>
        <w:spacing w:after="200" w:line="276" w:lineRule="auto"/>
        <w:rPr>
          <w:rFonts w:ascii="Tahoma" w:hAnsi="Tahoma" w:cs="Tahoma"/>
          <w:b/>
          <w:bCs/>
          <w:color w:val="000000"/>
          <w:szCs w:val="24"/>
        </w:rPr>
      </w:pPr>
      <w:r w:rsidRPr="0062684F">
        <w:rPr>
          <w:rFonts w:ascii="Tahoma" w:hAnsi="Tahoma" w:cs="Tahoma"/>
          <w:b/>
          <w:bCs/>
          <w:color w:val="000000"/>
          <w:szCs w:val="24"/>
        </w:rPr>
        <w:t>Existing non-custodial alternatives to immigration detention of children (e.g. community-based reception solutions) and their effect on the protection of the rights of migrant children and their families</w:t>
      </w:r>
    </w:p>
    <w:p w14:paraId="351A612D" w14:textId="4D6C220F" w:rsidR="00E71F04" w:rsidRPr="0062684F" w:rsidRDefault="00E71F04" w:rsidP="003248D5">
      <w:pPr>
        <w:shd w:val="clear" w:color="auto" w:fill="FFFFFF"/>
        <w:spacing w:after="200" w:line="276" w:lineRule="auto"/>
        <w:jc w:val="both"/>
        <w:rPr>
          <w:rFonts w:ascii="Tahoma" w:hAnsi="Tahoma" w:cs="Tahoma"/>
          <w:b/>
          <w:bCs/>
          <w:color w:val="000000"/>
          <w:szCs w:val="24"/>
        </w:rPr>
      </w:pPr>
      <w:r w:rsidRPr="0062684F">
        <w:rPr>
          <w:rFonts w:ascii="Tahoma" w:hAnsi="Tahoma" w:cs="Tahoma"/>
          <w:color w:val="5A5A5A"/>
          <w:szCs w:val="24"/>
          <w:shd w:val="clear" w:color="auto" w:fill="FFFFFF"/>
        </w:rPr>
        <w:t xml:space="preserve">In Libya there is no alternatives to detention for children of migrants and asylum seekers. </w:t>
      </w:r>
      <w:r>
        <w:rPr>
          <w:rFonts w:ascii="Tahoma" w:hAnsi="Tahoma" w:cs="Tahoma"/>
          <w:color w:val="5A5A5A"/>
          <w:szCs w:val="24"/>
          <w:shd w:val="clear" w:color="auto" w:fill="FFFFFF"/>
        </w:rPr>
        <w:t>E</w:t>
      </w:r>
      <w:r w:rsidRPr="0062684F">
        <w:rPr>
          <w:rFonts w:ascii="Tahoma" w:hAnsi="Tahoma" w:cs="Tahoma"/>
          <w:color w:val="5A5A5A"/>
          <w:szCs w:val="24"/>
          <w:shd w:val="clear" w:color="auto" w:fill="FFFFFF"/>
        </w:rPr>
        <w:t>veryone is consider</w:t>
      </w:r>
      <w:r>
        <w:rPr>
          <w:rFonts w:ascii="Tahoma" w:hAnsi="Tahoma" w:cs="Tahoma"/>
          <w:color w:val="5A5A5A"/>
          <w:szCs w:val="24"/>
          <w:shd w:val="clear" w:color="auto" w:fill="FFFFFF"/>
        </w:rPr>
        <w:t>ed</w:t>
      </w:r>
      <w:r w:rsidRPr="0062684F">
        <w:rPr>
          <w:rFonts w:ascii="Tahoma" w:hAnsi="Tahoma" w:cs="Tahoma"/>
          <w:color w:val="5A5A5A"/>
          <w:szCs w:val="24"/>
          <w:shd w:val="clear" w:color="auto" w:fill="FFFFFF"/>
        </w:rPr>
        <w:t xml:space="preserve"> as a criminal under the domestic</w:t>
      </w:r>
      <w:r>
        <w:rPr>
          <w:rFonts w:ascii="Tahoma" w:hAnsi="Tahoma" w:cs="Tahoma"/>
          <w:color w:val="5A5A5A"/>
          <w:szCs w:val="24"/>
          <w:shd w:val="clear" w:color="auto" w:fill="FFFFFF"/>
        </w:rPr>
        <w:t xml:space="preserve"> law</w:t>
      </w:r>
      <w:r>
        <w:rPr>
          <w:rStyle w:val="EndnoteReference"/>
          <w:rFonts w:ascii="Tahoma" w:hAnsi="Tahoma" w:cs="Tahoma"/>
          <w:color w:val="5A5A5A"/>
          <w:szCs w:val="24"/>
          <w:shd w:val="clear" w:color="auto" w:fill="FFFFFF"/>
        </w:rPr>
        <w:endnoteReference w:id="11"/>
      </w:r>
      <w:r>
        <w:rPr>
          <w:rFonts w:ascii="Tahoma" w:hAnsi="Tahoma" w:cs="Tahoma"/>
          <w:color w:val="5A5A5A"/>
          <w:szCs w:val="24"/>
          <w:shd w:val="clear" w:color="auto" w:fill="FFFFFF"/>
        </w:rPr>
        <w:t>,</w:t>
      </w:r>
      <w:r w:rsidRPr="0062684F">
        <w:rPr>
          <w:rFonts w:ascii="Tahoma" w:hAnsi="Tahoma" w:cs="Tahoma"/>
          <w:color w:val="5A5A5A"/>
          <w:szCs w:val="24"/>
          <w:shd w:val="clear" w:color="auto" w:fill="FFFFFF"/>
        </w:rPr>
        <w:t xml:space="preserve"> this includes infants and </w:t>
      </w:r>
      <w:r>
        <w:rPr>
          <w:rFonts w:ascii="Tahoma" w:hAnsi="Tahoma" w:cs="Tahoma"/>
          <w:color w:val="5A5A5A"/>
          <w:szCs w:val="24"/>
          <w:shd w:val="clear" w:color="auto" w:fill="FFFFFF"/>
        </w:rPr>
        <w:t>m</w:t>
      </w:r>
      <w:r w:rsidRPr="0062684F">
        <w:rPr>
          <w:rFonts w:ascii="Tahoma" w:hAnsi="Tahoma" w:cs="Tahoma"/>
          <w:color w:val="5A5A5A"/>
          <w:szCs w:val="24"/>
          <w:shd w:val="clear" w:color="auto" w:fill="FFFFFF"/>
        </w:rPr>
        <w:t>inors</w:t>
      </w:r>
      <w:r>
        <w:rPr>
          <w:rFonts w:ascii="Tahoma" w:hAnsi="Tahoma" w:cs="Tahoma"/>
          <w:color w:val="5A5A5A"/>
          <w:szCs w:val="24"/>
          <w:shd w:val="clear" w:color="auto" w:fill="FFFFFF"/>
        </w:rPr>
        <w:t xml:space="preserve">, </w:t>
      </w:r>
      <w:r w:rsidRPr="0062684F">
        <w:rPr>
          <w:rFonts w:ascii="Tahoma" w:hAnsi="Tahoma" w:cs="Tahoma"/>
          <w:color w:val="5A5A5A"/>
          <w:szCs w:val="24"/>
          <w:shd w:val="clear" w:color="auto" w:fill="FFFFFF"/>
        </w:rPr>
        <w:t>and will be placed in a detention center</w:t>
      </w:r>
      <w:r>
        <w:rPr>
          <w:rFonts w:ascii="Tahoma" w:hAnsi="Tahoma" w:cs="Tahoma"/>
          <w:color w:val="5A5A5A"/>
          <w:szCs w:val="24"/>
          <w:shd w:val="clear" w:color="auto" w:fill="FFFFFF"/>
        </w:rPr>
        <w:t>.</w:t>
      </w:r>
      <w:r w:rsidRPr="0062684F">
        <w:rPr>
          <w:rFonts w:ascii="Tahoma" w:hAnsi="Tahoma" w:cs="Tahoma"/>
          <w:color w:val="5A5A5A"/>
          <w:szCs w:val="24"/>
          <w:shd w:val="clear" w:color="auto" w:fill="FFFFFF"/>
        </w:rPr>
        <w:t xml:space="preserve"> </w:t>
      </w:r>
      <w:r>
        <w:rPr>
          <w:rFonts w:ascii="Tahoma" w:hAnsi="Tahoma" w:cs="Tahoma"/>
          <w:color w:val="5A5A5A"/>
          <w:szCs w:val="24"/>
          <w:shd w:val="clear" w:color="auto" w:fill="FFFFFF"/>
        </w:rPr>
        <w:t>T</w:t>
      </w:r>
      <w:r w:rsidRPr="0062684F">
        <w:rPr>
          <w:rFonts w:ascii="Tahoma" w:hAnsi="Tahoma" w:cs="Tahoma"/>
          <w:color w:val="5A5A5A"/>
          <w:szCs w:val="24"/>
          <w:shd w:val="clear" w:color="auto" w:fill="FFFFFF"/>
        </w:rPr>
        <w:t xml:space="preserve">here was only one initiative undertaken by the Office of the </w:t>
      </w:r>
      <w:r>
        <w:rPr>
          <w:rFonts w:ascii="Tahoma" w:hAnsi="Tahoma" w:cs="Tahoma"/>
          <w:color w:val="5A5A5A"/>
          <w:szCs w:val="24"/>
          <w:shd w:val="clear" w:color="auto" w:fill="FFFFFF"/>
        </w:rPr>
        <w:t xml:space="preserve">United Nations </w:t>
      </w:r>
      <w:r w:rsidRPr="0062684F">
        <w:rPr>
          <w:rFonts w:ascii="Tahoma" w:hAnsi="Tahoma" w:cs="Tahoma"/>
          <w:color w:val="5A5A5A"/>
          <w:szCs w:val="24"/>
          <w:shd w:val="clear" w:color="auto" w:fill="FFFFFF"/>
        </w:rPr>
        <w:t>High Commissioner for Refugees</w:t>
      </w:r>
      <w:r>
        <w:rPr>
          <w:rFonts w:ascii="Tahoma" w:hAnsi="Tahoma" w:cs="Tahoma"/>
          <w:color w:val="5A5A5A"/>
          <w:szCs w:val="24"/>
          <w:shd w:val="clear" w:color="auto" w:fill="FFFFFF"/>
        </w:rPr>
        <w:t xml:space="preserve"> (UNHCR)</w:t>
      </w:r>
      <w:r w:rsidRPr="0062684F">
        <w:rPr>
          <w:rFonts w:ascii="Tahoma" w:hAnsi="Tahoma" w:cs="Tahoma"/>
          <w:color w:val="5A5A5A"/>
          <w:szCs w:val="24"/>
          <w:shd w:val="clear" w:color="auto" w:fill="FFFFFF"/>
        </w:rPr>
        <w:t xml:space="preserve">, in partnership with the Libyan authorities, it declared the opening of the </w:t>
      </w:r>
      <w:r>
        <w:rPr>
          <w:rFonts w:ascii="Tahoma" w:hAnsi="Tahoma" w:cs="Tahoma"/>
          <w:color w:val="5A5A5A"/>
          <w:szCs w:val="24"/>
          <w:shd w:val="clear" w:color="auto" w:fill="FFFFFF"/>
        </w:rPr>
        <w:t>G</w:t>
      </w:r>
      <w:r w:rsidRPr="0062684F">
        <w:rPr>
          <w:rFonts w:ascii="Tahoma" w:hAnsi="Tahoma" w:cs="Tahoma"/>
          <w:color w:val="5A5A5A"/>
          <w:szCs w:val="24"/>
          <w:shd w:val="clear" w:color="auto" w:fill="FFFFFF"/>
        </w:rPr>
        <w:t xml:space="preserve">athering and </w:t>
      </w:r>
      <w:r>
        <w:rPr>
          <w:rFonts w:ascii="Tahoma" w:hAnsi="Tahoma" w:cs="Tahoma"/>
          <w:color w:val="5A5A5A"/>
          <w:szCs w:val="24"/>
          <w:shd w:val="clear" w:color="auto" w:fill="FFFFFF"/>
        </w:rPr>
        <w:t>D</w:t>
      </w:r>
      <w:r w:rsidRPr="0062684F">
        <w:rPr>
          <w:rFonts w:ascii="Tahoma" w:hAnsi="Tahoma" w:cs="Tahoma"/>
          <w:color w:val="5A5A5A"/>
          <w:szCs w:val="24"/>
          <w:shd w:val="clear" w:color="auto" w:fill="FFFFFF"/>
        </w:rPr>
        <w:t xml:space="preserve">eparture </w:t>
      </w:r>
      <w:r>
        <w:rPr>
          <w:rFonts w:ascii="Tahoma" w:hAnsi="Tahoma" w:cs="Tahoma"/>
          <w:color w:val="5A5A5A"/>
          <w:szCs w:val="24"/>
          <w:shd w:val="clear" w:color="auto" w:fill="FFFFFF"/>
        </w:rPr>
        <w:t>C</w:t>
      </w:r>
      <w:r w:rsidRPr="0062684F">
        <w:rPr>
          <w:rFonts w:ascii="Tahoma" w:hAnsi="Tahoma" w:cs="Tahoma"/>
          <w:color w:val="5A5A5A"/>
          <w:szCs w:val="24"/>
          <w:shd w:val="clear" w:color="auto" w:fill="FFFFFF"/>
        </w:rPr>
        <w:t>enter</w:t>
      </w:r>
      <w:r>
        <w:rPr>
          <w:rFonts w:ascii="Tahoma" w:hAnsi="Tahoma" w:cs="Tahoma"/>
          <w:color w:val="5A5A5A"/>
          <w:szCs w:val="24"/>
          <w:shd w:val="clear" w:color="auto" w:fill="FFFFFF"/>
        </w:rPr>
        <w:t>,</w:t>
      </w:r>
      <w:r w:rsidRPr="0062684F">
        <w:rPr>
          <w:rFonts w:ascii="Tahoma" w:hAnsi="Tahoma" w:cs="Tahoma"/>
          <w:color w:val="5A5A5A"/>
          <w:szCs w:val="24"/>
          <w:shd w:val="clear" w:color="auto" w:fill="FFFFFF"/>
        </w:rPr>
        <w:t xml:space="preserve"> which can accommodate up to 1000 people in the capital Tripoli</w:t>
      </w:r>
      <w:r>
        <w:rPr>
          <w:rFonts w:ascii="Tahoma" w:hAnsi="Tahoma" w:cs="Tahoma"/>
          <w:color w:val="5A5A5A"/>
          <w:szCs w:val="24"/>
          <w:shd w:val="clear" w:color="auto" w:fill="FFFFFF"/>
        </w:rPr>
        <w:t>. T</w:t>
      </w:r>
      <w:r w:rsidRPr="0062684F">
        <w:rPr>
          <w:rFonts w:ascii="Tahoma" w:hAnsi="Tahoma" w:cs="Tahoma"/>
          <w:color w:val="5A5A5A"/>
          <w:szCs w:val="24"/>
          <w:shd w:val="clear" w:color="auto" w:fill="FFFFFF"/>
        </w:rPr>
        <w:t xml:space="preserve">he place was </w:t>
      </w:r>
      <w:r>
        <w:rPr>
          <w:rFonts w:ascii="Tahoma" w:hAnsi="Tahoma" w:cs="Tahoma"/>
          <w:color w:val="5A5A5A"/>
          <w:szCs w:val="24"/>
          <w:shd w:val="clear" w:color="auto" w:fill="FFFFFF"/>
        </w:rPr>
        <w:t xml:space="preserve">planned </w:t>
      </w:r>
      <w:r w:rsidRPr="0062684F">
        <w:rPr>
          <w:rFonts w:ascii="Tahoma" w:hAnsi="Tahoma" w:cs="Tahoma"/>
          <w:color w:val="5A5A5A"/>
          <w:szCs w:val="24"/>
          <w:shd w:val="clear" w:color="auto" w:fill="FFFFFF"/>
        </w:rPr>
        <w:t>to house children and women migrants until they are resettled in a third country, but UNHCR announced the closure of center after less than a year from its opening</w:t>
      </w:r>
      <w:r>
        <w:rPr>
          <w:rFonts w:ascii="Tahoma" w:hAnsi="Tahoma" w:cs="Tahoma"/>
          <w:color w:val="5A5A5A"/>
          <w:szCs w:val="24"/>
          <w:shd w:val="clear" w:color="auto" w:fill="FFFFFF"/>
        </w:rPr>
        <w:t>.</w:t>
      </w:r>
    </w:p>
    <w:p w14:paraId="500ECA65" w14:textId="7348B9C6" w:rsidR="00E71F04" w:rsidRPr="0062684F" w:rsidRDefault="00E71F04" w:rsidP="003248D5">
      <w:pPr>
        <w:spacing w:after="200" w:line="276" w:lineRule="auto"/>
        <w:contextualSpacing/>
        <w:jc w:val="both"/>
        <w:outlineLvl w:val="0"/>
        <w:rPr>
          <w:rFonts w:ascii="Tahoma" w:hAnsi="Tahoma" w:cs="Tahoma"/>
          <w:szCs w:val="24"/>
          <w:rtl/>
          <w:lang w:val="en-GB"/>
        </w:rPr>
      </w:pPr>
      <w:r w:rsidRPr="0062684F">
        <w:rPr>
          <w:rFonts w:ascii="Tahoma" w:hAnsi="Tahoma" w:cs="Tahoma"/>
          <w:color w:val="5A5A5A"/>
          <w:szCs w:val="24"/>
          <w:shd w:val="clear" w:color="auto" w:fill="FFFFFF"/>
        </w:rPr>
        <w:t xml:space="preserve">There are </w:t>
      </w:r>
      <w:r>
        <w:rPr>
          <w:rFonts w:ascii="Tahoma" w:hAnsi="Tahoma" w:cs="Tahoma"/>
          <w:color w:val="5A5A5A"/>
          <w:szCs w:val="24"/>
          <w:shd w:val="clear" w:color="auto" w:fill="FFFFFF"/>
        </w:rPr>
        <w:t xml:space="preserve">very few </w:t>
      </w:r>
      <w:r w:rsidRPr="0062684F">
        <w:rPr>
          <w:rFonts w:ascii="Tahoma" w:hAnsi="Tahoma" w:cs="Tahoma"/>
          <w:color w:val="5A5A5A"/>
          <w:szCs w:val="24"/>
          <w:shd w:val="clear" w:color="auto" w:fill="FFFFFF"/>
        </w:rPr>
        <w:t xml:space="preserve">individual cases </w:t>
      </w:r>
      <w:r w:rsidRPr="00A10522">
        <w:rPr>
          <w:rFonts w:ascii="Tahoma" w:hAnsi="Tahoma" w:cs="Tahoma"/>
          <w:color w:val="5A5A5A"/>
          <w:szCs w:val="24"/>
          <w:shd w:val="clear" w:color="auto" w:fill="FFFFFF"/>
        </w:rPr>
        <w:t xml:space="preserve">in which some families </w:t>
      </w:r>
      <w:r>
        <w:rPr>
          <w:rFonts w:ascii="Tahoma" w:hAnsi="Tahoma" w:cs="Tahoma"/>
          <w:color w:val="5A5A5A"/>
          <w:szCs w:val="24"/>
          <w:shd w:val="clear" w:color="auto" w:fill="FFFFFF"/>
        </w:rPr>
        <w:t>were</w:t>
      </w:r>
      <w:r w:rsidRPr="00A10522">
        <w:rPr>
          <w:rFonts w:ascii="Tahoma" w:hAnsi="Tahoma" w:cs="Tahoma"/>
          <w:color w:val="5A5A5A"/>
          <w:szCs w:val="24"/>
          <w:shd w:val="clear" w:color="auto" w:fill="FFFFFF"/>
        </w:rPr>
        <w:t xml:space="preserve"> allowed to host children in their homes until they are deported, and this is rarely the case</w:t>
      </w:r>
      <w:r>
        <w:rPr>
          <w:rFonts w:ascii="Tahoma" w:hAnsi="Tahoma" w:cs="Tahoma"/>
          <w:color w:val="5A5A5A"/>
          <w:szCs w:val="24"/>
          <w:shd w:val="clear" w:color="auto" w:fill="FFFFFF"/>
        </w:rPr>
        <w:t>.</w:t>
      </w:r>
      <w:r w:rsidRPr="0062684F">
        <w:rPr>
          <w:rFonts w:ascii="Tahoma" w:hAnsi="Tahoma" w:cs="Tahoma"/>
          <w:szCs w:val="24"/>
          <w:rtl/>
          <w:lang w:val="en-GB"/>
        </w:rPr>
        <w:t xml:space="preserve"> </w:t>
      </w:r>
    </w:p>
    <w:p w14:paraId="627776BB" w14:textId="77777777" w:rsidR="00E71F04" w:rsidRPr="0062684F" w:rsidRDefault="00E71F04" w:rsidP="0062684F">
      <w:pPr>
        <w:spacing w:after="200" w:line="276" w:lineRule="auto"/>
        <w:contextualSpacing/>
        <w:jc w:val="both"/>
        <w:outlineLvl w:val="0"/>
        <w:rPr>
          <w:rFonts w:ascii="Tahoma" w:hAnsi="Tahoma" w:cs="Tahoma"/>
          <w:szCs w:val="24"/>
          <w:rtl/>
          <w:lang w:val="en-GB"/>
        </w:rPr>
      </w:pPr>
    </w:p>
    <w:p w14:paraId="7E18802A" w14:textId="77777777" w:rsidR="001B4FF6" w:rsidRDefault="001B4FF6" w:rsidP="0062684F">
      <w:pPr>
        <w:shd w:val="clear" w:color="auto" w:fill="FFFFFF"/>
        <w:spacing w:after="200" w:line="276" w:lineRule="auto"/>
        <w:rPr>
          <w:rFonts w:ascii="Tahoma" w:hAnsi="Tahoma" w:cs="Tahoma"/>
          <w:b/>
          <w:bCs/>
          <w:color w:val="000000"/>
          <w:szCs w:val="24"/>
        </w:rPr>
      </w:pPr>
    </w:p>
    <w:p w14:paraId="63F41726" w14:textId="77777777" w:rsidR="001B4FF6" w:rsidRDefault="001B4FF6" w:rsidP="0062684F">
      <w:pPr>
        <w:shd w:val="clear" w:color="auto" w:fill="FFFFFF"/>
        <w:spacing w:after="200" w:line="276" w:lineRule="auto"/>
        <w:rPr>
          <w:rFonts w:ascii="Tahoma" w:hAnsi="Tahoma" w:cs="Tahoma"/>
          <w:b/>
          <w:bCs/>
          <w:color w:val="000000"/>
          <w:szCs w:val="24"/>
        </w:rPr>
      </w:pPr>
    </w:p>
    <w:p w14:paraId="0E49C9E5" w14:textId="77777777" w:rsidR="001B4FF6" w:rsidRDefault="001B4FF6" w:rsidP="0062684F">
      <w:pPr>
        <w:shd w:val="clear" w:color="auto" w:fill="FFFFFF"/>
        <w:spacing w:after="200" w:line="276" w:lineRule="auto"/>
        <w:rPr>
          <w:rFonts w:ascii="Tahoma" w:hAnsi="Tahoma" w:cs="Tahoma"/>
          <w:b/>
          <w:bCs/>
          <w:color w:val="000000"/>
          <w:szCs w:val="24"/>
        </w:rPr>
      </w:pPr>
    </w:p>
    <w:p w14:paraId="1C12CF4F" w14:textId="2629024B" w:rsidR="00E71F04" w:rsidRPr="0062684F" w:rsidRDefault="00E71F04" w:rsidP="0062684F">
      <w:pPr>
        <w:shd w:val="clear" w:color="auto" w:fill="FFFFFF"/>
        <w:spacing w:after="200" w:line="276" w:lineRule="auto"/>
        <w:rPr>
          <w:rFonts w:ascii="Tahoma" w:hAnsi="Tahoma" w:cs="Tahoma"/>
          <w:color w:val="000000"/>
          <w:szCs w:val="24"/>
        </w:rPr>
      </w:pPr>
      <w:r w:rsidRPr="0062684F">
        <w:rPr>
          <w:rFonts w:ascii="Tahoma" w:hAnsi="Tahoma" w:cs="Tahoma"/>
          <w:b/>
          <w:bCs/>
          <w:color w:val="000000"/>
          <w:szCs w:val="24"/>
        </w:rPr>
        <w:t>Good practices or measures taken to protect the human rights of migrant children and their families while their migration status is being resolved</w:t>
      </w:r>
      <w:r w:rsidRPr="0062684F">
        <w:rPr>
          <w:rFonts w:ascii="Tahoma" w:hAnsi="Tahoma" w:cs="Tahoma"/>
          <w:color w:val="000000"/>
          <w:szCs w:val="24"/>
        </w:rPr>
        <w:t>;</w:t>
      </w:r>
    </w:p>
    <w:p w14:paraId="18A7C858" w14:textId="3900EDF6" w:rsidR="00E71F04" w:rsidRPr="0062684F" w:rsidRDefault="00E71F04" w:rsidP="0049305A">
      <w:pPr>
        <w:spacing w:after="200" w:line="276" w:lineRule="auto"/>
        <w:jc w:val="both"/>
        <w:rPr>
          <w:rFonts w:ascii="Tahoma" w:hAnsi="Tahoma" w:cs="Tahoma"/>
          <w:szCs w:val="24"/>
        </w:rPr>
      </w:pPr>
      <w:r w:rsidRPr="0062684F">
        <w:rPr>
          <w:rFonts w:ascii="Tahoma" w:hAnsi="Tahoma" w:cs="Tahoma"/>
          <w:color w:val="5A5A5A"/>
          <w:szCs w:val="24"/>
          <w:shd w:val="clear" w:color="auto" w:fill="FFFFFF"/>
        </w:rPr>
        <w:t xml:space="preserve">Throughout the </w:t>
      </w:r>
      <w:r>
        <w:rPr>
          <w:rFonts w:ascii="Tahoma" w:hAnsi="Tahoma" w:cs="Tahoma"/>
          <w:color w:val="5A5A5A"/>
          <w:szCs w:val="24"/>
          <w:shd w:val="clear" w:color="auto" w:fill="FFFFFF"/>
        </w:rPr>
        <w:t xml:space="preserve">past </w:t>
      </w:r>
      <w:r w:rsidRPr="0062684F">
        <w:rPr>
          <w:rFonts w:ascii="Tahoma" w:hAnsi="Tahoma" w:cs="Tahoma"/>
          <w:color w:val="5A5A5A"/>
          <w:szCs w:val="24"/>
          <w:shd w:val="clear" w:color="auto" w:fill="FFFFFF"/>
        </w:rPr>
        <w:t>years in Libya</w:t>
      </w:r>
      <w:r>
        <w:rPr>
          <w:rFonts w:ascii="Tahoma" w:hAnsi="Tahoma" w:cs="Tahoma"/>
          <w:color w:val="5A5A5A"/>
          <w:szCs w:val="24"/>
          <w:shd w:val="clear" w:color="auto" w:fill="FFFFFF"/>
        </w:rPr>
        <w:t>,</w:t>
      </w:r>
      <w:r w:rsidRPr="0062684F">
        <w:rPr>
          <w:rFonts w:ascii="Tahoma" w:hAnsi="Tahoma" w:cs="Tahoma"/>
          <w:color w:val="5A5A5A"/>
          <w:szCs w:val="24"/>
          <w:shd w:val="clear" w:color="auto" w:fill="FFFFFF"/>
        </w:rPr>
        <w:t xml:space="preserve"> and despite the presence of many international organizations and agencies working on </w:t>
      </w:r>
      <w:r>
        <w:rPr>
          <w:rFonts w:ascii="Tahoma" w:hAnsi="Tahoma" w:cs="Tahoma"/>
          <w:color w:val="5A5A5A"/>
          <w:szCs w:val="24"/>
          <w:shd w:val="clear" w:color="auto" w:fill="FFFFFF"/>
        </w:rPr>
        <w:t xml:space="preserve">the cases of </w:t>
      </w:r>
      <w:r w:rsidRPr="0062684F">
        <w:rPr>
          <w:rFonts w:ascii="Tahoma" w:hAnsi="Tahoma" w:cs="Tahoma"/>
          <w:color w:val="5A5A5A"/>
          <w:szCs w:val="24"/>
          <w:shd w:val="clear" w:color="auto" w:fill="FFFFFF"/>
        </w:rPr>
        <w:t>immigration and asylum seekers</w:t>
      </w:r>
      <w:r>
        <w:rPr>
          <w:rFonts w:ascii="Tahoma" w:hAnsi="Tahoma" w:cs="Tahoma"/>
          <w:color w:val="5A5A5A"/>
          <w:szCs w:val="24"/>
          <w:shd w:val="clear" w:color="auto" w:fill="FFFFFF"/>
        </w:rPr>
        <w:t>,</w:t>
      </w:r>
      <w:r w:rsidRPr="0062684F">
        <w:rPr>
          <w:rFonts w:ascii="Tahoma" w:hAnsi="Tahoma" w:cs="Tahoma"/>
          <w:color w:val="5A5A5A"/>
          <w:szCs w:val="24"/>
          <w:shd w:val="clear" w:color="auto" w:fill="FFFFFF"/>
        </w:rPr>
        <w:t xml:space="preserve"> we </w:t>
      </w:r>
      <w:r>
        <w:rPr>
          <w:rFonts w:ascii="Tahoma" w:hAnsi="Tahoma" w:cs="Tahoma"/>
          <w:color w:val="5A5A5A"/>
          <w:szCs w:val="24"/>
          <w:shd w:val="clear" w:color="auto" w:fill="FFFFFF"/>
        </w:rPr>
        <w:t xml:space="preserve">have </w:t>
      </w:r>
      <w:r w:rsidRPr="0062684F">
        <w:rPr>
          <w:rFonts w:ascii="Tahoma" w:hAnsi="Tahoma" w:cs="Tahoma"/>
          <w:color w:val="5A5A5A"/>
          <w:szCs w:val="24"/>
          <w:shd w:val="clear" w:color="auto" w:fill="FFFFFF"/>
        </w:rPr>
        <w:t>see</w:t>
      </w:r>
      <w:r>
        <w:rPr>
          <w:rFonts w:ascii="Tahoma" w:hAnsi="Tahoma" w:cs="Tahoma"/>
          <w:color w:val="5A5A5A"/>
          <w:szCs w:val="24"/>
          <w:shd w:val="clear" w:color="auto" w:fill="FFFFFF"/>
        </w:rPr>
        <w:t>n</w:t>
      </w:r>
      <w:r w:rsidRPr="0062684F">
        <w:rPr>
          <w:rFonts w:ascii="Tahoma" w:hAnsi="Tahoma" w:cs="Tahoma"/>
          <w:color w:val="5A5A5A"/>
          <w:szCs w:val="24"/>
          <w:shd w:val="clear" w:color="auto" w:fill="FFFFFF"/>
        </w:rPr>
        <w:t xml:space="preserve"> no improvement</w:t>
      </w:r>
      <w:r>
        <w:rPr>
          <w:rFonts w:ascii="Tahoma" w:hAnsi="Tahoma" w:cs="Tahoma"/>
          <w:color w:val="5A5A5A"/>
          <w:szCs w:val="24"/>
          <w:shd w:val="clear" w:color="auto" w:fill="FFFFFF"/>
        </w:rPr>
        <w:t>,</w:t>
      </w:r>
      <w:r w:rsidRPr="0062684F">
        <w:rPr>
          <w:rFonts w:ascii="Tahoma" w:hAnsi="Tahoma" w:cs="Tahoma"/>
          <w:color w:val="5A5A5A"/>
          <w:szCs w:val="24"/>
          <w:shd w:val="clear" w:color="auto" w:fill="FFFFFF"/>
        </w:rPr>
        <w:t xml:space="preserve"> and </w:t>
      </w:r>
      <w:r>
        <w:rPr>
          <w:rFonts w:ascii="Tahoma" w:hAnsi="Tahoma" w:cs="Tahoma"/>
          <w:color w:val="5A5A5A"/>
          <w:szCs w:val="24"/>
          <w:shd w:val="clear" w:color="auto" w:fill="FFFFFF"/>
        </w:rPr>
        <w:t>a</w:t>
      </w:r>
      <w:r w:rsidRPr="0062684F">
        <w:rPr>
          <w:rFonts w:ascii="Tahoma" w:hAnsi="Tahoma" w:cs="Tahoma"/>
          <w:color w:val="5A5A5A"/>
          <w:szCs w:val="24"/>
          <w:shd w:val="clear" w:color="auto" w:fill="FFFFFF"/>
        </w:rPr>
        <w:t>ll failed to provide the minimum protections for migrant children</w:t>
      </w:r>
      <w:r w:rsidRPr="0062684F">
        <w:rPr>
          <w:rFonts w:ascii="Tahoma" w:hAnsi="Tahoma" w:cs="Tahoma"/>
          <w:szCs w:val="24"/>
        </w:rPr>
        <w:t>.</w:t>
      </w:r>
    </w:p>
    <w:p w14:paraId="77BD85BF" w14:textId="090DC05C" w:rsidR="00E71F04" w:rsidRPr="0062684F" w:rsidRDefault="00E71F04" w:rsidP="0049305A">
      <w:pPr>
        <w:spacing w:after="200" w:line="276" w:lineRule="auto"/>
        <w:jc w:val="both"/>
        <w:rPr>
          <w:rFonts w:ascii="Tahoma" w:hAnsi="Tahoma" w:cs="Tahoma"/>
          <w:color w:val="5A5A5A"/>
          <w:szCs w:val="24"/>
          <w:shd w:val="clear" w:color="auto" w:fill="FFFFFF"/>
        </w:rPr>
      </w:pPr>
      <w:r w:rsidRPr="0062684F">
        <w:rPr>
          <w:rFonts w:ascii="Tahoma" w:hAnsi="Tahoma" w:cs="Tahoma"/>
          <w:color w:val="5A5A5A"/>
          <w:szCs w:val="24"/>
          <w:shd w:val="clear" w:color="auto" w:fill="FFFFFF"/>
        </w:rPr>
        <w:t xml:space="preserve">There are no measures to reduce mixing children with adults, all detention centers under the control of the Libyan authorities, </w:t>
      </w:r>
      <w:r>
        <w:rPr>
          <w:rFonts w:ascii="Tahoma" w:hAnsi="Tahoma" w:cs="Tahoma"/>
          <w:color w:val="5A5A5A"/>
          <w:szCs w:val="24"/>
          <w:shd w:val="clear" w:color="auto" w:fill="FFFFFF"/>
        </w:rPr>
        <w:t xml:space="preserve">which are visited by </w:t>
      </w:r>
      <w:r w:rsidRPr="0062684F">
        <w:rPr>
          <w:rFonts w:ascii="Tahoma" w:hAnsi="Tahoma" w:cs="Tahoma"/>
          <w:color w:val="5A5A5A"/>
          <w:szCs w:val="24"/>
          <w:shd w:val="clear" w:color="auto" w:fill="FFFFFF"/>
        </w:rPr>
        <w:t>international organizations</w:t>
      </w:r>
      <w:r>
        <w:rPr>
          <w:rStyle w:val="EndnoteReference"/>
          <w:rFonts w:ascii="Tahoma" w:hAnsi="Tahoma" w:cs="Tahoma"/>
          <w:color w:val="5A5A5A"/>
          <w:szCs w:val="24"/>
          <w:shd w:val="clear" w:color="auto" w:fill="FFFFFF"/>
        </w:rPr>
        <w:endnoteReference w:id="12"/>
      </w:r>
      <w:r>
        <w:rPr>
          <w:rFonts w:ascii="Tahoma" w:hAnsi="Tahoma" w:cs="Tahoma"/>
          <w:color w:val="5A5A5A"/>
          <w:szCs w:val="24"/>
          <w:shd w:val="clear" w:color="auto" w:fill="FFFFFF"/>
        </w:rPr>
        <w:t>,</w:t>
      </w:r>
      <w:r w:rsidRPr="0062684F">
        <w:rPr>
          <w:rFonts w:ascii="Tahoma" w:hAnsi="Tahoma" w:cs="Tahoma"/>
          <w:color w:val="5A5A5A"/>
          <w:szCs w:val="24"/>
          <w:shd w:val="clear" w:color="auto" w:fill="FFFFFF"/>
        </w:rPr>
        <w:t xml:space="preserve"> </w:t>
      </w:r>
      <w:r>
        <w:rPr>
          <w:rFonts w:ascii="Tahoma" w:hAnsi="Tahoma" w:cs="Tahoma"/>
          <w:color w:val="5A5A5A"/>
          <w:szCs w:val="24"/>
          <w:shd w:val="clear" w:color="auto" w:fill="FFFFFF"/>
        </w:rPr>
        <w:t xml:space="preserve">don’t pay attention to </w:t>
      </w:r>
      <w:r w:rsidRPr="0062684F">
        <w:rPr>
          <w:rFonts w:ascii="Tahoma" w:hAnsi="Tahoma" w:cs="Tahoma"/>
          <w:color w:val="5A5A5A"/>
          <w:szCs w:val="24"/>
          <w:shd w:val="clear" w:color="auto" w:fill="FFFFFF"/>
        </w:rPr>
        <w:t xml:space="preserve">the separation </w:t>
      </w:r>
      <w:r>
        <w:rPr>
          <w:rFonts w:ascii="Tahoma" w:hAnsi="Tahoma" w:cs="Tahoma"/>
          <w:color w:val="5A5A5A"/>
          <w:szCs w:val="24"/>
          <w:shd w:val="clear" w:color="auto" w:fill="FFFFFF"/>
        </w:rPr>
        <w:t>of minors from adults nor</w:t>
      </w:r>
      <w:r w:rsidRPr="0062684F">
        <w:rPr>
          <w:rFonts w:ascii="Tahoma" w:hAnsi="Tahoma" w:cs="Tahoma"/>
          <w:color w:val="5A5A5A"/>
          <w:szCs w:val="24"/>
          <w:shd w:val="clear" w:color="auto" w:fill="FFFFFF"/>
        </w:rPr>
        <w:t xml:space="preserve"> in providing them security.</w:t>
      </w:r>
    </w:p>
    <w:p w14:paraId="3CC0EFEA" w14:textId="362C07D4" w:rsidR="00E71F04" w:rsidRPr="0062684F" w:rsidRDefault="00E71F04" w:rsidP="003248D5">
      <w:pPr>
        <w:spacing w:after="200" w:line="276" w:lineRule="auto"/>
        <w:jc w:val="both"/>
        <w:rPr>
          <w:rFonts w:ascii="Tahoma" w:hAnsi="Tahoma" w:cs="Tahoma"/>
          <w:szCs w:val="24"/>
        </w:rPr>
      </w:pPr>
      <w:r w:rsidRPr="0062684F">
        <w:rPr>
          <w:rFonts w:ascii="Tahoma" w:hAnsi="Tahoma" w:cs="Tahoma"/>
          <w:color w:val="5A5A5A"/>
          <w:szCs w:val="24"/>
          <w:shd w:val="clear" w:color="auto" w:fill="FFFFFF"/>
        </w:rPr>
        <w:t xml:space="preserve">Regarding migrant workers who are outside the detention centers, there are no initiatives or measures carried out by local authorities in Libya. Mostly due to that All workers are irregular workers; this means they are not registered in the municipalities. School age </w:t>
      </w:r>
      <w:r>
        <w:rPr>
          <w:rFonts w:ascii="Tahoma" w:hAnsi="Tahoma" w:cs="Tahoma"/>
          <w:color w:val="5A5A5A"/>
          <w:szCs w:val="24"/>
          <w:shd w:val="clear" w:color="auto" w:fill="FFFFFF"/>
        </w:rPr>
        <w:t>c</w:t>
      </w:r>
      <w:r w:rsidRPr="0062684F">
        <w:rPr>
          <w:rFonts w:ascii="Tahoma" w:hAnsi="Tahoma" w:cs="Tahoma"/>
          <w:color w:val="5A5A5A"/>
          <w:szCs w:val="24"/>
          <w:shd w:val="clear" w:color="auto" w:fill="FFFFFF"/>
        </w:rPr>
        <w:t>hildren cannot join schools.</w:t>
      </w:r>
      <w:r>
        <w:rPr>
          <w:rFonts w:ascii="Tahoma" w:hAnsi="Tahoma" w:cs="Tahoma"/>
          <w:color w:val="5A5A5A"/>
          <w:szCs w:val="24"/>
          <w:shd w:val="clear" w:color="auto" w:fill="FFFFFF"/>
        </w:rPr>
        <w:t xml:space="preserve"> This is very serious violation of migrant children, because some migrant families who do not have legal status (work permit, or residence) could be working in Libya for years, with their children missing out on school.</w:t>
      </w:r>
    </w:p>
    <w:p w14:paraId="1C8536FB" w14:textId="77777777" w:rsidR="001B4FF6" w:rsidRDefault="001B4FF6" w:rsidP="0062684F">
      <w:pPr>
        <w:shd w:val="clear" w:color="auto" w:fill="FFFFFF"/>
        <w:spacing w:after="200" w:line="276" w:lineRule="auto"/>
        <w:rPr>
          <w:rFonts w:ascii="Tahoma" w:hAnsi="Tahoma" w:cs="Tahoma"/>
          <w:b/>
          <w:bCs/>
          <w:color w:val="000000"/>
          <w:szCs w:val="24"/>
        </w:rPr>
      </w:pPr>
    </w:p>
    <w:p w14:paraId="50C0C3D7" w14:textId="104AB16C" w:rsidR="00E71F04" w:rsidRPr="0062684F" w:rsidRDefault="00E71F04" w:rsidP="0062684F">
      <w:pPr>
        <w:shd w:val="clear" w:color="auto" w:fill="FFFFFF"/>
        <w:spacing w:after="200" w:line="276" w:lineRule="auto"/>
        <w:rPr>
          <w:rFonts w:ascii="Tahoma" w:hAnsi="Tahoma" w:cs="Tahoma"/>
          <w:b/>
          <w:bCs/>
          <w:color w:val="000000"/>
          <w:szCs w:val="24"/>
        </w:rPr>
      </w:pPr>
      <w:r w:rsidRPr="0062684F">
        <w:rPr>
          <w:rFonts w:ascii="Tahoma" w:hAnsi="Tahoma" w:cs="Tahoma"/>
          <w:b/>
          <w:bCs/>
          <w:color w:val="000000"/>
          <w:szCs w:val="24"/>
        </w:rPr>
        <w:t>Challenges and/or obstacles in the development and/or implementation of non-custodial alternatives to immigration detention of children and their families;</w:t>
      </w:r>
    </w:p>
    <w:p w14:paraId="0E25F529" w14:textId="4FF4A75D" w:rsidR="00406710" w:rsidRPr="0062684F" w:rsidRDefault="00E71F04" w:rsidP="00567A36">
      <w:pPr>
        <w:suppressAutoHyphens w:val="0"/>
        <w:spacing w:after="200" w:line="276" w:lineRule="auto"/>
        <w:jc w:val="both"/>
        <w:rPr>
          <w:rFonts w:ascii="Tahoma" w:hAnsi="Tahoma" w:cs="Tahoma"/>
          <w:szCs w:val="24"/>
        </w:rPr>
      </w:pPr>
      <w:r w:rsidRPr="0062684F">
        <w:rPr>
          <w:rFonts w:ascii="Tahoma" w:hAnsi="Tahoma" w:cs="Tahoma"/>
          <w:b/>
          <w:bCs/>
          <w:color w:val="5A5A5A"/>
          <w:szCs w:val="24"/>
          <w:shd w:val="clear" w:color="auto" w:fill="FFFFFF"/>
        </w:rPr>
        <w:t>Legal obstacles</w:t>
      </w:r>
      <w:r w:rsidRPr="0062684F">
        <w:rPr>
          <w:rFonts w:ascii="Tahoma" w:hAnsi="Tahoma" w:cs="Tahoma"/>
          <w:color w:val="5A5A5A"/>
          <w:szCs w:val="24"/>
          <w:shd w:val="clear" w:color="auto" w:fill="FFFFFF"/>
        </w:rPr>
        <w:t xml:space="preserve">: the failure of the Libyan legislature in enacting laws in line with the conventions and charters ratified by the Libyan </w:t>
      </w:r>
      <w:r>
        <w:rPr>
          <w:rFonts w:ascii="Tahoma" w:hAnsi="Tahoma" w:cs="Tahoma"/>
          <w:color w:val="5A5A5A"/>
          <w:szCs w:val="24"/>
          <w:shd w:val="clear" w:color="auto" w:fill="FFFFFF"/>
        </w:rPr>
        <w:t>S</w:t>
      </w:r>
      <w:r w:rsidRPr="0062684F">
        <w:rPr>
          <w:rFonts w:ascii="Tahoma" w:hAnsi="Tahoma" w:cs="Tahoma"/>
          <w:color w:val="5A5A5A"/>
          <w:szCs w:val="24"/>
          <w:shd w:val="clear" w:color="auto" w:fill="FFFFFF"/>
        </w:rPr>
        <w:t xml:space="preserve">tate, for example law No. </w:t>
      </w:r>
      <w:r>
        <w:rPr>
          <w:rFonts w:ascii="Tahoma" w:hAnsi="Tahoma" w:cs="Tahoma"/>
          <w:color w:val="5A5A5A"/>
          <w:szCs w:val="24"/>
          <w:shd w:val="clear" w:color="auto" w:fill="FFFFFF"/>
        </w:rPr>
        <w:t>(</w:t>
      </w:r>
      <w:r w:rsidRPr="0062684F">
        <w:rPr>
          <w:rFonts w:ascii="Tahoma" w:hAnsi="Tahoma" w:cs="Tahoma"/>
          <w:color w:val="5A5A5A"/>
          <w:szCs w:val="24"/>
          <w:shd w:val="clear" w:color="auto" w:fill="FFFFFF"/>
        </w:rPr>
        <w:t>19</w:t>
      </w:r>
      <w:r>
        <w:rPr>
          <w:rFonts w:ascii="Tahoma" w:hAnsi="Tahoma" w:cs="Tahoma"/>
          <w:color w:val="5A5A5A"/>
          <w:szCs w:val="24"/>
          <w:shd w:val="clear" w:color="auto" w:fill="FFFFFF"/>
        </w:rPr>
        <w:t xml:space="preserve">) of </w:t>
      </w:r>
      <w:r w:rsidRPr="0062684F">
        <w:rPr>
          <w:rFonts w:ascii="Tahoma" w:hAnsi="Tahoma" w:cs="Tahoma"/>
          <w:color w:val="5A5A5A"/>
          <w:szCs w:val="24"/>
          <w:shd w:val="clear" w:color="auto" w:fill="FFFFFF"/>
        </w:rPr>
        <w:t xml:space="preserve">2010 </w:t>
      </w:r>
      <w:r>
        <w:rPr>
          <w:rFonts w:ascii="Tahoma" w:hAnsi="Tahoma" w:cs="Tahoma"/>
          <w:color w:val="5A5A5A"/>
          <w:szCs w:val="24"/>
          <w:shd w:val="clear" w:color="auto" w:fill="FFFFFF"/>
        </w:rPr>
        <w:t>“</w:t>
      </w:r>
      <w:bookmarkStart w:id="2" w:name="_Hlk40451553"/>
      <w:r>
        <w:rPr>
          <w:rFonts w:ascii="Tahoma" w:hAnsi="Tahoma" w:cs="Tahoma"/>
          <w:color w:val="5A5A5A"/>
          <w:szCs w:val="24"/>
          <w:shd w:val="clear" w:color="auto" w:fill="FFFFFF"/>
        </w:rPr>
        <w:t>O</w:t>
      </w:r>
      <w:r w:rsidRPr="00390666">
        <w:rPr>
          <w:rFonts w:ascii="Tahoma" w:hAnsi="Tahoma" w:cs="Tahoma"/>
          <w:color w:val="5A5A5A"/>
          <w:szCs w:val="24"/>
          <w:shd w:val="clear" w:color="auto" w:fill="FFFFFF"/>
        </w:rPr>
        <w:t xml:space="preserve">n </w:t>
      </w:r>
      <w:r>
        <w:rPr>
          <w:rFonts w:ascii="Tahoma" w:hAnsi="Tahoma" w:cs="Tahoma"/>
          <w:color w:val="5A5A5A"/>
          <w:szCs w:val="24"/>
          <w:shd w:val="clear" w:color="auto" w:fill="FFFFFF"/>
        </w:rPr>
        <w:t>C</w:t>
      </w:r>
      <w:r w:rsidRPr="00390666">
        <w:rPr>
          <w:rFonts w:ascii="Tahoma" w:hAnsi="Tahoma" w:cs="Tahoma"/>
          <w:color w:val="5A5A5A"/>
          <w:szCs w:val="24"/>
          <w:shd w:val="clear" w:color="auto" w:fill="FFFFFF"/>
        </w:rPr>
        <w:t xml:space="preserve">ombatting </w:t>
      </w:r>
      <w:r>
        <w:rPr>
          <w:rFonts w:ascii="Tahoma" w:hAnsi="Tahoma" w:cs="Tahoma"/>
          <w:color w:val="5A5A5A"/>
          <w:szCs w:val="24"/>
          <w:shd w:val="clear" w:color="auto" w:fill="FFFFFF"/>
        </w:rPr>
        <w:t>I</w:t>
      </w:r>
      <w:r w:rsidRPr="00390666">
        <w:rPr>
          <w:rFonts w:ascii="Tahoma" w:hAnsi="Tahoma" w:cs="Tahoma"/>
          <w:color w:val="5A5A5A"/>
          <w:szCs w:val="24"/>
          <w:shd w:val="clear" w:color="auto" w:fill="FFFFFF"/>
        </w:rPr>
        <w:t xml:space="preserve">llegal </w:t>
      </w:r>
      <w:r>
        <w:rPr>
          <w:rFonts w:ascii="Tahoma" w:hAnsi="Tahoma" w:cs="Tahoma"/>
          <w:color w:val="5A5A5A"/>
          <w:szCs w:val="24"/>
          <w:shd w:val="clear" w:color="auto" w:fill="FFFFFF"/>
        </w:rPr>
        <w:t>I</w:t>
      </w:r>
      <w:r w:rsidRPr="00390666">
        <w:rPr>
          <w:rFonts w:ascii="Tahoma" w:hAnsi="Tahoma" w:cs="Tahoma"/>
          <w:color w:val="5A5A5A"/>
          <w:szCs w:val="24"/>
          <w:shd w:val="clear" w:color="auto" w:fill="FFFFFF"/>
        </w:rPr>
        <w:t>mmigration</w:t>
      </w:r>
      <w:bookmarkEnd w:id="2"/>
      <w:r>
        <w:rPr>
          <w:rFonts w:ascii="Tahoma" w:hAnsi="Tahoma" w:cs="Tahoma"/>
          <w:color w:val="5A5A5A"/>
          <w:szCs w:val="24"/>
          <w:shd w:val="clear" w:color="auto" w:fill="FFFFFF"/>
        </w:rPr>
        <w:t>”</w:t>
      </w:r>
      <w:r>
        <w:rPr>
          <w:rStyle w:val="EndnoteReference"/>
          <w:rFonts w:ascii="Tahoma" w:hAnsi="Tahoma" w:cs="Tahoma"/>
          <w:color w:val="5A5A5A"/>
          <w:szCs w:val="24"/>
          <w:shd w:val="clear" w:color="auto" w:fill="FFFFFF"/>
        </w:rPr>
        <w:endnoteReference w:id="13"/>
      </w:r>
      <w:r>
        <w:rPr>
          <w:rFonts w:ascii="Tahoma" w:hAnsi="Tahoma" w:cs="Tahoma"/>
          <w:color w:val="5A5A5A"/>
          <w:szCs w:val="24"/>
          <w:shd w:val="clear" w:color="auto" w:fill="FFFFFF"/>
        </w:rPr>
        <w:t xml:space="preserve"> </w:t>
      </w:r>
      <w:r w:rsidRPr="0062684F">
        <w:rPr>
          <w:rFonts w:ascii="Tahoma" w:hAnsi="Tahoma" w:cs="Tahoma"/>
          <w:color w:val="5A5A5A"/>
          <w:szCs w:val="24"/>
          <w:shd w:val="clear" w:color="auto" w:fill="FFFFFF"/>
        </w:rPr>
        <w:t>criminaliz</w:t>
      </w:r>
      <w:r>
        <w:rPr>
          <w:rFonts w:ascii="Tahoma" w:hAnsi="Tahoma" w:cs="Tahoma"/>
          <w:color w:val="5A5A5A"/>
          <w:szCs w:val="24"/>
          <w:shd w:val="clear" w:color="auto" w:fill="FFFFFF"/>
        </w:rPr>
        <w:t>es</w:t>
      </w:r>
      <w:r w:rsidRPr="0062684F">
        <w:rPr>
          <w:rFonts w:ascii="Tahoma" w:hAnsi="Tahoma" w:cs="Tahoma"/>
          <w:color w:val="5A5A5A"/>
          <w:szCs w:val="24"/>
          <w:shd w:val="clear" w:color="auto" w:fill="FFFFFF"/>
        </w:rPr>
        <w:t xml:space="preserve"> all those who entered Libya without identification papers this include infants and </w:t>
      </w:r>
      <w:r>
        <w:rPr>
          <w:rFonts w:ascii="Tahoma" w:hAnsi="Tahoma" w:cs="Tahoma"/>
          <w:color w:val="5A5A5A"/>
          <w:szCs w:val="24"/>
          <w:shd w:val="clear" w:color="auto" w:fill="FFFFFF"/>
        </w:rPr>
        <w:t>m</w:t>
      </w:r>
      <w:r w:rsidRPr="0062684F">
        <w:rPr>
          <w:rFonts w:ascii="Tahoma" w:hAnsi="Tahoma" w:cs="Tahoma"/>
          <w:color w:val="5A5A5A"/>
          <w:szCs w:val="24"/>
          <w:shd w:val="clear" w:color="auto" w:fill="FFFFFF"/>
        </w:rPr>
        <w:t>inors</w:t>
      </w:r>
      <w:r>
        <w:rPr>
          <w:rFonts w:ascii="Tahoma" w:hAnsi="Tahoma" w:cs="Tahoma"/>
          <w:color w:val="5A5A5A"/>
          <w:szCs w:val="24"/>
          <w:shd w:val="clear" w:color="auto" w:fill="FFFFFF"/>
        </w:rPr>
        <w:t>,</w:t>
      </w:r>
      <w:r w:rsidRPr="0062684F">
        <w:rPr>
          <w:rFonts w:ascii="Tahoma" w:hAnsi="Tahoma" w:cs="Tahoma"/>
          <w:color w:val="5A5A5A"/>
          <w:szCs w:val="24"/>
          <w:shd w:val="clear" w:color="auto" w:fill="FFFFFF"/>
        </w:rPr>
        <w:t xml:space="preserve"> will be placed in detention centers</w:t>
      </w:r>
      <w:r>
        <w:rPr>
          <w:rStyle w:val="EndnoteReference"/>
          <w:rFonts w:ascii="Tahoma" w:hAnsi="Tahoma" w:cs="Tahoma"/>
          <w:color w:val="5A5A5A"/>
          <w:szCs w:val="24"/>
          <w:shd w:val="clear" w:color="auto" w:fill="FFFFFF"/>
        </w:rPr>
        <w:endnoteReference w:id="14"/>
      </w:r>
      <w:r w:rsidRPr="0062684F">
        <w:rPr>
          <w:rFonts w:ascii="Tahoma" w:hAnsi="Tahoma" w:cs="Tahoma"/>
          <w:szCs w:val="24"/>
        </w:rPr>
        <w:t>.</w:t>
      </w:r>
    </w:p>
    <w:p w14:paraId="613AE881" w14:textId="1F6FD758" w:rsidR="00406710" w:rsidRPr="0062684F" w:rsidRDefault="00406710" w:rsidP="00567A36">
      <w:pPr>
        <w:spacing w:after="200" w:line="276" w:lineRule="auto"/>
        <w:jc w:val="both"/>
        <w:rPr>
          <w:rFonts w:ascii="Tahoma" w:hAnsi="Tahoma" w:cs="Tahoma"/>
          <w:szCs w:val="24"/>
        </w:rPr>
      </w:pPr>
      <w:r w:rsidRPr="0062684F">
        <w:rPr>
          <w:rFonts w:ascii="Tahoma" w:hAnsi="Tahoma" w:cs="Tahoma"/>
          <w:b/>
          <w:bCs/>
          <w:color w:val="5A5A5A"/>
          <w:szCs w:val="24"/>
          <w:shd w:val="clear" w:color="auto" w:fill="FFFFFF"/>
        </w:rPr>
        <w:t>Administrative obstacles</w:t>
      </w:r>
      <w:r w:rsidRPr="0062684F">
        <w:rPr>
          <w:rFonts w:ascii="Tahoma" w:hAnsi="Tahoma" w:cs="Tahoma"/>
          <w:color w:val="5A5A5A"/>
          <w:szCs w:val="24"/>
          <w:shd w:val="clear" w:color="auto" w:fill="FFFFFF"/>
        </w:rPr>
        <w:t>: there is no coordination between government departments and agencies concerned with the protection of the Child and the family of migrants</w:t>
      </w:r>
      <w:r w:rsidR="00144ADE">
        <w:rPr>
          <w:rFonts w:ascii="Tahoma" w:hAnsi="Tahoma" w:cs="Tahoma"/>
          <w:color w:val="5A5A5A"/>
          <w:szCs w:val="24"/>
          <w:shd w:val="clear" w:color="auto" w:fill="FFFFFF"/>
        </w:rPr>
        <w:t>.</w:t>
      </w:r>
      <w:r w:rsidRPr="0062684F">
        <w:rPr>
          <w:rFonts w:ascii="Tahoma" w:hAnsi="Tahoma" w:cs="Tahoma"/>
          <w:color w:val="5A5A5A"/>
          <w:szCs w:val="24"/>
          <w:shd w:val="clear" w:color="auto" w:fill="FFFFFF"/>
        </w:rPr>
        <w:t xml:space="preserve">  Ministry of Social Affairs is the ministerium that manages </w:t>
      </w:r>
      <w:r w:rsidR="00144ADE">
        <w:rPr>
          <w:rFonts w:ascii="Tahoma" w:hAnsi="Tahoma" w:cs="Tahoma"/>
          <w:color w:val="5A5A5A"/>
          <w:szCs w:val="24"/>
          <w:shd w:val="clear" w:color="auto" w:fill="FFFFFF"/>
        </w:rPr>
        <w:t>welfare homes for the</w:t>
      </w:r>
      <w:r w:rsidRPr="0062684F">
        <w:rPr>
          <w:rFonts w:ascii="Tahoma" w:hAnsi="Tahoma" w:cs="Tahoma"/>
          <w:color w:val="5A5A5A"/>
          <w:szCs w:val="24"/>
          <w:shd w:val="clear" w:color="auto" w:fill="FFFFFF"/>
        </w:rPr>
        <w:t xml:space="preserve"> children</w:t>
      </w:r>
      <w:r w:rsidR="00567A36">
        <w:rPr>
          <w:rFonts w:ascii="Tahoma" w:hAnsi="Tahoma" w:cs="Tahoma"/>
          <w:color w:val="5A5A5A"/>
          <w:szCs w:val="24"/>
          <w:shd w:val="clear" w:color="auto" w:fill="FFFFFF"/>
        </w:rPr>
        <w:t xml:space="preserve"> and </w:t>
      </w:r>
      <w:r w:rsidRPr="0062684F">
        <w:rPr>
          <w:rFonts w:ascii="Tahoma" w:hAnsi="Tahoma" w:cs="Tahoma"/>
          <w:color w:val="5A5A5A"/>
          <w:szCs w:val="24"/>
          <w:shd w:val="clear" w:color="auto" w:fill="FFFFFF"/>
        </w:rPr>
        <w:t>women, these social institutions can be of great benefit to help migrant women and children, especially unaccompanied children and infants.</w:t>
      </w:r>
      <w:r w:rsidR="00567A36">
        <w:rPr>
          <w:rFonts w:ascii="Tahoma" w:hAnsi="Tahoma" w:cs="Tahoma"/>
          <w:color w:val="5A5A5A"/>
          <w:szCs w:val="24"/>
          <w:shd w:val="clear" w:color="auto" w:fill="FFFFFF"/>
        </w:rPr>
        <w:t xml:space="preserve"> But currently, they do not take any infant, minor, or woman.</w:t>
      </w:r>
    </w:p>
    <w:p w14:paraId="2BF68910" w14:textId="2FF38911" w:rsidR="00406710" w:rsidRPr="0062684F" w:rsidRDefault="00406710" w:rsidP="00567A36">
      <w:pPr>
        <w:suppressAutoHyphens w:val="0"/>
        <w:spacing w:after="200" w:line="276" w:lineRule="auto"/>
        <w:jc w:val="both"/>
        <w:rPr>
          <w:rFonts w:ascii="Tahoma" w:hAnsi="Tahoma" w:cs="Tahoma"/>
          <w:szCs w:val="24"/>
        </w:rPr>
      </w:pPr>
      <w:r w:rsidRPr="0062684F">
        <w:rPr>
          <w:rFonts w:ascii="Tahoma" w:hAnsi="Tahoma" w:cs="Tahoma"/>
          <w:b/>
          <w:bCs/>
          <w:color w:val="5A5A5A"/>
          <w:szCs w:val="24"/>
          <w:shd w:val="clear" w:color="auto" w:fill="FFFFFF"/>
        </w:rPr>
        <w:lastRenderedPageBreak/>
        <w:t>Community obstacles</w:t>
      </w:r>
      <w:r w:rsidRPr="0062684F">
        <w:rPr>
          <w:rFonts w:ascii="Tahoma" w:hAnsi="Tahoma" w:cs="Tahoma"/>
          <w:color w:val="5A5A5A"/>
          <w:szCs w:val="24"/>
          <w:shd w:val="clear" w:color="auto" w:fill="FFFFFF"/>
        </w:rPr>
        <w:t xml:space="preserve">: Despite the presence of </w:t>
      </w:r>
      <w:r w:rsidR="00567A36">
        <w:rPr>
          <w:rFonts w:ascii="Tahoma" w:hAnsi="Tahoma" w:cs="Tahoma"/>
          <w:color w:val="5A5A5A"/>
          <w:szCs w:val="24"/>
          <w:shd w:val="clear" w:color="auto" w:fill="FFFFFF"/>
        </w:rPr>
        <w:t>m</w:t>
      </w:r>
      <w:r w:rsidRPr="0062684F">
        <w:rPr>
          <w:rFonts w:ascii="Tahoma" w:hAnsi="Tahoma" w:cs="Tahoma"/>
          <w:color w:val="5A5A5A"/>
          <w:szCs w:val="24"/>
          <w:shd w:val="clear" w:color="auto" w:fill="FFFFFF"/>
        </w:rPr>
        <w:t>igrant</w:t>
      </w:r>
      <w:r w:rsidR="00567A36">
        <w:rPr>
          <w:rFonts w:ascii="Tahoma" w:hAnsi="Tahoma" w:cs="Tahoma"/>
          <w:color w:val="5A5A5A"/>
          <w:szCs w:val="24"/>
          <w:shd w:val="clear" w:color="auto" w:fill="FFFFFF"/>
        </w:rPr>
        <w:t>s</w:t>
      </w:r>
      <w:r w:rsidRPr="0062684F">
        <w:rPr>
          <w:rFonts w:ascii="Tahoma" w:hAnsi="Tahoma" w:cs="Tahoma"/>
          <w:color w:val="5A5A5A"/>
          <w:szCs w:val="24"/>
          <w:shd w:val="clear" w:color="auto" w:fill="FFFFFF"/>
        </w:rPr>
        <w:t xml:space="preserve"> </w:t>
      </w:r>
      <w:r w:rsidR="00567A36">
        <w:rPr>
          <w:rFonts w:ascii="Tahoma" w:hAnsi="Tahoma" w:cs="Tahoma"/>
          <w:color w:val="5A5A5A"/>
          <w:szCs w:val="24"/>
          <w:shd w:val="clear" w:color="auto" w:fill="FFFFFF"/>
        </w:rPr>
        <w:t xml:space="preserve">in Libya </w:t>
      </w:r>
      <w:r w:rsidRPr="0062684F">
        <w:rPr>
          <w:rFonts w:ascii="Tahoma" w:hAnsi="Tahoma" w:cs="Tahoma"/>
          <w:color w:val="5A5A5A"/>
          <w:szCs w:val="24"/>
          <w:shd w:val="clear" w:color="auto" w:fill="FFFFFF"/>
        </w:rPr>
        <w:t>since decades</w:t>
      </w:r>
      <w:r w:rsidR="00567A36">
        <w:rPr>
          <w:rFonts w:ascii="Tahoma" w:hAnsi="Tahoma" w:cs="Tahoma"/>
          <w:color w:val="5A5A5A"/>
          <w:szCs w:val="24"/>
          <w:shd w:val="clear" w:color="auto" w:fill="FFFFFF"/>
        </w:rPr>
        <w:t>,</w:t>
      </w:r>
      <w:r w:rsidRPr="0062684F">
        <w:rPr>
          <w:rFonts w:ascii="Tahoma" w:hAnsi="Tahoma" w:cs="Tahoma"/>
          <w:color w:val="5A5A5A"/>
          <w:szCs w:val="24"/>
          <w:shd w:val="clear" w:color="auto" w:fill="FFFFFF"/>
        </w:rPr>
        <w:t xml:space="preserve"> still migrants in general have difficulties in integrating in the society and are facing discrimination on a daily bas</w:t>
      </w:r>
      <w:r w:rsidR="00567A36">
        <w:rPr>
          <w:rFonts w:ascii="Tahoma" w:hAnsi="Tahoma" w:cs="Tahoma"/>
          <w:color w:val="5A5A5A"/>
          <w:szCs w:val="24"/>
          <w:shd w:val="clear" w:color="auto" w:fill="FFFFFF"/>
        </w:rPr>
        <w:t>i</w:t>
      </w:r>
      <w:r w:rsidRPr="0062684F">
        <w:rPr>
          <w:rFonts w:ascii="Tahoma" w:hAnsi="Tahoma" w:cs="Tahoma"/>
          <w:color w:val="5A5A5A"/>
          <w:szCs w:val="24"/>
          <w:shd w:val="clear" w:color="auto" w:fill="FFFFFF"/>
        </w:rPr>
        <w:t>s.</w:t>
      </w:r>
    </w:p>
    <w:p w14:paraId="2BF4E961" w14:textId="39CBEC22" w:rsidR="00406710" w:rsidRPr="0062684F" w:rsidRDefault="00406710" w:rsidP="004041BB">
      <w:pPr>
        <w:spacing w:after="200" w:line="276" w:lineRule="auto"/>
        <w:jc w:val="both"/>
        <w:rPr>
          <w:rFonts w:ascii="Tahoma" w:hAnsi="Tahoma" w:cs="Tahoma"/>
          <w:szCs w:val="24"/>
        </w:rPr>
      </w:pPr>
      <w:r w:rsidRPr="0062684F">
        <w:rPr>
          <w:rFonts w:ascii="Tahoma" w:hAnsi="Tahoma" w:cs="Tahoma"/>
          <w:b/>
          <w:bCs/>
          <w:color w:val="5A5A5A"/>
          <w:szCs w:val="24"/>
          <w:shd w:val="clear" w:color="auto" w:fill="FFFFFF"/>
        </w:rPr>
        <w:t>Political Division</w:t>
      </w:r>
      <w:r w:rsidRPr="0062684F">
        <w:rPr>
          <w:rFonts w:ascii="Tahoma" w:hAnsi="Tahoma" w:cs="Tahoma"/>
          <w:color w:val="5A5A5A"/>
          <w:szCs w:val="24"/>
          <w:shd w:val="clear" w:color="auto" w:fill="FFFFFF"/>
        </w:rPr>
        <w:t>: The Political Division</w:t>
      </w:r>
      <w:r w:rsidR="00567A36">
        <w:rPr>
          <w:rFonts w:ascii="Tahoma" w:hAnsi="Tahoma" w:cs="Tahoma"/>
          <w:color w:val="5A5A5A"/>
          <w:szCs w:val="24"/>
          <w:shd w:val="clear" w:color="auto" w:fill="FFFFFF"/>
        </w:rPr>
        <w:t>,</w:t>
      </w:r>
      <w:r w:rsidRPr="0062684F">
        <w:rPr>
          <w:rFonts w:ascii="Tahoma" w:hAnsi="Tahoma" w:cs="Tahoma"/>
          <w:color w:val="5A5A5A"/>
          <w:szCs w:val="24"/>
          <w:shd w:val="clear" w:color="auto" w:fill="FFFFFF"/>
        </w:rPr>
        <w:t xml:space="preserve"> the presence of </w:t>
      </w:r>
      <w:r w:rsidR="00567A36">
        <w:rPr>
          <w:rFonts w:ascii="Tahoma" w:hAnsi="Tahoma" w:cs="Tahoma"/>
          <w:color w:val="5A5A5A"/>
          <w:szCs w:val="24"/>
          <w:shd w:val="clear" w:color="auto" w:fill="FFFFFF"/>
        </w:rPr>
        <w:t xml:space="preserve">internationally </w:t>
      </w:r>
      <w:r w:rsidRPr="0062684F">
        <w:rPr>
          <w:rFonts w:ascii="Tahoma" w:hAnsi="Tahoma" w:cs="Tahoma"/>
          <w:color w:val="5A5A5A"/>
          <w:szCs w:val="24"/>
          <w:shd w:val="clear" w:color="auto" w:fill="FFFFFF"/>
        </w:rPr>
        <w:t xml:space="preserve">recognized government (GNA) and </w:t>
      </w:r>
      <w:r w:rsidR="00567A36">
        <w:rPr>
          <w:rFonts w:ascii="Tahoma" w:hAnsi="Tahoma" w:cs="Tahoma"/>
          <w:color w:val="5A5A5A"/>
          <w:szCs w:val="24"/>
          <w:shd w:val="clear" w:color="auto" w:fill="FFFFFF"/>
        </w:rPr>
        <w:t xml:space="preserve">a </w:t>
      </w:r>
      <w:r w:rsidRPr="0062684F">
        <w:rPr>
          <w:rFonts w:ascii="Tahoma" w:hAnsi="Tahoma" w:cs="Tahoma"/>
          <w:color w:val="5A5A5A"/>
          <w:szCs w:val="24"/>
          <w:shd w:val="clear" w:color="auto" w:fill="FFFFFF"/>
        </w:rPr>
        <w:t xml:space="preserve">parallel </w:t>
      </w:r>
      <w:r w:rsidR="00567A36">
        <w:rPr>
          <w:rFonts w:ascii="Tahoma" w:hAnsi="Tahoma" w:cs="Tahoma"/>
          <w:color w:val="5A5A5A"/>
          <w:szCs w:val="24"/>
          <w:shd w:val="clear" w:color="auto" w:fill="FFFFFF"/>
        </w:rPr>
        <w:t xml:space="preserve">self-proclaimed </w:t>
      </w:r>
      <w:r w:rsidRPr="0062684F">
        <w:rPr>
          <w:rFonts w:ascii="Tahoma" w:hAnsi="Tahoma" w:cs="Tahoma"/>
          <w:color w:val="5A5A5A"/>
          <w:szCs w:val="24"/>
          <w:shd w:val="clear" w:color="auto" w:fill="FFFFFF"/>
        </w:rPr>
        <w:t xml:space="preserve">one in the East has weakened </w:t>
      </w:r>
      <w:r w:rsidR="00567A36">
        <w:rPr>
          <w:rFonts w:ascii="Tahoma" w:hAnsi="Tahoma" w:cs="Tahoma"/>
          <w:color w:val="5A5A5A"/>
          <w:szCs w:val="24"/>
          <w:shd w:val="clear" w:color="auto" w:fill="FFFFFF"/>
        </w:rPr>
        <w:t xml:space="preserve">the </w:t>
      </w:r>
      <w:r w:rsidRPr="0062684F">
        <w:rPr>
          <w:rFonts w:ascii="Tahoma" w:hAnsi="Tahoma" w:cs="Tahoma"/>
          <w:color w:val="5A5A5A"/>
          <w:szCs w:val="24"/>
          <w:shd w:val="clear" w:color="auto" w:fill="FFFFFF"/>
        </w:rPr>
        <w:t xml:space="preserve">performance </w:t>
      </w:r>
      <w:r w:rsidR="00567A36">
        <w:rPr>
          <w:rFonts w:ascii="Tahoma" w:hAnsi="Tahoma" w:cs="Tahoma"/>
          <w:color w:val="5A5A5A"/>
          <w:szCs w:val="24"/>
          <w:shd w:val="clear" w:color="auto" w:fill="FFFFFF"/>
        </w:rPr>
        <w:t xml:space="preserve">of State agencies, </w:t>
      </w:r>
      <w:r w:rsidRPr="0062684F">
        <w:rPr>
          <w:rFonts w:ascii="Tahoma" w:hAnsi="Tahoma" w:cs="Tahoma"/>
          <w:color w:val="5A5A5A"/>
          <w:szCs w:val="24"/>
          <w:shd w:val="clear" w:color="auto" w:fill="FFFFFF"/>
        </w:rPr>
        <w:t xml:space="preserve">which even before has no real impact of its work on the ground. This has affected the work of international organizations and </w:t>
      </w:r>
      <w:r w:rsidR="00567A36">
        <w:rPr>
          <w:rFonts w:ascii="Tahoma" w:hAnsi="Tahoma" w:cs="Tahoma"/>
          <w:color w:val="5A5A5A"/>
          <w:szCs w:val="24"/>
          <w:shd w:val="clear" w:color="auto" w:fill="FFFFFF"/>
        </w:rPr>
        <w:t xml:space="preserve">led them to </w:t>
      </w:r>
      <w:r w:rsidRPr="0062684F">
        <w:rPr>
          <w:rFonts w:ascii="Tahoma" w:hAnsi="Tahoma" w:cs="Tahoma"/>
          <w:color w:val="5A5A5A"/>
          <w:szCs w:val="24"/>
          <w:shd w:val="clear" w:color="auto" w:fill="FFFFFF"/>
        </w:rPr>
        <w:t xml:space="preserve">focus </w:t>
      </w:r>
      <w:r w:rsidR="00567A36">
        <w:rPr>
          <w:rFonts w:ascii="Tahoma" w:hAnsi="Tahoma" w:cs="Tahoma"/>
          <w:color w:val="5A5A5A"/>
          <w:szCs w:val="24"/>
          <w:shd w:val="clear" w:color="auto" w:fill="FFFFFF"/>
        </w:rPr>
        <w:t>their</w:t>
      </w:r>
      <w:r w:rsidRPr="0062684F">
        <w:rPr>
          <w:rFonts w:ascii="Tahoma" w:hAnsi="Tahoma" w:cs="Tahoma"/>
          <w:color w:val="5A5A5A"/>
          <w:szCs w:val="24"/>
          <w:shd w:val="clear" w:color="auto" w:fill="FFFFFF"/>
        </w:rPr>
        <w:t xml:space="preserve"> work </w:t>
      </w:r>
      <w:r w:rsidR="00567A36">
        <w:rPr>
          <w:rFonts w:ascii="Tahoma" w:hAnsi="Tahoma" w:cs="Tahoma"/>
          <w:color w:val="5A5A5A"/>
          <w:szCs w:val="24"/>
          <w:shd w:val="clear" w:color="auto" w:fill="FFFFFF"/>
        </w:rPr>
        <w:t>in</w:t>
      </w:r>
      <w:r w:rsidRPr="0062684F">
        <w:rPr>
          <w:rFonts w:ascii="Tahoma" w:hAnsi="Tahoma" w:cs="Tahoma"/>
          <w:color w:val="5A5A5A"/>
          <w:szCs w:val="24"/>
          <w:shd w:val="clear" w:color="auto" w:fill="FFFFFF"/>
        </w:rPr>
        <w:t xml:space="preserve"> the areas under the control of the internationally recognized government,</w:t>
      </w:r>
      <w:r w:rsidR="00567A36">
        <w:rPr>
          <w:rFonts w:ascii="Tahoma" w:hAnsi="Tahoma" w:cs="Tahoma"/>
          <w:color w:val="5A5A5A"/>
          <w:szCs w:val="24"/>
          <w:shd w:val="clear" w:color="auto" w:fill="FFFFFF"/>
        </w:rPr>
        <w:t xml:space="preserve"> thus n</w:t>
      </w:r>
      <w:r w:rsidRPr="0062684F">
        <w:rPr>
          <w:rFonts w:ascii="Tahoma" w:hAnsi="Tahoma" w:cs="Tahoma"/>
          <w:color w:val="5A5A5A"/>
          <w:szCs w:val="24"/>
          <w:shd w:val="clear" w:color="auto" w:fill="FFFFFF"/>
        </w:rPr>
        <w:t>eglecting the rest of the country.</w:t>
      </w:r>
    </w:p>
    <w:p w14:paraId="6DA9FB69" w14:textId="7F0DE010" w:rsidR="00406710" w:rsidRPr="0062684F" w:rsidRDefault="00406710" w:rsidP="004041BB">
      <w:pPr>
        <w:spacing w:after="200" w:line="276" w:lineRule="auto"/>
        <w:jc w:val="both"/>
        <w:rPr>
          <w:rFonts w:ascii="Tahoma" w:hAnsi="Tahoma" w:cs="Tahoma"/>
          <w:color w:val="5A5A5A"/>
          <w:szCs w:val="24"/>
          <w:shd w:val="clear" w:color="auto" w:fill="FFFFFF"/>
        </w:rPr>
      </w:pPr>
      <w:r w:rsidRPr="0062684F">
        <w:rPr>
          <w:rFonts w:ascii="Tahoma" w:hAnsi="Tahoma" w:cs="Tahoma"/>
          <w:b/>
          <w:bCs/>
          <w:color w:val="5A5A5A"/>
          <w:szCs w:val="24"/>
          <w:shd w:val="clear" w:color="auto" w:fill="FFFFFF"/>
        </w:rPr>
        <w:t>Absence of African role</w:t>
      </w:r>
      <w:r w:rsidRPr="0062684F">
        <w:rPr>
          <w:rFonts w:ascii="Tahoma" w:hAnsi="Tahoma" w:cs="Tahoma"/>
          <w:color w:val="5A5A5A"/>
          <w:szCs w:val="24"/>
          <w:shd w:val="clear" w:color="auto" w:fill="FFFFFF"/>
        </w:rPr>
        <w:t>: the majority of the migrant children in Libya are from African countries</w:t>
      </w:r>
      <w:r w:rsidR="00567A36">
        <w:rPr>
          <w:rFonts w:ascii="Tahoma" w:hAnsi="Tahoma" w:cs="Tahoma"/>
          <w:color w:val="5A5A5A"/>
          <w:szCs w:val="24"/>
          <w:shd w:val="clear" w:color="auto" w:fill="FFFFFF"/>
        </w:rPr>
        <w:t>,</w:t>
      </w:r>
      <w:r w:rsidRPr="0062684F">
        <w:rPr>
          <w:rFonts w:ascii="Tahoma" w:hAnsi="Tahoma" w:cs="Tahoma"/>
          <w:color w:val="5A5A5A"/>
          <w:szCs w:val="24"/>
          <w:shd w:val="clear" w:color="auto" w:fill="FFFFFF"/>
        </w:rPr>
        <w:t xml:space="preserve"> </w:t>
      </w:r>
      <w:r w:rsidR="00567A36">
        <w:rPr>
          <w:rFonts w:ascii="Tahoma" w:hAnsi="Tahoma" w:cs="Tahoma"/>
          <w:color w:val="5A5A5A"/>
          <w:szCs w:val="24"/>
          <w:shd w:val="clear" w:color="auto" w:fill="FFFFFF"/>
        </w:rPr>
        <w:t xml:space="preserve">and </w:t>
      </w:r>
      <w:r w:rsidRPr="0062684F">
        <w:rPr>
          <w:rFonts w:ascii="Tahoma" w:hAnsi="Tahoma" w:cs="Tahoma"/>
          <w:color w:val="5A5A5A"/>
          <w:szCs w:val="24"/>
          <w:shd w:val="clear" w:color="auto" w:fill="FFFFFF"/>
        </w:rPr>
        <w:t xml:space="preserve">there is almost complete absence of </w:t>
      </w:r>
      <w:r w:rsidR="00567A36">
        <w:rPr>
          <w:rFonts w:ascii="Tahoma" w:hAnsi="Tahoma" w:cs="Tahoma"/>
          <w:color w:val="5A5A5A"/>
          <w:szCs w:val="24"/>
          <w:shd w:val="clear" w:color="auto" w:fill="FFFFFF"/>
        </w:rPr>
        <w:t xml:space="preserve">efforts by </w:t>
      </w:r>
      <w:r w:rsidRPr="0062684F">
        <w:rPr>
          <w:rFonts w:ascii="Tahoma" w:hAnsi="Tahoma" w:cs="Tahoma"/>
          <w:color w:val="5A5A5A"/>
          <w:szCs w:val="24"/>
          <w:shd w:val="clear" w:color="auto" w:fill="FFFFFF"/>
        </w:rPr>
        <w:t>the embassies and consulates in Libya</w:t>
      </w:r>
      <w:r w:rsidR="00567A36">
        <w:rPr>
          <w:rFonts w:ascii="Tahoma" w:hAnsi="Tahoma" w:cs="Tahoma"/>
          <w:color w:val="5A5A5A"/>
          <w:szCs w:val="24"/>
          <w:shd w:val="clear" w:color="auto" w:fill="FFFFFF"/>
        </w:rPr>
        <w:t xml:space="preserve"> to look after the welfare of their citizens in Libya. W</w:t>
      </w:r>
      <w:r w:rsidRPr="0062684F">
        <w:rPr>
          <w:rFonts w:ascii="Tahoma" w:hAnsi="Tahoma" w:cs="Tahoma"/>
          <w:color w:val="5A5A5A"/>
          <w:szCs w:val="24"/>
          <w:shd w:val="clear" w:color="auto" w:fill="FFFFFF"/>
        </w:rPr>
        <w:t xml:space="preserve">e believe that if these embassies and diplomatic </w:t>
      </w:r>
      <w:r w:rsidR="00567A36">
        <w:rPr>
          <w:rFonts w:ascii="Tahoma" w:hAnsi="Tahoma" w:cs="Tahoma"/>
          <w:color w:val="5A5A5A"/>
          <w:szCs w:val="24"/>
          <w:shd w:val="clear" w:color="auto" w:fill="FFFFFF"/>
        </w:rPr>
        <w:t>missions</w:t>
      </w:r>
      <w:r w:rsidRPr="0062684F">
        <w:rPr>
          <w:rFonts w:ascii="Tahoma" w:hAnsi="Tahoma" w:cs="Tahoma"/>
          <w:color w:val="5A5A5A"/>
          <w:szCs w:val="24"/>
          <w:shd w:val="clear" w:color="auto" w:fill="FFFFFF"/>
        </w:rPr>
        <w:t xml:space="preserve"> in Libya </w:t>
      </w:r>
      <w:r w:rsidR="00567A36">
        <w:rPr>
          <w:rFonts w:ascii="Tahoma" w:hAnsi="Tahoma" w:cs="Tahoma"/>
          <w:color w:val="5A5A5A"/>
          <w:szCs w:val="24"/>
          <w:shd w:val="clear" w:color="auto" w:fill="FFFFFF"/>
        </w:rPr>
        <w:t xml:space="preserve">make effort to </w:t>
      </w:r>
      <w:r w:rsidRPr="0062684F">
        <w:rPr>
          <w:rFonts w:ascii="Tahoma" w:hAnsi="Tahoma" w:cs="Tahoma"/>
          <w:color w:val="5A5A5A"/>
          <w:szCs w:val="24"/>
          <w:shd w:val="clear" w:color="auto" w:fill="FFFFFF"/>
        </w:rPr>
        <w:t xml:space="preserve">serve </w:t>
      </w:r>
      <w:r w:rsidR="00567A36">
        <w:rPr>
          <w:rFonts w:ascii="Tahoma" w:hAnsi="Tahoma" w:cs="Tahoma"/>
          <w:color w:val="5A5A5A"/>
          <w:szCs w:val="24"/>
          <w:shd w:val="clear" w:color="auto" w:fill="FFFFFF"/>
        </w:rPr>
        <w:t xml:space="preserve">their nationals stranded in Libya, </w:t>
      </w:r>
      <w:r w:rsidR="00567A36" w:rsidRPr="0062684F">
        <w:rPr>
          <w:rFonts w:ascii="Tahoma" w:hAnsi="Tahoma" w:cs="Tahoma"/>
          <w:color w:val="5A5A5A"/>
          <w:szCs w:val="24"/>
          <w:shd w:val="clear" w:color="auto" w:fill="FFFFFF"/>
        </w:rPr>
        <w:t>especially</w:t>
      </w:r>
      <w:r w:rsidRPr="0062684F">
        <w:rPr>
          <w:rFonts w:ascii="Tahoma" w:hAnsi="Tahoma" w:cs="Tahoma"/>
          <w:color w:val="5A5A5A"/>
          <w:szCs w:val="24"/>
          <w:shd w:val="clear" w:color="auto" w:fill="FFFFFF"/>
        </w:rPr>
        <w:t xml:space="preserve"> </w:t>
      </w:r>
      <w:r w:rsidR="00567A36">
        <w:rPr>
          <w:rFonts w:ascii="Tahoma" w:hAnsi="Tahoma" w:cs="Tahoma"/>
          <w:color w:val="5A5A5A"/>
          <w:szCs w:val="24"/>
          <w:shd w:val="clear" w:color="auto" w:fill="FFFFFF"/>
        </w:rPr>
        <w:t>w</w:t>
      </w:r>
      <w:r w:rsidRPr="0062684F">
        <w:rPr>
          <w:rFonts w:ascii="Tahoma" w:hAnsi="Tahoma" w:cs="Tahoma"/>
          <w:color w:val="5A5A5A"/>
          <w:szCs w:val="24"/>
          <w:shd w:val="clear" w:color="auto" w:fill="FFFFFF"/>
        </w:rPr>
        <w:t>omen and children</w:t>
      </w:r>
      <w:r w:rsidR="00567A36">
        <w:rPr>
          <w:rFonts w:ascii="Tahoma" w:hAnsi="Tahoma" w:cs="Tahoma"/>
          <w:color w:val="5A5A5A"/>
          <w:szCs w:val="24"/>
          <w:shd w:val="clear" w:color="auto" w:fill="FFFFFF"/>
        </w:rPr>
        <w:t>,</w:t>
      </w:r>
      <w:r w:rsidRPr="0062684F">
        <w:rPr>
          <w:rFonts w:ascii="Tahoma" w:hAnsi="Tahoma" w:cs="Tahoma"/>
          <w:color w:val="5A5A5A"/>
          <w:szCs w:val="24"/>
          <w:shd w:val="clear" w:color="auto" w:fill="FFFFFF"/>
        </w:rPr>
        <w:t xml:space="preserve"> </w:t>
      </w:r>
      <w:r w:rsidR="00567A36">
        <w:rPr>
          <w:rFonts w:ascii="Tahoma" w:hAnsi="Tahoma" w:cs="Tahoma"/>
          <w:color w:val="5A5A5A"/>
          <w:szCs w:val="24"/>
          <w:shd w:val="clear" w:color="auto" w:fill="FFFFFF"/>
        </w:rPr>
        <w:t>the situation will be better</w:t>
      </w:r>
      <w:r w:rsidRPr="0062684F">
        <w:rPr>
          <w:rFonts w:ascii="Tahoma" w:hAnsi="Tahoma" w:cs="Tahoma"/>
          <w:color w:val="5A5A5A"/>
          <w:szCs w:val="24"/>
          <w:shd w:val="clear" w:color="auto" w:fill="FFFFFF"/>
        </w:rPr>
        <w:t>.</w:t>
      </w:r>
    </w:p>
    <w:p w14:paraId="2D1EEECC" w14:textId="77777777" w:rsidR="00406710" w:rsidRPr="0062684F" w:rsidRDefault="00406710" w:rsidP="004041BB">
      <w:pPr>
        <w:shd w:val="clear" w:color="auto" w:fill="FFFFFF"/>
        <w:suppressAutoHyphens w:val="0"/>
        <w:spacing w:after="200" w:line="276" w:lineRule="auto"/>
        <w:jc w:val="both"/>
        <w:rPr>
          <w:rFonts w:ascii="Tahoma" w:hAnsi="Tahoma" w:cs="Tahoma"/>
          <w:b/>
          <w:bCs/>
          <w:color w:val="000000"/>
          <w:szCs w:val="24"/>
          <w:rtl/>
          <w:lang w:eastAsia="en-US"/>
        </w:rPr>
      </w:pPr>
      <w:r w:rsidRPr="0062684F">
        <w:rPr>
          <w:rFonts w:ascii="Tahoma" w:hAnsi="Tahoma" w:cs="Tahoma"/>
          <w:b/>
          <w:bCs/>
          <w:color w:val="000000"/>
          <w:szCs w:val="24"/>
        </w:rPr>
        <w:t>Other relevant information</w:t>
      </w:r>
    </w:p>
    <w:p w14:paraId="6BE06C9F" w14:textId="4F74FC1E" w:rsidR="00E96964" w:rsidRDefault="00E96964" w:rsidP="004041BB">
      <w:pPr>
        <w:spacing w:after="200" w:line="276" w:lineRule="auto"/>
        <w:jc w:val="both"/>
        <w:rPr>
          <w:rFonts w:ascii="Tahoma" w:hAnsi="Tahoma" w:cs="Tahoma"/>
          <w:color w:val="5A5A5A"/>
          <w:szCs w:val="24"/>
          <w:shd w:val="clear" w:color="auto" w:fill="FFFFFF"/>
          <w:rtl/>
        </w:rPr>
      </w:pPr>
      <w:r w:rsidRPr="00E96964">
        <w:rPr>
          <w:rFonts w:ascii="Tahoma" w:hAnsi="Tahoma" w:cs="Tahoma"/>
          <w:color w:val="5A5A5A"/>
          <w:szCs w:val="24"/>
          <w:shd w:val="clear" w:color="auto" w:fill="FFFFFF"/>
        </w:rPr>
        <w:t>International organizations and agencies</w:t>
      </w:r>
      <w:r>
        <w:rPr>
          <w:rFonts w:ascii="Tahoma" w:hAnsi="Tahoma" w:cs="Tahoma"/>
          <w:color w:val="5A5A5A"/>
          <w:szCs w:val="24"/>
          <w:shd w:val="clear" w:color="auto" w:fill="FFFFFF"/>
        </w:rPr>
        <w:t>, which e</w:t>
      </w:r>
      <w:r w:rsidRPr="00E96964">
        <w:rPr>
          <w:rFonts w:ascii="Tahoma" w:hAnsi="Tahoma" w:cs="Tahoma"/>
          <w:color w:val="5A5A5A"/>
          <w:szCs w:val="24"/>
          <w:shd w:val="clear" w:color="auto" w:fill="FFFFFF"/>
        </w:rPr>
        <w:t>ntered Libya after the February Revolution</w:t>
      </w:r>
      <w:r>
        <w:rPr>
          <w:rFonts w:ascii="Tahoma" w:hAnsi="Tahoma" w:cs="Tahoma"/>
          <w:color w:val="5A5A5A"/>
          <w:szCs w:val="24"/>
          <w:shd w:val="clear" w:color="auto" w:fill="FFFFFF"/>
        </w:rPr>
        <w:t xml:space="preserve"> in 2011,</w:t>
      </w:r>
      <w:r w:rsidRPr="00E96964">
        <w:rPr>
          <w:rFonts w:ascii="Tahoma" w:hAnsi="Tahoma" w:cs="Tahoma"/>
          <w:color w:val="5A5A5A"/>
          <w:szCs w:val="24"/>
          <w:shd w:val="clear" w:color="auto" w:fill="FFFFFF"/>
        </w:rPr>
        <w:t xml:space="preserve"> </w:t>
      </w:r>
      <w:r>
        <w:rPr>
          <w:rFonts w:ascii="Tahoma" w:hAnsi="Tahoma" w:cs="Tahoma"/>
          <w:color w:val="5A5A5A"/>
          <w:szCs w:val="24"/>
          <w:shd w:val="clear" w:color="auto" w:fill="FFFFFF"/>
        </w:rPr>
        <w:t>played an important</w:t>
      </w:r>
      <w:r w:rsidRPr="00E96964">
        <w:rPr>
          <w:rFonts w:ascii="Tahoma" w:hAnsi="Tahoma" w:cs="Tahoma"/>
          <w:color w:val="5A5A5A"/>
          <w:szCs w:val="24"/>
          <w:shd w:val="clear" w:color="auto" w:fill="FFFFFF"/>
        </w:rPr>
        <w:t xml:space="preserve"> great role in changing the </w:t>
      </w:r>
      <w:r>
        <w:rPr>
          <w:rFonts w:ascii="Tahoma" w:hAnsi="Tahoma" w:cs="Tahoma"/>
          <w:color w:val="5A5A5A"/>
          <w:szCs w:val="24"/>
          <w:shd w:val="clear" w:color="auto" w:fill="FFFFFF"/>
        </w:rPr>
        <w:t>scene</w:t>
      </w:r>
      <w:r w:rsidRPr="00E96964">
        <w:rPr>
          <w:rFonts w:ascii="Tahoma" w:hAnsi="Tahoma" w:cs="Tahoma"/>
          <w:color w:val="5A5A5A"/>
          <w:szCs w:val="24"/>
          <w:shd w:val="clear" w:color="auto" w:fill="FFFFFF"/>
        </w:rPr>
        <w:t xml:space="preserve">. However, we cannot be certain that this intervention and the </w:t>
      </w:r>
      <w:r>
        <w:rPr>
          <w:rFonts w:ascii="Tahoma" w:hAnsi="Tahoma" w:cs="Tahoma"/>
          <w:color w:val="5A5A5A"/>
          <w:szCs w:val="24"/>
          <w:shd w:val="clear" w:color="auto" w:fill="FFFFFF"/>
        </w:rPr>
        <w:t>change</w:t>
      </w:r>
      <w:r w:rsidRPr="00E96964">
        <w:rPr>
          <w:rFonts w:ascii="Tahoma" w:hAnsi="Tahoma" w:cs="Tahoma"/>
          <w:color w:val="5A5A5A"/>
          <w:szCs w:val="24"/>
          <w:shd w:val="clear" w:color="auto" w:fill="FFFFFF"/>
        </w:rPr>
        <w:t xml:space="preserve"> are necessarily positive, and that it contributed to removing obstacles and establishing proper rules to help the Libyan state to preserve and protect the right of migrant children and their families. But perhaps the most important polic</w:t>
      </w:r>
      <w:r>
        <w:rPr>
          <w:rFonts w:ascii="Tahoma" w:hAnsi="Tahoma" w:cs="Tahoma"/>
          <w:color w:val="5A5A5A"/>
          <w:szCs w:val="24"/>
          <w:shd w:val="clear" w:color="auto" w:fill="FFFFFF"/>
        </w:rPr>
        <w:t>ies and practices</w:t>
      </w:r>
      <w:r w:rsidRPr="00E96964">
        <w:rPr>
          <w:rFonts w:ascii="Tahoma" w:hAnsi="Tahoma" w:cs="Tahoma"/>
          <w:color w:val="5A5A5A"/>
          <w:szCs w:val="24"/>
          <w:shd w:val="clear" w:color="auto" w:fill="FFFFFF"/>
        </w:rPr>
        <w:t xml:space="preserve"> that has had a negative impact on the situation of migrant children</w:t>
      </w:r>
      <w:r>
        <w:rPr>
          <w:rFonts w:ascii="Tahoma" w:hAnsi="Tahoma" w:cs="Tahoma"/>
          <w:color w:val="5A5A5A"/>
          <w:szCs w:val="24"/>
          <w:shd w:val="clear" w:color="auto" w:fill="FFFFFF"/>
        </w:rPr>
        <w:t>, are:</w:t>
      </w:r>
    </w:p>
    <w:p w14:paraId="3BECF198" w14:textId="68885237" w:rsidR="00406710" w:rsidRPr="0062684F" w:rsidRDefault="00406710" w:rsidP="004041BB">
      <w:pPr>
        <w:pStyle w:val="ListParagraph"/>
        <w:numPr>
          <w:ilvl w:val="0"/>
          <w:numId w:val="8"/>
        </w:numPr>
        <w:suppressAutoHyphens w:val="0"/>
        <w:spacing w:after="200" w:line="276" w:lineRule="auto"/>
        <w:jc w:val="both"/>
        <w:rPr>
          <w:rFonts w:ascii="Tahoma" w:hAnsi="Tahoma" w:cs="Tahoma"/>
          <w:b/>
          <w:bCs/>
          <w:color w:val="5A5A5A"/>
          <w:szCs w:val="24"/>
          <w:shd w:val="clear" w:color="auto" w:fill="FFFFFF"/>
        </w:rPr>
      </w:pPr>
      <w:r w:rsidRPr="0062684F">
        <w:rPr>
          <w:rFonts w:ascii="Tahoma" w:hAnsi="Tahoma" w:cs="Tahoma"/>
          <w:color w:val="5A5A5A"/>
          <w:szCs w:val="24"/>
          <w:shd w:val="clear" w:color="auto" w:fill="FFFFFF"/>
        </w:rPr>
        <w:t xml:space="preserve">The lack of coordination between all these international and regional organizations, which </w:t>
      </w:r>
      <w:r w:rsidR="00E96964">
        <w:rPr>
          <w:rFonts w:ascii="Tahoma" w:hAnsi="Tahoma" w:cs="Tahoma"/>
          <w:color w:val="5A5A5A"/>
          <w:szCs w:val="24"/>
          <w:shd w:val="clear" w:color="auto" w:fill="FFFFFF"/>
        </w:rPr>
        <w:t>receive funding from international donors for their projects in Libya,</w:t>
      </w:r>
    </w:p>
    <w:p w14:paraId="0BFD2F8F" w14:textId="345951D4" w:rsidR="00406710" w:rsidRPr="0062684F" w:rsidRDefault="00406710" w:rsidP="004041BB">
      <w:pPr>
        <w:pStyle w:val="ListParagraph"/>
        <w:numPr>
          <w:ilvl w:val="0"/>
          <w:numId w:val="8"/>
        </w:numPr>
        <w:suppressAutoHyphens w:val="0"/>
        <w:spacing w:after="200" w:line="276" w:lineRule="auto"/>
        <w:jc w:val="both"/>
        <w:rPr>
          <w:rFonts w:ascii="Tahoma" w:hAnsi="Tahoma" w:cs="Tahoma"/>
          <w:b/>
          <w:bCs/>
          <w:color w:val="5A5A5A"/>
          <w:szCs w:val="24"/>
          <w:shd w:val="clear" w:color="auto" w:fill="FFFFFF"/>
        </w:rPr>
      </w:pPr>
      <w:r w:rsidRPr="0062684F">
        <w:rPr>
          <w:rFonts w:ascii="Tahoma" w:hAnsi="Tahoma" w:cs="Tahoma"/>
          <w:color w:val="5A5A5A"/>
          <w:szCs w:val="24"/>
          <w:shd w:val="clear" w:color="auto" w:fill="FFFFFF"/>
        </w:rPr>
        <w:t>The absence of real diagnosis of the Libyan crisis and priorities of projects in Libya</w:t>
      </w:r>
      <w:r w:rsidR="004041BB">
        <w:rPr>
          <w:rFonts w:ascii="Tahoma" w:hAnsi="Tahoma" w:cs="Tahoma"/>
          <w:color w:val="5A5A5A"/>
          <w:szCs w:val="24"/>
          <w:shd w:val="clear" w:color="auto" w:fill="FFFFFF"/>
        </w:rPr>
        <w:t xml:space="preserve"> </w:t>
      </w:r>
      <w:r w:rsidR="004041BB" w:rsidRPr="0062684F">
        <w:rPr>
          <w:rFonts w:ascii="Tahoma" w:hAnsi="Tahoma" w:cs="Tahoma"/>
          <w:color w:val="5A5A5A"/>
          <w:szCs w:val="24"/>
          <w:shd w:val="clear" w:color="auto" w:fill="FFFFFF"/>
        </w:rPr>
        <w:t xml:space="preserve">by the </w:t>
      </w:r>
      <w:r w:rsidR="004041BB">
        <w:rPr>
          <w:rFonts w:ascii="Tahoma" w:hAnsi="Tahoma" w:cs="Tahoma"/>
          <w:color w:val="5A5A5A"/>
          <w:szCs w:val="24"/>
          <w:shd w:val="clear" w:color="auto" w:fill="FFFFFF"/>
        </w:rPr>
        <w:t>donors</w:t>
      </w:r>
      <w:r w:rsidRPr="0062684F">
        <w:rPr>
          <w:rFonts w:ascii="Tahoma" w:hAnsi="Tahoma" w:cs="Tahoma"/>
          <w:color w:val="5A5A5A"/>
          <w:szCs w:val="24"/>
          <w:shd w:val="clear" w:color="auto" w:fill="FFFFFF"/>
        </w:rPr>
        <w:t xml:space="preserve">, </w:t>
      </w:r>
      <w:r w:rsidR="004041BB">
        <w:rPr>
          <w:rFonts w:ascii="Tahoma" w:hAnsi="Tahoma" w:cs="Tahoma"/>
          <w:color w:val="5A5A5A"/>
          <w:szCs w:val="24"/>
          <w:shd w:val="clear" w:color="auto" w:fill="FFFFFF"/>
        </w:rPr>
        <w:t xml:space="preserve">in particular lack of consideration of the situation of </w:t>
      </w:r>
      <w:r w:rsidRPr="0062684F">
        <w:rPr>
          <w:rFonts w:ascii="Tahoma" w:hAnsi="Tahoma" w:cs="Tahoma"/>
          <w:color w:val="5A5A5A"/>
          <w:szCs w:val="24"/>
          <w:shd w:val="clear" w:color="auto" w:fill="FFFFFF"/>
        </w:rPr>
        <w:t>child migrants in Libya</w:t>
      </w:r>
      <w:r w:rsidR="004041BB">
        <w:rPr>
          <w:rFonts w:ascii="Tahoma" w:hAnsi="Tahoma" w:cs="Tahoma"/>
          <w:color w:val="5A5A5A"/>
          <w:szCs w:val="24"/>
          <w:shd w:val="clear" w:color="auto" w:fill="FFFFFF"/>
        </w:rPr>
        <w:t>, and</w:t>
      </w:r>
    </w:p>
    <w:p w14:paraId="0B16448A" w14:textId="1C8F4EDA" w:rsidR="00406710" w:rsidRPr="0062684F" w:rsidRDefault="004041BB" w:rsidP="004041BB">
      <w:pPr>
        <w:pStyle w:val="ListParagraph"/>
        <w:numPr>
          <w:ilvl w:val="0"/>
          <w:numId w:val="8"/>
        </w:numPr>
        <w:suppressAutoHyphens w:val="0"/>
        <w:spacing w:after="200" w:line="276" w:lineRule="auto"/>
        <w:jc w:val="both"/>
        <w:rPr>
          <w:rFonts w:ascii="Tahoma" w:hAnsi="Tahoma" w:cs="Tahoma"/>
          <w:b/>
          <w:bCs/>
          <w:color w:val="5A5A5A"/>
          <w:szCs w:val="24"/>
          <w:shd w:val="clear" w:color="auto" w:fill="FFFFFF"/>
        </w:rPr>
      </w:pPr>
      <w:r>
        <w:rPr>
          <w:rFonts w:ascii="Tahoma" w:hAnsi="Tahoma" w:cs="Tahoma"/>
          <w:color w:val="5A5A5A"/>
          <w:szCs w:val="24"/>
          <w:shd w:val="clear" w:color="auto" w:fill="FFFFFF"/>
        </w:rPr>
        <w:t>Many</w:t>
      </w:r>
      <w:r w:rsidR="00406710" w:rsidRPr="0062684F">
        <w:rPr>
          <w:rFonts w:ascii="Tahoma" w:hAnsi="Tahoma" w:cs="Tahoma"/>
          <w:color w:val="5A5A5A"/>
          <w:szCs w:val="24"/>
          <w:shd w:val="clear" w:color="auto" w:fill="FFFFFF"/>
        </w:rPr>
        <w:t xml:space="preserve"> projects by international organizations </w:t>
      </w:r>
      <w:r>
        <w:rPr>
          <w:rFonts w:ascii="Tahoma" w:hAnsi="Tahoma" w:cs="Tahoma"/>
          <w:color w:val="5A5A5A"/>
          <w:szCs w:val="24"/>
          <w:shd w:val="clear" w:color="auto" w:fill="FFFFFF"/>
        </w:rPr>
        <w:t xml:space="preserve">are </w:t>
      </w:r>
      <w:r w:rsidR="00406710" w:rsidRPr="0062684F">
        <w:rPr>
          <w:rFonts w:ascii="Tahoma" w:hAnsi="Tahoma" w:cs="Tahoma"/>
          <w:color w:val="5A5A5A"/>
          <w:szCs w:val="24"/>
          <w:shd w:val="clear" w:color="auto" w:fill="FFFFFF"/>
        </w:rPr>
        <w:t xml:space="preserve">in partnership with Libyan </w:t>
      </w:r>
      <w:r>
        <w:rPr>
          <w:rFonts w:ascii="Tahoma" w:hAnsi="Tahoma" w:cs="Tahoma"/>
          <w:color w:val="5A5A5A"/>
          <w:szCs w:val="24"/>
          <w:shd w:val="clear" w:color="auto" w:fill="FFFFFF"/>
        </w:rPr>
        <w:t>M</w:t>
      </w:r>
      <w:r w:rsidR="00406710" w:rsidRPr="0062684F">
        <w:rPr>
          <w:rFonts w:ascii="Tahoma" w:hAnsi="Tahoma" w:cs="Tahoma"/>
          <w:color w:val="5A5A5A"/>
          <w:szCs w:val="24"/>
          <w:shd w:val="clear" w:color="auto" w:fill="FFFFFF"/>
        </w:rPr>
        <w:t>inistries</w:t>
      </w:r>
      <w:r>
        <w:rPr>
          <w:rFonts w:ascii="Tahoma" w:hAnsi="Tahoma" w:cs="Tahoma"/>
          <w:color w:val="5A5A5A"/>
          <w:szCs w:val="24"/>
          <w:shd w:val="clear" w:color="auto" w:fill="FFFFFF"/>
        </w:rPr>
        <w:t xml:space="preserve">, who </w:t>
      </w:r>
      <w:r w:rsidR="00406710" w:rsidRPr="0062684F">
        <w:rPr>
          <w:rFonts w:ascii="Tahoma" w:hAnsi="Tahoma" w:cs="Tahoma"/>
          <w:color w:val="5A5A5A"/>
          <w:szCs w:val="24"/>
          <w:shd w:val="clear" w:color="auto" w:fill="FFFFFF"/>
        </w:rPr>
        <w:t xml:space="preserve">often impose </w:t>
      </w:r>
      <w:r>
        <w:rPr>
          <w:rFonts w:ascii="Tahoma" w:hAnsi="Tahoma" w:cs="Tahoma"/>
          <w:color w:val="5A5A5A"/>
          <w:szCs w:val="24"/>
          <w:shd w:val="clear" w:color="auto" w:fill="FFFFFF"/>
        </w:rPr>
        <w:t>their</w:t>
      </w:r>
      <w:r w:rsidR="00406710" w:rsidRPr="0062684F">
        <w:rPr>
          <w:rFonts w:ascii="Tahoma" w:hAnsi="Tahoma" w:cs="Tahoma"/>
          <w:color w:val="5A5A5A"/>
          <w:szCs w:val="24"/>
          <w:shd w:val="clear" w:color="auto" w:fill="FFFFFF"/>
        </w:rPr>
        <w:t xml:space="preserve"> polic</w:t>
      </w:r>
      <w:r>
        <w:rPr>
          <w:rFonts w:ascii="Tahoma" w:hAnsi="Tahoma" w:cs="Tahoma"/>
          <w:color w:val="5A5A5A"/>
          <w:szCs w:val="24"/>
          <w:shd w:val="clear" w:color="auto" w:fill="FFFFFF"/>
        </w:rPr>
        <w:t xml:space="preserve">ies </w:t>
      </w:r>
      <w:r w:rsidR="00406710" w:rsidRPr="0062684F">
        <w:rPr>
          <w:rFonts w:ascii="Tahoma" w:hAnsi="Tahoma" w:cs="Tahoma"/>
          <w:color w:val="5A5A5A"/>
          <w:szCs w:val="24"/>
          <w:shd w:val="clear" w:color="auto" w:fill="FFFFFF"/>
        </w:rPr>
        <w:t xml:space="preserve">on </w:t>
      </w:r>
      <w:r>
        <w:rPr>
          <w:rFonts w:ascii="Tahoma" w:hAnsi="Tahoma" w:cs="Tahoma"/>
          <w:color w:val="5A5A5A"/>
          <w:szCs w:val="24"/>
          <w:shd w:val="clear" w:color="auto" w:fill="FFFFFF"/>
        </w:rPr>
        <w:t xml:space="preserve">the </w:t>
      </w:r>
      <w:r w:rsidR="00406710" w:rsidRPr="0062684F">
        <w:rPr>
          <w:rFonts w:ascii="Tahoma" w:hAnsi="Tahoma" w:cs="Tahoma"/>
          <w:color w:val="5A5A5A"/>
          <w:szCs w:val="24"/>
          <w:shd w:val="clear" w:color="auto" w:fill="FFFFFF"/>
        </w:rPr>
        <w:t>organizations</w:t>
      </w:r>
      <w:r>
        <w:rPr>
          <w:rFonts w:ascii="Tahoma" w:hAnsi="Tahoma" w:cs="Tahoma"/>
          <w:color w:val="5A5A5A"/>
          <w:szCs w:val="24"/>
          <w:shd w:val="clear" w:color="auto" w:fill="FFFFFF"/>
        </w:rPr>
        <w:t>.</w:t>
      </w:r>
    </w:p>
    <w:p w14:paraId="581DF4F1" w14:textId="77777777" w:rsidR="001B4FF6" w:rsidRDefault="001B4FF6" w:rsidP="0062684F">
      <w:pPr>
        <w:shd w:val="clear" w:color="auto" w:fill="FFFFFF"/>
        <w:spacing w:after="200" w:line="276" w:lineRule="auto"/>
        <w:rPr>
          <w:rFonts w:ascii="Tahoma" w:hAnsi="Tahoma" w:cs="Tahoma"/>
          <w:b/>
          <w:bCs/>
          <w:color w:val="000000"/>
          <w:szCs w:val="24"/>
        </w:rPr>
      </w:pPr>
    </w:p>
    <w:p w14:paraId="70500F76" w14:textId="50A4AA16" w:rsidR="00406710" w:rsidRPr="0062684F" w:rsidRDefault="00406710" w:rsidP="0062684F">
      <w:pPr>
        <w:shd w:val="clear" w:color="auto" w:fill="FFFFFF"/>
        <w:spacing w:after="200" w:line="276" w:lineRule="auto"/>
        <w:rPr>
          <w:rFonts w:ascii="Tahoma" w:hAnsi="Tahoma" w:cs="Tahoma"/>
          <w:b/>
          <w:bCs/>
          <w:color w:val="000000"/>
          <w:szCs w:val="24"/>
        </w:rPr>
      </w:pPr>
      <w:r w:rsidRPr="0062684F">
        <w:rPr>
          <w:rFonts w:ascii="Tahoma" w:hAnsi="Tahoma" w:cs="Tahoma"/>
          <w:b/>
          <w:bCs/>
          <w:color w:val="000000"/>
          <w:szCs w:val="24"/>
        </w:rPr>
        <w:t>International and regional conventions and treaties ratified by Libya</w:t>
      </w:r>
    </w:p>
    <w:p w14:paraId="4A6E1DF3" w14:textId="49FE3F37" w:rsidR="00406710" w:rsidRPr="0062684F" w:rsidRDefault="00406710" w:rsidP="004041BB">
      <w:pPr>
        <w:pStyle w:val="ListParagraph"/>
        <w:numPr>
          <w:ilvl w:val="0"/>
          <w:numId w:val="9"/>
        </w:numPr>
        <w:suppressAutoHyphens w:val="0"/>
        <w:spacing w:after="200" w:line="276" w:lineRule="auto"/>
        <w:jc w:val="both"/>
        <w:rPr>
          <w:rFonts w:ascii="Tahoma" w:hAnsi="Tahoma" w:cs="Tahoma"/>
          <w:b/>
          <w:bCs/>
          <w:color w:val="5A5A5A"/>
          <w:szCs w:val="24"/>
          <w:shd w:val="clear" w:color="auto" w:fill="FFFFFF"/>
        </w:rPr>
      </w:pPr>
      <w:r w:rsidRPr="0062684F">
        <w:rPr>
          <w:rFonts w:ascii="Tahoma" w:hAnsi="Tahoma" w:cs="Tahoma"/>
          <w:color w:val="5A5A5A"/>
          <w:szCs w:val="24"/>
          <w:shd w:val="clear" w:color="auto" w:fill="FFFFFF"/>
        </w:rPr>
        <w:t>International conventions ratified by Libya, includ</w:t>
      </w:r>
      <w:r w:rsidR="004041BB">
        <w:rPr>
          <w:rFonts w:ascii="Tahoma" w:hAnsi="Tahoma" w:cs="Tahoma"/>
          <w:color w:val="5A5A5A"/>
          <w:szCs w:val="24"/>
          <w:shd w:val="clear" w:color="auto" w:fill="FFFFFF"/>
        </w:rPr>
        <w:t>e</w:t>
      </w:r>
      <w:r w:rsidRPr="0062684F">
        <w:rPr>
          <w:rFonts w:ascii="Tahoma" w:hAnsi="Tahoma" w:cs="Tahoma"/>
          <w:color w:val="5A5A5A"/>
          <w:szCs w:val="24"/>
          <w:shd w:val="clear" w:color="auto" w:fill="FFFFFF"/>
        </w:rPr>
        <w:t xml:space="preserve"> the International Convention on the protection of the Rights of All Migrant Workers and Members of Their Families, the Convention on the Rights of the Child</w:t>
      </w:r>
      <w:r w:rsidR="004041BB">
        <w:rPr>
          <w:rFonts w:ascii="Tahoma" w:hAnsi="Tahoma" w:cs="Tahoma"/>
          <w:color w:val="5A5A5A"/>
          <w:szCs w:val="24"/>
          <w:shd w:val="clear" w:color="auto" w:fill="FFFFFF"/>
        </w:rPr>
        <w:t>,</w:t>
      </w:r>
    </w:p>
    <w:p w14:paraId="7D7FC552" w14:textId="77777777" w:rsidR="00406710" w:rsidRPr="0062684F" w:rsidRDefault="00406710" w:rsidP="004041BB">
      <w:pPr>
        <w:pStyle w:val="ListParagraph"/>
        <w:numPr>
          <w:ilvl w:val="0"/>
          <w:numId w:val="9"/>
        </w:numPr>
        <w:suppressAutoHyphens w:val="0"/>
        <w:spacing w:after="200" w:line="276" w:lineRule="auto"/>
        <w:jc w:val="both"/>
        <w:rPr>
          <w:rFonts w:ascii="Tahoma" w:hAnsi="Tahoma" w:cs="Tahoma"/>
          <w:b/>
          <w:bCs/>
          <w:color w:val="5A5A5A"/>
          <w:szCs w:val="24"/>
          <w:shd w:val="clear" w:color="auto" w:fill="FFFFFF"/>
        </w:rPr>
      </w:pPr>
      <w:r w:rsidRPr="0062684F">
        <w:rPr>
          <w:rFonts w:ascii="Tahoma" w:hAnsi="Tahoma" w:cs="Tahoma"/>
          <w:color w:val="5A5A5A"/>
          <w:szCs w:val="24"/>
          <w:shd w:val="clear" w:color="auto" w:fill="FFFFFF"/>
        </w:rPr>
        <w:lastRenderedPageBreak/>
        <w:t>The Libyan government has taken important steps in its commitment to the protection of the rights of their children. In the April 15, 1993, Libya ratified the Convention on the Rights of the Child (CRC) issued in the year 1989</w:t>
      </w:r>
      <w:r w:rsidRPr="0062684F">
        <w:rPr>
          <w:rFonts w:ascii="Tahoma" w:hAnsi="Tahoma" w:cs="Tahoma"/>
          <w:color w:val="5A5A5A"/>
          <w:szCs w:val="24"/>
          <w:shd w:val="clear" w:color="auto" w:fill="FFFFFF"/>
        </w:rPr>
        <w:br/>
        <w:t>In addition, Libya acceded to the optional protocol to the Convention on the Rights of the Child on the sale of children, child prostitution and child pornography in 2004, acceded to the optional protocol on the involvement of children in armed conflict. Also, in 2004, and in the binding declaration in accordance with article 3, the Government had ratified the Convention No. 182 of the International Labor Organization on the worst forms of child labor.</w:t>
      </w:r>
      <w:r w:rsidRPr="0062684F">
        <w:rPr>
          <w:rFonts w:ascii="Tahoma" w:hAnsi="Tahoma" w:cs="Tahoma"/>
          <w:b/>
          <w:bCs/>
          <w:color w:val="5A5A5A"/>
          <w:szCs w:val="24"/>
          <w:shd w:val="clear" w:color="auto" w:fill="FFFFFF"/>
        </w:rPr>
        <w:br/>
      </w:r>
    </w:p>
    <w:p w14:paraId="29C1D706" w14:textId="399D6FC1" w:rsidR="00406710" w:rsidRPr="0062684F" w:rsidRDefault="004041BB" w:rsidP="0062684F">
      <w:pPr>
        <w:pStyle w:val="ListParagraph"/>
        <w:numPr>
          <w:ilvl w:val="0"/>
          <w:numId w:val="9"/>
        </w:numPr>
        <w:suppressAutoHyphens w:val="0"/>
        <w:spacing w:after="200" w:line="276" w:lineRule="auto"/>
        <w:rPr>
          <w:rFonts w:ascii="Tahoma" w:hAnsi="Tahoma" w:cs="Tahoma"/>
          <w:b/>
          <w:bCs/>
          <w:color w:val="5A5A5A"/>
          <w:szCs w:val="24"/>
          <w:shd w:val="clear" w:color="auto" w:fill="FFFFFF"/>
        </w:rPr>
      </w:pPr>
      <w:r>
        <w:rPr>
          <w:rFonts w:ascii="Tahoma" w:hAnsi="Tahoma" w:cs="Tahoma"/>
          <w:color w:val="5A5A5A"/>
          <w:szCs w:val="24"/>
          <w:shd w:val="clear" w:color="auto" w:fill="FFFFFF"/>
        </w:rPr>
        <w:t>I</w:t>
      </w:r>
      <w:r w:rsidR="00406710" w:rsidRPr="0062684F">
        <w:rPr>
          <w:rFonts w:ascii="Tahoma" w:hAnsi="Tahoma" w:cs="Tahoma"/>
          <w:color w:val="5A5A5A"/>
          <w:szCs w:val="24"/>
          <w:shd w:val="clear" w:color="auto" w:fill="FFFFFF"/>
        </w:rPr>
        <w:t>n the regional context, Libya joined the African Charter of Human and Peoples' Rights</w:t>
      </w:r>
      <w:r>
        <w:rPr>
          <w:rFonts w:ascii="Tahoma" w:hAnsi="Tahoma" w:cs="Tahoma"/>
          <w:color w:val="5A5A5A"/>
          <w:szCs w:val="24"/>
          <w:shd w:val="clear" w:color="auto" w:fill="FFFFFF"/>
        </w:rPr>
        <w:t>,</w:t>
      </w:r>
      <w:r w:rsidR="00406710" w:rsidRPr="0062684F">
        <w:rPr>
          <w:rFonts w:ascii="Tahoma" w:hAnsi="Tahoma" w:cs="Tahoma"/>
          <w:color w:val="5A5A5A"/>
          <w:szCs w:val="24"/>
          <w:shd w:val="clear" w:color="auto" w:fill="FFFFFF"/>
        </w:rPr>
        <w:t xml:space="preserve"> the African Charter on the rights and welfare of the Child</w:t>
      </w:r>
      <w:r>
        <w:rPr>
          <w:rFonts w:ascii="Tahoma" w:hAnsi="Tahoma" w:cs="Tahoma"/>
          <w:color w:val="5A5A5A"/>
          <w:szCs w:val="24"/>
          <w:shd w:val="clear" w:color="auto" w:fill="FFFFFF"/>
        </w:rPr>
        <w:t>, and the 1</w:t>
      </w:r>
      <w:r w:rsidRPr="004041BB">
        <w:rPr>
          <w:rFonts w:ascii="Tahoma" w:hAnsi="Tahoma" w:cs="Tahoma"/>
          <w:color w:val="5A5A5A"/>
          <w:szCs w:val="24"/>
          <w:shd w:val="clear" w:color="auto" w:fill="FFFFFF"/>
        </w:rPr>
        <w:t>969 “OAU Convention Governing the Specific Aspects of Refugee Problems in Africa”.</w:t>
      </w:r>
    </w:p>
    <w:p w14:paraId="055C8694" w14:textId="3C1265B5" w:rsidR="004838AB" w:rsidRPr="0062684F" w:rsidRDefault="004838AB" w:rsidP="0062684F">
      <w:pPr>
        <w:spacing w:after="200" w:line="276" w:lineRule="auto"/>
        <w:rPr>
          <w:rFonts w:ascii="Tahoma" w:hAnsi="Tahoma" w:cs="Tahoma"/>
          <w:szCs w:val="24"/>
        </w:rPr>
      </w:pPr>
    </w:p>
    <w:p w14:paraId="4FED5ACD" w14:textId="77777777" w:rsidR="00E27AA4" w:rsidRDefault="00E27AA4" w:rsidP="00406710">
      <w:pPr>
        <w:bidi/>
        <w:spacing w:after="0" w:line="276" w:lineRule="auto"/>
        <w:jc w:val="right"/>
        <w:rPr>
          <w:rFonts w:ascii="Tahoma" w:hAnsi="Tahoma" w:cs="Tahoma"/>
          <w:b/>
          <w:bCs/>
          <w:sz w:val="20"/>
          <w:rtl/>
          <w:lang w:val="en-GB"/>
        </w:rPr>
      </w:pPr>
    </w:p>
    <w:sectPr w:rsidR="00E27AA4" w:rsidSect="009924F1">
      <w:headerReference w:type="default" r:id="rId8"/>
      <w:footerReference w:type="default" r:id="rId9"/>
      <w:pgSz w:w="11906" w:h="16838"/>
      <w:pgMar w:top="1418" w:right="1418" w:bottom="1134"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7FB6F" w14:textId="77777777" w:rsidR="004D0740" w:rsidRDefault="004D0740">
      <w:pPr>
        <w:spacing w:after="0"/>
      </w:pPr>
      <w:r>
        <w:separator/>
      </w:r>
    </w:p>
  </w:endnote>
  <w:endnote w:type="continuationSeparator" w:id="0">
    <w:p w14:paraId="7E3E20EA" w14:textId="77777777" w:rsidR="004D0740" w:rsidRDefault="004D0740">
      <w:pPr>
        <w:spacing w:after="0"/>
      </w:pPr>
      <w:r>
        <w:continuationSeparator/>
      </w:r>
    </w:p>
  </w:endnote>
  <w:endnote w:id="1">
    <w:p w14:paraId="63687F9F" w14:textId="715DEC90" w:rsidR="001B4FF6" w:rsidRPr="00E71F04" w:rsidRDefault="001B4FF6" w:rsidP="00E71F04">
      <w:pPr>
        <w:pStyle w:val="EndnoteText"/>
        <w:spacing w:after="120"/>
        <w:jc w:val="both"/>
        <w:rPr>
          <w:rFonts w:ascii="Tahoma" w:hAnsi="Tahoma" w:cs="Tahoma"/>
        </w:rPr>
      </w:pPr>
      <w:r w:rsidRPr="00E71F04">
        <w:rPr>
          <w:rStyle w:val="EndnoteReference"/>
          <w:rFonts w:ascii="Tahoma" w:hAnsi="Tahoma" w:cs="Tahoma"/>
        </w:rPr>
        <w:endnoteRef/>
      </w:r>
      <w:r w:rsidRPr="00E71F04">
        <w:rPr>
          <w:rFonts w:ascii="Tahoma" w:hAnsi="Tahoma" w:cs="Tahoma"/>
        </w:rPr>
        <w:t xml:space="preserve"> Geneva Centre for Security Sector Governance, Libyan Security Sector Legislation: “</w:t>
      </w:r>
      <w:r w:rsidRPr="00153356">
        <w:rPr>
          <w:rFonts w:ascii="Tahoma" w:hAnsi="Tahoma" w:cs="Tahoma"/>
        </w:rPr>
        <w:t>Law No. (12) of 2010 on Labour Relations and its bylaw”, (</w:t>
      </w:r>
      <w:hyperlink r:id="rId1" w:history="1">
        <w:r w:rsidRPr="00153356">
          <w:rPr>
            <w:rStyle w:val="Hyperlink"/>
            <w:rFonts w:ascii="Tahoma" w:hAnsi="Tahoma" w:cs="Tahoma"/>
          </w:rPr>
          <w:t>Original Arabic</w:t>
        </w:r>
      </w:hyperlink>
      <w:r w:rsidRPr="00153356">
        <w:rPr>
          <w:rFonts w:ascii="Tahoma" w:hAnsi="Tahoma" w:cs="Tahoma"/>
        </w:rPr>
        <w:t>) and (</w:t>
      </w:r>
      <w:hyperlink r:id="rId2" w:history="1">
        <w:r w:rsidRPr="00153356">
          <w:rPr>
            <w:rStyle w:val="Hyperlink"/>
            <w:rFonts w:ascii="Tahoma" w:hAnsi="Tahoma" w:cs="Tahoma"/>
          </w:rPr>
          <w:t>English Translation</w:t>
        </w:r>
      </w:hyperlink>
      <w:r w:rsidRPr="00153356">
        <w:rPr>
          <w:rFonts w:ascii="Tahoma" w:hAnsi="Tahoma" w:cs="Tahoma"/>
        </w:rPr>
        <w:t>). Arabic and English copies are attached.</w:t>
      </w:r>
    </w:p>
  </w:endnote>
  <w:endnote w:id="2">
    <w:p w14:paraId="1DC6CC30" w14:textId="0751DBE5" w:rsidR="001B4FF6" w:rsidRPr="00E71F04" w:rsidRDefault="001B4FF6" w:rsidP="00E71F04">
      <w:pPr>
        <w:pStyle w:val="EndnoteText"/>
        <w:spacing w:after="120"/>
        <w:jc w:val="both"/>
        <w:rPr>
          <w:rFonts w:ascii="Tahoma" w:hAnsi="Tahoma" w:cs="Tahoma"/>
        </w:rPr>
      </w:pPr>
      <w:r w:rsidRPr="00E71F04">
        <w:rPr>
          <w:rStyle w:val="EndnoteReference"/>
          <w:rFonts w:ascii="Tahoma" w:hAnsi="Tahoma" w:cs="Tahoma"/>
        </w:rPr>
        <w:endnoteRef/>
      </w:r>
      <w:r w:rsidRPr="00E71F04">
        <w:rPr>
          <w:rFonts w:ascii="Tahoma" w:hAnsi="Tahoma" w:cs="Tahoma"/>
        </w:rPr>
        <w:t xml:space="preserve"> The General People’s Committee the Executive Branch, the Government, during the Gaddafi rule.</w:t>
      </w:r>
    </w:p>
  </w:endnote>
  <w:endnote w:id="3">
    <w:p w14:paraId="7FC0D8ED" w14:textId="349E3A19" w:rsidR="001B4FF6" w:rsidRPr="00E71F04" w:rsidRDefault="001B4FF6" w:rsidP="00E71F04">
      <w:pPr>
        <w:pStyle w:val="EndnoteText"/>
        <w:spacing w:after="120"/>
        <w:jc w:val="both"/>
        <w:rPr>
          <w:rFonts w:ascii="Tahoma" w:hAnsi="Tahoma" w:cs="Tahoma"/>
          <w:lang w:val="en-GB"/>
        </w:rPr>
      </w:pPr>
      <w:r w:rsidRPr="00E71F04">
        <w:rPr>
          <w:rStyle w:val="EndnoteReference"/>
          <w:rFonts w:ascii="Tahoma" w:hAnsi="Tahoma" w:cs="Tahoma"/>
        </w:rPr>
        <w:endnoteRef/>
      </w:r>
      <w:r w:rsidRPr="00E71F04">
        <w:rPr>
          <w:rFonts w:ascii="Tahoma" w:hAnsi="Tahoma" w:cs="Tahoma"/>
        </w:rPr>
        <w:t xml:space="preserve"> Human Rights Solidarity could not find a copy of Decree (979) of 1993. However, it is referenced in a report by the OHCHR at this </w:t>
      </w:r>
      <w:hyperlink r:id="rId3" w:history="1">
        <w:r w:rsidRPr="00E71F04">
          <w:rPr>
            <w:rStyle w:val="Hyperlink"/>
            <w:rFonts w:ascii="Tahoma" w:hAnsi="Tahoma" w:cs="Tahoma"/>
          </w:rPr>
          <w:t>link</w:t>
        </w:r>
      </w:hyperlink>
      <w:r w:rsidRPr="00E71F04">
        <w:rPr>
          <w:rFonts w:ascii="Tahoma" w:hAnsi="Tahoma" w:cs="Tahoma"/>
        </w:rPr>
        <w:t>.</w:t>
      </w:r>
    </w:p>
  </w:endnote>
  <w:endnote w:id="4">
    <w:p w14:paraId="22B040EA" w14:textId="5F0924F0" w:rsidR="001B4FF6" w:rsidRPr="00E71F04" w:rsidRDefault="001B4FF6" w:rsidP="00E71F04">
      <w:pPr>
        <w:pStyle w:val="EndnoteText"/>
        <w:spacing w:after="120"/>
        <w:jc w:val="both"/>
        <w:rPr>
          <w:rFonts w:ascii="Tahoma" w:hAnsi="Tahoma" w:cs="Tahoma"/>
        </w:rPr>
      </w:pPr>
      <w:r w:rsidRPr="00E71F04">
        <w:rPr>
          <w:rStyle w:val="EndnoteReference"/>
          <w:rFonts w:ascii="Tahoma" w:hAnsi="Tahoma" w:cs="Tahoma"/>
        </w:rPr>
        <w:endnoteRef/>
      </w:r>
      <w:r w:rsidRPr="00E71F04">
        <w:rPr>
          <w:rFonts w:ascii="Tahoma" w:hAnsi="Tahoma" w:cs="Tahoma"/>
        </w:rPr>
        <w:t xml:space="preserve"> The General People’s Congress was the Legislative Branch, the Parliament, during the Gaddafi rule.</w:t>
      </w:r>
    </w:p>
  </w:endnote>
  <w:endnote w:id="5">
    <w:p w14:paraId="26BDB3C3" w14:textId="0634F815" w:rsidR="001B4FF6" w:rsidRPr="00E71F04" w:rsidRDefault="001B4FF6" w:rsidP="00E71F04">
      <w:pPr>
        <w:pStyle w:val="EndnoteText"/>
        <w:spacing w:after="120"/>
        <w:jc w:val="both"/>
        <w:rPr>
          <w:rFonts w:ascii="Tahoma" w:hAnsi="Tahoma" w:cs="Tahoma"/>
        </w:rPr>
      </w:pPr>
      <w:r w:rsidRPr="00E71F04">
        <w:rPr>
          <w:rStyle w:val="EndnoteReference"/>
          <w:rFonts w:ascii="Tahoma" w:hAnsi="Tahoma" w:cs="Tahoma"/>
        </w:rPr>
        <w:endnoteRef/>
      </w:r>
      <w:r w:rsidRPr="00E71F04">
        <w:rPr>
          <w:rFonts w:ascii="Tahoma" w:hAnsi="Tahoma" w:cs="Tahoma"/>
        </w:rPr>
        <w:t xml:space="preserve"> Secretary was equivalent to Cabinet Minister.</w:t>
      </w:r>
    </w:p>
  </w:endnote>
  <w:endnote w:id="6">
    <w:p w14:paraId="125315BA" w14:textId="1E150B39" w:rsidR="001B4FF6" w:rsidRPr="00E71F04" w:rsidRDefault="001B4FF6" w:rsidP="00E71F04">
      <w:pPr>
        <w:pStyle w:val="EndnoteText"/>
        <w:spacing w:after="120"/>
        <w:jc w:val="both"/>
        <w:rPr>
          <w:rFonts w:ascii="Tahoma" w:hAnsi="Tahoma" w:cs="Tahoma"/>
        </w:rPr>
      </w:pPr>
      <w:r w:rsidRPr="00E71F04">
        <w:rPr>
          <w:rStyle w:val="EndnoteReference"/>
          <w:rFonts w:ascii="Tahoma" w:hAnsi="Tahoma" w:cs="Tahoma"/>
        </w:rPr>
        <w:endnoteRef/>
      </w:r>
      <w:r w:rsidRPr="00E71F04">
        <w:rPr>
          <w:rFonts w:ascii="Tahoma" w:hAnsi="Tahoma" w:cs="Tahoma"/>
        </w:rPr>
        <w:t xml:space="preserve"> Ministry of Justice, Libya: “</w:t>
      </w:r>
      <w:hyperlink r:id="rId4" w:history="1">
        <w:r w:rsidRPr="00E71F04">
          <w:rPr>
            <w:rStyle w:val="Hyperlink"/>
            <w:rFonts w:ascii="Tahoma" w:hAnsi="Tahoma" w:cs="Tahoma"/>
          </w:rPr>
          <w:t>Law No. (17) of 1992 ‘on the Affairs of Minors and the Like’</w:t>
        </w:r>
      </w:hyperlink>
      <w:r w:rsidRPr="00E71F04">
        <w:rPr>
          <w:rFonts w:ascii="Tahoma" w:hAnsi="Tahoma" w:cs="Tahoma"/>
        </w:rPr>
        <w:t>”. Arabic copy of the law is attached.</w:t>
      </w:r>
    </w:p>
  </w:endnote>
  <w:endnote w:id="7">
    <w:p w14:paraId="2BA7C240" w14:textId="77777777" w:rsidR="001B4FF6" w:rsidRPr="00E71F04" w:rsidRDefault="001B4FF6" w:rsidP="00E71F04">
      <w:pPr>
        <w:pStyle w:val="EndnoteText"/>
        <w:spacing w:after="120"/>
        <w:jc w:val="both"/>
        <w:rPr>
          <w:rFonts w:ascii="Tahoma" w:hAnsi="Tahoma" w:cs="Tahoma"/>
        </w:rPr>
      </w:pPr>
      <w:r w:rsidRPr="00E71F04">
        <w:rPr>
          <w:rStyle w:val="EndnoteReference"/>
          <w:rFonts w:ascii="Tahoma" w:hAnsi="Tahoma" w:cs="Tahoma"/>
        </w:rPr>
        <w:endnoteRef/>
      </w:r>
      <w:r w:rsidRPr="00E71F04">
        <w:rPr>
          <w:rFonts w:ascii="Tahoma" w:hAnsi="Tahoma" w:cs="Tahoma"/>
        </w:rPr>
        <w:t xml:space="preserve">  </w:t>
      </w:r>
      <w:bookmarkStart w:id="1" w:name="_Hlk40451468"/>
      <w:r w:rsidRPr="00E71F04">
        <w:rPr>
          <w:rFonts w:ascii="Tahoma" w:hAnsi="Tahoma" w:cs="Tahoma"/>
        </w:rPr>
        <w:t xml:space="preserve">Geneva Centre for Security Sector Governance, Libyan Security Sector Legislation: “Law </w:t>
      </w:r>
      <w:r w:rsidRPr="00153356">
        <w:rPr>
          <w:rFonts w:ascii="Tahoma" w:hAnsi="Tahoma" w:cs="Tahoma"/>
        </w:rPr>
        <w:t>No. (5) of 1427 FBP [1997] on Childhood Protection”, (</w:t>
      </w:r>
      <w:hyperlink r:id="rId5" w:history="1">
        <w:r w:rsidRPr="00153356">
          <w:rPr>
            <w:rStyle w:val="Hyperlink"/>
            <w:rFonts w:ascii="Tahoma" w:hAnsi="Tahoma" w:cs="Tahoma"/>
          </w:rPr>
          <w:t>Original Arabic</w:t>
        </w:r>
      </w:hyperlink>
      <w:r w:rsidRPr="00153356">
        <w:rPr>
          <w:rFonts w:ascii="Tahoma" w:hAnsi="Tahoma" w:cs="Tahoma"/>
        </w:rPr>
        <w:t>) and (</w:t>
      </w:r>
      <w:hyperlink r:id="rId6" w:history="1">
        <w:r w:rsidRPr="00153356">
          <w:rPr>
            <w:rStyle w:val="Hyperlink"/>
            <w:rFonts w:ascii="Tahoma" w:hAnsi="Tahoma" w:cs="Tahoma"/>
          </w:rPr>
          <w:t>English Translation</w:t>
        </w:r>
      </w:hyperlink>
      <w:r w:rsidRPr="00153356">
        <w:rPr>
          <w:rFonts w:ascii="Tahoma" w:hAnsi="Tahoma" w:cs="Tahoma"/>
        </w:rPr>
        <w:t>). Arabic and English copies are attached.</w:t>
      </w:r>
      <w:bookmarkEnd w:id="1"/>
    </w:p>
  </w:endnote>
  <w:endnote w:id="8">
    <w:p w14:paraId="5DD3ED2F" w14:textId="77777777" w:rsidR="001B4FF6" w:rsidRPr="00153356" w:rsidRDefault="001B4FF6" w:rsidP="00E71F04">
      <w:pPr>
        <w:pStyle w:val="EndnoteText"/>
        <w:spacing w:after="120"/>
        <w:jc w:val="both"/>
        <w:rPr>
          <w:rFonts w:ascii="Tahoma" w:hAnsi="Tahoma" w:cs="Tahoma"/>
        </w:rPr>
      </w:pPr>
      <w:r w:rsidRPr="00E71F04">
        <w:rPr>
          <w:rStyle w:val="EndnoteReference"/>
          <w:rFonts w:ascii="Tahoma" w:hAnsi="Tahoma" w:cs="Tahoma"/>
        </w:rPr>
        <w:endnoteRef/>
      </w:r>
      <w:r w:rsidRPr="00E71F04">
        <w:rPr>
          <w:rFonts w:ascii="Tahoma" w:hAnsi="Tahoma" w:cs="Tahoma"/>
        </w:rPr>
        <w:t xml:space="preserve"> Law (5/1997), Article (12): “A committee called the Higher Committee for Children shall be formed. It shall prepare the plans and programs necessary to care for children, monitor the authorities concerned with the implementation of the provisions of this law, and issue the necessary instructions in this regard. The formation of the committee, its work system, and its affiliation shall be regulated by a decision issued by the </w:t>
      </w:r>
      <w:r w:rsidRPr="00153356">
        <w:rPr>
          <w:rFonts w:ascii="Tahoma" w:hAnsi="Tahoma" w:cs="Tahoma"/>
        </w:rPr>
        <w:t>General People's Committee”.</w:t>
      </w:r>
    </w:p>
  </w:endnote>
  <w:endnote w:id="9">
    <w:p w14:paraId="263F1F68" w14:textId="77777777" w:rsidR="001B4FF6" w:rsidRPr="00153356" w:rsidRDefault="001B4FF6" w:rsidP="00E71F04">
      <w:pPr>
        <w:pStyle w:val="EndnoteText"/>
        <w:spacing w:after="120"/>
        <w:jc w:val="both"/>
        <w:rPr>
          <w:rFonts w:ascii="Tahoma" w:hAnsi="Tahoma" w:cs="Tahoma"/>
        </w:rPr>
      </w:pPr>
      <w:r w:rsidRPr="00153356">
        <w:rPr>
          <w:rStyle w:val="EndnoteReference"/>
          <w:rFonts w:ascii="Tahoma" w:hAnsi="Tahoma" w:cs="Tahoma"/>
        </w:rPr>
        <w:endnoteRef/>
      </w:r>
      <w:r w:rsidRPr="00153356">
        <w:rPr>
          <w:rFonts w:ascii="Tahoma" w:hAnsi="Tahoma" w:cs="Tahoma"/>
        </w:rPr>
        <w:t xml:space="preserve"> Ministry of Education, Libya: “</w:t>
      </w:r>
      <w:hyperlink r:id="rId7" w:history="1">
        <w:r w:rsidRPr="00153356">
          <w:rPr>
            <w:rStyle w:val="Hyperlink"/>
            <w:rFonts w:ascii="Tahoma" w:hAnsi="Tahoma" w:cs="Tahoma"/>
          </w:rPr>
          <w:t>Presidential Council Decision of the Government of National Accord No. 159 of 2018 regarding the establishment of the Higher Committee for Childhood</w:t>
        </w:r>
      </w:hyperlink>
      <w:r w:rsidRPr="00153356">
        <w:rPr>
          <w:rFonts w:ascii="Tahoma" w:hAnsi="Tahoma" w:cs="Tahoma"/>
        </w:rPr>
        <w:t>”, March 13, 2018. Arabic Copy of the Decree is attached.</w:t>
      </w:r>
    </w:p>
  </w:endnote>
  <w:endnote w:id="10">
    <w:p w14:paraId="5DAC0701" w14:textId="77777777" w:rsidR="001B4FF6" w:rsidRPr="00E71F04" w:rsidRDefault="001B4FF6" w:rsidP="00E71F04">
      <w:pPr>
        <w:pStyle w:val="EndnoteText"/>
        <w:spacing w:after="120"/>
        <w:jc w:val="both"/>
        <w:rPr>
          <w:rFonts w:ascii="Tahoma" w:hAnsi="Tahoma" w:cs="Tahoma"/>
        </w:rPr>
      </w:pPr>
      <w:r w:rsidRPr="00153356">
        <w:rPr>
          <w:rStyle w:val="EndnoteReference"/>
          <w:rFonts w:ascii="Tahoma" w:hAnsi="Tahoma" w:cs="Tahoma"/>
        </w:rPr>
        <w:endnoteRef/>
      </w:r>
      <w:r w:rsidRPr="00153356">
        <w:rPr>
          <w:rFonts w:ascii="Tahoma" w:hAnsi="Tahoma" w:cs="Tahoma"/>
        </w:rPr>
        <w:t xml:space="preserve"> African Union: “African</w:t>
      </w:r>
      <w:r w:rsidRPr="00E71F04">
        <w:rPr>
          <w:rFonts w:ascii="Tahoma" w:hAnsi="Tahoma" w:cs="Tahoma"/>
        </w:rPr>
        <w:t xml:space="preserve"> Charter on the Rights and Welfare of the Child”, </w:t>
      </w:r>
      <w:hyperlink r:id="rId8" w:history="1">
        <w:r w:rsidRPr="00E71F04">
          <w:rPr>
            <w:rStyle w:val="Hyperlink"/>
            <w:rFonts w:ascii="Tahoma" w:hAnsi="Tahoma" w:cs="Tahoma"/>
          </w:rPr>
          <w:t>Status List</w:t>
        </w:r>
      </w:hyperlink>
      <w:r w:rsidRPr="00E71F04">
        <w:rPr>
          <w:rFonts w:ascii="Tahoma" w:hAnsi="Tahoma" w:cs="Tahoma"/>
        </w:rPr>
        <w:t>.</w:t>
      </w:r>
    </w:p>
  </w:endnote>
  <w:endnote w:id="11">
    <w:p w14:paraId="5DA35E57" w14:textId="3A616837" w:rsidR="001B4FF6" w:rsidRPr="00174B65" w:rsidRDefault="001B4FF6" w:rsidP="00E71F04">
      <w:pPr>
        <w:pStyle w:val="EndnoteText"/>
        <w:spacing w:after="120"/>
        <w:jc w:val="both"/>
        <w:rPr>
          <w:rFonts w:ascii="Tahoma" w:hAnsi="Tahoma" w:cs="Tahoma"/>
        </w:rPr>
      </w:pPr>
      <w:r w:rsidRPr="00E71F04">
        <w:rPr>
          <w:rStyle w:val="EndnoteReference"/>
          <w:rFonts w:ascii="Tahoma" w:hAnsi="Tahoma" w:cs="Tahoma"/>
        </w:rPr>
        <w:endnoteRef/>
      </w:r>
      <w:r w:rsidRPr="00E71F04">
        <w:rPr>
          <w:rFonts w:ascii="Tahoma" w:hAnsi="Tahoma" w:cs="Tahoma"/>
        </w:rPr>
        <w:t xml:space="preserve"> The situation of refugees, asylum-seekers and migrants alike is regulated by a series of laws broadly relating to foreigners in the country. Of particular importance in the context of the flow of people who use Libya both as a destination and a transit country is Law 6 of 1987 on the organization of entry, residence and exit of foreigners in Libya and amendments to this law as laid out in Law 2 of 1372 (2004). The law stipulates that foreigners must have a valid visa to enter, reside in and leave Libya. Those who violate the provisions of this law (Article 19 after 2004 amendment) – for example, by not obtaining the correct visa, violating the conditions of their visa or overstaying the duration of the visa – are liable to a prison sentence without fixed duration and a minimum fine of 1,000 Libyan Dinars. The 2004 amendments make specific reference to activities relating to irregular migration, notably smuggling migrants by any means, and creating, supplying or carrying false travel or identification documents. These activities are punishable by a minimum one year’s imprisonment and a fine of no less than 1,000 Libyan Dinars (Article 19 bis). The 2004 amendments </w:t>
      </w:r>
      <w:r w:rsidRPr="00174B65">
        <w:rPr>
          <w:rFonts w:ascii="Tahoma" w:hAnsi="Tahoma" w:cs="Tahoma"/>
        </w:rPr>
        <w:t>to the Law 6 of 1987 have introduced tighter penalties on illegal residence in and passage through Libya as well as penalties for smuggling. Law No. (19) of 2010 gave foreigners illegally residing in Libya to settle their status within a period not exceeding two months from the enactment of the law, which means that all foreigners residing currently in Libya without a permit or valid visa are considered illegal immigrants. Arabic and English copies of Law No. (6) of 1987, Law No. (2) of 2004, and Law (19) of 2010 are attached.</w:t>
      </w:r>
    </w:p>
  </w:endnote>
  <w:endnote w:id="12">
    <w:p w14:paraId="6F993780" w14:textId="1EB23167" w:rsidR="001B4FF6" w:rsidRPr="00174B65" w:rsidRDefault="001B4FF6" w:rsidP="00E71F04">
      <w:pPr>
        <w:pStyle w:val="EndnoteText"/>
        <w:spacing w:after="120"/>
        <w:jc w:val="both"/>
        <w:rPr>
          <w:rFonts w:ascii="Tahoma" w:hAnsi="Tahoma" w:cs="Tahoma"/>
        </w:rPr>
      </w:pPr>
      <w:r w:rsidRPr="00174B65">
        <w:rPr>
          <w:rStyle w:val="EndnoteReference"/>
          <w:rFonts w:ascii="Tahoma" w:hAnsi="Tahoma" w:cs="Tahoma"/>
        </w:rPr>
        <w:endnoteRef/>
      </w:r>
      <w:r w:rsidRPr="00174B65">
        <w:rPr>
          <w:rFonts w:ascii="Tahoma" w:hAnsi="Tahoma" w:cs="Tahoma"/>
        </w:rPr>
        <w:t xml:space="preserve"> International Organizations visits to official detention centers mainly for providing health services, psychological support and voluntary return.</w:t>
      </w:r>
    </w:p>
  </w:endnote>
  <w:endnote w:id="13">
    <w:p w14:paraId="39D3DE1A" w14:textId="21FDFACA" w:rsidR="001B4FF6" w:rsidRPr="00174B65" w:rsidRDefault="001B4FF6" w:rsidP="00E71F04">
      <w:pPr>
        <w:pStyle w:val="EndnoteText"/>
        <w:spacing w:after="120"/>
        <w:jc w:val="both"/>
        <w:rPr>
          <w:rFonts w:ascii="Tahoma" w:hAnsi="Tahoma" w:cs="Tahoma"/>
        </w:rPr>
      </w:pPr>
      <w:r w:rsidRPr="00174B65">
        <w:rPr>
          <w:rStyle w:val="EndnoteReference"/>
          <w:rFonts w:ascii="Tahoma" w:hAnsi="Tahoma" w:cs="Tahoma"/>
        </w:rPr>
        <w:endnoteRef/>
      </w:r>
      <w:r w:rsidRPr="00174B65">
        <w:rPr>
          <w:rFonts w:ascii="Tahoma" w:hAnsi="Tahoma" w:cs="Tahoma"/>
        </w:rPr>
        <w:t xml:space="preserve"> Geneva Centre for Security Sector Governance, Libyan Security Sector Legislation: “Law No. (19) of 2010 “On Combatting Illegal Immigration”, (</w:t>
      </w:r>
      <w:hyperlink r:id="rId9" w:history="1">
        <w:r w:rsidRPr="00174B65">
          <w:rPr>
            <w:rStyle w:val="Hyperlink"/>
            <w:rFonts w:ascii="Tahoma" w:hAnsi="Tahoma" w:cs="Tahoma"/>
          </w:rPr>
          <w:t>Original Arabic</w:t>
        </w:r>
      </w:hyperlink>
      <w:r w:rsidRPr="00174B65">
        <w:rPr>
          <w:rFonts w:ascii="Tahoma" w:hAnsi="Tahoma" w:cs="Tahoma"/>
        </w:rPr>
        <w:t>) and (</w:t>
      </w:r>
      <w:hyperlink r:id="rId10" w:history="1">
        <w:r w:rsidRPr="00174B65">
          <w:rPr>
            <w:rStyle w:val="Hyperlink"/>
            <w:rFonts w:ascii="Tahoma" w:hAnsi="Tahoma" w:cs="Tahoma"/>
          </w:rPr>
          <w:t>English Translation</w:t>
        </w:r>
      </w:hyperlink>
      <w:r w:rsidRPr="00174B65">
        <w:rPr>
          <w:rFonts w:ascii="Tahoma" w:hAnsi="Tahoma" w:cs="Tahoma"/>
        </w:rPr>
        <w:t>). Arabic and English copies are attached.</w:t>
      </w:r>
    </w:p>
  </w:endnote>
  <w:endnote w:id="14">
    <w:p w14:paraId="77C56DA7" w14:textId="28784ACC" w:rsidR="001B4FF6" w:rsidRPr="00E71F04" w:rsidRDefault="001B4FF6" w:rsidP="00E71F04">
      <w:pPr>
        <w:pStyle w:val="EndnoteText"/>
        <w:spacing w:after="120"/>
        <w:jc w:val="both"/>
        <w:rPr>
          <w:rFonts w:ascii="Tahoma" w:hAnsi="Tahoma" w:cs="Tahoma"/>
        </w:rPr>
      </w:pPr>
      <w:r w:rsidRPr="00174B65">
        <w:rPr>
          <w:rStyle w:val="EndnoteReference"/>
          <w:rFonts w:ascii="Tahoma" w:hAnsi="Tahoma" w:cs="Tahoma"/>
        </w:rPr>
        <w:endnoteRef/>
      </w:r>
      <w:r w:rsidRPr="00174B65">
        <w:rPr>
          <w:rFonts w:ascii="Tahoma" w:hAnsi="Tahoma" w:cs="Tahoma"/>
        </w:rPr>
        <w:t xml:space="preserve"> Law (19) of 2010, Article (6): “Foreign illegal immigrants shall be penalized by detention with hard labour or by a fine not exceeding 1,000 LYD. In all cases, a foreigner convicted of any of the crimes set forth in this law shall be expelled from the territory of the Great Jamahiriya immediately upon execution of the sentence”.</w:t>
      </w:r>
      <w:bookmarkStart w:id="3" w:name="_GoBack"/>
      <w:bookmarkEnd w:id="3"/>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4"/>
    </w:tblGrid>
    <w:tr w:rsidR="001B4FF6" w:rsidRPr="000B4AD7" w14:paraId="7DB4A806" w14:textId="77777777" w:rsidTr="001B4FF6">
      <w:trPr>
        <w:trHeight w:val="1186"/>
      </w:trPr>
      <w:tc>
        <w:tcPr>
          <w:tcW w:w="9924" w:type="dxa"/>
          <w:tcBorders>
            <w:top w:val="single" w:sz="12" w:space="0" w:color="4F81BD" w:themeColor="accent1"/>
          </w:tcBorders>
        </w:tcPr>
        <w:p w14:paraId="6F1D1003" w14:textId="55556985" w:rsidR="001B4FF6" w:rsidRDefault="001B4FF6" w:rsidP="00047C60">
          <w:pPr>
            <w:pStyle w:val="Footer"/>
            <w:jc w:val="center"/>
            <w:rPr>
              <w:rFonts w:asciiTheme="minorHAnsi" w:hAnsiTheme="minorHAnsi" w:cs="Times New Roman"/>
              <w:color w:val="0F243E"/>
              <w:sz w:val="20"/>
              <w:lang w:val="fr-CH" w:eastAsia="en-GB"/>
            </w:rPr>
          </w:pPr>
          <w:r w:rsidRPr="000B4AD7">
            <w:rPr>
              <w:rFonts w:asciiTheme="minorHAnsi" w:hAnsiTheme="minorHAnsi" w:cs="Times New Roman"/>
              <w:b/>
              <w:bCs/>
              <w:color w:val="0F243E"/>
              <w:sz w:val="20"/>
              <w:lang w:val="fr-CH" w:eastAsia="en-GB"/>
            </w:rPr>
            <w:t>Geneva Office</w:t>
          </w:r>
          <w:r>
            <w:rPr>
              <w:rFonts w:asciiTheme="minorHAnsi" w:hAnsiTheme="minorHAnsi" w:cs="Times New Roman"/>
              <w:b/>
              <w:bCs/>
              <w:color w:val="0F243E"/>
              <w:sz w:val="20"/>
              <w:rtl/>
              <w:lang w:val="fr-CH" w:eastAsia="en-GB"/>
            </w:rPr>
            <w:t>،</w:t>
          </w:r>
          <w:r>
            <w:rPr>
              <w:rFonts w:asciiTheme="minorHAnsi" w:hAnsiTheme="minorHAnsi" w:cs="Times New Roman"/>
              <w:b/>
              <w:bCs/>
              <w:color w:val="0F243E"/>
              <w:sz w:val="20"/>
              <w:lang w:val="fr-CH" w:eastAsia="en-GB"/>
            </w:rPr>
            <w:t xml:space="preserve"> </w:t>
          </w:r>
          <w:r w:rsidRPr="000B4AD7">
            <w:rPr>
              <w:rFonts w:asciiTheme="minorHAnsi" w:hAnsiTheme="minorHAnsi" w:cs="Times New Roman"/>
              <w:color w:val="0F243E"/>
              <w:sz w:val="20"/>
              <w:lang w:val="fr-CH" w:eastAsia="en-GB"/>
            </w:rPr>
            <w:t xml:space="preserve">c/o Maison des Associations </w:t>
          </w:r>
          <w:r w:rsidRPr="000B4AD7">
            <w:rPr>
              <w:rFonts w:asciiTheme="minorHAnsi" w:hAnsiTheme="minorHAnsi" w:cs="Times New Roman"/>
              <w:color w:val="0F243E"/>
              <w:sz w:val="20"/>
              <w:rtl/>
              <w:lang w:val="fr-CH" w:eastAsia="en-GB"/>
            </w:rPr>
            <w:t>15</w:t>
          </w:r>
          <w:r>
            <w:rPr>
              <w:rFonts w:asciiTheme="minorHAnsi" w:hAnsiTheme="minorHAnsi" w:cs="Times New Roman"/>
              <w:color w:val="0F243E"/>
              <w:sz w:val="20"/>
              <w:rtl/>
              <w:lang w:val="fr-CH" w:eastAsia="en-GB"/>
            </w:rPr>
            <w:t>،</w:t>
          </w:r>
          <w:r w:rsidRPr="000B4AD7">
            <w:rPr>
              <w:rFonts w:asciiTheme="minorHAnsi" w:hAnsiTheme="minorHAnsi" w:cs="Times New Roman"/>
              <w:color w:val="0F243E"/>
              <w:sz w:val="20"/>
              <w:rtl/>
              <w:lang w:val="fr-CH" w:eastAsia="en-GB"/>
            </w:rPr>
            <w:t xml:space="preserve"> </w:t>
          </w:r>
          <w:r w:rsidRPr="000B4AD7">
            <w:rPr>
              <w:rFonts w:asciiTheme="minorHAnsi" w:hAnsiTheme="minorHAnsi" w:cs="Times New Roman"/>
              <w:color w:val="0F243E"/>
              <w:sz w:val="20"/>
              <w:lang w:val="fr-CH" w:eastAsia="en-GB"/>
            </w:rPr>
            <w:t>rue des savoises</w:t>
          </w:r>
          <w:r>
            <w:rPr>
              <w:rFonts w:asciiTheme="minorHAnsi" w:hAnsiTheme="minorHAnsi" w:cs="Times New Roman"/>
              <w:color w:val="0F243E"/>
              <w:sz w:val="20"/>
              <w:rtl/>
              <w:lang w:val="fr-CH" w:eastAsia="en-GB"/>
            </w:rPr>
            <w:t>،</w:t>
          </w:r>
          <w:r>
            <w:rPr>
              <w:rFonts w:asciiTheme="minorHAnsi" w:hAnsiTheme="minorHAnsi" w:cs="Times New Roman"/>
              <w:color w:val="0F243E"/>
              <w:sz w:val="20"/>
              <w:lang w:val="fr-CH" w:eastAsia="en-GB"/>
            </w:rPr>
            <w:t xml:space="preserve"> 1205 </w:t>
          </w:r>
          <w:r w:rsidRPr="000B4AD7">
            <w:rPr>
              <w:rFonts w:asciiTheme="minorHAnsi" w:hAnsiTheme="minorHAnsi" w:cs="Times New Roman"/>
              <w:color w:val="0F243E"/>
              <w:sz w:val="20"/>
              <w:lang w:val="fr-CH" w:eastAsia="en-GB"/>
            </w:rPr>
            <w:t>Genève/Switzerland</w:t>
          </w:r>
          <w:r>
            <w:rPr>
              <w:rFonts w:asciiTheme="minorHAnsi" w:hAnsiTheme="minorHAnsi" w:cs="Times New Roman"/>
              <w:color w:val="0F243E"/>
              <w:sz w:val="20"/>
              <w:rtl/>
              <w:lang w:val="fr-CH" w:eastAsia="en-GB"/>
            </w:rPr>
            <w:t>،</w:t>
          </w:r>
          <w:r>
            <w:rPr>
              <w:rFonts w:asciiTheme="minorHAnsi" w:hAnsiTheme="minorHAnsi" w:cs="Times New Roman"/>
              <w:color w:val="0F243E"/>
              <w:sz w:val="20"/>
              <w:lang w:val="fr-CH" w:eastAsia="en-GB"/>
            </w:rPr>
            <w:t xml:space="preserve"> </w:t>
          </w:r>
          <w:r w:rsidRPr="00466414">
            <w:rPr>
              <w:rFonts w:asciiTheme="minorHAnsi" w:hAnsiTheme="minorHAnsi" w:cs="Times New Roman"/>
              <w:color w:val="0F243E"/>
              <w:sz w:val="20"/>
              <w:lang w:val="fr-FR" w:eastAsia="en-GB"/>
            </w:rPr>
            <w:t xml:space="preserve">Tel : </w:t>
          </w:r>
          <w:r w:rsidRPr="000B4AD7">
            <w:rPr>
              <w:rFonts w:asciiTheme="minorHAnsi" w:hAnsiTheme="minorHAnsi" w:cs="Times New Roman"/>
              <w:color w:val="0F243E"/>
              <w:sz w:val="20"/>
              <w:lang w:val="fr-CH" w:eastAsia="en-GB"/>
            </w:rPr>
            <w:t>+41 77 937 75 97</w:t>
          </w:r>
        </w:p>
        <w:p w14:paraId="48FC2732" w14:textId="28BED9DF" w:rsidR="001B4FF6" w:rsidRDefault="001B4FF6" w:rsidP="00047C60">
          <w:pPr>
            <w:pStyle w:val="Footer"/>
            <w:jc w:val="center"/>
            <w:rPr>
              <w:rFonts w:asciiTheme="minorHAnsi" w:hAnsiTheme="minorHAnsi" w:cs="Times New Roman"/>
              <w:color w:val="0F243E"/>
              <w:sz w:val="20"/>
              <w:lang w:val="en-GB" w:eastAsia="en-GB"/>
            </w:rPr>
          </w:pPr>
          <w:r>
            <w:rPr>
              <w:rFonts w:asciiTheme="minorHAnsi" w:hAnsiTheme="minorHAnsi" w:cs="Times New Roman"/>
              <w:b/>
              <w:bCs/>
              <w:color w:val="0F243E"/>
              <w:sz w:val="20"/>
              <w:lang w:val="fr-CH" w:eastAsia="en-GB"/>
            </w:rPr>
            <w:t>Tripoli</w:t>
          </w:r>
          <w:r w:rsidRPr="000B4AD7">
            <w:rPr>
              <w:rFonts w:asciiTheme="minorHAnsi" w:hAnsiTheme="minorHAnsi" w:cs="Times New Roman"/>
              <w:b/>
              <w:bCs/>
              <w:color w:val="0F243E"/>
              <w:sz w:val="20"/>
              <w:lang w:val="fr-CH" w:eastAsia="en-GB"/>
            </w:rPr>
            <w:t xml:space="preserve"> Office</w:t>
          </w:r>
          <w:r>
            <w:rPr>
              <w:rFonts w:asciiTheme="minorHAnsi" w:hAnsiTheme="minorHAnsi" w:cs="Times New Roman"/>
              <w:b/>
              <w:bCs/>
              <w:color w:val="0F243E"/>
              <w:sz w:val="20"/>
              <w:rtl/>
              <w:lang w:val="fr-CH" w:eastAsia="en-GB"/>
            </w:rPr>
            <w:t>،</w:t>
          </w:r>
          <w:r>
            <w:rPr>
              <w:rFonts w:asciiTheme="minorHAnsi" w:hAnsiTheme="minorHAnsi" w:cs="Times New Roman"/>
              <w:b/>
              <w:bCs/>
              <w:color w:val="0F243E"/>
              <w:sz w:val="20"/>
              <w:lang w:val="fr-CH" w:eastAsia="en-GB"/>
            </w:rPr>
            <w:t xml:space="preserve"> </w:t>
          </w:r>
          <w:r>
            <w:rPr>
              <w:rFonts w:asciiTheme="minorHAnsi" w:hAnsiTheme="minorHAnsi" w:cs="Times New Roman"/>
              <w:color w:val="0F243E"/>
              <w:sz w:val="20"/>
              <w:lang w:val="en-GB" w:eastAsia="en-GB"/>
            </w:rPr>
            <w:t>P.O. Box : 3139</w:t>
          </w:r>
          <w:r>
            <w:rPr>
              <w:rFonts w:asciiTheme="minorHAnsi" w:hAnsiTheme="minorHAnsi" w:cs="Times New Roman"/>
              <w:color w:val="0F243E"/>
              <w:sz w:val="20"/>
              <w:rtl/>
              <w:lang w:val="en-GB" w:eastAsia="en-GB"/>
            </w:rPr>
            <w:t>،</w:t>
          </w:r>
          <w:r>
            <w:rPr>
              <w:rFonts w:asciiTheme="minorHAnsi" w:hAnsiTheme="minorHAnsi" w:cs="Times New Roman"/>
              <w:color w:val="0F243E"/>
              <w:sz w:val="20"/>
              <w:lang w:val="en-GB" w:eastAsia="en-GB"/>
            </w:rPr>
            <w:t xml:space="preserve"> General Post Office</w:t>
          </w:r>
          <w:r>
            <w:rPr>
              <w:rFonts w:asciiTheme="minorHAnsi" w:hAnsiTheme="minorHAnsi" w:cs="Times New Roman"/>
              <w:color w:val="0F243E"/>
              <w:sz w:val="20"/>
              <w:rtl/>
              <w:lang w:val="en-GB" w:eastAsia="en-GB"/>
            </w:rPr>
            <w:t>،</w:t>
          </w:r>
          <w:r>
            <w:rPr>
              <w:rFonts w:asciiTheme="minorHAnsi" w:hAnsiTheme="minorHAnsi" w:cs="Times New Roman"/>
              <w:color w:val="0F243E"/>
              <w:sz w:val="20"/>
              <w:lang w:val="en-GB" w:eastAsia="en-GB"/>
            </w:rPr>
            <w:t xml:space="preserve"> Algiers Square</w:t>
          </w:r>
          <w:r>
            <w:rPr>
              <w:rFonts w:asciiTheme="minorHAnsi" w:hAnsiTheme="minorHAnsi" w:cs="Times New Roman"/>
              <w:color w:val="0F243E"/>
              <w:sz w:val="20"/>
              <w:rtl/>
              <w:lang w:val="en-GB" w:eastAsia="en-GB"/>
            </w:rPr>
            <w:t>،</w:t>
          </w:r>
          <w:r>
            <w:rPr>
              <w:rFonts w:asciiTheme="minorHAnsi" w:hAnsiTheme="minorHAnsi" w:cs="Times New Roman"/>
              <w:color w:val="0F243E"/>
              <w:sz w:val="20"/>
              <w:lang w:val="en-GB" w:eastAsia="en-GB"/>
            </w:rPr>
            <w:t xml:space="preserve"> Tripoli</w:t>
          </w:r>
          <w:r w:rsidRPr="000B4AD7">
            <w:rPr>
              <w:rFonts w:asciiTheme="minorHAnsi" w:hAnsiTheme="minorHAnsi" w:cs="Times New Roman"/>
              <w:color w:val="0F243E"/>
              <w:sz w:val="20"/>
              <w:lang w:val="en-GB" w:eastAsia="en-GB"/>
            </w:rPr>
            <w:t>/Libya</w:t>
          </w:r>
          <w:r>
            <w:rPr>
              <w:rFonts w:asciiTheme="minorHAnsi" w:hAnsiTheme="minorHAnsi" w:cs="Times New Roman"/>
              <w:color w:val="0F243E"/>
              <w:sz w:val="20"/>
              <w:rtl/>
              <w:lang w:val="en-GB" w:eastAsia="en-GB"/>
            </w:rPr>
            <w:t>،</w:t>
          </w:r>
          <w:r>
            <w:rPr>
              <w:rFonts w:asciiTheme="minorHAnsi" w:hAnsiTheme="minorHAnsi" w:cs="Times New Roman"/>
              <w:color w:val="0F243E"/>
              <w:sz w:val="20"/>
              <w:lang w:val="en-GB" w:eastAsia="en-GB"/>
            </w:rPr>
            <w:t xml:space="preserve"> </w:t>
          </w:r>
          <w:r w:rsidRPr="005D6F17">
            <w:rPr>
              <w:rFonts w:asciiTheme="minorHAnsi" w:hAnsiTheme="minorHAnsi"/>
              <w:color w:val="0F243E"/>
              <w:sz w:val="20"/>
              <w:lang w:val="en-GB" w:bidi="ar-LY"/>
            </w:rPr>
            <w:t>T</w:t>
          </w:r>
          <w:r w:rsidRPr="005D6F17">
            <w:rPr>
              <w:rFonts w:asciiTheme="minorHAnsi" w:hAnsiTheme="minorHAnsi" w:cs="Times New Roman"/>
              <w:color w:val="0F243E"/>
              <w:sz w:val="20"/>
              <w:lang w:val="en-GB" w:eastAsia="en-GB"/>
            </w:rPr>
            <w:t>el</w:t>
          </w:r>
          <w:r>
            <w:rPr>
              <w:rFonts w:asciiTheme="minorHAnsi" w:hAnsiTheme="minorHAnsi" w:cs="Times New Roman"/>
              <w:color w:val="0F243E"/>
              <w:sz w:val="20"/>
              <w:lang w:val="en-GB" w:eastAsia="en-GB"/>
            </w:rPr>
            <w:t xml:space="preserve"> </w:t>
          </w:r>
          <w:r w:rsidRPr="005D6F17">
            <w:rPr>
              <w:rFonts w:asciiTheme="minorHAnsi" w:hAnsiTheme="minorHAnsi" w:cs="Times New Roman"/>
              <w:color w:val="0F243E"/>
              <w:sz w:val="20"/>
              <w:lang w:val="en-GB" w:eastAsia="en-GB"/>
            </w:rPr>
            <w:t xml:space="preserve">: </w:t>
          </w:r>
          <w:r w:rsidRPr="000B4AD7">
            <w:rPr>
              <w:rFonts w:asciiTheme="minorHAnsi" w:eastAsiaTheme="minorEastAsia" w:hAnsiTheme="minorHAnsi"/>
              <w:noProof/>
              <w:color w:val="17365D"/>
              <w:sz w:val="20"/>
              <w:lang w:val="en-GB" w:eastAsia="de-CH"/>
            </w:rPr>
            <w:t>+218926974971</w:t>
          </w:r>
        </w:p>
        <w:p w14:paraId="0C78766B" w14:textId="77777777" w:rsidR="001B4FF6" w:rsidRDefault="001B4FF6" w:rsidP="00047C60">
          <w:pPr>
            <w:pStyle w:val="Footer"/>
            <w:jc w:val="center"/>
            <w:rPr>
              <w:rFonts w:asciiTheme="minorHAnsi" w:hAnsiTheme="minorHAnsi" w:cs="Times New Roman"/>
              <w:color w:val="0F243E"/>
              <w:sz w:val="20"/>
              <w:lang w:val="fr-CH" w:eastAsia="en-GB"/>
            </w:rPr>
          </w:pPr>
          <w:hyperlink r:id="rId1" w:history="1">
            <w:r w:rsidRPr="000B4AD7">
              <w:rPr>
                <w:rStyle w:val="Hyperlink"/>
                <w:rFonts w:asciiTheme="minorHAnsi" w:hAnsiTheme="minorHAnsi" w:cs="Times New Roman"/>
                <w:sz w:val="20"/>
                <w:lang w:val="fr-CH" w:eastAsia="en-GB"/>
              </w:rPr>
              <w:t>info@hrsly.org</w:t>
            </w:r>
          </w:hyperlink>
          <w:r w:rsidRPr="005D6F17">
            <w:rPr>
              <w:rStyle w:val="Hyperlink"/>
              <w:rFonts w:asciiTheme="minorHAnsi" w:hAnsiTheme="minorHAnsi" w:cs="Times New Roman"/>
              <w:color w:val="auto"/>
              <w:sz w:val="20"/>
              <w:u w:val="none"/>
              <w:lang w:val="fr-CH" w:eastAsia="en-GB"/>
            </w:rPr>
            <w:t xml:space="preserve"> | Fax : </w:t>
          </w:r>
          <w:r w:rsidRPr="000B4AD7">
            <w:rPr>
              <w:rFonts w:asciiTheme="minorHAnsi" w:hAnsiTheme="minorHAnsi" w:cs="Times New Roman"/>
              <w:color w:val="0F243E"/>
              <w:sz w:val="20"/>
              <w:lang w:val="fr-CH" w:eastAsia="en-GB"/>
            </w:rPr>
            <w:t>+41 22 594 88 84</w:t>
          </w:r>
        </w:p>
        <w:p w14:paraId="0463A4C4" w14:textId="77777777" w:rsidR="001B4FF6" w:rsidRPr="000B4AD7" w:rsidRDefault="001B4FF6" w:rsidP="00047C60">
          <w:pPr>
            <w:pStyle w:val="Footer"/>
            <w:bidi/>
            <w:jc w:val="center"/>
            <w:rPr>
              <w:rFonts w:asciiTheme="minorHAnsi" w:hAnsiTheme="minorHAnsi" w:cs="Times New Roman"/>
              <w:b/>
              <w:bCs/>
              <w:color w:val="0F243E"/>
              <w:sz w:val="20"/>
              <w:rtl/>
              <w:lang w:val="fr-CH" w:eastAsia="en-GB"/>
            </w:rPr>
          </w:pPr>
          <w:r w:rsidRPr="00855595">
            <w:rPr>
              <w:rFonts w:ascii="Tahoma" w:hAnsi="Tahoma" w:cs="Tahoma" w:hint="cs"/>
              <w:sz w:val="16"/>
              <w:szCs w:val="16"/>
              <w:rtl/>
              <w:lang w:val="en-GB" w:bidi="ar-LY"/>
            </w:rPr>
            <w:t>منظمة التضامن لحقوق الإنسان مسجلة كمنظمة محلية غير حكومية في ليبيا تحت رقم قيد (</w:t>
          </w:r>
          <w:r w:rsidRPr="00855595">
            <w:rPr>
              <w:rFonts w:ascii="Tahoma" w:hAnsi="Tahoma" w:cs="Tahoma"/>
              <w:sz w:val="16"/>
              <w:szCs w:val="16"/>
              <w:lang w:bidi="ar-LY"/>
            </w:rPr>
            <w:t>20160327-01-589</w:t>
          </w:r>
          <w:r w:rsidRPr="00855595">
            <w:rPr>
              <w:rFonts w:ascii="Tahoma" w:hAnsi="Tahoma" w:cs="Tahoma" w:hint="cs"/>
              <w:sz w:val="16"/>
              <w:szCs w:val="16"/>
              <w:rtl/>
              <w:lang w:val="en-GB" w:bidi="ar-LY"/>
            </w:rPr>
            <w:t>)</w:t>
          </w:r>
        </w:p>
      </w:tc>
    </w:tr>
  </w:tbl>
  <w:p w14:paraId="169EF08F" w14:textId="77777777" w:rsidR="001B4FF6" w:rsidRPr="001F4347" w:rsidRDefault="001B4FF6" w:rsidP="00047C60">
    <w:pPr>
      <w:pStyle w:val="Footer"/>
      <w:bidi/>
      <w:rPr>
        <w:rtl/>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C6477" w14:textId="77777777" w:rsidR="004D0740" w:rsidRDefault="004D0740">
      <w:pPr>
        <w:spacing w:after="0"/>
      </w:pPr>
      <w:r>
        <w:separator/>
      </w:r>
    </w:p>
  </w:footnote>
  <w:footnote w:type="continuationSeparator" w:id="0">
    <w:p w14:paraId="527FB216" w14:textId="77777777" w:rsidR="004D0740" w:rsidRDefault="004D07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1B4FF6" w14:paraId="20A63B81" w14:textId="77777777" w:rsidTr="004E71B0">
      <w:tc>
        <w:tcPr>
          <w:tcW w:w="9288" w:type="dxa"/>
        </w:tcPr>
        <w:p w14:paraId="272A6660" w14:textId="77777777" w:rsidR="001B4FF6" w:rsidRDefault="001B4FF6" w:rsidP="00FC0BAB">
          <w:pPr>
            <w:pStyle w:val="Header"/>
            <w:jc w:val="center"/>
            <w:rPr>
              <w:color w:val="244061" w:themeColor="accent1" w:themeShade="80"/>
            </w:rPr>
          </w:pPr>
          <w:r w:rsidRPr="00A718F9">
            <w:rPr>
              <w:noProof/>
              <w:rtl/>
              <w:lang w:val="en-GB" w:eastAsia="en-GB"/>
            </w:rPr>
            <w:drawing>
              <wp:inline distT="0" distB="0" distL="0" distR="0" wp14:anchorId="63EF8964" wp14:editId="7776C067">
                <wp:extent cx="2131200" cy="687600"/>
                <wp:effectExtent l="0" t="0" r="2540" b="0"/>
                <wp:docPr id="4" name="Picture 4" descr="C:\Users\MY-NAME\Documents\HRS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NAME\Documents\HRS 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200" cy="687600"/>
                        </a:xfrm>
                        <a:prstGeom prst="rect">
                          <a:avLst/>
                        </a:prstGeom>
                        <a:noFill/>
                        <a:ln>
                          <a:noFill/>
                        </a:ln>
                      </pic:spPr>
                    </pic:pic>
                  </a:graphicData>
                </a:graphic>
              </wp:inline>
            </w:drawing>
          </w:r>
        </w:p>
      </w:tc>
    </w:tr>
  </w:tbl>
  <w:p w14:paraId="24459A68" w14:textId="77777777" w:rsidR="001B4FF6" w:rsidRPr="00CE534D" w:rsidRDefault="001B4FF6">
    <w:pPr>
      <w:pStyle w:val="Header"/>
      <w:rPr>
        <w:color w:val="244061" w:themeColor="accent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487C"/>
    <w:multiLevelType w:val="hybridMultilevel"/>
    <w:tmpl w:val="B94E834C"/>
    <w:lvl w:ilvl="0" w:tplc="EEBA0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567C6"/>
    <w:multiLevelType w:val="hybridMultilevel"/>
    <w:tmpl w:val="B0427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AD5D7A"/>
    <w:multiLevelType w:val="hybridMultilevel"/>
    <w:tmpl w:val="9CC268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573AB"/>
    <w:multiLevelType w:val="multilevel"/>
    <w:tmpl w:val="9EF239C8"/>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BBC22EA"/>
    <w:multiLevelType w:val="hybridMultilevel"/>
    <w:tmpl w:val="D5FA9182"/>
    <w:lvl w:ilvl="0" w:tplc="04090015">
      <w:start w:val="1"/>
      <w:numFmt w:val="upperLetter"/>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E2B17BB"/>
    <w:multiLevelType w:val="hybridMultilevel"/>
    <w:tmpl w:val="5094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8E5D62"/>
    <w:multiLevelType w:val="hybridMultilevel"/>
    <w:tmpl w:val="8A9AA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BA39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C829F3"/>
    <w:multiLevelType w:val="hybridMultilevel"/>
    <w:tmpl w:val="3872B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D5521B"/>
    <w:multiLevelType w:val="hybridMultilevel"/>
    <w:tmpl w:val="02C48C24"/>
    <w:lvl w:ilvl="0" w:tplc="EEBA02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5"/>
  </w:num>
  <w:num w:numId="5">
    <w:abstractNumId w:val="7"/>
  </w:num>
  <w:num w:numId="6">
    <w:abstractNumId w:val="9"/>
  </w:num>
  <w:num w:numId="7">
    <w:abstractNumId w:val="4"/>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56"/>
    <w:rsid w:val="000000AE"/>
    <w:rsid w:val="00004D26"/>
    <w:rsid w:val="000055B7"/>
    <w:rsid w:val="000079B1"/>
    <w:rsid w:val="00013AFC"/>
    <w:rsid w:val="00013E2B"/>
    <w:rsid w:val="000146C5"/>
    <w:rsid w:val="00016589"/>
    <w:rsid w:val="000248A7"/>
    <w:rsid w:val="000248CC"/>
    <w:rsid w:val="000276FF"/>
    <w:rsid w:val="0003373D"/>
    <w:rsid w:val="00034378"/>
    <w:rsid w:val="000366FF"/>
    <w:rsid w:val="00043B36"/>
    <w:rsid w:val="00044F76"/>
    <w:rsid w:val="00047C60"/>
    <w:rsid w:val="000522B4"/>
    <w:rsid w:val="00054263"/>
    <w:rsid w:val="000553D0"/>
    <w:rsid w:val="00056C65"/>
    <w:rsid w:val="000713A4"/>
    <w:rsid w:val="0007255F"/>
    <w:rsid w:val="000725CB"/>
    <w:rsid w:val="00077E69"/>
    <w:rsid w:val="00080698"/>
    <w:rsid w:val="000807DA"/>
    <w:rsid w:val="00093BF2"/>
    <w:rsid w:val="000A098C"/>
    <w:rsid w:val="000A6014"/>
    <w:rsid w:val="000B2FF8"/>
    <w:rsid w:val="000B4AD7"/>
    <w:rsid w:val="000D18C6"/>
    <w:rsid w:val="000E1532"/>
    <w:rsid w:val="000E1907"/>
    <w:rsid w:val="000E4791"/>
    <w:rsid w:val="000F01A3"/>
    <w:rsid w:val="000F3BB0"/>
    <w:rsid w:val="000F47A0"/>
    <w:rsid w:val="000F67B2"/>
    <w:rsid w:val="00102545"/>
    <w:rsid w:val="00105907"/>
    <w:rsid w:val="00106527"/>
    <w:rsid w:val="001111C9"/>
    <w:rsid w:val="00114A39"/>
    <w:rsid w:val="00117F90"/>
    <w:rsid w:val="00121C7D"/>
    <w:rsid w:val="001251A4"/>
    <w:rsid w:val="001259F0"/>
    <w:rsid w:val="00125A50"/>
    <w:rsid w:val="00125C79"/>
    <w:rsid w:val="00130387"/>
    <w:rsid w:val="00135983"/>
    <w:rsid w:val="001371EC"/>
    <w:rsid w:val="00140271"/>
    <w:rsid w:val="00144ADE"/>
    <w:rsid w:val="00146CF1"/>
    <w:rsid w:val="00153356"/>
    <w:rsid w:val="00161F61"/>
    <w:rsid w:val="00162B11"/>
    <w:rsid w:val="00163583"/>
    <w:rsid w:val="0017249A"/>
    <w:rsid w:val="00173063"/>
    <w:rsid w:val="00174B65"/>
    <w:rsid w:val="00175A95"/>
    <w:rsid w:val="001779BB"/>
    <w:rsid w:val="00184D4B"/>
    <w:rsid w:val="00187FBA"/>
    <w:rsid w:val="0019182D"/>
    <w:rsid w:val="00193588"/>
    <w:rsid w:val="00193A4E"/>
    <w:rsid w:val="001957ED"/>
    <w:rsid w:val="001A02C9"/>
    <w:rsid w:val="001A0D8B"/>
    <w:rsid w:val="001A1BB2"/>
    <w:rsid w:val="001A4F41"/>
    <w:rsid w:val="001A4FE8"/>
    <w:rsid w:val="001A545C"/>
    <w:rsid w:val="001B4FF6"/>
    <w:rsid w:val="001B68A3"/>
    <w:rsid w:val="001C05EB"/>
    <w:rsid w:val="001C1667"/>
    <w:rsid w:val="001C5F6B"/>
    <w:rsid w:val="001D0094"/>
    <w:rsid w:val="001D7991"/>
    <w:rsid w:val="001E4477"/>
    <w:rsid w:val="001E5413"/>
    <w:rsid w:val="001E7C05"/>
    <w:rsid w:val="001F0B96"/>
    <w:rsid w:val="001F4347"/>
    <w:rsid w:val="001F4CF7"/>
    <w:rsid w:val="00200CF1"/>
    <w:rsid w:val="00207465"/>
    <w:rsid w:val="00207C21"/>
    <w:rsid w:val="00210E9B"/>
    <w:rsid w:val="00212C2B"/>
    <w:rsid w:val="00215FED"/>
    <w:rsid w:val="00216678"/>
    <w:rsid w:val="00224318"/>
    <w:rsid w:val="00230A70"/>
    <w:rsid w:val="0023318A"/>
    <w:rsid w:val="00234258"/>
    <w:rsid w:val="00234BD2"/>
    <w:rsid w:val="0023594B"/>
    <w:rsid w:val="00236590"/>
    <w:rsid w:val="00236A2F"/>
    <w:rsid w:val="00242FDD"/>
    <w:rsid w:val="00244D88"/>
    <w:rsid w:val="002514B4"/>
    <w:rsid w:val="002536A2"/>
    <w:rsid w:val="00253817"/>
    <w:rsid w:val="00264A36"/>
    <w:rsid w:val="0027386D"/>
    <w:rsid w:val="00280652"/>
    <w:rsid w:val="002849D8"/>
    <w:rsid w:val="00285A3C"/>
    <w:rsid w:val="0029047E"/>
    <w:rsid w:val="00293088"/>
    <w:rsid w:val="0029496D"/>
    <w:rsid w:val="00294E2A"/>
    <w:rsid w:val="002A25E0"/>
    <w:rsid w:val="002A5A4C"/>
    <w:rsid w:val="002A6256"/>
    <w:rsid w:val="002A7C54"/>
    <w:rsid w:val="002A7DF6"/>
    <w:rsid w:val="002B3F40"/>
    <w:rsid w:val="002B654B"/>
    <w:rsid w:val="002C11C1"/>
    <w:rsid w:val="002C3A22"/>
    <w:rsid w:val="002C3DF3"/>
    <w:rsid w:val="002D4843"/>
    <w:rsid w:val="002D5F1C"/>
    <w:rsid w:val="002D77D2"/>
    <w:rsid w:val="002E331F"/>
    <w:rsid w:val="002F7B49"/>
    <w:rsid w:val="0030210C"/>
    <w:rsid w:val="00302621"/>
    <w:rsid w:val="00304F24"/>
    <w:rsid w:val="0030655A"/>
    <w:rsid w:val="00307082"/>
    <w:rsid w:val="003106C8"/>
    <w:rsid w:val="00310A83"/>
    <w:rsid w:val="00311708"/>
    <w:rsid w:val="00312524"/>
    <w:rsid w:val="003168C2"/>
    <w:rsid w:val="0032401A"/>
    <w:rsid w:val="0032478B"/>
    <w:rsid w:val="003248D5"/>
    <w:rsid w:val="00327F90"/>
    <w:rsid w:val="00327FCD"/>
    <w:rsid w:val="00331AFA"/>
    <w:rsid w:val="00335520"/>
    <w:rsid w:val="00335A2E"/>
    <w:rsid w:val="00337089"/>
    <w:rsid w:val="00337A4E"/>
    <w:rsid w:val="00341BCF"/>
    <w:rsid w:val="003427EF"/>
    <w:rsid w:val="00353D4C"/>
    <w:rsid w:val="00357952"/>
    <w:rsid w:val="00360896"/>
    <w:rsid w:val="00362D58"/>
    <w:rsid w:val="00363909"/>
    <w:rsid w:val="0036549B"/>
    <w:rsid w:val="00374439"/>
    <w:rsid w:val="00375AA6"/>
    <w:rsid w:val="00377515"/>
    <w:rsid w:val="00380D55"/>
    <w:rsid w:val="00385672"/>
    <w:rsid w:val="00390666"/>
    <w:rsid w:val="00391ACF"/>
    <w:rsid w:val="00391BFF"/>
    <w:rsid w:val="00397920"/>
    <w:rsid w:val="00397FAE"/>
    <w:rsid w:val="003B05A9"/>
    <w:rsid w:val="003B313B"/>
    <w:rsid w:val="003B3717"/>
    <w:rsid w:val="003B5C89"/>
    <w:rsid w:val="003B5DD3"/>
    <w:rsid w:val="003B6118"/>
    <w:rsid w:val="003B6A39"/>
    <w:rsid w:val="003B7E6F"/>
    <w:rsid w:val="003C0801"/>
    <w:rsid w:val="003C73B6"/>
    <w:rsid w:val="003D6CDA"/>
    <w:rsid w:val="003E0867"/>
    <w:rsid w:val="003E292D"/>
    <w:rsid w:val="003E35E8"/>
    <w:rsid w:val="003E58CD"/>
    <w:rsid w:val="003F3CBB"/>
    <w:rsid w:val="00400077"/>
    <w:rsid w:val="00400B4E"/>
    <w:rsid w:val="004041BB"/>
    <w:rsid w:val="004043CB"/>
    <w:rsid w:val="00406678"/>
    <w:rsid w:val="00406710"/>
    <w:rsid w:val="00407472"/>
    <w:rsid w:val="004107B2"/>
    <w:rsid w:val="00415464"/>
    <w:rsid w:val="00420590"/>
    <w:rsid w:val="00427FEC"/>
    <w:rsid w:val="00435534"/>
    <w:rsid w:val="0044316D"/>
    <w:rsid w:val="00443B24"/>
    <w:rsid w:val="00444002"/>
    <w:rsid w:val="004452BC"/>
    <w:rsid w:val="00452433"/>
    <w:rsid w:val="004547E7"/>
    <w:rsid w:val="00455B57"/>
    <w:rsid w:val="00466414"/>
    <w:rsid w:val="00473586"/>
    <w:rsid w:val="004815E8"/>
    <w:rsid w:val="004838AB"/>
    <w:rsid w:val="004848CE"/>
    <w:rsid w:val="004855A0"/>
    <w:rsid w:val="004864AE"/>
    <w:rsid w:val="0049184E"/>
    <w:rsid w:val="00492D35"/>
    <w:rsid w:val="0049305A"/>
    <w:rsid w:val="004950DA"/>
    <w:rsid w:val="004A099D"/>
    <w:rsid w:val="004A0AB3"/>
    <w:rsid w:val="004A147E"/>
    <w:rsid w:val="004A2ED3"/>
    <w:rsid w:val="004A6442"/>
    <w:rsid w:val="004B0683"/>
    <w:rsid w:val="004B4FF1"/>
    <w:rsid w:val="004B5393"/>
    <w:rsid w:val="004B546A"/>
    <w:rsid w:val="004C1B1F"/>
    <w:rsid w:val="004C5595"/>
    <w:rsid w:val="004D0740"/>
    <w:rsid w:val="004D3CFC"/>
    <w:rsid w:val="004D7A56"/>
    <w:rsid w:val="004D7AAF"/>
    <w:rsid w:val="004E0819"/>
    <w:rsid w:val="004E216A"/>
    <w:rsid w:val="004E3630"/>
    <w:rsid w:val="004E52BB"/>
    <w:rsid w:val="004E71B0"/>
    <w:rsid w:val="004F5CB0"/>
    <w:rsid w:val="004F6604"/>
    <w:rsid w:val="004F6C3F"/>
    <w:rsid w:val="00500555"/>
    <w:rsid w:val="00500D40"/>
    <w:rsid w:val="00506D20"/>
    <w:rsid w:val="005105BA"/>
    <w:rsid w:val="00512616"/>
    <w:rsid w:val="0051515A"/>
    <w:rsid w:val="005151A3"/>
    <w:rsid w:val="005154AC"/>
    <w:rsid w:val="00531558"/>
    <w:rsid w:val="00533180"/>
    <w:rsid w:val="005335BA"/>
    <w:rsid w:val="00534163"/>
    <w:rsid w:val="00534EA8"/>
    <w:rsid w:val="005359CE"/>
    <w:rsid w:val="005360CA"/>
    <w:rsid w:val="00542EAE"/>
    <w:rsid w:val="0054394A"/>
    <w:rsid w:val="0054456E"/>
    <w:rsid w:val="00545CD6"/>
    <w:rsid w:val="00546118"/>
    <w:rsid w:val="00551C3C"/>
    <w:rsid w:val="005530ED"/>
    <w:rsid w:val="00554291"/>
    <w:rsid w:val="005542DB"/>
    <w:rsid w:val="00556D4E"/>
    <w:rsid w:val="00560525"/>
    <w:rsid w:val="00560587"/>
    <w:rsid w:val="00560904"/>
    <w:rsid w:val="005613DC"/>
    <w:rsid w:val="005633A0"/>
    <w:rsid w:val="00567A36"/>
    <w:rsid w:val="00567DEF"/>
    <w:rsid w:val="00572A6D"/>
    <w:rsid w:val="0057369D"/>
    <w:rsid w:val="00573B42"/>
    <w:rsid w:val="0057567B"/>
    <w:rsid w:val="00580343"/>
    <w:rsid w:val="00582EE7"/>
    <w:rsid w:val="005831F2"/>
    <w:rsid w:val="00587185"/>
    <w:rsid w:val="0058793D"/>
    <w:rsid w:val="00590F36"/>
    <w:rsid w:val="005A1B8B"/>
    <w:rsid w:val="005A1B9B"/>
    <w:rsid w:val="005A2BE4"/>
    <w:rsid w:val="005A5E58"/>
    <w:rsid w:val="005A5F49"/>
    <w:rsid w:val="005B1504"/>
    <w:rsid w:val="005B6ED5"/>
    <w:rsid w:val="005B720D"/>
    <w:rsid w:val="005B7A82"/>
    <w:rsid w:val="005B7D0F"/>
    <w:rsid w:val="005C3871"/>
    <w:rsid w:val="005D0C4F"/>
    <w:rsid w:val="005D0F6C"/>
    <w:rsid w:val="005D1707"/>
    <w:rsid w:val="005D24AA"/>
    <w:rsid w:val="005D5599"/>
    <w:rsid w:val="005E39F4"/>
    <w:rsid w:val="005E7350"/>
    <w:rsid w:val="005E7F2D"/>
    <w:rsid w:val="00602EE1"/>
    <w:rsid w:val="006078A6"/>
    <w:rsid w:val="006144B5"/>
    <w:rsid w:val="00617538"/>
    <w:rsid w:val="00617B85"/>
    <w:rsid w:val="0062013B"/>
    <w:rsid w:val="00625844"/>
    <w:rsid w:val="00625A48"/>
    <w:rsid w:val="0062684F"/>
    <w:rsid w:val="00631F6E"/>
    <w:rsid w:val="006323DD"/>
    <w:rsid w:val="00633DF6"/>
    <w:rsid w:val="006354B8"/>
    <w:rsid w:val="00636880"/>
    <w:rsid w:val="00643D34"/>
    <w:rsid w:val="00646288"/>
    <w:rsid w:val="006466C7"/>
    <w:rsid w:val="00652FC8"/>
    <w:rsid w:val="00654FAB"/>
    <w:rsid w:val="00655FA3"/>
    <w:rsid w:val="006575DC"/>
    <w:rsid w:val="00662827"/>
    <w:rsid w:val="00663222"/>
    <w:rsid w:val="006722CE"/>
    <w:rsid w:val="00675E2C"/>
    <w:rsid w:val="0068779A"/>
    <w:rsid w:val="00687ABD"/>
    <w:rsid w:val="00695298"/>
    <w:rsid w:val="006A44A5"/>
    <w:rsid w:val="006A4A39"/>
    <w:rsid w:val="006A752D"/>
    <w:rsid w:val="006A7917"/>
    <w:rsid w:val="006B27A2"/>
    <w:rsid w:val="006B3584"/>
    <w:rsid w:val="006B45C3"/>
    <w:rsid w:val="006B4AB9"/>
    <w:rsid w:val="006C1DDF"/>
    <w:rsid w:val="006C220A"/>
    <w:rsid w:val="006C40F7"/>
    <w:rsid w:val="006D020D"/>
    <w:rsid w:val="006D04CD"/>
    <w:rsid w:val="006D0DB4"/>
    <w:rsid w:val="006D12BF"/>
    <w:rsid w:val="006D2334"/>
    <w:rsid w:val="006D2E10"/>
    <w:rsid w:val="006D438B"/>
    <w:rsid w:val="006D56F9"/>
    <w:rsid w:val="006D592F"/>
    <w:rsid w:val="006D6E67"/>
    <w:rsid w:val="006E26DE"/>
    <w:rsid w:val="006E5AEE"/>
    <w:rsid w:val="006E5B75"/>
    <w:rsid w:val="006E7C00"/>
    <w:rsid w:val="006F21F1"/>
    <w:rsid w:val="006F31D3"/>
    <w:rsid w:val="006F4A6E"/>
    <w:rsid w:val="006F5B05"/>
    <w:rsid w:val="006F6018"/>
    <w:rsid w:val="00700C9C"/>
    <w:rsid w:val="0070393F"/>
    <w:rsid w:val="00703C73"/>
    <w:rsid w:val="00711C98"/>
    <w:rsid w:val="00715BBA"/>
    <w:rsid w:val="007214E6"/>
    <w:rsid w:val="00721941"/>
    <w:rsid w:val="00722882"/>
    <w:rsid w:val="00724856"/>
    <w:rsid w:val="00725C1A"/>
    <w:rsid w:val="00730001"/>
    <w:rsid w:val="007324E5"/>
    <w:rsid w:val="00732D3A"/>
    <w:rsid w:val="00736259"/>
    <w:rsid w:val="00740885"/>
    <w:rsid w:val="007421C9"/>
    <w:rsid w:val="00743EFA"/>
    <w:rsid w:val="007456D2"/>
    <w:rsid w:val="0075203D"/>
    <w:rsid w:val="00752169"/>
    <w:rsid w:val="0075325D"/>
    <w:rsid w:val="0075657C"/>
    <w:rsid w:val="00756E46"/>
    <w:rsid w:val="00757858"/>
    <w:rsid w:val="00757D9B"/>
    <w:rsid w:val="0076495D"/>
    <w:rsid w:val="007653E1"/>
    <w:rsid w:val="00766076"/>
    <w:rsid w:val="00775E30"/>
    <w:rsid w:val="007841BB"/>
    <w:rsid w:val="007846CD"/>
    <w:rsid w:val="00784F8E"/>
    <w:rsid w:val="00787F06"/>
    <w:rsid w:val="007913BB"/>
    <w:rsid w:val="00797C49"/>
    <w:rsid w:val="007A527F"/>
    <w:rsid w:val="007A7FB0"/>
    <w:rsid w:val="007C00A5"/>
    <w:rsid w:val="007C7306"/>
    <w:rsid w:val="007D0521"/>
    <w:rsid w:val="007D686E"/>
    <w:rsid w:val="007E0901"/>
    <w:rsid w:val="007E2A45"/>
    <w:rsid w:val="007E7776"/>
    <w:rsid w:val="007F0680"/>
    <w:rsid w:val="007F074F"/>
    <w:rsid w:val="007F1200"/>
    <w:rsid w:val="007F398B"/>
    <w:rsid w:val="008075E8"/>
    <w:rsid w:val="0081010B"/>
    <w:rsid w:val="008147DF"/>
    <w:rsid w:val="00814DC1"/>
    <w:rsid w:val="00816CE3"/>
    <w:rsid w:val="00820EFE"/>
    <w:rsid w:val="00823321"/>
    <w:rsid w:val="0082390E"/>
    <w:rsid w:val="00827426"/>
    <w:rsid w:val="008276BF"/>
    <w:rsid w:val="00830E6D"/>
    <w:rsid w:val="008354DA"/>
    <w:rsid w:val="00840221"/>
    <w:rsid w:val="00841105"/>
    <w:rsid w:val="00857005"/>
    <w:rsid w:val="00866592"/>
    <w:rsid w:val="008722AC"/>
    <w:rsid w:val="00872EC6"/>
    <w:rsid w:val="0087335E"/>
    <w:rsid w:val="008837DB"/>
    <w:rsid w:val="00885D3E"/>
    <w:rsid w:val="0088620D"/>
    <w:rsid w:val="00896A82"/>
    <w:rsid w:val="008A0BEB"/>
    <w:rsid w:val="008A5CB3"/>
    <w:rsid w:val="008B47BB"/>
    <w:rsid w:val="008B644E"/>
    <w:rsid w:val="008B741E"/>
    <w:rsid w:val="008C7F1A"/>
    <w:rsid w:val="008D12C0"/>
    <w:rsid w:val="008D25FA"/>
    <w:rsid w:val="008D2981"/>
    <w:rsid w:val="008F0598"/>
    <w:rsid w:val="008F14C4"/>
    <w:rsid w:val="009011C7"/>
    <w:rsid w:val="009016A1"/>
    <w:rsid w:val="00916594"/>
    <w:rsid w:val="00920C85"/>
    <w:rsid w:val="00931642"/>
    <w:rsid w:val="00931DE0"/>
    <w:rsid w:val="00933B10"/>
    <w:rsid w:val="00937482"/>
    <w:rsid w:val="009409FE"/>
    <w:rsid w:val="00950AF9"/>
    <w:rsid w:val="00951F8A"/>
    <w:rsid w:val="00952696"/>
    <w:rsid w:val="00952EEC"/>
    <w:rsid w:val="009567D8"/>
    <w:rsid w:val="0095772E"/>
    <w:rsid w:val="009669B7"/>
    <w:rsid w:val="00970C6F"/>
    <w:rsid w:val="00971A5C"/>
    <w:rsid w:val="009726AE"/>
    <w:rsid w:val="009736D1"/>
    <w:rsid w:val="0097628D"/>
    <w:rsid w:val="00977640"/>
    <w:rsid w:val="009820DD"/>
    <w:rsid w:val="009924F1"/>
    <w:rsid w:val="00996A95"/>
    <w:rsid w:val="009A1EB4"/>
    <w:rsid w:val="009A4E1C"/>
    <w:rsid w:val="009B4B76"/>
    <w:rsid w:val="009B4B9E"/>
    <w:rsid w:val="009C4D93"/>
    <w:rsid w:val="009C68CD"/>
    <w:rsid w:val="009D18AE"/>
    <w:rsid w:val="009D4404"/>
    <w:rsid w:val="009D5D50"/>
    <w:rsid w:val="009D732A"/>
    <w:rsid w:val="009E01CE"/>
    <w:rsid w:val="009E208D"/>
    <w:rsid w:val="009E6584"/>
    <w:rsid w:val="009F0A32"/>
    <w:rsid w:val="00A00706"/>
    <w:rsid w:val="00A01299"/>
    <w:rsid w:val="00A02C76"/>
    <w:rsid w:val="00A03646"/>
    <w:rsid w:val="00A04150"/>
    <w:rsid w:val="00A10522"/>
    <w:rsid w:val="00A13598"/>
    <w:rsid w:val="00A13F0F"/>
    <w:rsid w:val="00A13FE9"/>
    <w:rsid w:val="00A16869"/>
    <w:rsid w:val="00A17B18"/>
    <w:rsid w:val="00A215E6"/>
    <w:rsid w:val="00A36AC7"/>
    <w:rsid w:val="00A404DD"/>
    <w:rsid w:val="00A40E43"/>
    <w:rsid w:val="00A5150B"/>
    <w:rsid w:val="00A51EF4"/>
    <w:rsid w:val="00A53765"/>
    <w:rsid w:val="00A55544"/>
    <w:rsid w:val="00A60CB7"/>
    <w:rsid w:val="00A66561"/>
    <w:rsid w:val="00A70B46"/>
    <w:rsid w:val="00A71DAC"/>
    <w:rsid w:val="00A7364E"/>
    <w:rsid w:val="00A75D3D"/>
    <w:rsid w:val="00A821F9"/>
    <w:rsid w:val="00A82686"/>
    <w:rsid w:val="00A8721C"/>
    <w:rsid w:val="00A96F7C"/>
    <w:rsid w:val="00AA5DDD"/>
    <w:rsid w:val="00AA6465"/>
    <w:rsid w:val="00AA70F2"/>
    <w:rsid w:val="00AB048D"/>
    <w:rsid w:val="00AB07D8"/>
    <w:rsid w:val="00AB1406"/>
    <w:rsid w:val="00AB28CE"/>
    <w:rsid w:val="00AB458F"/>
    <w:rsid w:val="00AB72C8"/>
    <w:rsid w:val="00AC0308"/>
    <w:rsid w:val="00AC19C8"/>
    <w:rsid w:val="00AC43ED"/>
    <w:rsid w:val="00AE22DF"/>
    <w:rsid w:val="00AE7D20"/>
    <w:rsid w:val="00AF221D"/>
    <w:rsid w:val="00AF6F07"/>
    <w:rsid w:val="00AF7FD1"/>
    <w:rsid w:val="00B0703B"/>
    <w:rsid w:val="00B10356"/>
    <w:rsid w:val="00B151CE"/>
    <w:rsid w:val="00B15C28"/>
    <w:rsid w:val="00B161FB"/>
    <w:rsid w:val="00B21B27"/>
    <w:rsid w:val="00B21C7C"/>
    <w:rsid w:val="00B22278"/>
    <w:rsid w:val="00B22F32"/>
    <w:rsid w:val="00B23909"/>
    <w:rsid w:val="00B23DD3"/>
    <w:rsid w:val="00B24F8F"/>
    <w:rsid w:val="00B26325"/>
    <w:rsid w:val="00B30B09"/>
    <w:rsid w:val="00B3692D"/>
    <w:rsid w:val="00B40079"/>
    <w:rsid w:val="00B424A2"/>
    <w:rsid w:val="00B43BE0"/>
    <w:rsid w:val="00B4549F"/>
    <w:rsid w:val="00B4681F"/>
    <w:rsid w:val="00B53A83"/>
    <w:rsid w:val="00B53C38"/>
    <w:rsid w:val="00B572F1"/>
    <w:rsid w:val="00B6055F"/>
    <w:rsid w:val="00B758A1"/>
    <w:rsid w:val="00B83ADF"/>
    <w:rsid w:val="00B83C77"/>
    <w:rsid w:val="00B8471F"/>
    <w:rsid w:val="00B8618B"/>
    <w:rsid w:val="00B90F64"/>
    <w:rsid w:val="00B93930"/>
    <w:rsid w:val="00B951FA"/>
    <w:rsid w:val="00BA13FC"/>
    <w:rsid w:val="00BA2218"/>
    <w:rsid w:val="00BA26C8"/>
    <w:rsid w:val="00BA33DF"/>
    <w:rsid w:val="00BA353B"/>
    <w:rsid w:val="00BA636D"/>
    <w:rsid w:val="00BA7B0A"/>
    <w:rsid w:val="00BB376A"/>
    <w:rsid w:val="00BB5E6D"/>
    <w:rsid w:val="00BD243B"/>
    <w:rsid w:val="00BD2EC8"/>
    <w:rsid w:val="00BD5194"/>
    <w:rsid w:val="00BD7860"/>
    <w:rsid w:val="00BD7F20"/>
    <w:rsid w:val="00BE09D3"/>
    <w:rsid w:val="00BE1045"/>
    <w:rsid w:val="00BE561B"/>
    <w:rsid w:val="00BE5B0B"/>
    <w:rsid w:val="00BF0C7F"/>
    <w:rsid w:val="00BF0FFB"/>
    <w:rsid w:val="00BF5573"/>
    <w:rsid w:val="00BF7DE6"/>
    <w:rsid w:val="00C078B0"/>
    <w:rsid w:val="00C246ED"/>
    <w:rsid w:val="00C31CB4"/>
    <w:rsid w:val="00C32E8D"/>
    <w:rsid w:val="00C36BDD"/>
    <w:rsid w:val="00C376BB"/>
    <w:rsid w:val="00C4149C"/>
    <w:rsid w:val="00C51AE0"/>
    <w:rsid w:val="00C52D9B"/>
    <w:rsid w:val="00C63A61"/>
    <w:rsid w:val="00C63AAD"/>
    <w:rsid w:val="00C64E32"/>
    <w:rsid w:val="00C6643D"/>
    <w:rsid w:val="00C66B6C"/>
    <w:rsid w:val="00C91616"/>
    <w:rsid w:val="00CC148B"/>
    <w:rsid w:val="00CC5558"/>
    <w:rsid w:val="00CE27E7"/>
    <w:rsid w:val="00CF1302"/>
    <w:rsid w:val="00CF370B"/>
    <w:rsid w:val="00D122A3"/>
    <w:rsid w:val="00D12BD7"/>
    <w:rsid w:val="00D21472"/>
    <w:rsid w:val="00D24802"/>
    <w:rsid w:val="00D27E71"/>
    <w:rsid w:val="00D30AC0"/>
    <w:rsid w:val="00D3632D"/>
    <w:rsid w:val="00D44939"/>
    <w:rsid w:val="00D46FDC"/>
    <w:rsid w:val="00D56742"/>
    <w:rsid w:val="00D64AB4"/>
    <w:rsid w:val="00D70F86"/>
    <w:rsid w:val="00D74CE4"/>
    <w:rsid w:val="00D80B90"/>
    <w:rsid w:val="00D85773"/>
    <w:rsid w:val="00D92428"/>
    <w:rsid w:val="00D92F7A"/>
    <w:rsid w:val="00D950DD"/>
    <w:rsid w:val="00D957FA"/>
    <w:rsid w:val="00DA0BE4"/>
    <w:rsid w:val="00DA0F93"/>
    <w:rsid w:val="00DA4108"/>
    <w:rsid w:val="00DA42E0"/>
    <w:rsid w:val="00DA5A54"/>
    <w:rsid w:val="00DA6654"/>
    <w:rsid w:val="00DB783B"/>
    <w:rsid w:val="00DC3F04"/>
    <w:rsid w:val="00DD03EF"/>
    <w:rsid w:val="00DD083E"/>
    <w:rsid w:val="00DD6DD6"/>
    <w:rsid w:val="00DE2118"/>
    <w:rsid w:val="00DE4CA4"/>
    <w:rsid w:val="00DF0031"/>
    <w:rsid w:val="00E00EFD"/>
    <w:rsid w:val="00E05B67"/>
    <w:rsid w:val="00E15E0F"/>
    <w:rsid w:val="00E16DD0"/>
    <w:rsid w:val="00E212BB"/>
    <w:rsid w:val="00E21E47"/>
    <w:rsid w:val="00E234FD"/>
    <w:rsid w:val="00E2471F"/>
    <w:rsid w:val="00E2482F"/>
    <w:rsid w:val="00E263F1"/>
    <w:rsid w:val="00E27AA4"/>
    <w:rsid w:val="00E318F7"/>
    <w:rsid w:val="00E32CC1"/>
    <w:rsid w:val="00E3554D"/>
    <w:rsid w:val="00E431E0"/>
    <w:rsid w:val="00E432A3"/>
    <w:rsid w:val="00E44915"/>
    <w:rsid w:val="00E44AB0"/>
    <w:rsid w:val="00E50664"/>
    <w:rsid w:val="00E50EE9"/>
    <w:rsid w:val="00E5338D"/>
    <w:rsid w:val="00E54EA7"/>
    <w:rsid w:val="00E60FC2"/>
    <w:rsid w:val="00E61406"/>
    <w:rsid w:val="00E63996"/>
    <w:rsid w:val="00E65747"/>
    <w:rsid w:val="00E67514"/>
    <w:rsid w:val="00E71F04"/>
    <w:rsid w:val="00E772F4"/>
    <w:rsid w:val="00E86BF2"/>
    <w:rsid w:val="00E92E23"/>
    <w:rsid w:val="00E95CB7"/>
    <w:rsid w:val="00E95D84"/>
    <w:rsid w:val="00E96648"/>
    <w:rsid w:val="00E96964"/>
    <w:rsid w:val="00EA05C8"/>
    <w:rsid w:val="00EA0699"/>
    <w:rsid w:val="00EA123A"/>
    <w:rsid w:val="00EA13F4"/>
    <w:rsid w:val="00EB0D81"/>
    <w:rsid w:val="00EB23FD"/>
    <w:rsid w:val="00EB39FA"/>
    <w:rsid w:val="00EB4841"/>
    <w:rsid w:val="00EC1506"/>
    <w:rsid w:val="00EC311E"/>
    <w:rsid w:val="00EC786C"/>
    <w:rsid w:val="00EC7A77"/>
    <w:rsid w:val="00ED0FB2"/>
    <w:rsid w:val="00ED36C5"/>
    <w:rsid w:val="00ED4B7F"/>
    <w:rsid w:val="00EE2D52"/>
    <w:rsid w:val="00EF2F38"/>
    <w:rsid w:val="00EF3044"/>
    <w:rsid w:val="00F0425F"/>
    <w:rsid w:val="00F13166"/>
    <w:rsid w:val="00F141CF"/>
    <w:rsid w:val="00F160F6"/>
    <w:rsid w:val="00F167DC"/>
    <w:rsid w:val="00F17EB7"/>
    <w:rsid w:val="00F21F80"/>
    <w:rsid w:val="00F22510"/>
    <w:rsid w:val="00F23B68"/>
    <w:rsid w:val="00F2557A"/>
    <w:rsid w:val="00F33266"/>
    <w:rsid w:val="00F33EB3"/>
    <w:rsid w:val="00F34CDF"/>
    <w:rsid w:val="00F34E3C"/>
    <w:rsid w:val="00F35145"/>
    <w:rsid w:val="00F367E1"/>
    <w:rsid w:val="00F41760"/>
    <w:rsid w:val="00F45449"/>
    <w:rsid w:val="00F47664"/>
    <w:rsid w:val="00F53542"/>
    <w:rsid w:val="00F55692"/>
    <w:rsid w:val="00F570E4"/>
    <w:rsid w:val="00F71560"/>
    <w:rsid w:val="00F7197E"/>
    <w:rsid w:val="00F7241C"/>
    <w:rsid w:val="00F72B8A"/>
    <w:rsid w:val="00F77005"/>
    <w:rsid w:val="00F7768B"/>
    <w:rsid w:val="00F77F56"/>
    <w:rsid w:val="00F811BB"/>
    <w:rsid w:val="00F91386"/>
    <w:rsid w:val="00F91BD0"/>
    <w:rsid w:val="00F921F1"/>
    <w:rsid w:val="00F93BE6"/>
    <w:rsid w:val="00F96A97"/>
    <w:rsid w:val="00FA56BE"/>
    <w:rsid w:val="00FB52B3"/>
    <w:rsid w:val="00FB5934"/>
    <w:rsid w:val="00FC0BAB"/>
    <w:rsid w:val="00FC76F1"/>
    <w:rsid w:val="00FD1702"/>
    <w:rsid w:val="00FD2584"/>
    <w:rsid w:val="00FE1A93"/>
    <w:rsid w:val="00FE2C1E"/>
    <w:rsid w:val="00FF24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BB45E"/>
  <w15:docId w15:val="{BCADA0DE-E307-4486-A326-325ED57A5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57D9B"/>
    <w:pPr>
      <w:suppressAutoHyphens/>
      <w:spacing w:after="160" w:line="240" w:lineRule="auto"/>
    </w:pPr>
    <w:rPr>
      <w:rFonts w:ascii="Times New Roman" w:eastAsia="Times New Roman" w:hAnsi="Times New Roman" w:cs="Calibri"/>
      <w:sz w:val="24"/>
      <w:szCs w:val="20"/>
      <w:lang w:eastAsia="ar-SA"/>
    </w:rPr>
  </w:style>
  <w:style w:type="paragraph" w:styleId="Heading2">
    <w:name w:val="heading 2"/>
    <w:basedOn w:val="Normal"/>
    <w:next w:val="Normal"/>
    <w:link w:val="Heading2Char"/>
    <w:uiPriority w:val="9"/>
    <w:unhideWhenUsed/>
    <w:qFormat/>
    <w:rsid w:val="00AF221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D9B"/>
    <w:pPr>
      <w:tabs>
        <w:tab w:val="center" w:pos="4536"/>
        <w:tab w:val="right" w:pos="9072"/>
      </w:tabs>
      <w:spacing w:after="0"/>
    </w:pPr>
  </w:style>
  <w:style w:type="character" w:customStyle="1" w:styleId="HeaderChar">
    <w:name w:val="Header Char"/>
    <w:basedOn w:val="DefaultParagraphFont"/>
    <w:link w:val="Header"/>
    <w:uiPriority w:val="99"/>
    <w:rsid w:val="00757D9B"/>
    <w:rPr>
      <w:rFonts w:ascii="Times New Roman" w:eastAsia="Times New Roman" w:hAnsi="Times New Roman" w:cs="Calibri"/>
      <w:sz w:val="24"/>
      <w:szCs w:val="20"/>
      <w:lang w:eastAsia="ar-SA"/>
    </w:rPr>
  </w:style>
  <w:style w:type="paragraph" w:styleId="Footer">
    <w:name w:val="footer"/>
    <w:basedOn w:val="Normal"/>
    <w:link w:val="FooterChar"/>
    <w:uiPriority w:val="99"/>
    <w:unhideWhenUsed/>
    <w:rsid w:val="00757D9B"/>
    <w:pPr>
      <w:tabs>
        <w:tab w:val="center" w:pos="4536"/>
        <w:tab w:val="right" w:pos="9072"/>
      </w:tabs>
      <w:spacing w:after="0"/>
    </w:pPr>
  </w:style>
  <w:style w:type="character" w:customStyle="1" w:styleId="FooterChar">
    <w:name w:val="Footer Char"/>
    <w:basedOn w:val="DefaultParagraphFont"/>
    <w:link w:val="Footer"/>
    <w:uiPriority w:val="99"/>
    <w:rsid w:val="00757D9B"/>
    <w:rPr>
      <w:rFonts w:ascii="Times New Roman" w:eastAsia="Times New Roman" w:hAnsi="Times New Roman" w:cs="Calibri"/>
      <w:sz w:val="24"/>
      <w:szCs w:val="20"/>
      <w:lang w:eastAsia="ar-SA"/>
    </w:rPr>
  </w:style>
  <w:style w:type="table" w:styleId="TableGrid">
    <w:name w:val="Table Grid"/>
    <w:basedOn w:val="TableNormal"/>
    <w:uiPriority w:val="59"/>
    <w:rsid w:val="00757D9B"/>
    <w:pPr>
      <w:spacing w:after="0" w:line="240" w:lineRule="auto"/>
    </w:pPr>
    <w:rPr>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7D9B"/>
    <w:pPr>
      <w:ind w:left="720"/>
      <w:contextualSpacing/>
    </w:pPr>
  </w:style>
  <w:style w:type="paragraph" w:styleId="BalloonText">
    <w:name w:val="Balloon Text"/>
    <w:basedOn w:val="Normal"/>
    <w:link w:val="BalloonTextChar"/>
    <w:uiPriority w:val="99"/>
    <w:semiHidden/>
    <w:unhideWhenUsed/>
    <w:rsid w:val="00757D9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D9B"/>
    <w:rPr>
      <w:rFonts w:ascii="Tahoma" w:eastAsia="Times New Roman" w:hAnsi="Tahoma" w:cs="Tahoma"/>
      <w:sz w:val="16"/>
      <w:szCs w:val="16"/>
      <w:lang w:eastAsia="ar-SA"/>
    </w:rPr>
  </w:style>
  <w:style w:type="paragraph" w:styleId="FootnoteText">
    <w:name w:val="footnote text"/>
    <w:basedOn w:val="Normal"/>
    <w:link w:val="FootnoteTextChar"/>
    <w:uiPriority w:val="99"/>
    <w:unhideWhenUsed/>
    <w:rsid w:val="000E1907"/>
    <w:pPr>
      <w:suppressAutoHyphens w:val="0"/>
      <w:spacing w:after="0"/>
    </w:pPr>
    <w:rPr>
      <w:rFonts w:asciiTheme="minorHAnsi" w:eastAsiaTheme="minorHAnsi" w:hAnsiTheme="minorHAnsi" w:cstheme="minorBidi"/>
      <w:sz w:val="20"/>
      <w:lang w:val="en-GB" w:eastAsia="en-US"/>
    </w:rPr>
  </w:style>
  <w:style w:type="character" w:customStyle="1" w:styleId="FootnoteTextChar">
    <w:name w:val="Footnote Text Char"/>
    <w:basedOn w:val="DefaultParagraphFont"/>
    <w:link w:val="FootnoteText"/>
    <w:uiPriority w:val="99"/>
    <w:qFormat/>
    <w:rsid w:val="000E1907"/>
    <w:rPr>
      <w:sz w:val="20"/>
      <w:szCs w:val="20"/>
      <w:lang w:val="en-GB"/>
    </w:rPr>
  </w:style>
  <w:style w:type="character" w:styleId="FootnoteReference">
    <w:name w:val="footnote reference"/>
    <w:basedOn w:val="DefaultParagraphFont"/>
    <w:uiPriority w:val="99"/>
    <w:semiHidden/>
    <w:unhideWhenUsed/>
    <w:rsid w:val="000E1907"/>
    <w:rPr>
      <w:vertAlign w:val="superscript"/>
    </w:rPr>
  </w:style>
  <w:style w:type="character" w:styleId="Hyperlink">
    <w:name w:val="Hyperlink"/>
    <w:basedOn w:val="DefaultParagraphFont"/>
    <w:uiPriority w:val="99"/>
    <w:unhideWhenUsed/>
    <w:rsid w:val="000E1907"/>
    <w:rPr>
      <w:color w:val="0000FF" w:themeColor="hyperlink"/>
      <w:u w:val="single"/>
    </w:rPr>
  </w:style>
  <w:style w:type="character" w:customStyle="1" w:styleId="UnresolvedMention1">
    <w:name w:val="Unresolved Mention1"/>
    <w:basedOn w:val="DefaultParagraphFont"/>
    <w:uiPriority w:val="99"/>
    <w:rsid w:val="004A2ED3"/>
    <w:rPr>
      <w:color w:val="605E5C"/>
      <w:shd w:val="clear" w:color="auto" w:fill="E1DFDD"/>
    </w:rPr>
  </w:style>
  <w:style w:type="character" w:customStyle="1" w:styleId="Heading2Char">
    <w:name w:val="Heading 2 Char"/>
    <w:basedOn w:val="DefaultParagraphFont"/>
    <w:link w:val="Heading2"/>
    <w:uiPriority w:val="9"/>
    <w:rsid w:val="00AF221D"/>
    <w:rPr>
      <w:rFonts w:asciiTheme="majorHAnsi" w:eastAsiaTheme="majorEastAsia" w:hAnsiTheme="majorHAnsi" w:cstheme="majorBidi"/>
      <w:color w:val="365F91" w:themeColor="accent1" w:themeShade="BF"/>
      <w:sz w:val="26"/>
      <w:szCs w:val="26"/>
      <w:lang w:eastAsia="ar-SA"/>
    </w:rPr>
  </w:style>
  <w:style w:type="paragraph" w:styleId="EndnoteText">
    <w:name w:val="endnote text"/>
    <w:basedOn w:val="Normal"/>
    <w:link w:val="EndnoteTextChar"/>
    <w:uiPriority w:val="99"/>
    <w:semiHidden/>
    <w:unhideWhenUsed/>
    <w:rsid w:val="004838AB"/>
    <w:pPr>
      <w:spacing w:after="0"/>
    </w:pPr>
    <w:rPr>
      <w:sz w:val="20"/>
    </w:rPr>
  </w:style>
  <w:style w:type="character" w:customStyle="1" w:styleId="EndnoteTextChar">
    <w:name w:val="Endnote Text Char"/>
    <w:basedOn w:val="DefaultParagraphFont"/>
    <w:link w:val="EndnoteText"/>
    <w:uiPriority w:val="99"/>
    <w:semiHidden/>
    <w:rsid w:val="004838AB"/>
    <w:rPr>
      <w:rFonts w:ascii="Times New Roman" w:eastAsia="Times New Roman" w:hAnsi="Times New Roman" w:cs="Calibri"/>
      <w:sz w:val="20"/>
      <w:szCs w:val="20"/>
      <w:lang w:eastAsia="ar-SA"/>
    </w:rPr>
  </w:style>
  <w:style w:type="character" w:styleId="EndnoteReference">
    <w:name w:val="endnote reference"/>
    <w:basedOn w:val="DefaultParagraphFont"/>
    <w:uiPriority w:val="99"/>
    <w:semiHidden/>
    <w:unhideWhenUsed/>
    <w:rsid w:val="004838AB"/>
    <w:rPr>
      <w:vertAlign w:val="superscript"/>
    </w:rPr>
  </w:style>
  <w:style w:type="character" w:customStyle="1" w:styleId="UnresolvedMention2">
    <w:name w:val="Unresolved Mention2"/>
    <w:basedOn w:val="DefaultParagraphFont"/>
    <w:uiPriority w:val="99"/>
    <w:rsid w:val="00F41760"/>
    <w:rPr>
      <w:color w:val="605E5C"/>
      <w:shd w:val="clear" w:color="auto" w:fill="E1DFDD"/>
    </w:rPr>
  </w:style>
  <w:style w:type="character" w:styleId="FollowedHyperlink">
    <w:name w:val="FollowedHyperlink"/>
    <w:basedOn w:val="DefaultParagraphFont"/>
    <w:uiPriority w:val="99"/>
    <w:semiHidden/>
    <w:unhideWhenUsed/>
    <w:rsid w:val="00587185"/>
    <w:rPr>
      <w:color w:val="800080" w:themeColor="followedHyperlink"/>
      <w:u w:val="single"/>
    </w:rPr>
  </w:style>
  <w:style w:type="character" w:styleId="UnresolvedMention">
    <w:name w:val="Unresolved Mention"/>
    <w:basedOn w:val="DefaultParagraphFont"/>
    <w:uiPriority w:val="99"/>
    <w:rsid w:val="00635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6066">
      <w:bodyDiv w:val="1"/>
      <w:marLeft w:val="0"/>
      <w:marRight w:val="0"/>
      <w:marTop w:val="0"/>
      <w:marBottom w:val="0"/>
      <w:divBdr>
        <w:top w:val="none" w:sz="0" w:space="0" w:color="auto"/>
        <w:left w:val="none" w:sz="0" w:space="0" w:color="auto"/>
        <w:bottom w:val="none" w:sz="0" w:space="0" w:color="auto"/>
        <w:right w:val="none" w:sz="0" w:space="0" w:color="auto"/>
      </w:divBdr>
    </w:div>
    <w:div w:id="584847562">
      <w:bodyDiv w:val="1"/>
      <w:marLeft w:val="0"/>
      <w:marRight w:val="0"/>
      <w:marTop w:val="0"/>
      <w:marBottom w:val="0"/>
      <w:divBdr>
        <w:top w:val="none" w:sz="0" w:space="0" w:color="auto"/>
        <w:left w:val="none" w:sz="0" w:space="0" w:color="auto"/>
        <w:bottom w:val="none" w:sz="0" w:space="0" w:color="auto"/>
        <w:right w:val="none" w:sz="0" w:space="0" w:color="auto"/>
      </w:divBdr>
    </w:div>
    <w:div w:id="1109397117">
      <w:bodyDiv w:val="1"/>
      <w:marLeft w:val="0"/>
      <w:marRight w:val="0"/>
      <w:marTop w:val="0"/>
      <w:marBottom w:val="0"/>
      <w:divBdr>
        <w:top w:val="none" w:sz="0" w:space="0" w:color="auto"/>
        <w:left w:val="none" w:sz="0" w:space="0" w:color="auto"/>
        <w:bottom w:val="none" w:sz="0" w:space="0" w:color="auto"/>
        <w:right w:val="none" w:sz="0" w:space="0" w:color="auto"/>
      </w:divBdr>
      <w:divsChild>
        <w:div w:id="257102512">
          <w:marLeft w:val="0"/>
          <w:marRight w:val="0"/>
          <w:marTop w:val="0"/>
          <w:marBottom w:val="0"/>
          <w:divBdr>
            <w:top w:val="none" w:sz="0" w:space="0" w:color="auto"/>
            <w:left w:val="none" w:sz="0" w:space="0" w:color="auto"/>
            <w:bottom w:val="none" w:sz="0" w:space="0" w:color="auto"/>
            <w:right w:val="none" w:sz="0" w:space="0" w:color="auto"/>
          </w:divBdr>
        </w:div>
      </w:divsChild>
    </w:div>
    <w:div w:id="1186863144">
      <w:bodyDiv w:val="1"/>
      <w:marLeft w:val="0"/>
      <w:marRight w:val="0"/>
      <w:marTop w:val="0"/>
      <w:marBottom w:val="0"/>
      <w:divBdr>
        <w:top w:val="none" w:sz="0" w:space="0" w:color="auto"/>
        <w:left w:val="none" w:sz="0" w:space="0" w:color="auto"/>
        <w:bottom w:val="none" w:sz="0" w:space="0" w:color="auto"/>
        <w:right w:val="none" w:sz="0" w:space="0" w:color="auto"/>
      </w:divBdr>
      <w:divsChild>
        <w:div w:id="1176194247">
          <w:marLeft w:val="0"/>
          <w:marRight w:val="0"/>
          <w:marTop w:val="0"/>
          <w:marBottom w:val="0"/>
          <w:divBdr>
            <w:top w:val="none" w:sz="0" w:space="0" w:color="auto"/>
            <w:left w:val="none" w:sz="0" w:space="0" w:color="auto"/>
            <w:bottom w:val="none" w:sz="0" w:space="0" w:color="auto"/>
            <w:right w:val="none" w:sz="0" w:space="0" w:color="auto"/>
          </w:divBdr>
        </w:div>
      </w:divsChild>
    </w:div>
    <w:div w:id="1252664894">
      <w:bodyDiv w:val="1"/>
      <w:marLeft w:val="0"/>
      <w:marRight w:val="0"/>
      <w:marTop w:val="0"/>
      <w:marBottom w:val="0"/>
      <w:divBdr>
        <w:top w:val="none" w:sz="0" w:space="0" w:color="auto"/>
        <w:left w:val="none" w:sz="0" w:space="0" w:color="auto"/>
        <w:bottom w:val="none" w:sz="0" w:space="0" w:color="auto"/>
        <w:right w:val="none" w:sz="0" w:space="0" w:color="auto"/>
      </w:divBdr>
    </w:div>
    <w:div w:id="1413967666">
      <w:bodyDiv w:val="1"/>
      <w:marLeft w:val="0"/>
      <w:marRight w:val="0"/>
      <w:marTop w:val="0"/>
      <w:marBottom w:val="0"/>
      <w:divBdr>
        <w:top w:val="none" w:sz="0" w:space="0" w:color="auto"/>
        <w:left w:val="none" w:sz="0" w:space="0" w:color="auto"/>
        <w:bottom w:val="none" w:sz="0" w:space="0" w:color="auto"/>
        <w:right w:val="none" w:sz="0" w:space="0" w:color="auto"/>
      </w:divBdr>
    </w:div>
    <w:div w:id="1522235979">
      <w:bodyDiv w:val="1"/>
      <w:marLeft w:val="0"/>
      <w:marRight w:val="0"/>
      <w:marTop w:val="0"/>
      <w:marBottom w:val="0"/>
      <w:divBdr>
        <w:top w:val="none" w:sz="0" w:space="0" w:color="auto"/>
        <w:left w:val="none" w:sz="0" w:space="0" w:color="auto"/>
        <w:bottom w:val="none" w:sz="0" w:space="0" w:color="auto"/>
        <w:right w:val="none" w:sz="0" w:space="0" w:color="auto"/>
      </w:divBdr>
    </w:div>
    <w:div w:id="1705443802">
      <w:bodyDiv w:val="1"/>
      <w:marLeft w:val="0"/>
      <w:marRight w:val="0"/>
      <w:marTop w:val="0"/>
      <w:marBottom w:val="0"/>
      <w:divBdr>
        <w:top w:val="none" w:sz="0" w:space="0" w:color="auto"/>
        <w:left w:val="none" w:sz="0" w:space="0" w:color="auto"/>
        <w:bottom w:val="none" w:sz="0" w:space="0" w:color="auto"/>
        <w:right w:val="none" w:sz="0" w:space="0" w:color="auto"/>
      </w:divBdr>
    </w:div>
    <w:div w:id="177393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8" Type="http://schemas.openxmlformats.org/officeDocument/2006/relationships/hyperlink" Target="https://au.int/sites/default/files/treaties/36804-sl-AFRICAN%20CHARTER%20ON%20THE%20RIGHTS%20AND%20WELFARE%20OF%20THE%20CHILD.pdf" TargetMode="External"/><Relationship Id="rId3" Type="http://schemas.openxmlformats.org/officeDocument/2006/relationships/hyperlink" Target="http://docstore.ohchr.org/SelfServices/FilesHandler.ashx?enc=6QkG1d%2FPPRiCAqhKb7yhssP8363FmFiDEE7t9Iskm8yZrkHfUEupf45Rx2SjAZ1546kmR9EbKjjaTWfO%2FfM%2F9LQiRFtoBfFfcsbApRmHsytPRJjDwO7EPqE4ol2f0eQH" TargetMode="External"/><Relationship Id="rId7" Type="http://schemas.openxmlformats.org/officeDocument/2006/relationships/hyperlink" Target="https://moe.gov.ly/%D9%82%D8%B1%D8%A7%D8%B1-%D8%A7%D9%84%D9%85%D8%AC%D9%84%D8%B3-%D8%A7%D9%84%D8%B1%D8%A6%D8%A7%D8%B3%D9%8A-%D9%84%D8%AD%D9%83%D9%88%D9%85%D8%A9-%D8%A7%D9%84%D9%88%D9%81%D8%A7%D9%82-%D8%A7%D9%84%D9%88-2/" TargetMode="External"/><Relationship Id="rId2" Type="http://schemas.openxmlformats.org/officeDocument/2006/relationships/hyperlink" Target="https://security-legislation.ly/node/31973" TargetMode="External"/><Relationship Id="rId1" Type="http://schemas.openxmlformats.org/officeDocument/2006/relationships/hyperlink" Target="https://security-legislation.ly/ar/node/31973" TargetMode="External"/><Relationship Id="rId6" Type="http://schemas.openxmlformats.org/officeDocument/2006/relationships/hyperlink" Target="https://security-legislation.ly/node/31492" TargetMode="External"/><Relationship Id="rId5" Type="http://schemas.openxmlformats.org/officeDocument/2006/relationships/hyperlink" Target="https://security-legislation.ly/ar/node/31492" TargetMode="External"/><Relationship Id="rId10" Type="http://schemas.openxmlformats.org/officeDocument/2006/relationships/hyperlink" Target="https://security-legislation.ly/node/32174" TargetMode="External"/><Relationship Id="rId4" Type="http://schemas.openxmlformats.org/officeDocument/2006/relationships/hyperlink" Target="http://itcadel.gov.ly/wp-content/uploads/2016/05/law17-year1992.pdf" TargetMode="External"/><Relationship Id="rId9" Type="http://schemas.openxmlformats.org/officeDocument/2006/relationships/hyperlink" Target="https://security-legislation.ly/ar/node/3217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hrsl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S\Documents\&#1575;&#1604;&#1578;&#1590;&#1575;&#1605;&#1606;\&#1576;&#1610;&#1575;&#1606;&#1575;&#1578;\&#1576;&#1610;&#1575;&#1606;&#1575;&#1578;%202014\PR%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24B88D-CBAF-404B-8677-B333FDCBB33B}">
  <ds:schemaRefs>
    <ds:schemaRef ds:uri="http://schemas.openxmlformats.org/officeDocument/2006/bibliography"/>
  </ds:schemaRefs>
</ds:datastoreItem>
</file>

<file path=customXml/itemProps2.xml><?xml version="1.0" encoding="utf-8"?>
<ds:datastoreItem xmlns:ds="http://schemas.openxmlformats.org/officeDocument/2006/customXml" ds:itemID="{A4965846-0BA0-4459-BEFD-57F73CB3C614}"/>
</file>

<file path=customXml/itemProps3.xml><?xml version="1.0" encoding="utf-8"?>
<ds:datastoreItem xmlns:ds="http://schemas.openxmlformats.org/officeDocument/2006/customXml" ds:itemID="{9C2C835D-B499-48A3-81B7-072EE084E928}"/>
</file>

<file path=customXml/itemProps4.xml><?xml version="1.0" encoding="utf-8"?>
<ds:datastoreItem xmlns:ds="http://schemas.openxmlformats.org/officeDocument/2006/customXml" ds:itemID="{314AACE5-5D25-4D26-8C3F-168427E4C314}"/>
</file>

<file path=docProps/app.xml><?xml version="1.0" encoding="utf-8"?>
<Properties xmlns="http://schemas.openxmlformats.org/officeDocument/2006/extended-properties" xmlns:vt="http://schemas.openxmlformats.org/officeDocument/2006/docPropsVTypes">
  <Template>PR FORM</Template>
  <TotalTime>287</TotalTime>
  <Pages>7</Pages>
  <Words>1908</Words>
  <Characters>10877</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Aqsat</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HUMAN RIGHTS SOLIDARITY</dc:creator>
  <cp:lastModifiedBy>Ahmed El-Gasir</cp:lastModifiedBy>
  <cp:revision>23</cp:revision>
  <dcterms:created xsi:type="dcterms:W3CDTF">2020-05-15T08:28:00Z</dcterms:created>
  <dcterms:modified xsi:type="dcterms:W3CDTF">2020-05-15T15:01:00Z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