
<file path=[Content_Types].xml><?xml version="1.0" encoding="utf-8"?>
<Types xmlns="http://schemas.openxmlformats.org/package/2006/content-types">
  <Default Extension="png" ContentType="image/png"/>
  <Default Extension="bmp" ContentType="image/bmp"/>
  <Default Extension="pdf" ContentType="application/pdf"/>
  <Default Extension="rels" ContentType="application/vnd.openxmlformats-package.relationships+xml"/>
  <Default Extension="jpeg" ContentType="image/jpg"/>
  <Default Extension="mov" ContentType="application/movie"/>
  <Default Extension="xml" ContentType="application/xml"/>
  <Default Extension="gif" ContentType="image/gif"/>
  <Default Extension="tif" ContentType="image/tif"/>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spacing w:after="0" w:line="240" w:lineRule="auto"/>
        <w:jc w:val="right"/>
        <w:rPr>
          <w:rFonts w:ascii="Arial" w:cs="Arial" w:hAnsi="Arial" w:eastAsia="Arial"/>
          <w:sz w:val="20"/>
          <w:szCs w:val="20"/>
        </w:rPr>
      </w:pPr>
      <w:r>
        <w:rPr>
          <w:rFonts w:ascii="Arial" w:hAnsi="Arial"/>
          <w:sz w:val="20"/>
          <w:szCs w:val="20"/>
          <w:rtl w:val="0"/>
        </w:rPr>
        <w:t>Ljubljana, April 2020</w:t>
      </w:r>
    </w:p>
    <w:p>
      <w:pPr>
        <w:pStyle w:val="Normal.0"/>
        <w:spacing w:after="0" w:line="240" w:lineRule="auto"/>
        <w:jc w:val="both"/>
        <w:rPr>
          <w:rFonts w:ascii="Arial" w:cs="Arial" w:hAnsi="Arial" w:eastAsia="Arial"/>
        </w:rPr>
      </w:pPr>
    </w:p>
    <w:p>
      <w:pPr>
        <w:pStyle w:val="Normal.0"/>
        <w:spacing w:after="0" w:line="240" w:lineRule="auto"/>
        <w:jc w:val="both"/>
        <w:rPr>
          <w:rFonts w:ascii="Arial" w:cs="Arial" w:hAnsi="Arial" w:eastAsia="Arial"/>
          <w:b w:val="1"/>
          <w:bCs w:val="1"/>
          <w:sz w:val="24"/>
          <w:szCs w:val="24"/>
        </w:rPr>
      </w:pPr>
      <w:r>
        <w:rPr>
          <w:rFonts w:ascii="Arial" w:hAnsi="Arial"/>
          <w:b w:val="1"/>
          <w:bCs w:val="1"/>
          <w:sz w:val="24"/>
          <w:szCs w:val="24"/>
          <w:rtl w:val="0"/>
          <w:lang w:val="en-US"/>
        </w:rPr>
        <w:t xml:space="preserve">Questionnaire of the Special Rapporteur on the human rights of migrants: </w:t>
      </w:r>
      <w:r>
        <w:rPr>
          <w:rFonts w:ascii="Arial" w:hAnsi="Arial"/>
          <w:b w:val="1"/>
          <w:bCs w:val="1"/>
          <w:sz w:val="24"/>
          <w:szCs w:val="24"/>
          <w:rtl w:val="0"/>
        </w:rPr>
        <w:t>E</w:t>
      </w:r>
      <w:r>
        <w:rPr>
          <w:rFonts w:ascii="Arial" w:hAnsi="Arial"/>
          <w:b w:val="1"/>
          <w:bCs w:val="1"/>
          <w:sz w:val="24"/>
          <w:szCs w:val="24"/>
          <w:rtl w:val="0"/>
          <w:lang w:val="en-US"/>
        </w:rPr>
        <w:t>nding immigration detention of children and seeking adequate reception and care for them</w:t>
      </w:r>
      <w:r>
        <w:rPr>
          <w:rFonts w:ascii="Arial" w:hAnsi="Arial"/>
          <w:b w:val="1"/>
          <w:bCs w:val="1"/>
          <w:sz w:val="24"/>
          <w:szCs w:val="24"/>
          <w:rtl w:val="0"/>
        </w:rPr>
        <w:t xml:space="preserve"> - input by SLOVENIA</w:t>
      </w:r>
    </w:p>
    <w:p>
      <w:pPr>
        <w:pStyle w:val="Normal.0"/>
        <w:spacing w:after="0" w:line="240" w:lineRule="auto"/>
        <w:jc w:val="both"/>
        <w:rPr>
          <w:rFonts w:ascii="Arial" w:cs="Arial" w:hAnsi="Arial" w:eastAsia="Arial"/>
          <w:b w:val="1"/>
          <w:bCs w:val="1"/>
          <w:sz w:val="20"/>
          <w:szCs w:val="20"/>
          <w:lang w:val="en-US"/>
        </w:rPr>
      </w:pPr>
    </w:p>
    <w:p>
      <w:pPr>
        <w:pStyle w:val="Normal.0"/>
        <w:spacing w:after="0" w:line="240" w:lineRule="auto"/>
        <w:jc w:val="both"/>
        <w:rPr>
          <w:rFonts w:ascii="Arial" w:cs="Arial" w:hAnsi="Arial" w:eastAsia="Arial"/>
          <w:b w:val="1"/>
          <w:bCs w:val="1"/>
          <w:sz w:val="20"/>
          <w:szCs w:val="20"/>
          <w:lang w:val="en-US"/>
        </w:rPr>
      </w:pPr>
    </w:p>
    <w:p>
      <w:pPr>
        <w:pStyle w:val="Normal.0"/>
        <w:spacing w:after="0" w:line="240" w:lineRule="auto"/>
        <w:jc w:val="both"/>
        <w:rPr>
          <w:rFonts w:ascii="Arial" w:cs="Arial" w:hAnsi="Arial" w:eastAsia="Arial"/>
          <w:b w:val="1"/>
          <w:bCs w:val="1"/>
          <w:sz w:val="20"/>
          <w:szCs w:val="20"/>
        </w:rPr>
      </w:pPr>
      <w:r>
        <w:rPr>
          <w:rFonts w:ascii="Arial" w:hAnsi="Arial"/>
          <w:b w:val="1"/>
          <w:bCs w:val="1"/>
          <w:sz w:val="20"/>
          <w:szCs w:val="20"/>
          <w:rtl w:val="0"/>
          <w:lang w:val="en-US"/>
        </w:rPr>
        <w:t>1. Please provide information on any legislation or policy that prohibits or restricts the use of immigration detention of children and their families in your country. Grateful if you could kindly submit the original text of the legislation or policy, accompanied by an English translation if it is in a language other than English, French or Spanish.</w:t>
      </w:r>
    </w:p>
    <w:p>
      <w:pPr>
        <w:pStyle w:val="Normal.0"/>
        <w:spacing w:after="0"/>
        <w:rPr>
          <w:lang w:val="en-US"/>
        </w:rPr>
      </w:pPr>
    </w:p>
    <w:p>
      <w:pPr>
        <w:pStyle w:val="Normal.0"/>
        <w:spacing w:after="0" w:line="276" w:lineRule="auto"/>
        <w:jc w:val="both"/>
        <w:rPr>
          <w:rFonts w:ascii="Arial" w:cs="Arial" w:hAnsi="Arial" w:eastAsia="Arial"/>
          <w:sz w:val="20"/>
          <w:szCs w:val="20"/>
        </w:rPr>
      </w:pPr>
      <w:r>
        <w:rPr>
          <w:rFonts w:ascii="Arial" w:hAnsi="Arial"/>
          <w:sz w:val="20"/>
          <w:szCs w:val="20"/>
          <w:rtl w:val="0"/>
          <w:lang w:val="en-US"/>
        </w:rPr>
        <w:t xml:space="preserve">Detention of migrant children is governed by the Slovenian </w:t>
      </w:r>
      <w:r>
        <w:rPr>
          <w:rFonts w:ascii="Arial" w:hAnsi="Arial"/>
          <w:b w:val="1"/>
          <w:bCs w:val="1"/>
          <w:sz w:val="20"/>
          <w:szCs w:val="20"/>
          <w:rtl w:val="0"/>
          <w:lang w:val="en-US"/>
        </w:rPr>
        <w:t>International Protection Act</w:t>
      </w:r>
      <w:r>
        <w:rPr>
          <w:rFonts w:ascii="Arial" w:hAnsi="Arial"/>
          <w:sz w:val="20"/>
          <w:szCs w:val="20"/>
          <w:rtl w:val="0"/>
          <w:lang w:val="en-US"/>
        </w:rPr>
        <w:t xml:space="preserve"> and the </w:t>
      </w:r>
      <w:r>
        <w:rPr>
          <w:rFonts w:ascii="Arial" w:hAnsi="Arial"/>
          <w:b w:val="1"/>
          <w:bCs w:val="1"/>
          <w:sz w:val="20"/>
          <w:szCs w:val="20"/>
          <w:rtl w:val="0"/>
          <w:lang w:val="en-US"/>
        </w:rPr>
        <w:t>Foreigners Act</w:t>
      </w:r>
      <w:r>
        <w:rPr>
          <w:rFonts w:ascii="Arial" w:hAnsi="Arial"/>
          <w:sz w:val="20"/>
          <w:szCs w:val="20"/>
          <w:rtl w:val="0"/>
          <w:lang w:val="en-US"/>
        </w:rPr>
        <w:t xml:space="preserve">. </w:t>
      </w:r>
    </w:p>
    <w:p>
      <w:pPr>
        <w:pStyle w:val="Normal.0"/>
        <w:spacing w:after="0" w:line="276" w:lineRule="auto"/>
        <w:jc w:val="both"/>
        <w:rPr>
          <w:rFonts w:ascii="Arial" w:cs="Arial" w:hAnsi="Arial" w:eastAsia="Arial"/>
          <w:sz w:val="20"/>
          <w:szCs w:val="20"/>
          <w:lang w:val="en-US"/>
        </w:rPr>
      </w:pPr>
    </w:p>
    <w:p>
      <w:pPr>
        <w:pStyle w:val="List Paragraph"/>
        <w:numPr>
          <w:ilvl w:val="0"/>
          <w:numId w:val="2"/>
        </w:numPr>
        <w:bidi w:val="0"/>
        <w:spacing w:after="0" w:line="276" w:lineRule="auto"/>
        <w:ind w:right="0"/>
        <w:jc w:val="both"/>
        <w:rPr>
          <w:rFonts w:ascii="Arial" w:hAnsi="Arial"/>
          <w:b w:val="1"/>
          <w:bCs w:val="1"/>
          <w:sz w:val="20"/>
          <w:szCs w:val="20"/>
          <w:rtl w:val="0"/>
          <w:lang w:val="en-US"/>
        </w:rPr>
      </w:pPr>
      <w:r>
        <w:rPr>
          <w:rFonts w:ascii="Arial" w:hAnsi="Arial"/>
          <w:b w:val="1"/>
          <w:bCs w:val="1"/>
          <w:sz w:val="20"/>
          <w:szCs w:val="20"/>
          <w:rtl w:val="0"/>
          <w:lang w:val="en-US"/>
        </w:rPr>
        <w:t xml:space="preserve">Detention of minors seeking asylum under the International Protection Act </w:t>
      </w:r>
    </w:p>
    <w:p>
      <w:pPr>
        <w:pStyle w:val="Normal.0"/>
        <w:spacing w:after="0" w:line="276" w:lineRule="auto"/>
        <w:jc w:val="both"/>
        <w:rPr>
          <w:rFonts w:ascii="Arial" w:cs="Arial" w:hAnsi="Arial" w:eastAsia="Arial"/>
          <w:b w:val="1"/>
          <w:bCs w:val="1"/>
          <w:sz w:val="20"/>
          <w:szCs w:val="20"/>
          <w:lang w:val="en-US"/>
        </w:rPr>
      </w:pPr>
    </w:p>
    <w:p>
      <w:pPr>
        <w:pStyle w:val="Normal.0"/>
        <w:spacing w:line="276" w:lineRule="auto"/>
        <w:jc w:val="both"/>
        <w:rPr>
          <w:rFonts w:ascii="Arial" w:cs="Arial" w:hAnsi="Arial" w:eastAsia="Arial"/>
          <w:sz w:val="20"/>
          <w:szCs w:val="20"/>
        </w:rPr>
      </w:pPr>
      <w:r>
        <w:rPr>
          <w:rFonts w:ascii="Arial" w:hAnsi="Arial"/>
          <w:sz w:val="20"/>
          <w:szCs w:val="20"/>
          <w:rtl w:val="0"/>
          <w:lang w:val="en-US"/>
        </w:rPr>
        <w:t xml:space="preserve">According to </w:t>
      </w:r>
      <w:r>
        <w:rPr>
          <w:rFonts w:ascii="Arial" w:hAnsi="Arial"/>
          <w:b w:val="1"/>
          <w:bCs w:val="1"/>
          <w:sz w:val="20"/>
          <w:szCs w:val="20"/>
          <w:rtl w:val="0"/>
          <w:lang w:val="en-US"/>
        </w:rPr>
        <w:t>Article 84</w:t>
      </w:r>
      <w:r>
        <w:rPr>
          <w:rFonts w:ascii="Arial" w:hAnsi="Arial"/>
          <w:b w:val="1"/>
          <w:bCs w:val="1"/>
          <w:i w:val="1"/>
          <w:iCs w:val="1"/>
          <w:sz w:val="20"/>
          <w:szCs w:val="20"/>
          <w:rtl w:val="0"/>
          <w:lang w:val="en-US"/>
        </w:rPr>
        <w:t xml:space="preserve"> </w:t>
      </w:r>
      <w:r>
        <w:rPr>
          <w:rFonts w:ascii="Arial" w:hAnsi="Arial"/>
          <w:sz w:val="20"/>
          <w:szCs w:val="20"/>
          <w:rtl w:val="0"/>
          <w:lang w:val="en-US"/>
        </w:rPr>
        <w:t>(see Annex 1)</w:t>
      </w:r>
      <w:r>
        <w:rPr>
          <w:rFonts w:ascii="Arial" w:hAnsi="Arial"/>
          <w:i w:val="1"/>
          <w:iCs w:val="1"/>
          <w:sz w:val="20"/>
          <w:szCs w:val="20"/>
          <w:rtl w:val="0"/>
          <w:lang w:val="en-US"/>
        </w:rPr>
        <w:t xml:space="preserve"> </w:t>
      </w:r>
      <w:r>
        <w:rPr>
          <w:rFonts w:ascii="Arial" w:hAnsi="Arial"/>
          <w:sz w:val="20"/>
          <w:szCs w:val="20"/>
          <w:rtl w:val="0"/>
          <w:lang w:val="en-US"/>
        </w:rPr>
        <w:t>of the</w:t>
      </w:r>
      <w:r>
        <w:rPr>
          <w:rFonts w:ascii="Arial" w:hAnsi="Arial"/>
          <w:b w:val="1"/>
          <w:bCs w:val="1"/>
          <w:sz w:val="20"/>
          <w:szCs w:val="20"/>
          <w:rtl w:val="0"/>
          <w:lang w:val="en-US"/>
        </w:rPr>
        <w:t xml:space="preserve"> International Protection Act</w:t>
      </w:r>
      <w:r>
        <w:rPr>
          <w:rFonts w:ascii="Arial" w:hAnsi="Arial"/>
          <w:sz w:val="20"/>
          <w:szCs w:val="20"/>
          <w:rtl w:val="0"/>
          <w:lang w:val="en-US"/>
        </w:rPr>
        <w:t>, a minor seeking asylum can be ordered a measure of mandatory stay in the area of the Asylum Centre for certain reasons (e. g. to verify or establish his or her identity or citizenship in case there is obvious doubt about this), however, he or she cannot be ordered a measure of restriction of movement to the Centre for Foreigners.</w:t>
      </w:r>
    </w:p>
    <w:p>
      <w:pPr>
        <w:pStyle w:val="Normal.0"/>
        <w:spacing w:after="0" w:line="276" w:lineRule="auto"/>
        <w:jc w:val="both"/>
        <w:rPr>
          <w:rFonts w:ascii="Arial" w:cs="Arial" w:hAnsi="Arial" w:eastAsia="Arial"/>
          <w:sz w:val="20"/>
          <w:szCs w:val="20"/>
        </w:rPr>
      </w:pPr>
      <w:r>
        <w:rPr>
          <w:rFonts w:ascii="Arial" w:hAnsi="Arial"/>
          <w:sz w:val="20"/>
          <w:szCs w:val="20"/>
          <w:rtl w:val="0"/>
        </w:rPr>
        <w:t>W</w:t>
      </w:r>
      <w:r>
        <w:rPr>
          <w:rFonts w:ascii="Arial" w:hAnsi="Arial"/>
          <w:sz w:val="20"/>
          <w:szCs w:val="20"/>
          <w:rtl w:val="0"/>
          <w:lang w:val="en-US"/>
        </w:rPr>
        <w:t>e have no practice of detaining children in the context of international protection.</w:t>
      </w:r>
    </w:p>
    <w:p>
      <w:pPr>
        <w:pStyle w:val="Normal.0"/>
        <w:spacing w:after="0" w:line="276" w:lineRule="auto"/>
        <w:jc w:val="both"/>
        <w:rPr>
          <w:rFonts w:ascii="Arial" w:cs="Arial" w:hAnsi="Arial" w:eastAsia="Arial"/>
          <w:sz w:val="20"/>
          <w:szCs w:val="20"/>
          <w:lang w:val="en-US"/>
        </w:rPr>
      </w:pPr>
    </w:p>
    <w:p>
      <w:pPr>
        <w:pStyle w:val="List Paragraph"/>
        <w:numPr>
          <w:ilvl w:val="0"/>
          <w:numId w:val="2"/>
        </w:numPr>
        <w:bidi w:val="0"/>
        <w:spacing w:after="0" w:line="276" w:lineRule="auto"/>
        <w:ind w:right="0"/>
        <w:jc w:val="both"/>
        <w:rPr>
          <w:rFonts w:ascii="Arial" w:hAnsi="Arial"/>
          <w:b w:val="1"/>
          <w:bCs w:val="1"/>
          <w:sz w:val="20"/>
          <w:szCs w:val="20"/>
          <w:rtl w:val="0"/>
          <w:lang w:val="en-US"/>
        </w:rPr>
      </w:pPr>
      <w:r>
        <w:rPr>
          <w:rFonts w:ascii="Arial" w:hAnsi="Arial"/>
          <w:b w:val="1"/>
          <w:bCs w:val="1"/>
          <w:sz w:val="20"/>
          <w:szCs w:val="20"/>
          <w:rtl w:val="0"/>
          <w:lang w:val="en-US"/>
        </w:rPr>
        <w:t>Detention of minors under the Foreigners Act</w:t>
      </w:r>
    </w:p>
    <w:p>
      <w:pPr>
        <w:pStyle w:val="List Paragraph"/>
        <w:spacing w:after="0" w:line="276" w:lineRule="auto"/>
        <w:ind w:left="360" w:firstLine="0"/>
        <w:jc w:val="both"/>
        <w:rPr>
          <w:rFonts w:ascii="Arial" w:cs="Arial" w:hAnsi="Arial" w:eastAsia="Arial"/>
          <w:b w:val="1"/>
          <w:bCs w:val="1"/>
          <w:sz w:val="20"/>
          <w:szCs w:val="20"/>
          <w:lang w:val="en-US"/>
        </w:rPr>
      </w:pPr>
    </w:p>
    <w:p>
      <w:pPr>
        <w:pStyle w:val="Normal.0"/>
        <w:jc w:val="both"/>
        <w:rPr>
          <w:rFonts w:ascii="Arial" w:cs="Arial" w:hAnsi="Arial" w:eastAsia="Arial"/>
          <w:sz w:val="20"/>
          <w:szCs w:val="20"/>
        </w:rPr>
      </w:pPr>
      <w:r>
        <w:rPr>
          <w:rFonts w:ascii="Arial" w:hAnsi="Arial"/>
          <w:b w:val="1"/>
          <w:bCs w:val="1"/>
          <w:sz w:val="20"/>
          <w:szCs w:val="20"/>
          <w:rtl w:val="0"/>
          <w:lang w:val="en-US"/>
        </w:rPr>
        <w:t>Article 76</w:t>
      </w:r>
      <w:r>
        <w:rPr>
          <w:rFonts w:ascii="Arial" w:hAnsi="Arial"/>
          <w:sz w:val="20"/>
          <w:szCs w:val="20"/>
          <w:rtl w:val="0"/>
          <w:lang w:val="en-US"/>
        </w:rPr>
        <w:t xml:space="preserve"> (see Annex 2) of the </w:t>
      </w:r>
      <w:r>
        <w:rPr>
          <w:rFonts w:ascii="Arial" w:hAnsi="Arial"/>
          <w:b w:val="1"/>
          <w:bCs w:val="1"/>
          <w:sz w:val="20"/>
          <w:szCs w:val="20"/>
          <w:rtl w:val="0"/>
          <w:lang w:val="en-US"/>
        </w:rPr>
        <w:t>Foreigners Act</w:t>
      </w:r>
      <w:r>
        <w:rPr>
          <w:rFonts w:ascii="Arial" w:hAnsi="Arial"/>
          <w:sz w:val="20"/>
          <w:szCs w:val="20"/>
          <w:rtl w:val="0"/>
          <w:lang w:val="en-US"/>
        </w:rPr>
        <w:t xml:space="preserve"> states that a foreign minor who is at risk of absconding and for any reason cannot be removed immediately shall receive an order restricting his movement and obliging him to stay in the Centre for Foreigners. Restriction of movement for children and unaccompanied minors is provided separately, with a view to ensuring an appropriate degree of privacy. </w:t>
      </w:r>
    </w:p>
    <w:p>
      <w:pPr>
        <w:pStyle w:val="Normal.0"/>
        <w:spacing w:after="0"/>
        <w:jc w:val="both"/>
        <w:rPr>
          <w:rFonts w:ascii="Arial" w:cs="Arial" w:hAnsi="Arial" w:eastAsia="Arial"/>
          <w:sz w:val="20"/>
          <w:szCs w:val="20"/>
        </w:rPr>
      </w:pPr>
      <w:r>
        <w:rPr>
          <w:rFonts w:ascii="Arial" w:hAnsi="Arial"/>
          <w:sz w:val="20"/>
          <w:szCs w:val="20"/>
          <w:rtl w:val="0"/>
          <w:lang w:val="en-US"/>
        </w:rPr>
        <w:t xml:space="preserve">Furthermore, </w:t>
      </w:r>
      <w:r>
        <w:rPr>
          <w:rFonts w:ascii="Arial" w:hAnsi="Arial"/>
          <w:b w:val="1"/>
          <w:bCs w:val="1"/>
          <w:sz w:val="20"/>
          <w:szCs w:val="20"/>
          <w:rtl w:val="0"/>
          <w:lang w:val="en-US"/>
        </w:rPr>
        <w:t xml:space="preserve">Article 82 </w:t>
      </w:r>
      <w:r>
        <w:rPr>
          <w:rFonts w:ascii="Arial" w:hAnsi="Arial"/>
          <w:sz w:val="20"/>
          <w:szCs w:val="20"/>
          <w:rtl w:val="0"/>
          <w:lang w:val="en-US"/>
        </w:rPr>
        <w:t xml:space="preserve">(see Annex 2) of the </w:t>
      </w:r>
      <w:r>
        <w:rPr>
          <w:rFonts w:ascii="Arial" w:hAnsi="Arial"/>
          <w:b w:val="1"/>
          <w:bCs w:val="1"/>
          <w:sz w:val="20"/>
          <w:szCs w:val="20"/>
          <w:rtl w:val="0"/>
          <w:lang w:val="en-US"/>
        </w:rPr>
        <w:t>Foreigners Act</w:t>
      </w:r>
      <w:r>
        <w:rPr>
          <w:rFonts w:ascii="Arial" w:hAnsi="Arial"/>
          <w:sz w:val="20"/>
          <w:szCs w:val="20"/>
          <w:rtl w:val="0"/>
          <w:lang w:val="en-US"/>
        </w:rPr>
        <w:t xml:space="preserve"> guarantees that in cases where unaccompanied foreign minor is to be removed the police shall immediately inform a Social Work Centre, which must immediately assign a </w:t>
      </w:r>
      <w:r>
        <w:rPr>
          <w:rFonts w:ascii="Arial" w:hAnsi="Arial"/>
          <w:sz w:val="20"/>
          <w:szCs w:val="20"/>
          <w:rtl w:val="0"/>
          <w:lang w:val="en-US"/>
        </w:rPr>
        <w:t xml:space="preserve">special case </w:t>
      </w:r>
      <w:r>
        <w:rPr>
          <w:rFonts w:ascii="Arial" w:hAnsi="Arial"/>
          <w:sz w:val="20"/>
          <w:szCs w:val="20"/>
          <w:rtl w:val="0"/>
          <w:lang w:val="en-US"/>
        </w:rPr>
        <w:t xml:space="preserve">guardian to the </w:t>
      </w:r>
      <w:r>
        <w:rPr>
          <w:rFonts w:ascii="Arial" w:hAnsi="Arial"/>
          <w:sz w:val="20"/>
          <w:szCs w:val="20"/>
          <w:rtl w:val="0"/>
          <w:lang w:val="en-US"/>
        </w:rPr>
        <w:t>foreign</w:t>
      </w:r>
      <w:r>
        <w:rPr>
          <w:rFonts w:ascii="Arial" w:hAnsi="Arial"/>
          <w:sz w:val="20"/>
          <w:szCs w:val="20"/>
          <w:rtl w:val="0"/>
          <w:lang w:val="en-US"/>
        </w:rPr>
        <w:t xml:space="preserve"> minor. The police shall issue the foreign minor with a return decision where his</w:t>
      </w:r>
      <w:r>
        <w:rPr>
          <w:rFonts w:ascii="Arial" w:hAnsi="Arial"/>
          <w:sz w:val="20"/>
          <w:szCs w:val="20"/>
          <w:rtl w:val="0"/>
          <w:lang w:val="en-US"/>
        </w:rPr>
        <w:t>/her</w:t>
      </w:r>
      <w:r>
        <w:rPr>
          <w:rFonts w:ascii="Arial" w:hAnsi="Arial"/>
          <w:sz w:val="20"/>
          <w:szCs w:val="20"/>
          <w:rtl w:val="0"/>
          <w:lang w:val="en-US"/>
        </w:rPr>
        <w:t xml:space="preserve"> </w:t>
      </w:r>
      <w:r>
        <w:rPr>
          <w:rFonts w:ascii="Arial" w:hAnsi="Arial"/>
          <w:sz w:val="20"/>
          <w:szCs w:val="20"/>
          <w:rtl w:val="0"/>
          <w:lang w:val="en-US"/>
        </w:rPr>
        <w:t xml:space="preserve">special case </w:t>
      </w:r>
      <w:r>
        <w:rPr>
          <w:rFonts w:ascii="Arial" w:hAnsi="Arial"/>
          <w:sz w:val="20"/>
          <w:szCs w:val="20"/>
          <w:rtl w:val="0"/>
          <w:lang w:val="en-US"/>
        </w:rPr>
        <w:t xml:space="preserve">guardian, having carefully considered all circumstances, establishes that this is in the best interests of the foreign minor. </w:t>
      </w:r>
    </w:p>
    <w:p>
      <w:pPr>
        <w:pStyle w:val="Normal.0"/>
        <w:spacing w:after="0"/>
        <w:jc w:val="both"/>
        <w:rPr>
          <w:rFonts w:ascii="Arial" w:cs="Arial" w:hAnsi="Arial" w:eastAsia="Arial"/>
          <w:sz w:val="20"/>
          <w:szCs w:val="20"/>
          <w:lang w:val="en-US"/>
        </w:rPr>
      </w:pPr>
    </w:p>
    <w:p>
      <w:pPr>
        <w:pStyle w:val="Normal.0"/>
        <w:spacing w:after="0"/>
        <w:jc w:val="both"/>
        <w:rPr>
          <w:rFonts w:ascii="Arial" w:cs="Arial" w:hAnsi="Arial" w:eastAsia="Arial"/>
          <w:outline w:val="0"/>
          <w:color w:val="222222"/>
          <w:u w:color="222222"/>
          <w:shd w:val="clear" w:color="auto" w:fill="ffffff"/>
          <w14:textFill>
            <w14:solidFill>
              <w14:srgbClr w14:val="222222"/>
            </w14:solidFill>
          </w14:textFill>
        </w:rPr>
      </w:pPr>
      <w:r>
        <w:rPr>
          <w:rFonts w:ascii="Arial" w:hAnsi="Arial"/>
          <w:rtl w:val="0"/>
        </w:rPr>
        <w:t>A f</w:t>
      </w:r>
      <w:r>
        <w:rPr>
          <w:rFonts w:ascii="Arial" w:hAnsi="Arial"/>
          <w:outline w:val="0"/>
          <w:color w:val="000000"/>
          <w:sz w:val="20"/>
          <w:szCs w:val="20"/>
          <w:u w:color="000000"/>
          <w:rtl w:val="0"/>
          <w:lang w:val="en-US"/>
          <w14:textFill>
            <w14:solidFill>
              <w14:srgbClr w14:val="000000"/>
            </w14:solidFill>
          </w14:textFill>
        </w:rPr>
        <w:t xml:space="preserve">oreign minor and a family with a foreign minor shall be accommodated, in agreement with a </w:t>
      </w:r>
      <w:r>
        <w:rPr>
          <w:rFonts w:ascii="Arial" w:hAnsi="Arial"/>
          <w:sz w:val="20"/>
          <w:szCs w:val="20"/>
          <w:rtl w:val="0"/>
          <w:lang w:val="en-US"/>
        </w:rPr>
        <w:t xml:space="preserve">special case </w:t>
      </w:r>
      <w:r>
        <w:rPr>
          <w:rFonts w:ascii="Arial" w:hAnsi="Arial"/>
          <w:outline w:val="0"/>
          <w:color w:val="000000"/>
          <w:sz w:val="20"/>
          <w:szCs w:val="20"/>
          <w:u w:color="000000"/>
          <w:rtl w:val="0"/>
          <w:lang w:val="en-US"/>
          <w14:textFill>
            <w14:solidFill>
              <w14:srgbClr w14:val="000000"/>
            </w14:solidFill>
          </w14:textFill>
        </w:rPr>
        <w:t>guardia</w:t>
      </w:r>
      <w:r>
        <w:rPr>
          <w:rFonts w:ascii="Arial" w:hAnsi="Arial"/>
          <w:outline w:val="0"/>
          <w:color w:val="000000"/>
          <w:sz w:val="20"/>
          <w:szCs w:val="20"/>
          <w:u w:color="000000"/>
          <w:rtl w:val="0"/>
          <w:lang w:val="en-US"/>
          <w14:textFill>
            <w14:solidFill>
              <w14:srgbClr w14:val="000000"/>
            </w14:solidFill>
          </w14:textFill>
        </w:rPr>
        <w:t>n</w:t>
      </w:r>
      <w:r>
        <w:rPr>
          <w:rFonts w:ascii="Arial" w:hAnsi="Arial"/>
          <w:outline w:val="0"/>
          <w:color w:val="000000"/>
          <w:sz w:val="20"/>
          <w:szCs w:val="20"/>
          <w:u w:color="000000"/>
          <w:rtl w:val="0"/>
          <w:lang w:val="en-US"/>
          <w14:textFill>
            <w14:solidFill>
              <w14:srgbClr w14:val="000000"/>
            </w14:solidFill>
          </w14:textFill>
        </w:rPr>
        <w:t>, in adequate accommodation facilities for minors. If this is not possible, an unaccompanied foreign minor and a family with a foreign minor shall be accommodated in the Centre.</w:t>
      </w:r>
      <w:r>
        <w:rPr>
          <w:rFonts w:ascii="Arial" w:hAnsi="Arial"/>
          <w:outline w:val="0"/>
          <w:color w:val="222222"/>
          <w:u w:color="222222"/>
          <w:shd w:val="clear" w:color="auto" w:fill="ffffff"/>
          <w:rtl w:val="0"/>
          <w:lang w:val="en-US"/>
          <w14:textFill>
            <w14:solidFill>
              <w14:srgbClr w14:val="222222"/>
            </w14:solidFill>
          </w14:textFill>
        </w:rPr>
        <w:t xml:space="preserve"> </w:t>
      </w:r>
    </w:p>
    <w:p>
      <w:pPr>
        <w:pStyle w:val="Normal.0"/>
        <w:spacing w:after="0"/>
        <w:jc w:val="both"/>
        <w:rPr>
          <w:rFonts w:ascii="Arial" w:cs="Arial" w:hAnsi="Arial" w:eastAsia="Arial"/>
          <w:outline w:val="0"/>
          <w:color w:val="222222"/>
          <w:u w:color="222222"/>
          <w:shd w:val="clear" w:color="auto" w:fill="ffffff"/>
          <w:lang w:val="en-US"/>
          <w14:textFill>
            <w14:solidFill>
              <w14:srgbClr w14:val="222222"/>
            </w14:solidFill>
          </w14:textFill>
        </w:rPr>
      </w:pPr>
    </w:p>
    <w:p>
      <w:pPr>
        <w:pStyle w:val="Normal.0"/>
        <w:spacing w:after="0"/>
        <w:jc w:val="both"/>
        <w:rPr>
          <w:rFonts w:ascii="Arial" w:cs="Arial" w:hAnsi="Arial" w:eastAsia="Arial"/>
          <w:sz w:val="20"/>
          <w:szCs w:val="20"/>
        </w:rPr>
      </w:pPr>
      <w:r>
        <w:rPr>
          <w:rFonts w:ascii="Arial" w:hAnsi="Arial"/>
          <w:sz w:val="20"/>
          <w:szCs w:val="20"/>
          <w:rtl w:val="0"/>
          <w:lang w:val="en-US"/>
        </w:rPr>
        <w:t>Strict police supervision may be imposed on a foreigner minor only exceptionally whereby he</w:t>
      </w:r>
      <w:r>
        <w:rPr>
          <w:rFonts w:ascii="Arial" w:hAnsi="Arial"/>
          <w:sz w:val="20"/>
          <w:szCs w:val="20"/>
          <w:rtl w:val="0"/>
          <w:lang w:val="en-US"/>
        </w:rPr>
        <w:t xml:space="preserve"> or she</w:t>
      </w:r>
      <w:r>
        <w:rPr>
          <w:rFonts w:ascii="Arial" w:hAnsi="Arial"/>
          <w:sz w:val="20"/>
          <w:szCs w:val="20"/>
          <w:rtl w:val="0"/>
          <w:lang w:val="en-US"/>
        </w:rPr>
        <w:t xml:space="preserve"> is accompanied by both or at least by one of his</w:t>
      </w:r>
      <w:r>
        <w:rPr>
          <w:rFonts w:ascii="Arial" w:hAnsi="Arial"/>
          <w:sz w:val="20"/>
          <w:szCs w:val="20"/>
          <w:rtl w:val="0"/>
          <w:lang w:val="en-US"/>
        </w:rPr>
        <w:t>/her</w:t>
      </w:r>
      <w:r>
        <w:rPr>
          <w:rFonts w:ascii="Arial" w:hAnsi="Arial"/>
          <w:sz w:val="20"/>
          <w:szCs w:val="20"/>
          <w:rtl w:val="0"/>
          <w:lang w:val="en-US"/>
        </w:rPr>
        <w:t xml:space="preserve"> parents. Under no circumstances, however, can stay under the strict police supervision be ordered for an unaccompanied foreigner minor.</w:t>
      </w:r>
    </w:p>
    <w:p>
      <w:pPr>
        <w:pStyle w:val="Normal.0"/>
        <w:spacing w:after="0" w:line="276" w:lineRule="auto"/>
        <w:jc w:val="both"/>
        <w:rPr>
          <w:rFonts w:ascii="Arial" w:cs="Arial" w:hAnsi="Arial" w:eastAsia="Arial"/>
          <w:sz w:val="20"/>
          <w:szCs w:val="20"/>
          <w:lang w:val="en-US"/>
        </w:rPr>
      </w:pPr>
    </w:p>
    <w:p>
      <w:pPr>
        <w:pStyle w:val="Normal.0"/>
        <w:spacing w:after="0" w:line="276" w:lineRule="auto"/>
        <w:jc w:val="both"/>
        <w:rPr>
          <w:rFonts w:ascii="Arial" w:cs="Arial" w:hAnsi="Arial" w:eastAsia="Arial"/>
          <w:sz w:val="20"/>
          <w:szCs w:val="20"/>
          <w:lang w:val="en-US"/>
        </w:rPr>
      </w:pPr>
    </w:p>
    <w:p>
      <w:pPr>
        <w:pStyle w:val="Normal.0"/>
        <w:spacing w:after="0" w:line="240" w:lineRule="auto"/>
        <w:jc w:val="both"/>
        <w:rPr>
          <w:rFonts w:ascii="Arial" w:cs="Arial" w:hAnsi="Arial" w:eastAsia="Arial"/>
          <w:b w:val="1"/>
          <w:bCs w:val="1"/>
          <w:sz w:val="20"/>
          <w:szCs w:val="20"/>
        </w:rPr>
      </w:pPr>
      <w:r>
        <w:rPr>
          <w:rFonts w:ascii="Arial" w:hAnsi="Arial"/>
          <w:b w:val="1"/>
          <w:bCs w:val="1"/>
          <w:sz w:val="20"/>
          <w:szCs w:val="20"/>
          <w:rtl w:val="0"/>
          <w:lang w:val="en-US"/>
        </w:rPr>
        <w:t>2. Please provide information on existing non-custodial alternatives to immigration detention of children in your country (e.g. community-based reception solutions) and elaborate how these alternatives effectively enhance the protection of the rights of migrant children and their families.</w:t>
      </w:r>
    </w:p>
    <w:p>
      <w:pPr>
        <w:pStyle w:val="Normal.0"/>
        <w:spacing w:after="0" w:line="276" w:lineRule="auto"/>
        <w:jc w:val="both"/>
        <w:rPr>
          <w:rFonts w:ascii="Arial" w:cs="Arial" w:hAnsi="Arial" w:eastAsia="Arial"/>
          <w:sz w:val="20"/>
          <w:szCs w:val="20"/>
          <w:lang w:val="en-US"/>
        </w:rPr>
      </w:pPr>
    </w:p>
    <w:p>
      <w:pPr>
        <w:pStyle w:val="List Paragraph"/>
        <w:numPr>
          <w:ilvl w:val="0"/>
          <w:numId w:val="4"/>
        </w:numPr>
        <w:bidi w:val="0"/>
        <w:spacing w:after="0" w:line="276" w:lineRule="auto"/>
        <w:ind w:right="0"/>
        <w:jc w:val="both"/>
        <w:rPr>
          <w:rFonts w:ascii="Arial" w:hAnsi="Arial"/>
          <w:b w:val="1"/>
          <w:bCs w:val="1"/>
          <w:sz w:val="20"/>
          <w:szCs w:val="20"/>
          <w:rtl w:val="0"/>
          <w:lang w:val="en-US"/>
        </w:rPr>
      </w:pPr>
      <w:r>
        <w:rPr>
          <w:rFonts w:ascii="Arial" w:hAnsi="Arial"/>
          <w:b w:val="1"/>
          <w:bCs w:val="1"/>
          <w:sz w:val="20"/>
          <w:szCs w:val="20"/>
          <w:rtl w:val="0"/>
          <w:lang w:val="en-US"/>
        </w:rPr>
        <w:t xml:space="preserve"> Alternatives to immigration detention under the International Protection Act</w:t>
      </w:r>
    </w:p>
    <w:p>
      <w:pPr>
        <w:pStyle w:val="List Paragraph"/>
        <w:spacing w:after="0" w:line="276" w:lineRule="auto"/>
        <w:jc w:val="both"/>
        <w:rPr>
          <w:rFonts w:ascii="Arial" w:cs="Arial" w:hAnsi="Arial" w:eastAsia="Arial"/>
          <w:sz w:val="20"/>
          <w:szCs w:val="20"/>
          <w:lang w:val="en-US"/>
        </w:rPr>
      </w:pPr>
    </w:p>
    <w:p>
      <w:pPr>
        <w:pStyle w:val="Normal.0"/>
        <w:spacing w:after="0" w:line="276" w:lineRule="auto"/>
        <w:jc w:val="both"/>
        <w:rPr>
          <w:rFonts w:ascii="Arial" w:cs="Arial" w:hAnsi="Arial" w:eastAsia="Arial"/>
          <w:sz w:val="20"/>
          <w:szCs w:val="20"/>
        </w:rPr>
      </w:pPr>
      <w:r>
        <w:rPr>
          <w:rFonts w:ascii="Arial" w:hAnsi="Arial"/>
          <w:sz w:val="20"/>
          <w:szCs w:val="20"/>
          <w:rtl w:val="0"/>
          <w:lang w:val="en-US"/>
        </w:rPr>
        <w:t xml:space="preserve">According to the </w:t>
      </w:r>
      <w:r>
        <w:rPr>
          <w:rFonts w:ascii="Arial" w:hAnsi="Arial"/>
          <w:b w:val="1"/>
          <w:bCs w:val="1"/>
          <w:sz w:val="20"/>
          <w:szCs w:val="20"/>
          <w:rtl w:val="0"/>
          <w:lang w:val="en-US"/>
        </w:rPr>
        <w:t>International Protection Act</w:t>
      </w:r>
      <w:r>
        <w:rPr>
          <w:rFonts w:ascii="Arial" w:hAnsi="Arial"/>
          <w:sz w:val="20"/>
          <w:szCs w:val="20"/>
          <w:rtl w:val="0"/>
          <w:lang w:val="en-US"/>
        </w:rPr>
        <w:t>, detention of children is not allowed</w:t>
      </w:r>
      <w:r>
        <w:rPr>
          <w:rFonts w:ascii="Arial" w:hAnsi="Arial"/>
          <w:sz w:val="20"/>
          <w:szCs w:val="20"/>
          <w:rtl w:val="0"/>
          <w:lang w:val="en-US"/>
        </w:rPr>
        <w:t xml:space="preserve">. A </w:t>
      </w:r>
      <w:r>
        <w:rPr>
          <w:rFonts w:ascii="Arial" w:hAnsi="Arial"/>
          <w:sz w:val="20"/>
          <w:szCs w:val="20"/>
          <w:rtl w:val="0"/>
          <w:lang w:val="en-US"/>
        </w:rPr>
        <w:t xml:space="preserve">possible alternative is the measure of mandatory stay in the area of the Asylum Centre. Since we have not dealt with many problems in this regard in practice, we have no other alternatives </w:t>
      </w:r>
      <w:r>
        <w:rPr>
          <w:rFonts w:ascii="Arial" w:hAnsi="Arial"/>
          <w:sz w:val="20"/>
          <w:szCs w:val="20"/>
          <w:rtl w:val="0"/>
          <w:lang w:val="en-US"/>
        </w:rPr>
        <w:t xml:space="preserve">developed </w:t>
      </w:r>
      <w:r>
        <w:rPr>
          <w:rFonts w:ascii="Arial" w:hAnsi="Arial"/>
          <w:sz w:val="20"/>
          <w:szCs w:val="20"/>
          <w:rtl w:val="0"/>
          <w:lang w:val="en-US"/>
        </w:rPr>
        <w:t xml:space="preserve">to ensure the non-detention or reduce the immigration detention of children. </w:t>
      </w:r>
    </w:p>
    <w:p>
      <w:pPr>
        <w:pStyle w:val="Normal.0"/>
        <w:spacing w:after="0" w:line="276" w:lineRule="auto"/>
        <w:jc w:val="both"/>
        <w:rPr>
          <w:rFonts w:ascii="Arial" w:cs="Arial" w:hAnsi="Arial" w:eastAsia="Arial"/>
          <w:sz w:val="20"/>
          <w:szCs w:val="20"/>
          <w:lang w:val="en-US"/>
        </w:rPr>
      </w:pPr>
    </w:p>
    <w:p>
      <w:pPr>
        <w:pStyle w:val="Normal.0"/>
        <w:spacing w:after="0" w:line="276" w:lineRule="auto"/>
        <w:jc w:val="both"/>
        <w:rPr>
          <w:rFonts w:ascii="Arial" w:cs="Arial" w:hAnsi="Arial" w:eastAsia="Arial"/>
          <w:sz w:val="20"/>
          <w:szCs w:val="20"/>
        </w:rPr>
      </w:pPr>
      <w:r>
        <w:rPr>
          <w:rFonts w:ascii="Arial" w:hAnsi="Arial"/>
          <w:sz w:val="20"/>
          <w:szCs w:val="20"/>
          <w:rtl w:val="0"/>
          <w:lang w:val="en-US"/>
        </w:rPr>
        <w:t xml:space="preserve">Nevertheless, as stipulated in the </w:t>
      </w:r>
      <w:r>
        <w:rPr>
          <w:rFonts w:ascii="Arial" w:hAnsi="Arial"/>
          <w:b w:val="1"/>
          <w:bCs w:val="1"/>
          <w:sz w:val="20"/>
          <w:szCs w:val="20"/>
          <w:rtl w:val="0"/>
          <w:lang w:val="en-US"/>
        </w:rPr>
        <w:t>Article 15</w:t>
      </w:r>
      <w:r>
        <w:rPr>
          <w:rFonts w:ascii="Arial" w:hAnsi="Arial"/>
          <w:sz w:val="20"/>
          <w:szCs w:val="20"/>
          <w:rtl w:val="0"/>
          <w:lang w:val="en-US"/>
        </w:rPr>
        <w:t xml:space="preserve">, the best interests of the child are always the primary consideration when it comes to making decisions on children in the context of migration. According to this article, minors need to be ensured a standard of living adequate to their psychological, mental, spiritual, ethical and social development. </w:t>
      </w:r>
    </w:p>
    <w:p>
      <w:pPr>
        <w:pStyle w:val="Normal.0"/>
        <w:spacing w:after="0" w:line="276" w:lineRule="auto"/>
        <w:jc w:val="both"/>
        <w:rPr>
          <w:rFonts w:ascii="Arial" w:cs="Arial" w:hAnsi="Arial" w:eastAsia="Arial"/>
          <w:sz w:val="20"/>
          <w:szCs w:val="20"/>
          <w:lang w:val="en-US"/>
        </w:rPr>
      </w:pPr>
    </w:p>
    <w:p>
      <w:pPr>
        <w:pStyle w:val="Normal.0"/>
        <w:spacing w:after="0" w:line="276" w:lineRule="auto"/>
        <w:jc w:val="both"/>
        <w:rPr>
          <w:rFonts w:ascii="Arial" w:cs="Arial" w:hAnsi="Arial" w:eastAsia="Arial"/>
          <w:sz w:val="20"/>
          <w:szCs w:val="20"/>
        </w:rPr>
      </w:pPr>
      <w:r>
        <w:rPr>
          <w:rFonts w:ascii="Arial" w:hAnsi="Arial"/>
          <w:sz w:val="20"/>
          <w:szCs w:val="20"/>
          <w:rtl w:val="0"/>
          <w:lang w:val="en-US"/>
        </w:rPr>
        <w:t xml:space="preserve">The assessment of a child's best interests shall in particular take due account of the following factors: </w:t>
      </w:r>
    </w:p>
    <w:p>
      <w:pPr>
        <w:pStyle w:val="List Paragraph"/>
        <w:numPr>
          <w:ilvl w:val="0"/>
          <w:numId w:val="6"/>
        </w:numPr>
        <w:bidi w:val="0"/>
        <w:spacing w:after="0" w:line="276" w:lineRule="auto"/>
        <w:ind w:right="0"/>
        <w:jc w:val="both"/>
        <w:rPr>
          <w:rFonts w:ascii="Arial" w:hAnsi="Arial"/>
          <w:sz w:val="20"/>
          <w:szCs w:val="20"/>
          <w:rtl w:val="0"/>
          <w:lang w:val="en-US"/>
        </w:rPr>
      </w:pPr>
      <w:r>
        <w:rPr>
          <w:rFonts w:ascii="Arial" w:hAnsi="Arial"/>
          <w:sz w:val="20"/>
          <w:szCs w:val="20"/>
          <w:rtl w:val="0"/>
          <w:lang w:val="en-US"/>
        </w:rPr>
        <w:t>the possibility of family reunification,</w:t>
      </w:r>
    </w:p>
    <w:p>
      <w:pPr>
        <w:pStyle w:val="List Paragraph"/>
        <w:numPr>
          <w:ilvl w:val="0"/>
          <w:numId w:val="6"/>
        </w:numPr>
        <w:bidi w:val="0"/>
        <w:spacing w:after="0" w:line="276" w:lineRule="auto"/>
        <w:ind w:right="0"/>
        <w:jc w:val="both"/>
        <w:rPr>
          <w:rFonts w:ascii="Arial" w:hAnsi="Arial"/>
          <w:sz w:val="20"/>
          <w:szCs w:val="20"/>
          <w:rtl w:val="0"/>
          <w:lang w:val="en-US"/>
        </w:rPr>
      </w:pPr>
      <w:r>
        <w:rPr>
          <w:rFonts w:ascii="Arial" w:hAnsi="Arial"/>
          <w:sz w:val="20"/>
          <w:szCs w:val="20"/>
          <w:rtl w:val="0"/>
          <w:lang w:val="en-US"/>
        </w:rPr>
        <w:t>the minor's well-being and social development, in particular taking into consideration the minor's background,</w:t>
      </w:r>
    </w:p>
    <w:p>
      <w:pPr>
        <w:pStyle w:val="List Paragraph"/>
        <w:numPr>
          <w:ilvl w:val="0"/>
          <w:numId w:val="6"/>
        </w:numPr>
        <w:bidi w:val="0"/>
        <w:spacing w:after="0" w:line="276" w:lineRule="auto"/>
        <w:ind w:right="0"/>
        <w:jc w:val="both"/>
        <w:rPr>
          <w:rFonts w:ascii="Arial" w:hAnsi="Arial"/>
          <w:sz w:val="20"/>
          <w:szCs w:val="20"/>
          <w:rtl w:val="0"/>
          <w:lang w:val="en-US"/>
        </w:rPr>
      </w:pPr>
      <w:r>
        <w:rPr>
          <w:rFonts w:ascii="Arial" w:hAnsi="Arial"/>
          <w:sz w:val="20"/>
          <w:szCs w:val="20"/>
          <w:rtl w:val="0"/>
          <w:lang w:val="en-US"/>
        </w:rPr>
        <w:t>safety and security considerations, especially when there is a risk of the minor being a victim of trafficking in human beings,</w:t>
      </w:r>
    </w:p>
    <w:p>
      <w:pPr>
        <w:pStyle w:val="List Paragraph"/>
        <w:numPr>
          <w:ilvl w:val="0"/>
          <w:numId w:val="6"/>
        </w:numPr>
        <w:bidi w:val="0"/>
        <w:spacing w:after="0" w:line="276" w:lineRule="auto"/>
        <w:ind w:right="0"/>
        <w:jc w:val="both"/>
        <w:rPr>
          <w:rFonts w:ascii="Arial" w:hAnsi="Arial"/>
          <w:sz w:val="20"/>
          <w:szCs w:val="20"/>
          <w:rtl w:val="0"/>
          <w:lang w:val="en-US"/>
        </w:rPr>
      </w:pPr>
      <w:r>
        <w:rPr>
          <w:rFonts w:ascii="Arial" w:hAnsi="Arial"/>
          <w:sz w:val="20"/>
          <w:szCs w:val="20"/>
          <w:rtl w:val="0"/>
          <w:lang w:val="en-US"/>
        </w:rPr>
        <w:t>the minor's views, in accordance with his or her age and maturity.</w:t>
      </w:r>
    </w:p>
    <w:p>
      <w:pPr>
        <w:pStyle w:val="Normal.0"/>
        <w:spacing w:after="0" w:line="276" w:lineRule="auto"/>
        <w:jc w:val="both"/>
        <w:rPr>
          <w:rFonts w:ascii="Arial" w:cs="Arial" w:hAnsi="Arial" w:eastAsia="Arial"/>
          <w:sz w:val="20"/>
          <w:szCs w:val="20"/>
          <w:lang w:val="en-US"/>
        </w:rPr>
      </w:pPr>
    </w:p>
    <w:p>
      <w:pPr>
        <w:pStyle w:val="Normal.0"/>
        <w:spacing w:after="0" w:line="276" w:lineRule="auto"/>
        <w:jc w:val="both"/>
        <w:rPr>
          <w:rFonts w:ascii="Arial" w:cs="Arial" w:hAnsi="Arial" w:eastAsia="Arial"/>
          <w:sz w:val="20"/>
          <w:szCs w:val="20"/>
        </w:rPr>
      </w:pPr>
      <w:r>
        <w:rPr>
          <w:rFonts w:ascii="Arial" w:hAnsi="Arial"/>
          <w:sz w:val="20"/>
          <w:szCs w:val="20"/>
          <w:rtl w:val="0"/>
          <w:lang w:val="en-US"/>
        </w:rPr>
        <w:t>Minors shall be given access to leisure activities, including play and recreational activities appropriate to their age within the premises and accommodation centres and to open-air activities. Furthermore, minors identified as victims of abuse of any kind, neglect, exploitation, torture or cruelty, inhuman or degrading treatment or who have suffered from armed conflict shall be provided access to rehabilitation and, where necessary, appropriate psychological treatment and qualified counselling. Minor applicants shall be placed with their parents, their unmarried minor siblings or with the adult responsible for them whether by law or by practice, provided, that this is in their best interests.</w:t>
      </w:r>
    </w:p>
    <w:p>
      <w:pPr>
        <w:pStyle w:val="Normal.0"/>
        <w:spacing w:after="0" w:line="276" w:lineRule="auto"/>
        <w:jc w:val="both"/>
        <w:rPr>
          <w:rFonts w:ascii="Arial" w:cs="Arial" w:hAnsi="Arial" w:eastAsia="Arial"/>
          <w:sz w:val="20"/>
          <w:szCs w:val="20"/>
          <w:lang w:val="en-US"/>
        </w:rPr>
      </w:pPr>
    </w:p>
    <w:p>
      <w:pPr>
        <w:pStyle w:val="Normal.0"/>
        <w:spacing w:after="0" w:line="276" w:lineRule="auto"/>
        <w:jc w:val="both"/>
        <w:rPr>
          <w:rFonts w:ascii="Arial" w:cs="Arial" w:hAnsi="Arial" w:eastAsia="Arial"/>
          <w:sz w:val="20"/>
          <w:szCs w:val="20"/>
        </w:rPr>
      </w:pPr>
      <w:r>
        <w:rPr>
          <w:rFonts w:ascii="Arial" w:hAnsi="Arial"/>
          <w:b w:val="1"/>
          <w:bCs w:val="1"/>
          <w:sz w:val="20"/>
          <w:szCs w:val="20"/>
          <w:rtl w:val="0"/>
          <w:lang w:val="en-US"/>
        </w:rPr>
        <w:t>Article 4</w:t>
      </w:r>
      <w:r>
        <w:rPr>
          <w:rFonts w:ascii="Arial" w:hAnsi="Arial"/>
          <w:sz w:val="20"/>
          <w:szCs w:val="20"/>
          <w:rtl w:val="0"/>
          <w:lang w:val="en-US"/>
        </w:rPr>
        <w:t xml:space="preserve"> of the International Protection Act also sets forward an obligation that every person subject to the international protection procedures pursuant to the act, including a minor, is guaranteed information sharing, interpreting and translation services, access to the </w:t>
      </w:r>
      <w:r>
        <w:rPr>
          <w:rFonts w:ascii="Arial" w:hAnsi="Arial"/>
          <w:sz w:val="20"/>
          <w:szCs w:val="20"/>
          <w:rtl w:val="0"/>
          <w:lang w:val="en-US"/>
        </w:rPr>
        <w:t>UNHCR</w:t>
      </w:r>
      <w:r>
        <w:rPr>
          <w:rFonts w:ascii="Arial" w:hAnsi="Arial"/>
          <w:sz w:val="20"/>
          <w:szCs w:val="20"/>
          <w:rtl w:val="0"/>
          <w:lang w:val="en-US"/>
        </w:rPr>
        <w:t xml:space="preserve"> and organisations providing legal advice, as well as written decision on the procedure, including a translation of the essential parts into a language that the person understands.</w:t>
      </w:r>
    </w:p>
    <w:p>
      <w:pPr>
        <w:pStyle w:val="Normal.0"/>
        <w:spacing w:after="0" w:line="276" w:lineRule="auto"/>
        <w:jc w:val="both"/>
        <w:rPr>
          <w:rFonts w:ascii="Arial" w:cs="Arial" w:hAnsi="Arial" w:eastAsia="Arial"/>
          <w:sz w:val="20"/>
          <w:szCs w:val="20"/>
          <w:lang w:val="en-US"/>
        </w:rPr>
      </w:pPr>
    </w:p>
    <w:p>
      <w:pPr>
        <w:pStyle w:val="Normal.0"/>
        <w:spacing w:after="0" w:line="276" w:lineRule="auto"/>
        <w:jc w:val="both"/>
        <w:rPr>
          <w:rFonts w:ascii="Arial" w:cs="Arial" w:hAnsi="Arial" w:eastAsia="Arial"/>
          <w:sz w:val="20"/>
          <w:szCs w:val="20"/>
        </w:rPr>
      </w:pPr>
      <w:r>
        <w:rPr>
          <w:rFonts w:ascii="Arial" w:hAnsi="Arial"/>
          <w:sz w:val="20"/>
          <w:szCs w:val="20"/>
          <w:rtl w:val="0"/>
          <w:lang w:val="en-US"/>
        </w:rPr>
        <w:t xml:space="preserve">Under the </w:t>
      </w:r>
      <w:r>
        <w:rPr>
          <w:rFonts w:ascii="Arial" w:hAnsi="Arial"/>
          <w:b w:val="1"/>
          <w:bCs w:val="1"/>
          <w:sz w:val="20"/>
          <w:szCs w:val="20"/>
          <w:rtl w:val="0"/>
          <w:lang w:val="en-US"/>
        </w:rPr>
        <w:t>Article 78</w:t>
      </w:r>
      <w:r>
        <w:rPr>
          <w:rFonts w:ascii="Arial" w:hAnsi="Arial"/>
          <w:sz w:val="20"/>
          <w:szCs w:val="20"/>
          <w:rtl w:val="0"/>
          <w:lang w:val="en-US"/>
        </w:rPr>
        <w:t>, applicants for international protection are also entitled to material support, emergency medical treatment, education, humanitarian aid, and allowance. In accordance with regulations on mandatory primary education, minors shall be guaranteed the right to primary education, following that specific permissions are provided to exit the reception centre for attending the school.</w:t>
      </w:r>
    </w:p>
    <w:p>
      <w:pPr>
        <w:pStyle w:val="Normal.0"/>
        <w:spacing w:after="0" w:line="276" w:lineRule="auto"/>
        <w:jc w:val="both"/>
        <w:rPr>
          <w:rFonts w:ascii="Arial" w:cs="Arial" w:hAnsi="Arial" w:eastAsia="Arial"/>
          <w:b w:val="1"/>
          <w:bCs w:val="1"/>
          <w:sz w:val="20"/>
          <w:szCs w:val="20"/>
          <w:lang w:val="en-US"/>
        </w:rPr>
      </w:pPr>
    </w:p>
    <w:p>
      <w:pPr>
        <w:pStyle w:val="List Paragraph"/>
        <w:numPr>
          <w:ilvl w:val="0"/>
          <w:numId w:val="7"/>
        </w:numPr>
        <w:bidi w:val="0"/>
        <w:spacing w:after="0" w:line="276" w:lineRule="auto"/>
        <w:ind w:right="0"/>
        <w:jc w:val="both"/>
        <w:rPr>
          <w:rFonts w:ascii="Arial" w:hAnsi="Arial"/>
          <w:b w:val="1"/>
          <w:bCs w:val="1"/>
          <w:sz w:val="20"/>
          <w:szCs w:val="20"/>
          <w:rtl w:val="0"/>
          <w:lang w:val="en-US"/>
        </w:rPr>
      </w:pPr>
      <w:r>
        <w:rPr>
          <w:rFonts w:ascii="Arial" w:hAnsi="Arial"/>
          <w:b w:val="1"/>
          <w:bCs w:val="1"/>
          <w:sz w:val="20"/>
          <w:szCs w:val="20"/>
          <w:rtl w:val="0"/>
          <w:lang w:val="en-US"/>
        </w:rPr>
        <w:t>Alternatives to immigration detention for minors who are not in the process of acquiring international protection</w:t>
      </w:r>
    </w:p>
    <w:p>
      <w:pPr>
        <w:pStyle w:val="List Paragraph"/>
        <w:spacing w:after="0" w:line="276" w:lineRule="auto"/>
        <w:jc w:val="both"/>
        <w:rPr>
          <w:rFonts w:ascii="Arial" w:cs="Arial" w:hAnsi="Arial" w:eastAsia="Arial"/>
          <w:b w:val="1"/>
          <w:bCs w:val="1"/>
          <w:sz w:val="20"/>
          <w:szCs w:val="20"/>
          <w:lang w:val="en-US"/>
        </w:rPr>
      </w:pPr>
    </w:p>
    <w:p>
      <w:pPr>
        <w:pStyle w:val="Normal.0"/>
        <w:spacing w:after="0" w:line="276" w:lineRule="auto"/>
        <w:jc w:val="both"/>
        <w:rPr>
          <w:rFonts w:ascii="Arial" w:cs="Arial" w:hAnsi="Arial" w:eastAsia="Arial"/>
          <w:sz w:val="20"/>
          <w:szCs w:val="20"/>
        </w:rPr>
      </w:pPr>
      <w:r>
        <w:rPr>
          <w:rFonts w:ascii="Arial" w:hAnsi="Arial"/>
          <w:sz w:val="20"/>
          <w:szCs w:val="20"/>
          <w:rtl w:val="0"/>
          <w:lang w:val="en-US"/>
        </w:rPr>
        <w:t xml:space="preserve">As an alternative to detention for minors who are not in the process of acquiring international protection but are returning home voluntarily and in agreement with their parents and representative of the Social Work Centre (as the guardian for unaccompanied minors), facilities of the Social Work Centre may be used, which are normally used for minors who are citizens of the Republic of Slovenia. This is done in prior agreement with the Social Work Centre. </w:t>
      </w:r>
    </w:p>
    <w:p>
      <w:pPr>
        <w:pStyle w:val="Normal.0"/>
        <w:spacing w:after="0" w:line="276" w:lineRule="auto"/>
        <w:jc w:val="both"/>
        <w:rPr>
          <w:rFonts w:ascii="Arial" w:cs="Arial" w:hAnsi="Arial" w:eastAsia="Arial"/>
          <w:sz w:val="20"/>
          <w:szCs w:val="20"/>
          <w:lang w:val="en-US"/>
        </w:rPr>
      </w:pPr>
    </w:p>
    <w:p>
      <w:pPr>
        <w:pStyle w:val="Normal.0"/>
        <w:spacing w:after="0" w:line="276" w:lineRule="auto"/>
        <w:jc w:val="both"/>
        <w:rPr>
          <w:rFonts w:ascii="Arial" w:cs="Arial" w:hAnsi="Arial" w:eastAsia="Arial"/>
          <w:sz w:val="20"/>
          <w:szCs w:val="20"/>
        </w:rPr>
      </w:pPr>
      <w:r>
        <w:rPr>
          <w:rFonts w:ascii="Arial" w:hAnsi="Arial"/>
          <w:sz w:val="20"/>
          <w:szCs w:val="20"/>
          <w:rtl w:val="0"/>
          <w:lang w:val="en-US"/>
        </w:rPr>
        <w:t xml:space="preserve">The procedures in cases of voluntary return of minors to the country of origin (we emphasize again that this is always voluntary and in agreement with the parents and </w:t>
      </w:r>
      <w:r>
        <w:rPr>
          <w:rFonts w:ascii="Arial" w:hAnsi="Arial"/>
          <w:sz w:val="20"/>
          <w:szCs w:val="20"/>
          <w:rtl w:val="0"/>
          <w:lang w:val="en-US"/>
        </w:rPr>
        <w:t xml:space="preserve">the </w:t>
      </w:r>
      <w:r>
        <w:rPr>
          <w:rFonts w:ascii="Arial" w:hAnsi="Arial"/>
          <w:sz w:val="20"/>
          <w:szCs w:val="20"/>
          <w:rtl w:val="0"/>
          <w:lang w:val="en-US"/>
        </w:rPr>
        <w:t xml:space="preserve">guardian) are so fast that a minor only spends a </w:t>
      </w:r>
      <w:r>
        <w:rPr>
          <w:rFonts w:ascii="Arial" w:hAnsi="Arial"/>
          <w:sz w:val="20"/>
          <w:szCs w:val="20"/>
          <w:rtl w:val="0"/>
          <w:lang w:val="en-US"/>
        </w:rPr>
        <w:t xml:space="preserve">short period of time (a </w:t>
      </w:r>
      <w:r>
        <w:rPr>
          <w:rFonts w:ascii="Arial" w:hAnsi="Arial"/>
          <w:sz w:val="20"/>
          <w:szCs w:val="20"/>
          <w:rtl w:val="0"/>
          <w:lang w:val="en-US"/>
        </w:rPr>
        <w:t>couple of days</w:t>
      </w:r>
      <w:r>
        <w:rPr>
          <w:rFonts w:ascii="Arial" w:hAnsi="Arial"/>
          <w:sz w:val="20"/>
          <w:szCs w:val="20"/>
          <w:rtl w:val="0"/>
          <w:lang w:val="en-US"/>
        </w:rPr>
        <w:t>)</w:t>
      </w:r>
      <w:r>
        <w:rPr>
          <w:rFonts w:ascii="Arial" w:hAnsi="Arial"/>
          <w:sz w:val="20"/>
          <w:szCs w:val="20"/>
          <w:rtl w:val="0"/>
          <w:lang w:val="en-US"/>
        </w:rPr>
        <w:t xml:space="preserve"> at the Centre for Foreigners (where detention of foreigners in process of being returned takes place). At the Centre for Foreigners there is a special section reserved for the accommodation of minors. It is equipped to serve their needs</w:t>
      </w:r>
      <w:r>
        <w:rPr>
          <w:rFonts w:ascii="Arial" w:hAnsi="Arial"/>
          <w:sz w:val="20"/>
          <w:szCs w:val="20"/>
          <w:rtl w:val="0"/>
          <w:lang w:val="en-US"/>
        </w:rPr>
        <w:t xml:space="preserve">; </w:t>
      </w:r>
      <w:r>
        <w:rPr>
          <w:rFonts w:ascii="Arial" w:hAnsi="Arial"/>
          <w:sz w:val="20"/>
          <w:szCs w:val="20"/>
          <w:rtl w:val="0"/>
          <w:lang w:val="en-US"/>
        </w:rPr>
        <w:t>and social workers t</w:t>
      </w:r>
      <w:r>
        <w:rPr>
          <w:rFonts w:ascii="Arial" w:hAnsi="Arial"/>
          <w:sz w:val="20"/>
          <w:szCs w:val="20"/>
          <w:rtl w:val="0"/>
          <w:lang w:val="en-US"/>
        </w:rPr>
        <w:t xml:space="preserve">are </w:t>
      </w:r>
      <w:r>
        <w:rPr>
          <w:rFonts w:ascii="Arial" w:hAnsi="Arial"/>
          <w:sz w:val="20"/>
          <w:szCs w:val="20"/>
          <w:rtl w:val="0"/>
          <w:lang w:val="en-US"/>
        </w:rPr>
        <w:t xml:space="preserve">here to take special care of their welfare as well as a psychiatrist and a doctor if needed. </w:t>
      </w:r>
    </w:p>
    <w:p>
      <w:pPr>
        <w:pStyle w:val="Normal.0"/>
        <w:spacing w:after="0" w:line="276" w:lineRule="auto"/>
        <w:jc w:val="both"/>
        <w:rPr>
          <w:rFonts w:ascii="Arial" w:cs="Arial" w:hAnsi="Arial" w:eastAsia="Arial"/>
          <w:sz w:val="20"/>
          <w:szCs w:val="20"/>
        </w:rPr>
      </w:pPr>
      <w:r>
        <w:rPr>
          <w:rFonts w:ascii="Arial" w:cs="Arial" w:hAnsi="Arial" w:eastAsia="Arial"/>
          <w:sz w:val="20"/>
          <w:szCs w:val="20"/>
          <w:lang w:val="en-US"/>
        </w:rPr>
        <w:br w:type="textWrapping"/>
      </w:r>
      <w:r>
        <w:rPr>
          <w:rFonts w:ascii="Arial" w:hAnsi="Arial"/>
          <w:sz w:val="20"/>
          <w:szCs w:val="20"/>
          <w:rtl w:val="0"/>
          <w:lang w:val="en-US"/>
        </w:rPr>
        <w:t>In 2019 there were four voluntary returns of unaccompanied minors to the country of origin.</w:t>
      </w:r>
    </w:p>
    <w:p>
      <w:pPr>
        <w:pStyle w:val="Normal.0"/>
        <w:rPr>
          <w:rFonts w:ascii="Arial" w:cs="Arial" w:hAnsi="Arial" w:eastAsia="Arial"/>
          <w:b w:val="1"/>
          <w:bCs w:val="1"/>
          <w:sz w:val="20"/>
          <w:szCs w:val="20"/>
          <w:lang w:val="en-US"/>
        </w:rPr>
      </w:pPr>
    </w:p>
    <w:p>
      <w:pPr>
        <w:pStyle w:val="Normal.0"/>
        <w:spacing w:after="0" w:line="240" w:lineRule="auto"/>
        <w:jc w:val="both"/>
        <w:rPr>
          <w:rFonts w:ascii="Arial" w:cs="Arial" w:hAnsi="Arial" w:eastAsia="Arial"/>
          <w:b w:val="1"/>
          <w:bCs w:val="1"/>
          <w:sz w:val="20"/>
          <w:szCs w:val="20"/>
        </w:rPr>
      </w:pPr>
      <w:r>
        <w:rPr>
          <w:rFonts w:ascii="Arial" w:hAnsi="Arial"/>
          <w:b w:val="1"/>
          <w:bCs w:val="1"/>
          <w:sz w:val="20"/>
          <w:szCs w:val="20"/>
          <w:rtl w:val="0"/>
          <w:lang w:val="en-US"/>
        </w:rPr>
        <w:t xml:space="preserve">3. Please provide information on any existing good practices or measures taken in your country to protect the human rights of migrant children and their families while their migration status is being resolved, including </w:t>
      </w:r>
      <w:r>
        <w:rPr>
          <w:rFonts w:ascii="Arial" w:hAnsi="Arial"/>
          <w:b w:val="1"/>
          <w:bCs w:val="1"/>
          <w:i w:val="1"/>
          <w:iCs w:val="1"/>
          <w:sz w:val="20"/>
          <w:szCs w:val="20"/>
          <w:rtl w:val="0"/>
          <w:lang w:val="en-US"/>
        </w:rPr>
        <w:t>inter alia</w:t>
      </w:r>
      <w:r>
        <w:rPr>
          <w:rFonts w:ascii="Arial" w:hAnsi="Arial"/>
          <w:b w:val="1"/>
          <w:bCs w:val="1"/>
          <w:sz w:val="20"/>
          <w:szCs w:val="20"/>
          <w:rtl w:val="0"/>
          <w:lang w:val="en-US"/>
        </w:rPr>
        <w:t xml:space="preserve"> their rights to liberty, family life, health and education (e.g. by ensuring effective access to inter alia adequate reception, healthcare, education, legal advice, family reunion).</w:t>
      </w:r>
    </w:p>
    <w:p>
      <w:pPr>
        <w:pStyle w:val="Normal.0"/>
        <w:spacing w:after="0" w:line="276" w:lineRule="auto"/>
        <w:jc w:val="both"/>
        <w:rPr>
          <w:rFonts w:ascii="Arial" w:cs="Arial" w:hAnsi="Arial" w:eastAsia="Arial"/>
          <w:sz w:val="20"/>
          <w:szCs w:val="20"/>
          <w:lang w:val="en-US"/>
        </w:rPr>
      </w:pPr>
    </w:p>
    <w:p>
      <w:pPr>
        <w:pStyle w:val="List Paragraph"/>
        <w:numPr>
          <w:ilvl w:val="0"/>
          <w:numId w:val="9"/>
        </w:numPr>
        <w:bidi w:val="0"/>
        <w:spacing w:after="0" w:line="276" w:lineRule="auto"/>
        <w:ind w:right="0"/>
        <w:jc w:val="both"/>
        <w:rPr>
          <w:rFonts w:ascii="Arial" w:hAnsi="Arial"/>
          <w:b w:val="1"/>
          <w:bCs w:val="1"/>
          <w:sz w:val="20"/>
          <w:szCs w:val="20"/>
          <w:rtl w:val="0"/>
          <w:lang w:val="en-US"/>
        </w:rPr>
      </w:pPr>
      <w:r>
        <w:rPr>
          <w:rFonts w:ascii="Arial" w:hAnsi="Arial"/>
          <w:b w:val="1"/>
          <w:bCs w:val="1"/>
          <w:sz w:val="20"/>
          <w:szCs w:val="20"/>
          <w:rtl w:val="0"/>
          <w:lang w:val="en-US"/>
        </w:rPr>
        <w:t>Measures to protect the human rights of minors who are applicants for the international protection</w:t>
      </w:r>
    </w:p>
    <w:p>
      <w:pPr>
        <w:pStyle w:val="Normal.0"/>
        <w:spacing w:after="0" w:line="276" w:lineRule="auto"/>
        <w:jc w:val="both"/>
        <w:rPr>
          <w:rFonts w:ascii="Arial" w:cs="Arial" w:hAnsi="Arial" w:eastAsia="Arial"/>
          <w:sz w:val="20"/>
          <w:szCs w:val="20"/>
          <w:lang w:val="en-US"/>
        </w:rPr>
      </w:pPr>
    </w:p>
    <w:p>
      <w:pPr>
        <w:pStyle w:val="List Paragraph"/>
        <w:numPr>
          <w:ilvl w:val="0"/>
          <w:numId w:val="11"/>
        </w:numPr>
        <w:bidi w:val="0"/>
        <w:spacing w:after="0" w:line="276" w:lineRule="auto"/>
        <w:ind w:right="0"/>
        <w:jc w:val="both"/>
        <w:rPr>
          <w:rFonts w:ascii="Arial" w:hAnsi="Arial"/>
          <w:sz w:val="20"/>
          <w:szCs w:val="20"/>
          <w:rtl w:val="0"/>
          <w:lang w:val="en-US"/>
        </w:rPr>
      </w:pPr>
      <w:r>
        <w:rPr>
          <w:rFonts w:ascii="Arial" w:hAnsi="Arial"/>
          <w:sz w:val="20"/>
          <w:szCs w:val="20"/>
          <w:rtl w:val="0"/>
          <w:lang w:val="en-US"/>
        </w:rPr>
        <w:t>Restriction of movement for children and unaccompanied minors is provided separately, with a view to ensuring an appropriate degree of privacy.</w:t>
      </w:r>
    </w:p>
    <w:p>
      <w:pPr>
        <w:pStyle w:val="List Paragraph"/>
        <w:numPr>
          <w:ilvl w:val="0"/>
          <w:numId w:val="11"/>
        </w:numPr>
        <w:bidi w:val="0"/>
        <w:spacing w:after="0" w:line="276" w:lineRule="auto"/>
        <w:ind w:right="0"/>
        <w:jc w:val="both"/>
        <w:rPr>
          <w:rFonts w:ascii="Arial" w:hAnsi="Arial"/>
          <w:sz w:val="20"/>
          <w:szCs w:val="20"/>
          <w:rtl w:val="0"/>
          <w:lang w:val="en-US"/>
        </w:rPr>
      </w:pPr>
      <w:r>
        <w:rPr>
          <w:rFonts w:ascii="Arial" w:hAnsi="Arial"/>
          <w:sz w:val="20"/>
          <w:szCs w:val="20"/>
          <w:rtl w:val="0"/>
          <w:lang w:val="en-US"/>
        </w:rPr>
        <w:t xml:space="preserve">Access to outdoor space is usually provided in a closed yard of the Asylum Centre. Families also have access to </w:t>
      </w:r>
      <w:r>
        <w:rPr>
          <w:rFonts w:ascii="Arial" w:hAnsi="Arial"/>
          <w:sz w:val="20"/>
          <w:szCs w:val="20"/>
          <w:rtl w:val="0"/>
          <w:lang w:val="en-US"/>
        </w:rPr>
        <w:t xml:space="preserve">an </w:t>
      </w:r>
      <w:r>
        <w:rPr>
          <w:rFonts w:ascii="Arial" w:hAnsi="Arial"/>
          <w:sz w:val="20"/>
          <w:szCs w:val="20"/>
          <w:rtl w:val="0"/>
          <w:lang w:val="en-US"/>
        </w:rPr>
        <w:t>additional outdoor space, which also includes a playground</w:t>
      </w:r>
      <w:r>
        <w:rPr>
          <w:rFonts w:ascii="Arial" w:hAnsi="Arial"/>
          <w:sz w:val="20"/>
          <w:szCs w:val="20"/>
          <w:rtl w:val="0"/>
          <w:lang w:val="en-US"/>
        </w:rPr>
        <w:t xml:space="preserve"> for children</w:t>
      </w:r>
      <w:r>
        <w:rPr>
          <w:rFonts w:ascii="Arial" w:hAnsi="Arial"/>
          <w:sz w:val="20"/>
          <w:szCs w:val="20"/>
          <w:rtl w:val="0"/>
          <w:lang w:val="en-US"/>
        </w:rPr>
        <w:t>.</w:t>
      </w:r>
    </w:p>
    <w:p>
      <w:pPr>
        <w:pStyle w:val="List Paragraph"/>
        <w:numPr>
          <w:ilvl w:val="0"/>
          <w:numId w:val="11"/>
        </w:numPr>
        <w:bidi w:val="0"/>
        <w:spacing w:after="0" w:line="276" w:lineRule="auto"/>
        <w:ind w:right="0"/>
        <w:jc w:val="both"/>
        <w:rPr>
          <w:rFonts w:ascii="Arial" w:hAnsi="Arial"/>
          <w:sz w:val="20"/>
          <w:szCs w:val="20"/>
          <w:rtl w:val="0"/>
          <w:lang w:val="en-US"/>
        </w:rPr>
      </w:pPr>
      <w:r>
        <w:rPr>
          <w:rFonts w:ascii="Arial" w:hAnsi="Arial"/>
          <w:sz w:val="20"/>
          <w:szCs w:val="20"/>
          <w:rtl w:val="0"/>
          <w:lang w:val="en-US"/>
        </w:rPr>
        <w:t xml:space="preserve">Minors under the </w:t>
      </w:r>
      <w:r>
        <w:rPr>
          <w:rFonts w:ascii="Arial" w:hAnsi="Arial"/>
          <w:sz w:val="20"/>
          <w:szCs w:val="20"/>
          <w:rtl w:val="0"/>
          <w:lang w:val="en-US"/>
        </w:rPr>
        <w:t>I</w:t>
      </w:r>
      <w:r>
        <w:rPr>
          <w:rFonts w:ascii="Arial" w:hAnsi="Arial"/>
          <w:sz w:val="20"/>
          <w:szCs w:val="20"/>
          <w:rtl w:val="0"/>
          <w:lang w:val="en-US"/>
        </w:rPr>
        <w:t xml:space="preserve">nternational </w:t>
      </w:r>
      <w:r>
        <w:rPr>
          <w:rFonts w:ascii="Arial" w:hAnsi="Arial"/>
          <w:sz w:val="20"/>
          <w:szCs w:val="20"/>
          <w:rtl w:val="0"/>
          <w:lang w:val="en-US"/>
        </w:rPr>
        <w:t>P</w:t>
      </w:r>
      <w:r>
        <w:rPr>
          <w:rFonts w:ascii="Arial" w:hAnsi="Arial"/>
          <w:sz w:val="20"/>
          <w:szCs w:val="20"/>
          <w:rtl w:val="0"/>
          <w:lang w:val="en-US"/>
        </w:rPr>
        <w:t xml:space="preserve">rotection </w:t>
      </w:r>
      <w:r>
        <w:rPr>
          <w:rFonts w:ascii="Arial" w:hAnsi="Arial"/>
          <w:sz w:val="20"/>
          <w:szCs w:val="20"/>
          <w:rtl w:val="0"/>
          <w:lang w:val="en-US"/>
        </w:rPr>
        <w:t>A</w:t>
      </w:r>
      <w:r>
        <w:rPr>
          <w:rFonts w:ascii="Arial" w:hAnsi="Arial"/>
          <w:sz w:val="20"/>
          <w:szCs w:val="20"/>
          <w:rtl w:val="0"/>
          <w:lang w:val="en-US"/>
        </w:rPr>
        <w:t>ct a</w:t>
      </w:r>
      <w:r>
        <w:rPr>
          <w:rFonts w:ascii="Arial" w:hAnsi="Arial"/>
          <w:sz w:val="20"/>
          <w:szCs w:val="20"/>
          <w:rtl w:val="0"/>
          <w:lang w:val="en-US"/>
        </w:rPr>
        <w:t>ttend</w:t>
      </w:r>
      <w:r>
        <w:rPr>
          <w:rFonts w:ascii="Arial" w:hAnsi="Arial"/>
          <w:sz w:val="20"/>
          <w:szCs w:val="20"/>
          <w:rtl w:val="0"/>
          <w:lang w:val="en-US"/>
        </w:rPr>
        <w:t xml:space="preserve"> </w:t>
      </w:r>
      <w:r>
        <w:rPr>
          <w:rFonts w:ascii="Arial" w:hAnsi="Arial"/>
          <w:sz w:val="20"/>
          <w:szCs w:val="20"/>
          <w:rtl w:val="0"/>
          <w:lang w:val="en-US"/>
        </w:rPr>
        <w:t>basic</w:t>
      </w:r>
      <w:r>
        <w:rPr>
          <w:rFonts w:ascii="Arial" w:hAnsi="Arial"/>
          <w:sz w:val="20"/>
          <w:szCs w:val="20"/>
          <w:rtl w:val="0"/>
          <w:lang w:val="en-US"/>
        </w:rPr>
        <w:t xml:space="preserve"> school, which is obligatory under Slovenian law. Specific permissions are provided to exit the Centre for attending the school.</w:t>
      </w:r>
    </w:p>
    <w:p>
      <w:pPr>
        <w:pStyle w:val="List Paragraph"/>
        <w:numPr>
          <w:ilvl w:val="0"/>
          <w:numId w:val="11"/>
        </w:numPr>
        <w:bidi w:val="0"/>
        <w:spacing w:after="0" w:line="276" w:lineRule="auto"/>
        <w:ind w:right="0"/>
        <w:jc w:val="both"/>
        <w:rPr>
          <w:rFonts w:ascii="Arial" w:hAnsi="Arial"/>
          <w:sz w:val="20"/>
          <w:szCs w:val="20"/>
          <w:rtl w:val="0"/>
          <w:lang w:val="en-US"/>
        </w:rPr>
      </w:pPr>
      <w:r>
        <w:rPr>
          <w:rFonts w:ascii="Arial" w:hAnsi="Arial"/>
          <w:sz w:val="20"/>
          <w:szCs w:val="20"/>
          <w:rtl w:val="0"/>
          <w:lang w:val="en-US"/>
        </w:rPr>
        <w:t>For detained applicants for international protection permission to leave the centre is not formally prescribed by law</w:t>
      </w:r>
      <w:r>
        <w:rPr>
          <w:rFonts w:ascii="Arial" w:hAnsi="Arial"/>
          <w:sz w:val="20"/>
          <w:szCs w:val="20"/>
          <w:rtl w:val="0"/>
          <w:lang w:val="en-US"/>
        </w:rPr>
        <w:t>;</w:t>
      </w:r>
      <w:r>
        <w:rPr>
          <w:rFonts w:ascii="Arial" w:hAnsi="Arial"/>
          <w:sz w:val="20"/>
          <w:szCs w:val="20"/>
          <w:rtl w:val="0"/>
          <w:lang w:val="en-US"/>
        </w:rPr>
        <w:t xml:space="preserve"> however</w:t>
      </w:r>
      <w:r>
        <w:rPr>
          <w:rFonts w:ascii="Arial" w:hAnsi="Arial"/>
          <w:sz w:val="20"/>
          <w:szCs w:val="20"/>
          <w:rtl w:val="0"/>
          <w:lang w:val="en-US"/>
        </w:rPr>
        <w:t xml:space="preserve">, </w:t>
      </w:r>
      <w:r>
        <w:rPr>
          <w:rFonts w:ascii="Arial" w:hAnsi="Arial"/>
          <w:sz w:val="20"/>
          <w:szCs w:val="20"/>
          <w:rtl w:val="0"/>
          <w:lang w:val="en-US"/>
        </w:rPr>
        <w:t xml:space="preserve">in practice the asylum authority can give permission and inform the centre to let the person exit. All detainees can freely move within the area of their ward, which includes bedrooms and a common area. However, they cannot access other wards (the centre is usually separated into single male ward and families/unaccompanied minors/single women ward). </w:t>
      </w:r>
    </w:p>
    <w:p>
      <w:pPr>
        <w:pStyle w:val="List Paragraph"/>
        <w:numPr>
          <w:ilvl w:val="0"/>
          <w:numId w:val="11"/>
        </w:numPr>
        <w:bidi w:val="0"/>
        <w:spacing w:after="0" w:line="276" w:lineRule="auto"/>
        <w:ind w:right="0"/>
        <w:jc w:val="both"/>
        <w:rPr>
          <w:rFonts w:ascii="Arial" w:hAnsi="Arial"/>
          <w:sz w:val="20"/>
          <w:szCs w:val="20"/>
          <w:rtl w:val="0"/>
          <w:lang w:val="en-US"/>
        </w:rPr>
      </w:pPr>
      <w:r>
        <w:rPr>
          <w:rFonts w:ascii="Arial" w:hAnsi="Arial"/>
          <w:sz w:val="20"/>
          <w:szCs w:val="20"/>
          <w:rtl w:val="0"/>
          <w:lang w:val="en-US"/>
        </w:rPr>
        <w:t xml:space="preserve">All international protection applicants are entitled to free legal assistance by an NGO </w:t>
      </w:r>
      <w:r>
        <w:rPr>
          <w:rFonts w:ascii="Arial" w:hAnsi="Arial"/>
          <w:sz w:val="20"/>
          <w:szCs w:val="20"/>
          <w:rtl w:val="0"/>
          <w:lang w:val="en-US"/>
        </w:rPr>
        <w:t xml:space="preserve">in the framework of the </w:t>
      </w:r>
      <w:r>
        <w:rPr>
          <w:rFonts w:ascii="Arial" w:hAnsi="Arial"/>
          <w:sz w:val="20"/>
          <w:szCs w:val="20"/>
          <w:rtl w:val="0"/>
          <w:lang w:val="en-US"/>
        </w:rPr>
        <w:t xml:space="preserve">project "Legal aid for asylum seekers" </w:t>
      </w:r>
      <w:r>
        <w:rPr>
          <w:rFonts w:ascii="Arial" w:hAnsi="Arial"/>
          <w:sz w:val="20"/>
          <w:szCs w:val="20"/>
          <w:rtl w:val="0"/>
          <w:lang w:val="en-US"/>
        </w:rPr>
        <w:t>(</w:t>
      </w:r>
      <w:r>
        <w:rPr>
          <w:rFonts w:ascii="Arial" w:hAnsi="Arial"/>
          <w:sz w:val="20"/>
          <w:szCs w:val="20"/>
          <w:rtl w:val="0"/>
          <w:lang w:val="en-US"/>
        </w:rPr>
        <w:t>co-financed by the European Refugee Fund and the Ministry of the Interior of the Republic of Slovenia</w:t>
      </w:r>
      <w:r>
        <w:rPr>
          <w:rFonts w:ascii="Arial" w:hAnsi="Arial"/>
          <w:sz w:val="20"/>
          <w:szCs w:val="20"/>
          <w:rtl w:val="0"/>
          <w:lang w:val="en-US"/>
        </w:rPr>
        <w:t>)</w:t>
      </w:r>
      <w:r>
        <w:rPr>
          <w:rFonts w:ascii="Arial" w:hAnsi="Arial"/>
          <w:sz w:val="20"/>
          <w:szCs w:val="20"/>
          <w:rtl w:val="0"/>
          <w:lang w:val="en-US"/>
        </w:rPr>
        <w:t>. They have also access to the refugee counsellors, who provide support and legal assistance before the Administrative Court of the Republic of Slovenia and the Supreme Court of the Republic of Slovenia.</w:t>
      </w:r>
    </w:p>
    <w:p>
      <w:pPr>
        <w:pStyle w:val="List Paragraph"/>
        <w:numPr>
          <w:ilvl w:val="0"/>
          <w:numId w:val="11"/>
        </w:numPr>
        <w:bidi w:val="0"/>
        <w:spacing w:after="0" w:line="276" w:lineRule="auto"/>
        <w:ind w:right="0"/>
        <w:jc w:val="both"/>
        <w:rPr>
          <w:rFonts w:ascii="Arial" w:hAnsi="Arial"/>
          <w:sz w:val="20"/>
          <w:szCs w:val="20"/>
          <w:rtl w:val="0"/>
          <w:lang w:val="en-US"/>
        </w:rPr>
      </w:pPr>
      <w:r>
        <w:rPr>
          <w:rFonts w:ascii="Arial" w:hAnsi="Arial"/>
          <w:sz w:val="20"/>
          <w:szCs w:val="20"/>
          <w:rtl w:val="0"/>
          <w:lang w:val="en-US"/>
        </w:rPr>
        <w:t>Detainees are entitled to language support in all official procedures free of charge.</w:t>
      </w:r>
    </w:p>
    <w:p>
      <w:pPr>
        <w:pStyle w:val="List Paragraph"/>
        <w:numPr>
          <w:ilvl w:val="0"/>
          <w:numId w:val="11"/>
        </w:numPr>
        <w:bidi w:val="0"/>
        <w:spacing w:after="0" w:line="276" w:lineRule="auto"/>
        <w:ind w:right="0"/>
        <w:jc w:val="both"/>
        <w:rPr>
          <w:rFonts w:ascii="Arial" w:hAnsi="Arial"/>
          <w:sz w:val="20"/>
          <w:szCs w:val="20"/>
          <w:rtl w:val="0"/>
          <w:lang w:val="en-US"/>
        </w:rPr>
      </w:pPr>
      <w:r>
        <w:rPr>
          <w:rFonts w:ascii="Arial" w:hAnsi="Arial"/>
          <w:sz w:val="20"/>
          <w:szCs w:val="20"/>
          <w:rtl w:val="0"/>
          <w:lang w:val="en-US"/>
        </w:rPr>
        <w:t>The best interests of the child are the primary consideration in the treatment of minors. Minors need to be ensured a standard of living adequate to their psychological, mental, spiritual, ethical and social development.</w:t>
      </w:r>
    </w:p>
    <w:p>
      <w:pPr>
        <w:pStyle w:val="List Paragraph"/>
        <w:numPr>
          <w:ilvl w:val="0"/>
          <w:numId w:val="11"/>
        </w:numPr>
        <w:bidi w:val="0"/>
        <w:spacing w:after="0" w:line="276" w:lineRule="auto"/>
        <w:ind w:right="0"/>
        <w:jc w:val="both"/>
        <w:rPr>
          <w:rFonts w:ascii="Arial" w:hAnsi="Arial"/>
          <w:sz w:val="20"/>
          <w:szCs w:val="20"/>
          <w:rtl w:val="0"/>
          <w:lang w:val="en-US"/>
        </w:rPr>
      </w:pPr>
      <w:r>
        <w:rPr>
          <w:rFonts w:ascii="Arial" w:hAnsi="Arial"/>
          <w:sz w:val="20"/>
          <w:szCs w:val="20"/>
          <w:rtl w:val="0"/>
          <w:lang w:val="en-US"/>
        </w:rPr>
        <w:t xml:space="preserve">Minors identified as victims of abuse of any kind, neglect, exploitation, torture or cruelty, inhuman or degrading treatment or who have suffered from armed conflict shall be provided access to rehabilitation and, where necessary, appropriate psychological treatment and qualified counselling. </w:t>
      </w:r>
    </w:p>
    <w:p>
      <w:pPr>
        <w:pStyle w:val="List Paragraph"/>
        <w:numPr>
          <w:ilvl w:val="0"/>
          <w:numId w:val="11"/>
        </w:numPr>
        <w:bidi w:val="0"/>
        <w:spacing w:after="0" w:line="276" w:lineRule="auto"/>
        <w:ind w:right="0"/>
        <w:jc w:val="both"/>
        <w:rPr>
          <w:rFonts w:ascii="Arial" w:hAnsi="Arial"/>
          <w:sz w:val="20"/>
          <w:szCs w:val="20"/>
          <w:rtl w:val="0"/>
          <w:lang w:val="en-US"/>
        </w:rPr>
      </w:pPr>
      <w:r>
        <w:rPr>
          <w:rFonts w:ascii="Arial" w:hAnsi="Arial"/>
          <w:sz w:val="20"/>
          <w:szCs w:val="20"/>
          <w:rtl w:val="0"/>
          <w:lang w:val="en-US"/>
        </w:rPr>
        <w:t>Minor applicants shall be placed with their parents, their unmarried minor siblings or with the adult responsible for them whether by law or by practice, provided, that this is in their best interests.</w:t>
      </w:r>
    </w:p>
    <w:p>
      <w:pPr>
        <w:pStyle w:val="List Paragraph"/>
        <w:numPr>
          <w:ilvl w:val="0"/>
          <w:numId w:val="11"/>
        </w:numPr>
        <w:bidi w:val="0"/>
        <w:spacing w:after="0" w:line="276" w:lineRule="auto"/>
        <w:ind w:right="0"/>
        <w:jc w:val="both"/>
        <w:rPr>
          <w:rFonts w:ascii="Arial" w:hAnsi="Arial"/>
          <w:sz w:val="20"/>
          <w:szCs w:val="20"/>
          <w:rtl w:val="0"/>
          <w:lang w:val="en-US"/>
        </w:rPr>
      </w:pPr>
      <w:r>
        <w:rPr>
          <w:rFonts w:ascii="Arial" w:hAnsi="Arial"/>
          <w:sz w:val="20"/>
          <w:szCs w:val="20"/>
          <w:rtl w:val="0"/>
          <w:lang w:val="en-US"/>
        </w:rPr>
        <w:t xml:space="preserve">Every person subject to the international protection procedures pursuant to International Protection Act is guaranteed information sharing, interpreting and translation services, access to the </w:t>
      </w:r>
      <w:r>
        <w:rPr>
          <w:rFonts w:ascii="Arial" w:hAnsi="Arial"/>
          <w:sz w:val="20"/>
          <w:szCs w:val="20"/>
          <w:rtl w:val="0"/>
          <w:lang w:val="en-US"/>
        </w:rPr>
        <w:t>UNHCR</w:t>
      </w:r>
      <w:r>
        <w:rPr>
          <w:rFonts w:ascii="Arial" w:hAnsi="Arial"/>
          <w:sz w:val="20"/>
          <w:szCs w:val="20"/>
          <w:rtl w:val="0"/>
          <w:lang w:val="en-US"/>
        </w:rPr>
        <w:t xml:space="preserve"> and organisations providing legal advice, written decision on the procedure, including a translation of the essential parts into a language that the person understands.</w:t>
      </w:r>
    </w:p>
    <w:p>
      <w:pPr>
        <w:pStyle w:val="List Paragraph"/>
        <w:spacing w:after="0" w:line="276" w:lineRule="auto"/>
        <w:jc w:val="both"/>
        <w:rPr>
          <w:rFonts w:ascii="Arial" w:cs="Arial" w:hAnsi="Arial" w:eastAsia="Arial"/>
          <w:sz w:val="20"/>
          <w:szCs w:val="20"/>
          <w:lang w:val="en-US"/>
        </w:rPr>
      </w:pPr>
    </w:p>
    <w:p>
      <w:pPr>
        <w:pStyle w:val="List Paragraph"/>
        <w:numPr>
          <w:ilvl w:val="0"/>
          <w:numId w:val="12"/>
        </w:numPr>
        <w:bidi w:val="0"/>
        <w:spacing w:after="0" w:line="276" w:lineRule="auto"/>
        <w:ind w:right="0"/>
        <w:jc w:val="both"/>
        <w:rPr>
          <w:rFonts w:ascii="Arial" w:hAnsi="Arial"/>
          <w:b w:val="1"/>
          <w:bCs w:val="1"/>
          <w:sz w:val="20"/>
          <w:szCs w:val="20"/>
          <w:rtl w:val="0"/>
          <w:lang w:val="en-US"/>
        </w:rPr>
      </w:pPr>
      <w:r>
        <w:rPr>
          <w:rFonts w:ascii="Arial" w:hAnsi="Arial"/>
          <w:b w:val="1"/>
          <w:bCs w:val="1"/>
          <w:sz w:val="20"/>
          <w:szCs w:val="20"/>
          <w:rtl w:val="0"/>
          <w:lang w:val="en-US"/>
        </w:rPr>
        <w:t>Measures to protect the human rights of minors who are not in the process of acquiring international protection</w:t>
      </w:r>
    </w:p>
    <w:p>
      <w:pPr>
        <w:pStyle w:val="Normal.0"/>
        <w:spacing w:after="0" w:line="276" w:lineRule="auto"/>
        <w:jc w:val="both"/>
        <w:rPr>
          <w:rFonts w:ascii="Arial" w:cs="Arial" w:hAnsi="Arial" w:eastAsia="Arial"/>
          <w:sz w:val="20"/>
          <w:szCs w:val="20"/>
          <w:lang w:val="en-US"/>
        </w:rPr>
      </w:pPr>
    </w:p>
    <w:p>
      <w:pPr>
        <w:pStyle w:val="List Paragraph"/>
        <w:numPr>
          <w:ilvl w:val="0"/>
          <w:numId w:val="14"/>
        </w:numPr>
        <w:bidi w:val="0"/>
        <w:spacing w:after="0" w:line="276" w:lineRule="auto"/>
        <w:ind w:right="0"/>
        <w:jc w:val="both"/>
        <w:rPr>
          <w:rFonts w:ascii="Arial" w:hAnsi="Arial"/>
          <w:sz w:val="20"/>
          <w:szCs w:val="20"/>
          <w:rtl w:val="0"/>
          <w:lang w:val="en-US"/>
        </w:rPr>
      </w:pPr>
      <w:r>
        <w:rPr>
          <w:rFonts w:ascii="Arial" w:hAnsi="Arial"/>
          <w:sz w:val="20"/>
          <w:szCs w:val="20"/>
          <w:rtl w:val="0"/>
          <w:lang w:val="en-US"/>
        </w:rPr>
        <w:t>Each unaccompanied minor is immediately assigned a guardian for a specific case by the Social Work Centre; the guardian decides what are a minor</w:t>
      </w:r>
      <w:r>
        <w:rPr>
          <w:rFonts w:ascii="Arial" w:hAnsi="Arial" w:hint="default"/>
          <w:sz w:val="20"/>
          <w:szCs w:val="20"/>
          <w:rtl w:val="0"/>
          <w:lang w:val="en-US"/>
        </w:rPr>
        <w:t>’</w:t>
      </w:r>
      <w:r>
        <w:rPr>
          <w:rFonts w:ascii="Arial" w:hAnsi="Arial"/>
          <w:sz w:val="20"/>
          <w:szCs w:val="20"/>
          <w:rtl w:val="0"/>
          <w:lang w:val="en-US"/>
        </w:rPr>
        <w:t>s best interests.</w:t>
      </w:r>
    </w:p>
    <w:p>
      <w:pPr>
        <w:pStyle w:val="List Paragraph"/>
        <w:numPr>
          <w:ilvl w:val="0"/>
          <w:numId w:val="14"/>
        </w:numPr>
        <w:bidi w:val="0"/>
        <w:spacing w:after="0" w:line="276" w:lineRule="auto"/>
        <w:ind w:right="0"/>
        <w:jc w:val="both"/>
        <w:rPr>
          <w:rFonts w:ascii="Arial" w:hAnsi="Arial"/>
          <w:sz w:val="20"/>
          <w:szCs w:val="20"/>
          <w:rtl w:val="0"/>
          <w:lang w:val="en-US"/>
        </w:rPr>
      </w:pPr>
      <w:r>
        <w:rPr>
          <w:rFonts w:ascii="Arial" w:hAnsi="Arial"/>
          <w:sz w:val="20"/>
          <w:szCs w:val="20"/>
          <w:rtl w:val="0"/>
          <w:lang w:val="en-US"/>
        </w:rPr>
        <w:t>An unaccompanied minor may, in agreement with the guardian for a specific case, be accommodated at a suitable institution for the accommodation of minors.</w:t>
      </w:r>
    </w:p>
    <w:p>
      <w:pPr>
        <w:pStyle w:val="List Paragraph"/>
        <w:numPr>
          <w:ilvl w:val="0"/>
          <w:numId w:val="14"/>
        </w:numPr>
        <w:bidi w:val="0"/>
        <w:spacing w:after="0" w:line="276" w:lineRule="auto"/>
        <w:ind w:right="0"/>
        <w:jc w:val="both"/>
        <w:rPr>
          <w:rFonts w:ascii="Arial" w:hAnsi="Arial"/>
          <w:sz w:val="20"/>
          <w:szCs w:val="20"/>
          <w:rtl w:val="0"/>
          <w:lang w:val="en-US"/>
        </w:rPr>
      </w:pPr>
      <w:r>
        <w:rPr>
          <w:rFonts w:ascii="Arial" w:hAnsi="Arial"/>
          <w:sz w:val="20"/>
          <w:szCs w:val="20"/>
          <w:rtl w:val="0"/>
          <w:lang w:val="en-US"/>
        </w:rPr>
        <w:t>As an alternative to detention foreigners may be allowed to stay at another location and may be required to report at the nearest police unit.</w:t>
      </w:r>
    </w:p>
    <w:p>
      <w:pPr>
        <w:pStyle w:val="List Paragraph"/>
        <w:numPr>
          <w:ilvl w:val="0"/>
          <w:numId w:val="14"/>
        </w:numPr>
        <w:bidi w:val="0"/>
        <w:spacing w:after="0" w:line="276" w:lineRule="auto"/>
        <w:ind w:right="0"/>
        <w:jc w:val="both"/>
        <w:rPr>
          <w:rFonts w:ascii="Arial" w:hAnsi="Arial"/>
          <w:sz w:val="20"/>
          <w:szCs w:val="20"/>
          <w:rtl w:val="0"/>
          <w:lang w:val="en-US"/>
        </w:rPr>
      </w:pPr>
      <w:r>
        <w:rPr>
          <w:rFonts w:ascii="Arial" w:hAnsi="Arial"/>
          <w:sz w:val="20"/>
          <w:szCs w:val="20"/>
          <w:rtl w:val="0"/>
          <w:lang w:val="en-US"/>
        </w:rPr>
        <w:t>Stricter police supervision may be imposed on a foreign minor only in exceptional cases and only if he or she is accompanied by both or one of his or her parents. Stricter police supervision may not be imposed on an unaccompanied foreign minor.</w:t>
      </w:r>
    </w:p>
    <w:p>
      <w:pPr>
        <w:pStyle w:val="List Paragraph"/>
        <w:numPr>
          <w:ilvl w:val="0"/>
          <w:numId w:val="14"/>
        </w:numPr>
        <w:bidi w:val="0"/>
        <w:spacing w:after="0" w:line="276" w:lineRule="auto"/>
        <w:ind w:right="0"/>
        <w:jc w:val="both"/>
        <w:rPr>
          <w:rFonts w:ascii="Arial" w:hAnsi="Arial"/>
          <w:sz w:val="20"/>
          <w:szCs w:val="20"/>
          <w:rtl w:val="0"/>
          <w:lang w:val="en-US"/>
        </w:rPr>
      </w:pPr>
      <w:r>
        <w:rPr>
          <w:rFonts w:ascii="Arial" w:hAnsi="Arial"/>
          <w:sz w:val="20"/>
          <w:szCs w:val="20"/>
          <w:rtl w:val="0"/>
          <w:lang w:val="en-US"/>
        </w:rPr>
        <w:t>When families with minors are accommodated at the Centre for Foreigners, minors</w:t>
      </w:r>
      <w:r>
        <w:rPr>
          <w:rFonts w:ascii="Arial" w:hAnsi="Arial"/>
          <w:sz w:val="20"/>
          <w:szCs w:val="20"/>
          <w:rtl w:val="0"/>
          <w:lang w:val="en-US"/>
        </w:rPr>
        <w:t xml:space="preserve"> </w:t>
      </w:r>
      <w:r>
        <w:rPr>
          <w:rFonts w:ascii="Arial" w:hAnsi="Arial"/>
          <w:sz w:val="20"/>
          <w:szCs w:val="20"/>
          <w:rtl w:val="0"/>
          <w:lang w:val="en-US"/>
        </w:rPr>
        <w:t>go to a local primary school if this is practical given the duration of their stay at the Centre.</w:t>
      </w:r>
    </w:p>
    <w:p>
      <w:pPr>
        <w:pStyle w:val="List Paragraph"/>
        <w:numPr>
          <w:ilvl w:val="0"/>
          <w:numId w:val="14"/>
        </w:numPr>
        <w:bidi w:val="0"/>
        <w:spacing w:after="0" w:line="276" w:lineRule="auto"/>
        <w:ind w:right="0"/>
        <w:jc w:val="both"/>
        <w:rPr>
          <w:rFonts w:ascii="Arial" w:hAnsi="Arial"/>
          <w:sz w:val="20"/>
          <w:szCs w:val="20"/>
          <w:rtl w:val="0"/>
          <w:lang w:val="en-US"/>
        </w:rPr>
      </w:pPr>
      <w:r>
        <w:rPr>
          <w:rFonts w:ascii="Arial" w:hAnsi="Arial"/>
          <w:sz w:val="20"/>
          <w:szCs w:val="20"/>
          <w:rtl w:val="0"/>
          <w:lang w:val="en-US"/>
        </w:rPr>
        <w:t xml:space="preserve">A foreign minor accommodated in the Centre for Foreigners </w:t>
      </w:r>
      <w:r>
        <w:rPr>
          <w:rFonts w:ascii="Arial" w:hAnsi="Arial"/>
          <w:sz w:val="20"/>
          <w:szCs w:val="20"/>
          <w:rtl w:val="0"/>
          <w:lang w:val="en-US"/>
        </w:rPr>
        <w:t>can</w:t>
      </w:r>
      <w:r>
        <w:rPr>
          <w:rFonts w:ascii="Arial" w:hAnsi="Arial"/>
          <w:sz w:val="20"/>
          <w:szCs w:val="20"/>
          <w:rtl w:val="0"/>
          <w:lang w:val="en-US"/>
        </w:rPr>
        <w:t xml:space="preserve"> participate in activities in his or her free time, including games and recreational activities appropriate to his or her age. </w:t>
      </w:r>
      <w:r>
        <w:rPr>
          <w:rFonts w:ascii="Arial" w:hAnsi="Arial" w:hint="default"/>
          <w:sz w:val="20"/>
          <w:szCs w:val="20"/>
          <w:rtl w:val="0"/>
          <w:lang w:val="en-US"/>
        </w:rPr>
        <w:t> </w:t>
      </w:r>
    </w:p>
    <w:p>
      <w:pPr>
        <w:pStyle w:val="Normal.0"/>
        <w:spacing w:after="0" w:line="276" w:lineRule="auto"/>
        <w:jc w:val="both"/>
        <w:rPr>
          <w:rFonts w:ascii="Arial" w:cs="Arial" w:hAnsi="Arial" w:eastAsia="Arial"/>
          <w:sz w:val="20"/>
          <w:szCs w:val="20"/>
          <w:lang w:val="en-US"/>
        </w:rPr>
      </w:pPr>
    </w:p>
    <w:p>
      <w:pPr>
        <w:pStyle w:val="Normal.0"/>
        <w:spacing w:after="0" w:line="276" w:lineRule="auto"/>
        <w:jc w:val="both"/>
        <w:rPr>
          <w:rFonts w:ascii="Arial" w:cs="Arial" w:hAnsi="Arial" w:eastAsia="Arial"/>
          <w:b w:val="0"/>
          <w:bCs w:val="0"/>
          <w:sz w:val="20"/>
          <w:szCs w:val="20"/>
          <w:lang w:val="en-US"/>
        </w:rPr>
      </w:pPr>
      <w:r>
        <w:rPr>
          <w:rFonts w:ascii="Arial" w:hAnsi="Arial"/>
          <w:b w:val="1"/>
          <w:bCs w:val="1"/>
          <w:sz w:val="20"/>
          <w:szCs w:val="20"/>
          <w:rtl w:val="0"/>
          <w:lang w:val="en-US"/>
        </w:rPr>
        <w:t xml:space="preserve">Appointment of a guardian to a foreign minor to protect his/her human rights: </w:t>
      </w:r>
      <w:r>
        <w:rPr>
          <w:rFonts w:ascii="Arial" w:hAnsi="Arial"/>
          <w:b w:val="0"/>
          <w:bCs w:val="0"/>
          <w:sz w:val="20"/>
          <w:szCs w:val="20"/>
          <w:rtl w:val="0"/>
          <w:lang w:val="en-US"/>
        </w:rPr>
        <w:t xml:space="preserve">in addition to the provisions contained in the International Protection Act, the guardianship to an unaccompanied foreign minor or to a foreign minor without an adequate care by his/her parents or guardian is stipulated also by the Family Code (Article 270). The International Protection Act provides for appointment of a guardian in international protection procedures as well as in matters related to healthcare, education, protection of property rights and </w:t>
      </w:r>
      <w:r>
        <w:rPr>
          <w:rFonts w:ascii="Arial" w:hAnsi="Arial"/>
          <w:b w:val="0"/>
          <w:bCs w:val="0"/>
          <w:sz w:val="20"/>
          <w:szCs w:val="20"/>
          <w:rtl w:val="0"/>
          <w:lang w:val="en-US"/>
        </w:rPr>
        <w:t>rights related to reception</w:t>
      </w:r>
      <w:r>
        <w:rPr>
          <w:rFonts w:ascii="Arial" w:hAnsi="Arial"/>
          <w:b w:val="0"/>
          <w:bCs w:val="0"/>
          <w:sz w:val="20"/>
          <w:szCs w:val="20"/>
          <w:rtl w:val="0"/>
          <w:lang w:val="en-US"/>
        </w:rPr>
        <w:t>. In case the representation of a child is needed also in  other matters, a guardian is appointed  in accordance with the Family Code.</w:t>
      </w:r>
    </w:p>
    <w:p>
      <w:pPr>
        <w:pStyle w:val="Normal.0"/>
        <w:spacing w:after="0" w:line="276" w:lineRule="auto"/>
        <w:jc w:val="both"/>
        <w:rPr>
          <w:rFonts w:ascii="Arial" w:cs="Arial" w:hAnsi="Arial" w:eastAsia="Arial"/>
          <w:b w:val="0"/>
          <w:bCs w:val="0"/>
          <w:sz w:val="20"/>
          <w:szCs w:val="20"/>
          <w:lang w:val="en-US"/>
        </w:rPr>
      </w:pPr>
    </w:p>
    <w:p>
      <w:pPr>
        <w:pStyle w:val="Normal.0"/>
        <w:spacing w:after="0" w:line="276" w:lineRule="auto"/>
        <w:jc w:val="both"/>
        <w:rPr>
          <w:rFonts w:ascii="Arial" w:cs="Arial" w:hAnsi="Arial" w:eastAsia="Arial"/>
          <w:b w:val="1"/>
          <w:bCs w:val="1"/>
          <w:sz w:val="20"/>
          <w:szCs w:val="20"/>
          <w:lang w:val="en-US"/>
        </w:rPr>
      </w:pPr>
      <w:r>
        <w:rPr>
          <w:rFonts w:ascii="Arial" w:hAnsi="Arial"/>
          <w:b w:val="0"/>
          <w:bCs w:val="0"/>
          <w:sz w:val="20"/>
          <w:szCs w:val="20"/>
          <w:rtl w:val="0"/>
          <w:lang w:val="en-US"/>
        </w:rPr>
        <w:t xml:space="preserve">The Ministry of Labour, Family, Social Affairs and Equal Opportunities is responsible for the list of (legal) guardians. </w:t>
      </w:r>
      <w:r>
        <w:rPr>
          <w:rFonts w:ascii="Arial" w:hAnsi="Arial"/>
          <w:b w:val="0"/>
          <w:bCs w:val="0"/>
          <w:sz w:val="20"/>
          <w:szCs w:val="20"/>
          <w:rtl w:val="0"/>
          <w:lang w:val="en-US"/>
        </w:rPr>
        <w:t xml:space="preserve">Candidates for guardians for unaccompanied </w:t>
      </w:r>
      <w:r>
        <w:rPr>
          <w:rFonts w:ascii="Arial" w:hAnsi="Arial"/>
          <w:b w:val="0"/>
          <w:bCs w:val="0"/>
          <w:sz w:val="20"/>
          <w:szCs w:val="20"/>
          <w:rtl w:val="0"/>
          <w:lang w:val="en-US"/>
        </w:rPr>
        <w:t>minors</w:t>
      </w:r>
      <w:r>
        <w:rPr>
          <w:rFonts w:ascii="Arial" w:hAnsi="Arial"/>
          <w:b w:val="0"/>
          <w:bCs w:val="0"/>
          <w:sz w:val="20"/>
          <w:szCs w:val="20"/>
          <w:rtl w:val="0"/>
          <w:lang w:val="en-US"/>
        </w:rPr>
        <w:t xml:space="preserve"> are appointed to the list of legal guardians upon applying to the public tender</w:t>
      </w:r>
      <w:r>
        <w:rPr>
          <w:rFonts w:ascii="Arial" w:hAnsi="Arial"/>
          <w:b w:val="0"/>
          <w:bCs w:val="0"/>
          <w:sz w:val="20"/>
          <w:szCs w:val="20"/>
          <w:rtl w:val="0"/>
          <w:lang w:val="en-US"/>
        </w:rPr>
        <w:t xml:space="preserve"> and must meet specific conditions. </w:t>
      </w:r>
      <w:r>
        <w:rPr>
          <w:rFonts w:ascii="Arial" w:hAnsi="Arial"/>
          <w:b w:val="0"/>
          <w:bCs w:val="0"/>
          <w:sz w:val="20"/>
          <w:szCs w:val="20"/>
          <w:rtl w:val="0"/>
          <w:lang w:val="en-US"/>
        </w:rPr>
        <w:t>Before being appointed candidates also have to attend a special training</w:t>
      </w:r>
      <w:r>
        <w:rPr>
          <w:rFonts w:ascii="Arial" w:hAnsi="Arial"/>
          <w:b w:val="0"/>
          <w:bCs w:val="0"/>
          <w:sz w:val="20"/>
          <w:szCs w:val="20"/>
          <w:rtl w:val="0"/>
          <w:lang w:val="en-US"/>
        </w:rPr>
        <w:t>. Currently there are 33 guardians on the list.</w:t>
      </w:r>
    </w:p>
    <w:p>
      <w:pPr>
        <w:pStyle w:val="Normal.0"/>
        <w:spacing w:after="0" w:line="276" w:lineRule="auto"/>
        <w:jc w:val="both"/>
        <w:rPr>
          <w:rFonts w:ascii="Arial" w:cs="Arial" w:hAnsi="Arial" w:eastAsia="Arial"/>
          <w:sz w:val="20"/>
          <w:szCs w:val="20"/>
          <w:lang w:val="en-US"/>
        </w:rPr>
      </w:pPr>
    </w:p>
    <w:p>
      <w:pPr>
        <w:pStyle w:val="Normal.0"/>
        <w:spacing w:after="0" w:line="240" w:lineRule="auto"/>
        <w:jc w:val="both"/>
        <w:rPr>
          <w:rFonts w:ascii="Arial" w:cs="Arial" w:hAnsi="Arial" w:eastAsia="Arial"/>
          <w:b w:val="1"/>
          <w:bCs w:val="1"/>
          <w:sz w:val="20"/>
          <w:szCs w:val="20"/>
        </w:rPr>
      </w:pPr>
      <w:r>
        <w:rPr>
          <w:rFonts w:ascii="Arial" w:hAnsi="Arial"/>
          <w:b w:val="1"/>
          <w:bCs w:val="1"/>
          <w:sz w:val="20"/>
          <w:szCs w:val="20"/>
          <w:rtl w:val="0"/>
          <w:lang w:val="en-US"/>
        </w:rPr>
        <w:t>4. Please indicate any challenges and/or obstacles in the development and/or implementation of non-custodial alternatives to immigration detention of children and their families.</w:t>
      </w:r>
    </w:p>
    <w:p>
      <w:pPr>
        <w:pStyle w:val="Normal.0"/>
        <w:spacing w:after="0" w:line="276" w:lineRule="auto"/>
        <w:jc w:val="both"/>
        <w:rPr>
          <w:rFonts w:ascii="Arial" w:cs="Arial" w:hAnsi="Arial" w:eastAsia="Arial"/>
          <w:sz w:val="20"/>
          <w:szCs w:val="20"/>
          <w:lang w:val="en-US"/>
        </w:rPr>
      </w:pPr>
    </w:p>
    <w:p>
      <w:pPr>
        <w:pStyle w:val="Normal.0"/>
        <w:spacing w:after="0" w:line="276" w:lineRule="auto"/>
        <w:jc w:val="both"/>
        <w:rPr>
          <w:rFonts w:ascii="Arial" w:cs="Arial" w:hAnsi="Arial" w:eastAsia="Arial"/>
          <w:sz w:val="20"/>
          <w:szCs w:val="20"/>
          <w:lang w:val="en-US"/>
        </w:rPr>
      </w:pPr>
      <w:r>
        <w:rPr>
          <w:rFonts w:ascii="Arial" w:hAnsi="Arial"/>
          <w:rtl w:val="0"/>
        </w:rPr>
        <w:t xml:space="preserve">A </w:t>
      </w:r>
      <w:r>
        <w:rPr>
          <w:rFonts w:ascii="Arial" w:hAnsi="Arial"/>
          <w:sz w:val="20"/>
          <w:szCs w:val="20"/>
          <w:rtl w:val="0"/>
          <w:lang w:val="en-US"/>
        </w:rPr>
        <w:t xml:space="preserve">challenge </w:t>
      </w:r>
      <w:r>
        <w:rPr>
          <w:rFonts w:ascii="Arial" w:hAnsi="Arial"/>
          <w:sz w:val="20"/>
          <w:szCs w:val="20"/>
          <w:rtl w:val="0"/>
          <w:lang w:val="en-US"/>
        </w:rPr>
        <w:t xml:space="preserve">in the implementation of non-custodial alternatives to immigration detentions for children are difficulties in determinating the age of unaccompanied minors who cross the border illegally during the registration of foreigners, since they only rarely have an identity document.   </w:t>
      </w:r>
      <w:r>
        <w:rPr>
          <w:rFonts w:ascii="Arial" w:cs="Arial" w:hAnsi="Arial" w:eastAsia="Arial"/>
          <w:sz w:val="20"/>
          <w:szCs w:val="20"/>
          <w:lang w:val="en-US"/>
        </w:rPr>
        <w:br w:type="textWrapping"/>
      </w:r>
    </w:p>
    <w:p>
      <w:pPr>
        <w:pStyle w:val="Normal.0"/>
        <w:spacing w:after="0" w:line="276" w:lineRule="auto"/>
        <w:jc w:val="both"/>
        <w:rPr>
          <w:rFonts w:ascii="Arial" w:cs="Arial" w:hAnsi="Arial" w:eastAsia="Arial"/>
          <w:sz w:val="20"/>
          <w:szCs w:val="20"/>
        </w:rPr>
      </w:pPr>
      <w:r>
        <w:rPr>
          <w:rFonts w:ascii="Arial" w:hAnsi="Arial"/>
          <w:sz w:val="20"/>
          <w:szCs w:val="20"/>
          <w:rtl w:val="0"/>
          <w:lang w:val="en-US"/>
        </w:rPr>
        <w:t>Another challenge is related to the fact that for a</w:t>
      </w:r>
      <w:r>
        <w:rPr>
          <w:rFonts w:ascii="Arial" w:hAnsi="Arial"/>
          <w:sz w:val="20"/>
          <w:szCs w:val="20"/>
          <w:rtl w:val="0"/>
          <w:lang w:val="en-US"/>
        </w:rPr>
        <w:t xml:space="preserve"> large </w:t>
      </w:r>
      <w:r>
        <w:rPr>
          <w:rFonts w:ascii="Arial" w:hAnsi="Arial"/>
          <w:sz w:val="20"/>
          <w:szCs w:val="20"/>
          <w:rtl w:val="0"/>
          <w:lang w:val="en-US"/>
        </w:rPr>
        <w:t>part</w:t>
      </w:r>
      <w:r>
        <w:rPr>
          <w:rFonts w:ascii="Arial" w:hAnsi="Arial"/>
          <w:sz w:val="20"/>
          <w:szCs w:val="20"/>
          <w:rtl w:val="0"/>
          <w:lang w:val="en-US"/>
        </w:rPr>
        <w:t xml:space="preserve"> of migrants</w:t>
      </w:r>
      <w:r>
        <w:rPr>
          <w:rFonts w:ascii="Arial" w:hAnsi="Arial"/>
          <w:sz w:val="20"/>
          <w:szCs w:val="20"/>
          <w:rtl w:val="0"/>
          <w:lang w:val="en-US"/>
        </w:rPr>
        <w:t>, including unaccompanied minors,</w:t>
      </w:r>
      <w:r>
        <w:rPr>
          <w:rFonts w:ascii="Arial" w:hAnsi="Arial"/>
          <w:sz w:val="20"/>
          <w:szCs w:val="20"/>
          <w:rtl w:val="0"/>
          <w:lang w:val="en-US"/>
        </w:rPr>
        <w:t xml:space="preserve"> Slovenia </w:t>
      </w:r>
      <w:r>
        <w:rPr>
          <w:rFonts w:ascii="Arial" w:hAnsi="Arial"/>
          <w:sz w:val="20"/>
          <w:szCs w:val="20"/>
          <w:rtl w:val="0"/>
          <w:lang w:val="en-US"/>
        </w:rPr>
        <w:t>is</w:t>
      </w:r>
      <w:r>
        <w:rPr>
          <w:rFonts w:ascii="Arial" w:hAnsi="Arial"/>
          <w:sz w:val="20"/>
          <w:szCs w:val="20"/>
          <w:rtl w:val="0"/>
          <w:lang w:val="en-US"/>
        </w:rPr>
        <w:t xml:space="preserve"> a transit country on their way to Western European countries. </w:t>
      </w:r>
      <w:r>
        <w:rPr>
          <w:rFonts w:ascii="Arial" w:hAnsi="Arial"/>
          <w:sz w:val="20"/>
          <w:szCs w:val="20"/>
          <w:rtl w:val="0"/>
          <w:lang w:val="en-US"/>
        </w:rPr>
        <w:t>T</w:t>
      </w:r>
      <w:r>
        <w:rPr>
          <w:rFonts w:ascii="Arial" w:hAnsi="Arial"/>
          <w:sz w:val="20"/>
          <w:szCs w:val="20"/>
          <w:rtl w:val="0"/>
          <w:lang w:val="en-US"/>
        </w:rPr>
        <w:t xml:space="preserve">he </w:t>
      </w:r>
      <w:r>
        <w:rPr>
          <w:rFonts w:ascii="Arial" w:hAnsi="Arial"/>
          <w:sz w:val="20"/>
          <w:szCs w:val="20"/>
          <w:rtl w:val="0"/>
          <w:lang w:val="en-US"/>
        </w:rPr>
        <w:t xml:space="preserve">existing </w:t>
      </w:r>
      <w:r>
        <w:rPr>
          <w:rFonts w:ascii="Arial" w:hAnsi="Arial"/>
          <w:sz w:val="20"/>
          <w:szCs w:val="20"/>
          <w:rtl w:val="0"/>
          <w:lang w:val="en-US"/>
        </w:rPr>
        <w:t xml:space="preserve">alternatives to detention are </w:t>
      </w:r>
      <w:r>
        <w:rPr>
          <w:rFonts w:ascii="Arial" w:hAnsi="Arial"/>
          <w:sz w:val="20"/>
          <w:szCs w:val="20"/>
          <w:rtl w:val="0"/>
          <w:lang w:val="en-US"/>
        </w:rPr>
        <w:t xml:space="preserve">thus </w:t>
      </w:r>
      <w:r>
        <w:rPr>
          <w:rFonts w:ascii="Arial" w:hAnsi="Arial"/>
          <w:sz w:val="20"/>
          <w:szCs w:val="20"/>
          <w:rtl w:val="0"/>
          <w:lang w:val="en-US"/>
        </w:rPr>
        <w:t>exploited by those migrants who wish to continue their journey to the neighbouring countries.</w:t>
      </w:r>
    </w:p>
    <w:p>
      <w:pPr>
        <w:pStyle w:val="Normal.0"/>
        <w:spacing w:after="0" w:line="276" w:lineRule="auto"/>
        <w:jc w:val="both"/>
        <w:rPr>
          <w:rFonts w:ascii="Arial" w:cs="Arial" w:hAnsi="Arial" w:eastAsia="Arial"/>
          <w:sz w:val="20"/>
          <w:szCs w:val="20"/>
          <w:lang w:val="en-US"/>
        </w:rPr>
      </w:pPr>
    </w:p>
    <w:p>
      <w:pPr>
        <w:pStyle w:val="Normal.0"/>
        <w:spacing w:after="0" w:line="276" w:lineRule="auto"/>
        <w:jc w:val="both"/>
        <w:rPr>
          <w:rFonts w:ascii="Arial" w:cs="Arial" w:hAnsi="Arial" w:eastAsia="Arial"/>
          <w:sz w:val="20"/>
          <w:szCs w:val="20"/>
          <w:lang w:val="en-US"/>
        </w:rPr>
      </w:pPr>
    </w:p>
    <w:p>
      <w:pPr>
        <w:pStyle w:val="Normal.0"/>
        <w:spacing w:after="0" w:line="240" w:lineRule="auto"/>
        <w:jc w:val="both"/>
        <w:rPr>
          <w:rFonts w:ascii="Arial" w:cs="Arial" w:hAnsi="Arial" w:eastAsia="Arial"/>
          <w:b w:val="1"/>
          <w:bCs w:val="1"/>
          <w:sz w:val="20"/>
          <w:szCs w:val="20"/>
        </w:rPr>
      </w:pPr>
      <w:r>
        <w:rPr>
          <w:rFonts w:ascii="Arial" w:hAnsi="Arial"/>
          <w:b w:val="1"/>
          <w:bCs w:val="1"/>
          <w:sz w:val="20"/>
          <w:szCs w:val="20"/>
          <w:rtl w:val="0"/>
          <w:lang w:val="en-US"/>
        </w:rPr>
        <w:t>5. What support could other stakeholders (other than your Government) provide to strengthen the development and/or implementation of non-custodial alternatives to immigration detention of children and their families that enhance the protection of their rights?</w:t>
      </w:r>
    </w:p>
    <w:p>
      <w:pPr>
        <w:pStyle w:val="Normal.0"/>
        <w:spacing w:after="0" w:line="276" w:lineRule="auto"/>
        <w:jc w:val="both"/>
        <w:rPr>
          <w:rFonts w:ascii="Arial" w:cs="Arial" w:hAnsi="Arial" w:eastAsia="Arial"/>
          <w:sz w:val="20"/>
          <w:szCs w:val="20"/>
          <w:lang w:val="en-US"/>
        </w:rPr>
      </w:pPr>
    </w:p>
    <w:p>
      <w:pPr>
        <w:pStyle w:val="Normal.0"/>
        <w:spacing w:after="0" w:line="276" w:lineRule="auto"/>
        <w:jc w:val="both"/>
        <w:rPr>
          <w:rFonts w:ascii="Arial" w:cs="Arial" w:hAnsi="Arial" w:eastAsia="Arial"/>
          <w:sz w:val="20"/>
          <w:szCs w:val="20"/>
        </w:rPr>
      </w:pPr>
      <w:r>
        <w:rPr>
          <w:rFonts w:ascii="Arial" w:hAnsi="Arial"/>
          <w:sz w:val="20"/>
          <w:szCs w:val="20"/>
          <w:rtl w:val="0"/>
        </w:rPr>
        <w:t xml:space="preserve">In Slovenia NGOs are key partners for the Government with regard to assistance, care and integration of migrants, including of unaccompanied minors. However, additional assistance or activities of NGOs with regard to implementation of existing alternatives to immigration detention are not envisaged, also due to lack of effectiveness of such alternatives in Slovenia. As already mentioned </w:t>
      </w:r>
      <w:r>
        <w:rPr>
          <w:rFonts w:ascii="Arial" w:hAnsi="Arial"/>
          <w:sz w:val="20"/>
          <w:szCs w:val="20"/>
          <w:rtl w:val="0"/>
          <w:lang w:val="en-US"/>
        </w:rPr>
        <w:t xml:space="preserve">Slovenia is a transit country for almost all the migrants who enter it, including unaccompanied minors. Even before arriving to Slovenia, migrants know that they want to leave it and continue on their way towards their destination as soon as possible. With a view to ensuring that human rights are respected and ensuring that minors are aware of the actual situation and the </w:t>
      </w:r>
      <w:r>
        <w:rPr>
          <w:rFonts w:ascii="Arial" w:hAnsi="Arial"/>
          <w:sz w:val="20"/>
          <w:szCs w:val="20"/>
          <w:rtl w:val="0"/>
          <w:lang w:val="en-US"/>
        </w:rPr>
        <w:t>risks</w:t>
      </w:r>
      <w:r>
        <w:rPr>
          <w:rFonts w:ascii="Arial" w:hAnsi="Arial"/>
          <w:sz w:val="20"/>
          <w:szCs w:val="20"/>
          <w:rtl w:val="0"/>
          <w:lang w:val="en-US"/>
        </w:rPr>
        <w:t xml:space="preserve"> along the migration route, we try to provide them with all the necessary information before their arbitrary departure from our country. </w:t>
      </w:r>
      <w:r>
        <w:rPr>
          <w:rFonts w:ascii="Arial" w:hAnsi="Arial" w:hint="default"/>
          <w:sz w:val="20"/>
          <w:szCs w:val="20"/>
          <w:rtl w:val="0"/>
          <w:lang w:val="en-US"/>
        </w:rPr>
        <w:t> </w:t>
      </w:r>
    </w:p>
    <w:p>
      <w:pPr>
        <w:pStyle w:val="Normal.0"/>
        <w:spacing w:after="0" w:line="276" w:lineRule="auto"/>
        <w:jc w:val="both"/>
        <w:rPr>
          <w:rFonts w:ascii="Arial" w:cs="Arial" w:hAnsi="Arial" w:eastAsia="Arial"/>
          <w:sz w:val="20"/>
          <w:szCs w:val="20"/>
          <w:lang w:val="en-US"/>
        </w:rPr>
      </w:pPr>
    </w:p>
    <w:p>
      <w:pPr>
        <w:pStyle w:val="Normal.0"/>
        <w:spacing w:after="0" w:line="276" w:lineRule="auto"/>
        <w:jc w:val="both"/>
        <w:rPr>
          <w:rFonts w:ascii="Arial" w:cs="Arial" w:hAnsi="Arial" w:eastAsia="Arial"/>
          <w:sz w:val="20"/>
          <w:szCs w:val="20"/>
          <w:lang w:val="en-US"/>
        </w:rPr>
      </w:pPr>
    </w:p>
    <w:p>
      <w:pPr>
        <w:pStyle w:val="Normal.0"/>
      </w:pPr>
      <w:r>
        <w:rPr>
          <w:rFonts w:ascii="Arial Unicode MS" w:cs="Arial Unicode MS" w:hAnsi="Arial Unicode MS" w:eastAsia="Arial Unicode MS"/>
          <w:b w:val="0"/>
          <w:bCs w:val="0"/>
          <w:i w:val="0"/>
          <w:iCs w:val="0"/>
          <w:sz w:val="20"/>
          <w:szCs w:val="20"/>
          <w:lang w:val="en-US"/>
        </w:rPr>
        <w:br w:type="page"/>
      </w:r>
    </w:p>
    <w:p>
      <w:pPr>
        <w:pStyle w:val="Normal.0"/>
        <w:spacing w:after="0" w:line="240" w:lineRule="auto"/>
        <w:jc w:val="both"/>
        <w:rPr>
          <w:rFonts w:ascii="Arial" w:cs="Arial" w:hAnsi="Arial" w:eastAsia="Arial"/>
          <w:b w:val="1"/>
          <w:bCs w:val="1"/>
          <w:sz w:val="18"/>
          <w:szCs w:val="18"/>
        </w:rPr>
      </w:pPr>
      <w:r>
        <w:rPr>
          <w:rFonts w:ascii="Arial" w:hAnsi="Arial"/>
          <w:b w:val="1"/>
          <w:bCs w:val="1"/>
          <w:sz w:val="18"/>
          <w:szCs w:val="18"/>
          <w:rtl w:val="0"/>
          <w:lang w:val="en-US"/>
        </w:rPr>
        <w:t>ANNEX 1</w:t>
      </w:r>
    </w:p>
    <w:tbl>
      <w:tblPr>
        <w:tblW w:w="907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4348"/>
        <w:gridCol w:w="352"/>
        <w:gridCol w:w="4372"/>
      </w:tblGrid>
      <w:tr>
        <w:tblPrEx>
          <w:shd w:val="clear" w:color="auto" w:fill="d0ddef"/>
        </w:tblPrEx>
        <w:trPr>
          <w:trHeight w:val="1313" w:hRule="atLeast"/>
        </w:trPr>
        <w:tc>
          <w:tcPr>
            <w:tcW w:type="dxa" w:w="4348"/>
            <w:tcBorders>
              <w:top w:val="nil"/>
              <w:left w:val="nil"/>
              <w:bottom w:val="nil"/>
              <w:right w:val="nil"/>
            </w:tcBorders>
            <w:shd w:val="clear" w:color="auto" w:fill="auto"/>
            <w:tcMar>
              <w:top w:type="dxa" w:w="80"/>
              <w:left w:type="dxa" w:w="80"/>
              <w:bottom w:type="dxa" w:w="80"/>
              <w:right w:type="dxa" w:w="80"/>
            </w:tcMar>
            <w:vAlign w:val="top"/>
          </w:tcPr>
          <w:p>
            <w:pPr>
              <w:pStyle w:val="Opozorilo"/>
            </w:pPr>
            <w:r>
              <w:rPr>
                <w:sz w:val="20"/>
                <w:szCs w:val="20"/>
                <w:shd w:val="nil" w:color="auto" w:fill="auto"/>
                <w:rtl w:val="0"/>
                <w:lang w:val="en-US"/>
              </w:rPr>
              <w:t>Opozorilo: Neuradno pre</w:t>
            </w:r>
            <w:r>
              <w:rPr>
                <w:sz w:val="20"/>
                <w:szCs w:val="20"/>
                <w:shd w:val="nil" w:color="auto" w:fill="auto"/>
                <w:rtl w:val="0"/>
                <w:lang w:val="en-US"/>
              </w:rPr>
              <w:t>č</w:t>
            </w:r>
            <w:r>
              <w:rPr>
                <w:sz w:val="20"/>
                <w:szCs w:val="20"/>
                <w:shd w:val="nil" w:color="auto" w:fill="auto"/>
                <w:rtl w:val="0"/>
                <w:lang w:val="en-US"/>
              </w:rPr>
              <w:t>i</w:t>
            </w:r>
            <w:r>
              <w:rPr>
                <w:sz w:val="20"/>
                <w:szCs w:val="20"/>
                <w:shd w:val="nil" w:color="auto" w:fill="auto"/>
                <w:rtl w:val="0"/>
                <w:lang w:val="en-US"/>
              </w:rPr>
              <w:t>šč</w:t>
            </w:r>
            <w:r>
              <w:rPr>
                <w:sz w:val="20"/>
                <w:szCs w:val="20"/>
                <w:shd w:val="nil" w:color="auto" w:fill="auto"/>
                <w:rtl w:val="0"/>
                <w:lang w:val="en-US"/>
              </w:rPr>
              <w:t>eno besedilo predpisa predstavlja zgolj informativni delovni pripomo</w:t>
            </w:r>
            <w:r>
              <w:rPr>
                <w:sz w:val="20"/>
                <w:szCs w:val="20"/>
                <w:shd w:val="nil" w:color="auto" w:fill="auto"/>
                <w:rtl w:val="0"/>
                <w:lang w:val="en-US"/>
              </w:rPr>
              <w:t>č</w:t>
            </w:r>
            <w:r>
              <w:rPr>
                <w:sz w:val="20"/>
                <w:szCs w:val="20"/>
                <w:shd w:val="nil" w:color="auto" w:fill="auto"/>
                <w:rtl w:val="0"/>
                <w:lang w:val="en-US"/>
              </w:rPr>
              <w:t>ek, glede katerega organ ne jam</w:t>
            </w:r>
            <w:r>
              <w:rPr>
                <w:sz w:val="20"/>
                <w:szCs w:val="20"/>
                <w:shd w:val="nil" w:color="auto" w:fill="auto"/>
                <w:rtl w:val="0"/>
                <w:lang w:val="en-US"/>
              </w:rPr>
              <w:t>č</w:t>
            </w:r>
            <w:r>
              <w:rPr>
                <w:sz w:val="20"/>
                <w:szCs w:val="20"/>
                <w:shd w:val="nil" w:color="auto" w:fill="auto"/>
                <w:rtl w:val="0"/>
                <w:lang w:val="en-US"/>
              </w:rPr>
              <w:t>i od</w:t>
            </w:r>
            <w:r>
              <w:rPr>
                <w:sz w:val="20"/>
                <w:szCs w:val="20"/>
                <w:shd w:val="nil" w:color="auto" w:fill="auto"/>
                <w:rtl w:val="0"/>
                <w:lang w:val="en-US"/>
              </w:rPr>
              <w:t>š</w:t>
            </w:r>
            <w:r>
              <w:rPr>
                <w:sz w:val="20"/>
                <w:szCs w:val="20"/>
                <w:shd w:val="nil" w:color="auto" w:fill="auto"/>
                <w:rtl w:val="0"/>
                <w:lang w:val="en-US"/>
              </w:rPr>
              <w:t>kodninsko ali kako druga</w:t>
            </w:r>
            <w:r>
              <w:rPr>
                <w:sz w:val="20"/>
                <w:szCs w:val="20"/>
                <w:shd w:val="nil" w:color="auto" w:fill="auto"/>
                <w:rtl w:val="0"/>
                <w:lang w:val="en-US"/>
              </w:rPr>
              <w:t>č</w:t>
            </w:r>
            <w:r>
              <w:rPr>
                <w:sz w:val="20"/>
                <w:szCs w:val="20"/>
                <w:shd w:val="nil" w:color="auto" w:fill="auto"/>
                <w:rtl w:val="0"/>
                <w:lang w:val="en-US"/>
              </w:rPr>
              <w:t>e.</w:t>
            </w:r>
          </w:p>
        </w:tc>
        <w:tc>
          <w:tcPr>
            <w:tcW w:type="dxa" w:w="352"/>
            <w:tcBorders>
              <w:top w:val="nil"/>
              <w:left w:val="nil"/>
              <w:bottom w:val="nil"/>
              <w:right w:val="nil"/>
            </w:tcBorders>
            <w:shd w:val="clear" w:color="auto" w:fill="auto"/>
            <w:tcMar>
              <w:top w:type="dxa" w:w="80"/>
              <w:left w:type="dxa" w:w="80"/>
              <w:bottom w:type="dxa" w:w="80"/>
              <w:right w:type="dxa" w:w="80"/>
            </w:tcMar>
            <w:vAlign w:val="top"/>
          </w:tcPr>
          <w:p/>
        </w:tc>
        <w:tc>
          <w:tcPr>
            <w:tcW w:type="dxa" w:w="4372"/>
            <w:tcBorders>
              <w:top w:val="nil"/>
              <w:left w:val="nil"/>
              <w:bottom w:val="nil"/>
              <w:right w:val="nil"/>
            </w:tcBorders>
            <w:shd w:val="clear" w:color="auto" w:fill="auto"/>
            <w:tcMar>
              <w:top w:type="dxa" w:w="80"/>
              <w:left w:type="dxa" w:w="80"/>
              <w:bottom w:type="dxa" w:w="80"/>
              <w:right w:type="dxa" w:w="80"/>
            </w:tcMar>
            <w:vAlign w:val="top"/>
          </w:tcPr>
          <w:p>
            <w:pPr>
              <w:pStyle w:val="Opozorilo"/>
            </w:pPr>
            <w:r>
              <w:rPr>
                <w:sz w:val="20"/>
                <w:szCs w:val="20"/>
                <w:shd w:val="nil" w:color="auto" w:fill="auto"/>
                <w:rtl w:val="0"/>
                <w:lang w:val="en-US"/>
              </w:rPr>
              <w:t xml:space="preserve">Disclaimer: Unofficial consolidated version. Only the original Slovene texts of the laws and regulations have legal effect, and the translations are to be used solely as reference materials to aid in the understanding of Slovene laws and regulations. </w:t>
            </w:r>
          </w:p>
        </w:tc>
      </w:tr>
    </w:tbl>
    <w:p>
      <w:pPr>
        <w:pStyle w:val="Normal.0"/>
        <w:widowControl w:val="0"/>
        <w:spacing w:after="0" w:line="240" w:lineRule="auto"/>
        <w:jc w:val="both"/>
        <w:rPr>
          <w:rFonts w:ascii="Arial" w:cs="Arial" w:hAnsi="Arial" w:eastAsia="Arial"/>
          <w:b w:val="1"/>
          <w:bCs w:val="1"/>
          <w:sz w:val="18"/>
          <w:szCs w:val="18"/>
        </w:rPr>
      </w:pPr>
    </w:p>
    <w:p>
      <w:pPr>
        <w:pStyle w:val="Normal.0"/>
        <w:spacing w:after="0" w:line="240" w:lineRule="auto"/>
        <w:jc w:val="both"/>
        <w:rPr>
          <w:rFonts w:ascii="Arial" w:cs="Arial" w:hAnsi="Arial" w:eastAsia="Arial"/>
          <w:sz w:val="20"/>
          <w:szCs w:val="20"/>
          <w:lang w:val="en-US"/>
        </w:rPr>
      </w:pPr>
    </w:p>
    <w:tbl>
      <w:tblPr>
        <w:tblW w:w="907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3828"/>
        <w:gridCol w:w="650"/>
        <w:gridCol w:w="4594"/>
      </w:tblGrid>
      <w:tr>
        <w:tblPrEx>
          <w:shd w:val="clear" w:color="auto" w:fill="d0ddef"/>
        </w:tblPrEx>
        <w:trPr>
          <w:trHeight w:val="1193" w:hRule="atLeast"/>
        </w:trPr>
        <w:tc>
          <w:tcPr>
            <w:tcW w:type="dxa" w:w="3828"/>
            <w:tcBorders>
              <w:top w:val="nil"/>
              <w:left w:val="nil"/>
              <w:bottom w:val="nil"/>
              <w:right w:val="nil"/>
            </w:tcBorders>
            <w:shd w:val="clear" w:color="auto" w:fill="auto"/>
            <w:tcMar>
              <w:top w:type="dxa" w:w="80"/>
              <w:left w:type="dxa" w:w="80"/>
              <w:bottom w:type="dxa" w:w="80"/>
              <w:right w:type="dxa" w:w="80"/>
            </w:tcMar>
            <w:vAlign w:val="top"/>
          </w:tcPr>
          <w:p>
            <w:pPr>
              <w:pStyle w:val="Vrsta predpisa"/>
              <w:spacing w:after="240"/>
            </w:pPr>
            <w:r>
              <w:rPr>
                <w:shd w:val="nil" w:color="auto" w:fill="auto"/>
                <w:rtl w:val="0"/>
                <w:lang w:val="it-IT"/>
              </w:rPr>
              <w:t>ZAKON O MEDNARODNI ZA</w:t>
            </w:r>
            <w:r>
              <w:rPr>
                <w:shd w:val="nil" w:color="auto" w:fill="auto"/>
                <w:rtl w:val="0"/>
                <w:lang w:val="it-IT"/>
              </w:rPr>
              <w:t>ŠČ</w:t>
            </w:r>
            <w:r>
              <w:rPr>
                <w:shd w:val="nil" w:color="auto" w:fill="auto"/>
                <w:rtl w:val="0"/>
                <w:lang w:val="it-IT"/>
              </w:rPr>
              <w:t xml:space="preserve">ITI (ZMZ </w:t>
            </w:r>
            <w:r>
              <w:rPr>
                <w:shd w:val="nil" w:color="auto" w:fill="auto"/>
                <w:rtl w:val="0"/>
                <w:lang w:val="it-IT"/>
              </w:rPr>
              <w:t xml:space="preserve">– </w:t>
            </w:r>
            <w:r>
              <w:rPr>
                <w:shd w:val="nil" w:color="auto" w:fill="auto"/>
                <w:rtl w:val="0"/>
                <w:lang w:val="it-IT"/>
              </w:rPr>
              <w:t>1)</w:t>
            </w:r>
          </w:p>
        </w:tc>
        <w:tc>
          <w:tcPr>
            <w:tcW w:type="dxa" w:w="650"/>
            <w:tcBorders>
              <w:top w:val="nil"/>
              <w:left w:val="nil"/>
              <w:bottom w:val="nil"/>
              <w:right w:val="nil"/>
            </w:tcBorders>
            <w:shd w:val="clear" w:color="auto" w:fill="auto"/>
            <w:tcMar>
              <w:top w:type="dxa" w:w="80"/>
              <w:left w:type="dxa" w:w="80"/>
              <w:bottom w:type="dxa" w:w="80"/>
              <w:right w:type="dxa" w:w="80"/>
            </w:tcMar>
            <w:vAlign w:val="top"/>
          </w:tcPr>
          <w:p/>
        </w:tc>
        <w:tc>
          <w:tcPr>
            <w:tcW w:type="dxa" w:w="4594"/>
            <w:tcBorders>
              <w:top w:val="nil"/>
              <w:left w:val="nil"/>
              <w:bottom w:val="nil"/>
              <w:right w:val="nil"/>
            </w:tcBorders>
            <w:shd w:val="clear" w:color="auto" w:fill="auto"/>
            <w:tcMar>
              <w:top w:type="dxa" w:w="80"/>
              <w:left w:type="dxa" w:w="80"/>
              <w:bottom w:type="dxa" w:w="80"/>
              <w:right w:type="dxa" w:w="80"/>
            </w:tcMar>
            <w:vAlign w:val="top"/>
          </w:tcPr>
          <w:p>
            <w:pPr>
              <w:pStyle w:val="Vrsta predpisa"/>
              <w:spacing w:after="240"/>
            </w:pPr>
            <w:r>
              <w:rPr>
                <w:shd w:val="nil" w:color="auto" w:fill="auto"/>
                <w:rtl w:val="0"/>
                <w:lang w:val="en-US"/>
              </w:rPr>
              <w:t>INTERNATIONAL PROTECTION ACT (ZMZ -1)</w:t>
            </w:r>
            <w:r>
              <w:rPr>
                <w:shd w:val="nil" w:color="auto" w:fill="auto"/>
              </w:rPr>
            </w:r>
          </w:p>
        </w:tc>
      </w:tr>
      <w:tr>
        <w:tblPrEx>
          <w:shd w:val="clear" w:color="auto" w:fill="d0ddef"/>
        </w:tblPrEx>
        <w:trPr>
          <w:trHeight w:val="213" w:hRule="atLeast"/>
        </w:trPr>
        <w:tc>
          <w:tcPr>
            <w:tcW w:type="dxa" w:w="3828"/>
            <w:tcBorders>
              <w:top w:val="nil"/>
              <w:left w:val="nil"/>
              <w:bottom w:val="nil"/>
              <w:right w:val="nil"/>
            </w:tcBorders>
            <w:shd w:val="clear" w:color="auto" w:fill="auto"/>
            <w:tcMar>
              <w:top w:type="dxa" w:w="80"/>
              <w:left w:type="dxa" w:w="80"/>
              <w:bottom w:type="dxa" w:w="80"/>
              <w:right w:type="dxa" w:w="80"/>
            </w:tcMar>
            <w:vAlign w:val="top"/>
          </w:tcPr>
          <w:p>
            <w:pPr>
              <w:pStyle w:val="Člen"/>
              <w:spacing w:before="0"/>
            </w:pPr>
            <w:r>
              <w:rPr>
                <w:sz w:val="20"/>
                <w:szCs w:val="20"/>
                <w:shd w:val="nil" w:color="auto" w:fill="auto"/>
                <w:rtl w:val="0"/>
                <w:lang w:val="en-US"/>
              </w:rPr>
              <w:t>84.</w:t>
            </w:r>
            <w:r>
              <w:rPr>
                <w:sz w:val="20"/>
                <w:szCs w:val="20"/>
                <w:shd w:val="nil" w:color="auto" w:fill="auto"/>
                <w:rtl w:val="0"/>
                <w:lang w:val="en-US"/>
              </w:rPr>
              <w:t> č</w:t>
            </w:r>
            <w:r>
              <w:rPr>
                <w:sz w:val="20"/>
                <w:szCs w:val="20"/>
                <w:shd w:val="nil" w:color="auto" w:fill="auto"/>
                <w:rtl w:val="0"/>
                <w:lang w:val="en-US"/>
              </w:rPr>
              <w:t>len</w:t>
            </w:r>
          </w:p>
        </w:tc>
        <w:tc>
          <w:tcPr>
            <w:tcW w:type="dxa" w:w="650"/>
            <w:tcBorders>
              <w:top w:val="nil"/>
              <w:left w:val="nil"/>
              <w:bottom w:val="nil"/>
              <w:right w:val="nil"/>
            </w:tcBorders>
            <w:shd w:val="clear" w:color="auto" w:fill="auto"/>
            <w:tcMar>
              <w:top w:type="dxa" w:w="80"/>
              <w:left w:type="dxa" w:w="80"/>
              <w:bottom w:type="dxa" w:w="80"/>
              <w:right w:type="dxa" w:w="80"/>
            </w:tcMar>
            <w:vAlign w:val="top"/>
          </w:tcPr>
          <w:p/>
        </w:tc>
        <w:tc>
          <w:tcPr>
            <w:tcW w:type="dxa" w:w="4594"/>
            <w:tcBorders>
              <w:top w:val="nil"/>
              <w:left w:val="nil"/>
              <w:bottom w:val="nil"/>
              <w:right w:val="nil"/>
            </w:tcBorders>
            <w:shd w:val="clear" w:color="auto" w:fill="auto"/>
            <w:tcMar>
              <w:top w:type="dxa" w:w="80"/>
              <w:left w:type="dxa" w:w="80"/>
              <w:bottom w:type="dxa" w:w="80"/>
              <w:right w:type="dxa" w:w="80"/>
            </w:tcMar>
            <w:vAlign w:val="top"/>
          </w:tcPr>
          <w:p>
            <w:pPr>
              <w:pStyle w:val="Člen"/>
              <w:spacing w:before="0"/>
            </w:pPr>
            <w:r>
              <w:rPr>
                <w:sz w:val="20"/>
                <w:szCs w:val="20"/>
                <w:shd w:val="nil" w:color="auto" w:fill="auto"/>
                <w:rtl w:val="0"/>
                <w:lang w:val="en-US"/>
              </w:rPr>
              <w:t>Article 84</w:t>
            </w:r>
          </w:p>
        </w:tc>
      </w:tr>
      <w:tr>
        <w:tblPrEx>
          <w:shd w:val="clear" w:color="auto" w:fill="d0ddef"/>
        </w:tblPrEx>
        <w:trPr>
          <w:trHeight w:val="213" w:hRule="atLeast"/>
        </w:trPr>
        <w:tc>
          <w:tcPr>
            <w:tcW w:type="dxa" w:w="3828"/>
            <w:tcBorders>
              <w:top w:val="nil"/>
              <w:left w:val="nil"/>
              <w:bottom w:val="nil"/>
              <w:right w:val="nil"/>
            </w:tcBorders>
            <w:shd w:val="clear" w:color="auto" w:fill="auto"/>
            <w:tcMar>
              <w:top w:type="dxa" w:w="80"/>
              <w:left w:type="dxa" w:w="80"/>
              <w:bottom w:type="dxa" w:w="80"/>
              <w:right w:type="dxa" w:w="80"/>
            </w:tcMar>
            <w:vAlign w:val="top"/>
          </w:tcPr>
          <w:p>
            <w:pPr>
              <w:pStyle w:val="Člen"/>
              <w:spacing w:before="0"/>
            </w:pPr>
            <w:r>
              <w:rPr>
                <w:sz w:val="20"/>
                <w:szCs w:val="20"/>
                <w:shd w:val="nil" w:color="auto" w:fill="auto"/>
                <w:rtl w:val="0"/>
                <w:lang w:val="en-US"/>
              </w:rPr>
              <w:t>(omejitev gibanja)</w:t>
            </w:r>
          </w:p>
        </w:tc>
        <w:tc>
          <w:tcPr>
            <w:tcW w:type="dxa" w:w="650"/>
            <w:tcBorders>
              <w:top w:val="nil"/>
              <w:left w:val="nil"/>
              <w:bottom w:val="nil"/>
              <w:right w:val="nil"/>
            </w:tcBorders>
            <w:shd w:val="clear" w:color="auto" w:fill="auto"/>
            <w:tcMar>
              <w:top w:type="dxa" w:w="80"/>
              <w:left w:type="dxa" w:w="80"/>
              <w:bottom w:type="dxa" w:w="80"/>
              <w:right w:type="dxa" w:w="80"/>
            </w:tcMar>
            <w:vAlign w:val="top"/>
          </w:tcPr>
          <w:p/>
        </w:tc>
        <w:tc>
          <w:tcPr>
            <w:tcW w:type="dxa" w:w="4594"/>
            <w:tcBorders>
              <w:top w:val="nil"/>
              <w:left w:val="nil"/>
              <w:bottom w:val="nil"/>
              <w:right w:val="nil"/>
            </w:tcBorders>
            <w:shd w:val="clear" w:color="auto" w:fill="auto"/>
            <w:tcMar>
              <w:top w:type="dxa" w:w="80"/>
              <w:left w:type="dxa" w:w="80"/>
              <w:bottom w:type="dxa" w:w="80"/>
              <w:right w:type="dxa" w:w="80"/>
            </w:tcMar>
            <w:vAlign w:val="top"/>
          </w:tcPr>
          <w:p>
            <w:pPr>
              <w:pStyle w:val="Člen"/>
              <w:spacing w:before="0"/>
            </w:pPr>
            <w:r>
              <w:rPr>
                <w:sz w:val="20"/>
                <w:szCs w:val="20"/>
                <w:shd w:val="nil" w:color="auto" w:fill="auto"/>
                <w:rtl w:val="0"/>
                <w:lang w:val="en-US"/>
              </w:rPr>
              <w:t>(Restriction of movement)</w:t>
            </w:r>
          </w:p>
        </w:tc>
      </w:tr>
      <w:tr>
        <w:tblPrEx>
          <w:shd w:val="clear" w:color="auto" w:fill="d0ddef"/>
        </w:tblPrEx>
        <w:trPr>
          <w:trHeight w:val="1313" w:hRule="atLeast"/>
        </w:trPr>
        <w:tc>
          <w:tcPr>
            <w:tcW w:type="dxa" w:w="3828"/>
            <w:tcBorders>
              <w:top w:val="nil"/>
              <w:left w:val="nil"/>
              <w:bottom w:val="nil"/>
              <w:right w:val="nil"/>
            </w:tcBorders>
            <w:shd w:val="clear" w:color="auto" w:fill="auto"/>
            <w:tcMar>
              <w:top w:type="dxa" w:w="80"/>
              <w:left w:type="dxa" w:w="80"/>
              <w:bottom w:type="dxa" w:w="80"/>
              <w:right w:type="dxa" w:w="80"/>
            </w:tcMar>
            <w:vAlign w:val="top"/>
          </w:tcPr>
          <w:p>
            <w:pPr>
              <w:pStyle w:val="Vrsta predpisa"/>
              <w:spacing w:after="240"/>
            </w:pPr>
            <w:r>
              <w:rPr>
                <w:b w:val="0"/>
                <w:bCs w:val="0"/>
                <w:spacing w:val="0"/>
                <w:sz w:val="20"/>
                <w:szCs w:val="20"/>
                <w:shd w:val="nil" w:color="auto" w:fill="auto"/>
                <w:rtl w:val="0"/>
              </w:rPr>
              <w:t xml:space="preserve">(1) </w:t>
            </w:r>
            <w:r>
              <w:rPr>
                <w:b w:val="0"/>
                <w:bCs w:val="0"/>
                <w:spacing w:val="0"/>
                <w:sz w:val="20"/>
                <w:szCs w:val="20"/>
                <w:shd w:val="nil" w:color="auto" w:fill="auto"/>
                <w:rtl w:val="0"/>
              </w:rPr>
              <w:t>Č</w:t>
            </w:r>
            <w:r>
              <w:rPr>
                <w:b w:val="0"/>
                <w:bCs w:val="0"/>
                <w:spacing w:val="0"/>
                <w:sz w:val="20"/>
                <w:szCs w:val="20"/>
                <w:shd w:val="nil" w:color="auto" w:fill="auto"/>
                <w:rtl w:val="0"/>
              </w:rPr>
              <w:t>e ni mogo</w:t>
            </w:r>
            <w:r>
              <w:rPr>
                <w:b w:val="0"/>
                <w:bCs w:val="0"/>
                <w:spacing w:val="0"/>
                <w:sz w:val="20"/>
                <w:szCs w:val="20"/>
                <w:shd w:val="nil" w:color="auto" w:fill="auto"/>
                <w:rtl w:val="0"/>
              </w:rPr>
              <w:t>č</w:t>
            </w:r>
            <w:r>
              <w:rPr>
                <w:b w:val="0"/>
                <w:bCs w:val="0"/>
                <w:spacing w:val="0"/>
                <w:sz w:val="20"/>
                <w:szCs w:val="20"/>
                <w:shd w:val="nil" w:color="auto" w:fill="auto"/>
                <w:rtl w:val="0"/>
              </w:rPr>
              <w:t>e po dolo</w:t>
            </w:r>
            <w:r>
              <w:rPr>
                <w:b w:val="0"/>
                <w:bCs w:val="0"/>
                <w:spacing w:val="0"/>
                <w:sz w:val="20"/>
                <w:szCs w:val="20"/>
                <w:shd w:val="nil" w:color="auto" w:fill="auto"/>
                <w:rtl w:val="0"/>
              </w:rPr>
              <w:t>č</w:t>
            </w:r>
            <w:r>
              <w:rPr>
                <w:b w:val="0"/>
                <w:bCs w:val="0"/>
                <w:spacing w:val="0"/>
                <w:sz w:val="20"/>
                <w:szCs w:val="20"/>
                <w:shd w:val="nil" w:color="auto" w:fill="auto"/>
                <w:rtl w:val="0"/>
              </w:rPr>
              <w:t>bah tega zakona zagotoviti doseganja ciljev po dolo</w:t>
            </w:r>
            <w:r>
              <w:rPr>
                <w:b w:val="0"/>
                <w:bCs w:val="0"/>
                <w:spacing w:val="0"/>
                <w:sz w:val="20"/>
                <w:szCs w:val="20"/>
                <w:shd w:val="nil" w:color="auto" w:fill="auto"/>
                <w:rtl w:val="0"/>
              </w:rPr>
              <w:t>č</w:t>
            </w:r>
            <w:r>
              <w:rPr>
                <w:b w:val="0"/>
                <w:bCs w:val="0"/>
                <w:spacing w:val="0"/>
                <w:sz w:val="20"/>
                <w:szCs w:val="20"/>
                <w:shd w:val="nil" w:color="auto" w:fill="auto"/>
                <w:rtl w:val="0"/>
              </w:rPr>
              <w:t>bah tega odstavka, lahko prosilcu pristojni organ odredi ukrep obveznega zadr</w:t>
            </w:r>
            <w:r>
              <w:rPr>
                <w:b w:val="0"/>
                <w:bCs w:val="0"/>
                <w:spacing w:val="0"/>
                <w:sz w:val="20"/>
                <w:szCs w:val="20"/>
                <w:shd w:val="nil" w:color="auto" w:fill="auto"/>
                <w:rtl w:val="0"/>
              </w:rPr>
              <w:t>ž</w:t>
            </w:r>
            <w:r>
              <w:rPr>
                <w:b w:val="0"/>
                <w:bCs w:val="0"/>
                <w:spacing w:val="0"/>
                <w:sz w:val="20"/>
                <w:szCs w:val="20"/>
                <w:shd w:val="nil" w:color="auto" w:fill="auto"/>
                <w:rtl w:val="0"/>
              </w:rPr>
              <w:t>evanja na obmo</w:t>
            </w:r>
            <w:r>
              <w:rPr>
                <w:b w:val="0"/>
                <w:bCs w:val="0"/>
                <w:spacing w:val="0"/>
                <w:sz w:val="20"/>
                <w:szCs w:val="20"/>
                <w:shd w:val="nil" w:color="auto" w:fill="auto"/>
                <w:rtl w:val="0"/>
              </w:rPr>
              <w:t>č</w:t>
            </w:r>
            <w:r>
              <w:rPr>
                <w:b w:val="0"/>
                <w:bCs w:val="0"/>
                <w:spacing w:val="0"/>
                <w:sz w:val="20"/>
                <w:szCs w:val="20"/>
                <w:shd w:val="nil" w:color="auto" w:fill="auto"/>
                <w:rtl w:val="0"/>
              </w:rPr>
              <w:t>je azilnega doma iz naslednjih razlogov:</w:t>
            </w:r>
          </w:p>
        </w:tc>
        <w:tc>
          <w:tcPr>
            <w:tcW w:type="dxa" w:w="650"/>
            <w:tcBorders>
              <w:top w:val="nil"/>
              <w:left w:val="nil"/>
              <w:bottom w:val="nil"/>
              <w:right w:val="nil"/>
            </w:tcBorders>
            <w:shd w:val="clear" w:color="auto" w:fill="auto"/>
            <w:tcMar>
              <w:top w:type="dxa" w:w="80"/>
              <w:left w:type="dxa" w:w="80"/>
              <w:bottom w:type="dxa" w:w="80"/>
              <w:right w:type="dxa" w:w="80"/>
            </w:tcMar>
            <w:vAlign w:val="top"/>
          </w:tcPr>
          <w:p/>
        </w:tc>
        <w:tc>
          <w:tcPr>
            <w:tcW w:type="dxa" w:w="4594"/>
            <w:tcBorders>
              <w:top w:val="nil"/>
              <w:left w:val="nil"/>
              <w:bottom w:val="nil"/>
              <w:right w:val="nil"/>
            </w:tcBorders>
            <w:shd w:val="clear" w:color="auto" w:fill="auto"/>
            <w:tcMar>
              <w:top w:type="dxa" w:w="80"/>
              <w:left w:type="dxa" w:w="80"/>
              <w:bottom w:type="dxa" w:w="80"/>
              <w:right w:type="dxa" w:w="80"/>
            </w:tcMar>
            <w:vAlign w:val="top"/>
          </w:tcPr>
          <w:p>
            <w:pPr>
              <w:pStyle w:val="Vrsta predpisa"/>
              <w:spacing w:after="240"/>
            </w:pPr>
            <w:r>
              <w:rPr>
                <w:b w:val="0"/>
                <w:bCs w:val="0"/>
                <w:spacing w:val="0"/>
                <w:sz w:val="20"/>
                <w:szCs w:val="20"/>
                <w:shd w:val="nil" w:color="auto" w:fill="auto"/>
                <w:rtl w:val="0"/>
                <w:lang w:val="en-US"/>
              </w:rPr>
              <w:t>(1) If the objectives under the provisions of this paragraph cannot be attained through the implementation of this Act, the competent authority may require an applicant to stay in the area of the Asylum Centre for the following reasons:</w:t>
            </w:r>
          </w:p>
        </w:tc>
      </w:tr>
      <w:tr>
        <w:tblPrEx>
          <w:shd w:val="clear" w:color="auto" w:fill="d0ddef"/>
        </w:tblPrEx>
        <w:trPr>
          <w:trHeight w:val="873" w:hRule="atLeast"/>
        </w:trPr>
        <w:tc>
          <w:tcPr>
            <w:tcW w:type="dxa" w:w="3828"/>
            <w:tcBorders>
              <w:top w:val="nil"/>
              <w:left w:val="nil"/>
              <w:bottom w:val="nil"/>
              <w:right w:val="nil"/>
            </w:tcBorders>
            <w:shd w:val="clear" w:color="auto" w:fill="auto"/>
            <w:tcMar>
              <w:top w:type="dxa" w:w="80"/>
              <w:left w:type="dxa" w:w="80"/>
              <w:bottom w:type="dxa" w:w="80"/>
              <w:right w:type="dxa" w:w="80"/>
            </w:tcMar>
            <w:vAlign w:val="top"/>
          </w:tcPr>
          <w:p>
            <w:pPr>
              <w:pStyle w:val="Alinea za odstavkom"/>
              <w:numPr>
                <w:ilvl w:val="0"/>
                <w:numId w:val="15"/>
              </w:numPr>
              <w:rPr>
                <w:sz w:val="20"/>
                <w:szCs w:val="20"/>
                <w:lang w:val="it-IT"/>
              </w:rPr>
            </w:pPr>
            <w:r>
              <w:rPr>
                <w:sz w:val="20"/>
                <w:szCs w:val="20"/>
                <w:shd w:val="nil" w:color="auto" w:fill="auto"/>
                <w:rtl w:val="0"/>
                <w:lang w:val="it-IT"/>
              </w:rPr>
              <w:t>da se v primeru obstoja o</w:t>
            </w:r>
            <w:r>
              <w:rPr>
                <w:sz w:val="20"/>
                <w:szCs w:val="20"/>
                <w:shd w:val="nil" w:color="auto" w:fill="auto"/>
                <w:rtl w:val="0"/>
                <w:lang w:val="it-IT"/>
              </w:rPr>
              <w:t>č</w:t>
            </w:r>
            <w:r>
              <w:rPr>
                <w:sz w:val="20"/>
                <w:szCs w:val="20"/>
                <w:shd w:val="nil" w:color="auto" w:fill="auto"/>
                <w:rtl w:val="0"/>
                <w:lang w:val="it-IT"/>
              </w:rPr>
              <w:t>itnega dvoma preveri ali ugotovi njegova istovetnost ali dr</w:t>
            </w:r>
            <w:r>
              <w:rPr>
                <w:sz w:val="20"/>
                <w:szCs w:val="20"/>
                <w:shd w:val="nil" w:color="auto" w:fill="auto"/>
                <w:rtl w:val="0"/>
                <w:lang w:val="it-IT"/>
              </w:rPr>
              <w:t>ž</w:t>
            </w:r>
            <w:r>
              <w:rPr>
                <w:sz w:val="20"/>
                <w:szCs w:val="20"/>
                <w:shd w:val="nil" w:color="auto" w:fill="auto"/>
                <w:rtl w:val="0"/>
                <w:lang w:val="it-IT"/>
              </w:rPr>
              <w:t>avljanstvo,</w:t>
            </w:r>
          </w:p>
        </w:tc>
        <w:tc>
          <w:tcPr>
            <w:tcW w:type="dxa" w:w="650"/>
            <w:tcBorders>
              <w:top w:val="nil"/>
              <w:left w:val="nil"/>
              <w:bottom w:val="nil"/>
              <w:right w:val="nil"/>
            </w:tcBorders>
            <w:shd w:val="clear" w:color="auto" w:fill="auto"/>
            <w:tcMar>
              <w:top w:type="dxa" w:w="80"/>
              <w:left w:type="dxa" w:w="80"/>
              <w:bottom w:type="dxa" w:w="80"/>
              <w:right w:type="dxa" w:w="80"/>
            </w:tcMar>
            <w:vAlign w:val="top"/>
          </w:tcPr>
          <w:p/>
        </w:tc>
        <w:tc>
          <w:tcPr>
            <w:tcW w:type="dxa" w:w="4594"/>
            <w:tcBorders>
              <w:top w:val="nil"/>
              <w:left w:val="nil"/>
              <w:bottom w:val="nil"/>
              <w:right w:val="nil"/>
            </w:tcBorders>
            <w:shd w:val="clear" w:color="auto" w:fill="auto"/>
            <w:tcMar>
              <w:top w:type="dxa" w:w="80"/>
              <w:left w:type="dxa" w:w="80"/>
              <w:bottom w:type="dxa" w:w="80"/>
              <w:right w:type="dxa" w:w="80"/>
            </w:tcMar>
            <w:vAlign w:val="top"/>
          </w:tcPr>
          <w:p>
            <w:pPr>
              <w:pStyle w:val="Alinea za odstavkom"/>
              <w:numPr>
                <w:ilvl w:val="0"/>
                <w:numId w:val="16"/>
              </w:numPr>
              <w:rPr>
                <w:sz w:val="20"/>
                <w:szCs w:val="20"/>
                <w:lang w:val="en-US"/>
              </w:rPr>
            </w:pPr>
            <w:r>
              <w:rPr>
                <w:sz w:val="20"/>
                <w:szCs w:val="20"/>
                <w:shd w:val="nil" w:color="auto" w:fill="auto"/>
                <w:rtl w:val="0"/>
                <w:lang w:val="en-US"/>
              </w:rPr>
              <w:t>to verify or establish his or her identity or citizenship if there is obvious doubt about this,</w:t>
            </w:r>
          </w:p>
        </w:tc>
      </w:tr>
      <w:tr>
        <w:tblPrEx>
          <w:shd w:val="clear" w:color="auto" w:fill="d0ddef"/>
        </w:tblPrEx>
        <w:trPr>
          <w:trHeight w:val="1533" w:hRule="atLeast"/>
        </w:trPr>
        <w:tc>
          <w:tcPr>
            <w:tcW w:type="dxa" w:w="3828"/>
            <w:tcBorders>
              <w:top w:val="nil"/>
              <w:left w:val="nil"/>
              <w:bottom w:val="nil"/>
              <w:right w:val="nil"/>
            </w:tcBorders>
            <w:shd w:val="clear" w:color="auto" w:fill="auto"/>
            <w:tcMar>
              <w:top w:type="dxa" w:w="80"/>
              <w:left w:type="dxa" w:w="80"/>
              <w:bottom w:type="dxa" w:w="80"/>
              <w:right w:type="dxa" w:w="80"/>
            </w:tcMar>
            <w:vAlign w:val="top"/>
          </w:tcPr>
          <w:p>
            <w:pPr>
              <w:pStyle w:val="Alinea za odstavkom"/>
              <w:numPr>
                <w:ilvl w:val="0"/>
                <w:numId w:val="17"/>
              </w:numPr>
              <w:rPr>
                <w:sz w:val="20"/>
                <w:szCs w:val="20"/>
              </w:rPr>
            </w:pPr>
            <w:r>
              <w:rPr>
                <w:sz w:val="20"/>
                <w:szCs w:val="20"/>
                <w:shd w:val="nil" w:color="auto" w:fill="auto"/>
                <w:rtl w:val="0"/>
              </w:rPr>
              <w:t>da se ugotovijo dolo</w:t>
            </w:r>
            <w:r>
              <w:rPr>
                <w:sz w:val="20"/>
                <w:szCs w:val="20"/>
                <w:shd w:val="nil" w:color="auto" w:fill="auto"/>
                <w:rtl w:val="0"/>
              </w:rPr>
              <w:t>č</w:t>
            </w:r>
            <w:r>
              <w:rPr>
                <w:sz w:val="20"/>
                <w:szCs w:val="20"/>
                <w:shd w:val="nil" w:color="auto" w:fill="auto"/>
                <w:rtl w:val="0"/>
              </w:rPr>
              <w:t>ena dejstva, na katerih temelji pro</w:t>
            </w:r>
            <w:r>
              <w:rPr>
                <w:sz w:val="20"/>
                <w:szCs w:val="20"/>
                <w:shd w:val="nil" w:color="auto" w:fill="auto"/>
                <w:rtl w:val="0"/>
              </w:rPr>
              <w:t>š</w:t>
            </w:r>
            <w:r>
              <w:rPr>
                <w:sz w:val="20"/>
                <w:szCs w:val="20"/>
                <w:shd w:val="nil" w:color="auto" w:fill="auto"/>
                <w:rtl w:val="0"/>
              </w:rPr>
              <w:t>nja za mednarodno za</w:t>
            </w:r>
            <w:r>
              <w:rPr>
                <w:sz w:val="20"/>
                <w:szCs w:val="20"/>
                <w:shd w:val="nil" w:color="auto" w:fill="auto"/>
                <w:rtl w:val="0"/>
              </w:rPr>
              <w:t>šč</w:t>
            </w:r>
            <w:r>
              <w:rPr>
                <w:sz w:val="20"/>
                <w:szCs w:val="20"/>
                <w:shd w:val="nil" w:color="auto" w:fill="auto"/>
                <w:rtl w:val="0"/>
              </w:rPr>
              <w:t>ito, ki jih brez izre</w:t>
            </w:r>
            <w:r>
              <w:rPr>
                <w:sz w:val="20"/>
                <w:szCs w:val="20"/>
                <w:shd w:val="nil" w:color="auto" w:fill="auto"/>
                <w:rtl w:val="0"/>
              </w:rPr>
              <w:t>č</w:t>
            </w:r>
            <w:r>
              <w:rPr>
                <w:sz w:val="20"/>
                <w:szCs w:val="20"/>
                <w:shd w:val="nil" w:color="auto" w:fill="auto"/>
                <w:rtl w:val="0"/>
              </w:rPr>
              <w:t>enega ukrepa ne bi bilo mogo</w:t>
            </w:r>
            <w:r>
              <w:rPr>
                <w:sz w:val="20"/>
                <w:szCs w:val="20"/>
                <w:shd w:val="nil" w:color="auto" w:fill="auto"/>
                <w:rtl w:val="0"/>
              </w:rPr>
              <w:t>č</w:t>
            </w:r>
            <w:r>
              <w:rPr>
                <w:sz w:val="20"/>
                <w:szCs w:val="20"/>
                <w:shd w:val="nil" w:color="auto" w:fill="auto"/>
                <w:rtl w:val="0"/>
              </w:rPr>
              <w:t>e pridobiti, in obstaja utemeljena nevarnost, da bo prosilec pobegnil,</w:t>
            </w:r>
          </w:p>
        </w:tc>
        <w:tc>
          <w:tcPr>
            <w:tcW w:type="dxa" w:w="650"/>
            <w:tcBorders>
              <w:top w:val="nil"/>
              <w:left w:val="nil"/>
              <w:bottom w:val="nil"/>
              <w:right w:val="nil"/>
            </w:tcBorders>
            <w:shd w:val="clear" w:color="auto" w:fill="auto"/>
            <w:tcMar>
              <w:top w:type="dxa" w:w="80"/>
              <w:left w:type="dxa" w:w="80"/>
              <w:bottom w:type="dxa" w:w="80"/>
              <w:right w:type="dxa" w:w="80"/>
            </w:tcMar>
            <w:vAlign w:val="top"/>
          </w:tcPr>
          <w:p/>
        </w:tc>
        <w:tc>
          <w:tcPr>
            <w:tcW w:type="dxa" w:w="4594"/>
            <w:tcBorders>
              <w:top w:val="nil"/>
              <w:left w:val="nil"/>
              <w:bottom w:val="nil"/>
              <w:right w:val="nil"/>
            </w:tcBorders>
            <w:shd w:val="clear" w:color="auto" w:fill="auto"/>
            <w:tcMar>
              <w:top w:type="dxa" w:w="80"/>
              <w:left w:type="dxa" w:w="80"/>
              <w:bottom w:type="dxa" w:w="80"/>
              <w:right w:type="dxa" w:w="80"/>
            </w:tcMar>
            <w:vAlign w:val="top"/>
          </w:tcPr>
          <w:p>
            <w:pPr>
              <w:pStyle w:val="Alinea za odstavkom"/>
              <w:numPr>
                <w:ilvl w:val="0"/>
                <w:numId w:val="18"/>
              </w:numPr>
              <w:rPr>
                <w:sz w:val="20"/>
                <w:szCs w:val="20"/>
                <w:lang w:val="en-US"/>
              </w:rPr>
            </w:pPr>
            <w:r>
              <w:rPr>
                <w:sz w:val="20"/>
                <w:szCs w:val="20"/>
                <w:shd w:val="nil" w:color="auto" w:fill="auto"/>
                <w:rtl w:val="0"/>
                <w:lang w:val="en-US"/>
              </w:rPr>
              <w:t>to establish certain facts on which the application for international protection is based that could not be acquired without the imposed measure, and there is a danger that the applicant will abscond,</w:t>
            </w:r>
          </w:p>
        </w:tc>
      </w:tr>
      <w:tr>
        <w:tblPrEx>
          <w:shd w:val="clear" w:color="auto" w:fill="d0ddef"/>
        </w:tblPrEx>
        <w:trPr>
          <w:trHeight w:val="3093" w:hRule="atLeast"/>
        </w:trPr>
        <w:tc>
          <w:tcPr>
            <w:tcW w:type="dxa" w:w="3828"/>
            <w:tcBorders>
              <w:top w:val="nil"/>
              <w:left w:val="nil"/>
              <w:bottom w:val="nil"/>
              <w:right w:val="nil"/>
            </w:tcBorders>
            <w:shd w:val="clear" w:color="auto" w:fill="auto"/>
            <w:tcMar>
              <w:top w:type="dxa" w:w="80"/>
              <w:left w:type="dxa" w:w="80"/>
              <w:bottom w:type="dxa" w:w="80"/>
              <w:right w:type="dxa" w:w="80"/>
            </w:tcMar>
            <w:vAlign w:val="top"/>
          </w:tcPr>
          <w:p>
            <w:pPr>
              <w:pStyle w:val="Alinea za odstavkom"/>
              <w:numPr>
                <w:ilvl w:val="0"/>
                <w:numId w:val="19"/>
              </w:numPr>
              <w:rPr>
                <w:sz w:val="20"/>
                <w:szCs w:val="20"/>
              </w:rPr>
            </w:pPr>
            <w:r>
              <w:rPr>
                <w:sz w:val="20"/>
                <w:szCs w:val="20"/>
                <w:shd w:val="nil" w:color="auto" w:fill="auto"/>
                <w:rtl w:val="0"/>
              </w:rPr>
              <w:t>kadar je prosilcu omejeno gibanje zaradi postopka vra</w:t>
            </w:r>
            <w:r>
              <w:rPr>
                <w:sz w:val="20"/>
                <w:szCs w:val="20"/>
                <w:shd w:val="nil" w:color="auto" w:fill="auto"/>
                <w:rtl w:val="0"/>
              </w:rPr>
              <w:t>č</w:t>
            </w:r>
            <w:r>
              <w:rPr>
                <w:sz w:val="20"/>
                <w:szCs w:val="20"/>
                <w:shd w:val="nil" w:color="auto" w:fill="auto"/>
                <w:rtl w:val="0"/>
              </w:rPr>
              <w:t>anja v skladu z zakonom, ki ureja vstop, bivanje in zapustitev tujcev v Republiki Sloveniji, da bi se izvedel in izvr</w:t>
            </w:r>
            <w:r>
              <w:rPr>
                <w:sz w:val="20"/>
                <w:szCs w:val="20"/>
                <w:shd w:val="nil" w:color="auto" w:fill="auto"/>
                <w:rtl w:val="0"/>
              </w:rPr>
              <w:t>š</w:t>
            </w:r>
            <w:r>
              <w:rPr>
                <w:sz w:val="20"/>
                <w:szCs w:val="20"/>
                <w:shd w:val="nil" w:color="auto" w:fill="auto"/>
                <w:rtl w:val="0"/>
              </w:rPr>
              <w:t>il postopek vrnitve ali postopek odstranitve ter je mogo</w:t>
            </w:r>
            <w:r>
              <w:rPr>
                <w:sz w:val="20"/>
                <w:szCs w:val="20"/>
                <w:shd w:val="nil" w:color="auto" w:fill="auto"/>
                <w:rtl w:val="0"/>
              </w:rPr>
              <w:t>č</w:t>
            </w:r>
            <w:r>
              <w:rPr>
                <w:sz w:val="20"/>
                <w:szCs w:val="20"/>
                <w:shd w:val="nil" w:color="auto" w:fill="auto"/>
                <w:rtl w:val="0"/>
              </w:rPr>
              <w:t>e utemeljeno domnevati, da je prosilec pro</w:t>
            </w:r>
            <w:r>
              <w:rPr>
                <w:sz w:val="20"/>
                <w:szCs w:val="20"/>
                <w:shd w:val="nil" w:color="auto" w:fill="auto"/>
                <w:rtl w:val="0"/>
              </w:rPr>
              <w:t>š</w:t>
            </w:r>
            <w:r>
              <w:rPr>
                <w:sz w:val="20"/>
                <w:szCs w:val="20"/>
                <w:shd w:val="nil" w:color="auto" w:fill="auto"/>
                <w:rtl w:val="0"/>
              </w:rPr>
              <w:t>njo podal samo zato, da bi zadr</w:t>
            </w:r>
            <w:r>
              <w:rPr>
                <w:sz w:val="20"/>
                <w:szCs w:val="20"/>
                <w:shd w:val="nil" w:color="auto" w:fill="auto"/>
                <w:rtl w:val="0"/>
              </w:rPr>
              <w:t>ž</w:t>
            </w:r>
            <w:r>
              <w:rPr>
                <w:sz w:val="20"/>
                <w:szCs w:val="20"/>
                <w:shd w:val="nil" w:color="auto" w:fill="auto"/>
                <w:rtl w:val="0"/>
              </w:rPr>
              <w:t xml:space="preserve">al ali oviral izvedbo odstranitve, pri </w:t>
            </w:r>
            <w:r>
              <w:rPr>
                <w:sz w:val="20"/>
                <w:szCs w:val="20"/>
                <w:shd w:val="nil" w:color="auto" w:fill="auto"/>
                <w:rtl w:val="0"/>
              </w:rPr>
              <w:t>č</w:t>
            </w:r>
            <w:r>
              <w:rPr>
                <w:sz w:val="20"/>
                <w:szCs w:val="20"/>
                <w:shd w:val="nil" w:color="auto" w:fill="auto"/>
                <w:rtl w:val="0"/>
              </w:rPr>
              <w:t>emer je imel mo</w:t>
            </w:r>
            <w:r>
              <w:rPr>
                <w:sz w:val="20"/>
                <w:szCs w:val="20"/>
                <w:shd w:val="nil" w:color="auto" w:fill="auto"/>
                <w:rtl w:val="0"/>
              </w:rPr>
              <w:t>ž</w:t>
            </w:r>
            <w:r>
              <w:rPr>
                <w:sz w:val="20"/>
                <w:szCs w:val="20"/>
                <w:shd w:val="nil" w:color="auto" w:fill="auto"/>
                <w:rtl w:val="0"/>
              </w:rPr>
              <w:t>nost zaprositi za mednarodno za</w:t>
            </w:r>
            <w:r>
              <w:rPr>
                <w:sz w:val="20"/>
                <w:szCs w:val="20"/>
                <w:shd w:val="nil" w:color="auto" w:fill="auto"/>
                <w:rtl w:val="0"/>
              </w:rPr>
              <w:t>šč</w:t>
            </w:r>
            <w:r>
              <w:rPr>
                <w:sz w:val="20"/>
                <w:szCs w:val="20"/>
                <w:shd w:val="nil" w:color="auto" w:fill="auto"/>
                <w:rtl w:val="0"/>
                <w:lang w:val="it-IT"/>
              </w:rPr>
              <w:t>ito,</w:t>
            </w:r>
          </w:p>
        </w:tc>
        <w:tc>
          <w:tcPr>
            <w:tcW w:type="dxa" w:w="650"/>
            <w:tcBorders>
              <w:top w:val="nil"/>
              <w:left w:val="nil"/>
              <w:bottom w:val="nil"/>
              <w:right w:val="nil"/>
            </w:tcBorders>
            <w:shd w:val="clear" w:color="auto" w:fill="auto"/>
            <w:tcMar>
              <w:top w:type="dxa" w:w="80"/>
              <w:left w:type="dxa" w:w="80"/>
              <w:bottom w:type="dxa" w:w="80"/>
              <w:right w:type="dxa" w:w="80"/>
            </w:tcMar>
            <w:vAlign w:val="top"/>
          </w:tcPr>
          <w:p/>
        </w:tc>
        <w:tc>
          <w:tcPr>
            <w:tcW w:type="dxa" w:w="4594"/>
            <w:tcBorders>
              <w:top w:val="nil"/>
              <w:left w:val="nil"/>
              <w:bottom w:val="nil"/>
              <w:right w:val="nil"/>
            </w:tcBorders>
            <w:shd w:val="clear" w:color="auto" w:fill="auto"/>
            <w:tcMar>
              <w:top w:type="dxa" w:w="80"/>
              <w:left w:type="dxa" w:w="80"/>
              <w:bottom w:type="dxa" w:w="80"/>
              <w:right w:type="dxa" w:w="80"/>
            </w:tcMar>
            <w:vAlign w:val="top"/>
          </w:tcPr>
          <w:p>
            <w:pPr>
              <w:pStyle w:val="Alinea za odstavkom"/>
              <w:numPr>
                <w:ilvl w:val="0"/>
                <w:numId w:val="20"/>
              </w:numPr>
              <w:rPr>
                <w:b w:val="1"/>
                <w:bCs w:val="1"/>
                <w:spacing w:val="0"/>
                <w:sz w:val="20"/>
                <w:szCs w:val="20"/>
                <w:lang w:val="en-US"/>
              </w:rPr>
            </w:pPr>
            <w:r>
              <w:rPr>
                <w:b w:val="0"/>
                <w:bCs w:val="0"/>
                <w:spacing w:val="0"/>
                <w:sz w:val="20"/>
                <w:szCs w:val="20"/>
                <w:shd w:val="nil" w:color="auto" w:fill="auto"/>
                <w:rtl w:val="0"/>
                <w:lang w:val="en-US"/>
              </w:rPr>
              <w:t>when the applicant's movement is restricted due to the readmission procedure in accordance with the Act governing the entry into, departure from and residence of foreigners in the Republic of Slovenia in order to carry out the readmission or removal procedure and there are well-founded reasons to believe that the applicant has filed his or her</w:t>
            </w:r>
            <w:r>
              <w:rPr>
                <w:b w:val="1"/>
                <w:bCs w:val="1"/>
                <w:spacing w:val="0"/>
                <w:shd w:val="nil" w:color="auto" w:fill="auto"/>
                <w:rtl w:val="0"/>
                <w:lang w:val="en-US"/>
              </w:rPr>
              <w:t xml:space="preserve"> </w:t>
            </w:r>
            <w:r>
              <w:rPr>
                <w:b w:val="0"/>
                <w:bCs w:val="0"/>
                <w:spacing w:val="0"/>
                <w:sz w:val="20"/>
                <w:szCs w:val="20"/>
                <w:shd w:val="nil" w:color="auto" w:fill="auto"/>
                <w:rtl w:val="0"/>
                <w:lang w:val="en-US"/>
              </w:rPr>
              <w:t>application only to stay or impede removal, including the fact that he or she has already had an opportunity to apply for international protection,</w:t>
            </w:r>
          </w:p>
        </w:tc>
      </w:tr>
      <w:tr>
        <w:tblPrEx>
          <w:shd w:val="clear" w:color="auto" w:fill="d0ddef"/>
        </w:tblPrEx>
        <w:trPr>
          <w:trHeight w:val="5273" w:hRule="atLeast"/>
        </w:trPr>
        <w:tc>
          <w:tcPr>
            <w:tcW w:type="dxa" w:w="3828"/>
            <w:tcBorders>
              <w:top w:val="nil"/>
              <w:left w:val="nil"/>
              <w:bottom w:val="nil"/>
              <w:right w:val="nil"/>
            </w:tcBorders>
            <w:shd w:val="clear" w:color="auto" w:fill="auto"/>
            <w:tcMar>
              <w:top w:type="dxa" w:w="80"/>
              <w:left w:type="dxa" w:w="80"/>
              <w:bottom w:type="dxa" w:w="80"/>
              <w:right w:type="dxa" w:w="80"/>
            </w:tcMar>
            <w:vAlign w:val="top"/>
          </w:tcPr>
          <w:p>
            <w:pPr>
              <w:pStyle w:val="Alinea za odstavkom"/>
              <w:numPr>
                <w:ilvl w:val="0"/>
                <w:numId w:val="21"/>
              </w:numPr>
              <w:rPr>
                <w:sz w:val="20"/>
                <w:szCs w:val="20"/>
              </w:rPr>
            </w:pPr>
            <w:r>
              <w:rPr>
                <w:sz w:val="20"/>
                <w:szCs w:val="20"/>
                <w:shd w:val="nil" w:color="auto" w:fill="auto"/>
                <w:rtl w:val="0"/>
              </w:rPr>
              <w:t>kadar se prepre</w:t>
            </w:r>
            <w:r>
              <w:rPr>
                <w:sz w:val="20"/>
                <w:szCs w:val="20"/>
                <w:shd w:val="nil" w:color="auto" w:fill="auto"/>
                <w:rtl w:val="0"/>
              </w:rPr>
              <w:t>č</w:t>
            </w:r>
            <w:r>
              <w:rPr>
                <w:sz w:val="20"/>
                <w:szCs w:val="20"/>
                <w:shd w:val="nil" w:color="auto" w:fill="auto"/>
                <w:rtl w:val="0"/>
              </w:rPr>
              <w:t>uje ogro</w:t>
            </w:r>
            <w:r>
              <w:rPr>
                <w:sz w:val="20"/>
                <w:szCs w:val="20"/>
                <w:shd w:val="nil" w:color="auto" w:fill="auto"/>
                <w:rtl w:val="0"/>
              </w:rPr>
              <w:t>ž</w:t>
            </w:r>
            <w:r>
              <w:rPr>
                <w:sz w:val="20"/>
                <w:szCs w:val="20"/>
                <w:shd w:val="nil" w:color="auto" w:fill="auto"/>
                <w:rtl w:val="0"/>
              </w:rPr>
              <w:t>anje varnosti dr</w:t>
            </w:r>
            <w:r>
              <w:rPr>
                <w:sz w:val="20"/>
                <w:szCs w:val="20"/>
                <w:shd w:val="nil" w:color="auto" w:fill="auto"/>
                <w:rtl w:val="0"/>
              </w:rPr>
              <w:t>ž</w:t>
            </w:r>
            <w:r>
              <w:rPr>
                <w:sz w:val="20"/>
                <w:szCs w:val="20"/>
                <w:shd w:val="nil" w:color="auto" w:fill="auto"/>
                <w:rtl w:val="0"/>
              </w:rPr>
              <w:t>ave ali ustavne ureditve Republike Slovenije ali je to nujno potrebno zaradi varstva osebne varnosti, premo</w:t>
            </w:r>
            <w:r>
              <w:rPr>
                <w:sz w:val="20"/>
                <w:szCs w:val="20"/>
                <w:shd w:val="nil" w:color="auto" w:fill="auto"/>
                <w:rtl w:val="0"/>
              </w:rPr>
              <w:t>ž</w:t>
            </w:r>
            <w:r>
              <w:rPr>
                <w:sz w:val="20"/>
                <w:szCs w:val="20"/>
                <w:shd w:val="nil" w:color="auto" w:fill="auto"/>
                <w:rtl w:val="0"/>
              </w:rPr>
              <w:t>enjske varnosti in drugih primerljivih razlogov javnega reda. Za ogro</w:t>
            </w:r>
            <w:r>
              <w:rPr>
                <w:sz w:val="20"/>
                <w:szCs w:val="20"/>
                <w:shd w:val="nil" w:color="auto" w:fill="auto"/>
                <w:rtl w:val="0"/>
              </w:rPr>
              <w:t>ž</w:t>
            </w:r>
            <w:r>
              <w:rPr>
                <w:sz w:val="20"/>
                <w:szCs w:val="20"/>
                <w:shd w:val="nil" w:color="auto" w:fill="auto"/>
                <w:rtl w:val="0"/>
              </w:rPr>
              <w:t>anje varnosti dr</w:t>
            </w:r>
            <w:r>
              <w:rPr>
                <w:sz w:val="20"/>
                <w:szCs w:val="20"/>
                <w:shd w:val="nil" w:color="auto" w:fill="auto"/>
                <w:rtl w:val="0"/>
              </w:rPr>
              <w:t>ž</w:t>
            </w:r>
            <w:r>
              <w:rPr>
                <w:sz w:val="20"/>
                <w:szCs w:val="20"/>
                <w:shd w:val="nil" w:color="auto" w:fill="auto"/>
                <w:rtl w:val="0"/>
              </w:rPr>
              <w:t xml:space="preserve">ave ali ustavne ureditve Republike Slovenije se </w:t>
            </w:r>
            <w:r>
              <w:rPr>
                <w:sz w:val="20"/>
                <w:szCs w:val="20"/>
                <w:shd w:val="nil" w:color="auto" w:fill="auto"/>
                <w:rtl w:val="0"/>
              </w:rPr>
              <w:t>š</w:t>
            </w:r>
            <w:r>
              <w:rPr>
                <w:sz w:val="20"/>
                <w:szCs w:val="20"/>
                <w:shd w:val="nil" w:color="auto" w:fill="auto"/>
                <w:rtl w:val="0"/>
              </w:rPr>
              <w:t>teje ogro</w:t>
            </w:r>
            <w:r>
              <w:rPr>
                <w:sz w:val="20"/>
                <w:szCs w:val="20"/>
                <w:shd w:val="nil" w:color="auto" w:fill="auto"/>
                <w:rtl w:val="0"/>
              </w:rPr>
              <w:t>ž</w:t>
            </w:r>
            <w:r>
              <w:rPr>
                <w:sz w:val="20"/>
                <w:szCs w:val="20"/>
                <w:shd w:val="nil" w:color="auto" w:fill="auto"/>
                <w:rtl w:val="0"/>
              </w:rPr>
              <w:t>anje notranje ali zunanje varnosti dr</w:t>
            </w:r>
            <w:r>
              <w:rPr>
                <w:sz w:val="20"/>
                <w:szCs w:val="20"/>
                <w:shd w:val="nil" w:color="auto" w:fill="auto"/>
                <w:rtl w:val="0"/>
              </w:rPr>
              <w:t>ž</w:t>
            </w:r>
            <w:r>
              <w:rPr>
                <w:sz w:val="20"/>
                <w:szCs w:val="20"/>
                <w:shd w:val="nil" w:color="auto" w:fill="auto"/>
                <w:rtl w:val="0"/>
              </w:rPr>
              <w:t>ave, ki jo predstavlja ogro</w:t>
            </w:r>
            <w:r>
              <w:rPr>
                <w:sz w:val="20"/>
                <w:szCs w:val="20"/>
                <w:shd w:val="nil" w:color="auto" w:fill="auto"/>
                <w:rtl w:val="0"/>
              </w:rPr>
              <w:t>ž</w:t>
            </w:r>
            <w:r>
              <w:rPr>
                <w:sz w:val="20"/>
                <w:szCs w:val="20"/>
                <w:shd w:val="nil" w:color="auto" w:fill="auto"/>
                <w:rtl w:val="0"/>
              </w:rPr>
              <w:t>anje delovanja institucij in temeljnih javnih slu</w:t>
            </w:r>
            <w:r>
              <w:rPr>
                <w:sz w:val="20"/>
                <w:szCs w:val="20"/>
                <w:shd w:val="nil" w:color="auto" w:fill="auto"/>
                <w:rtl w:val="0"/>
              </w:rPr>
              <w:t>ž</w:t>
            </w:r>
            <w:r>
              <w:rPr>
                <w:sz w:val="20"/>
                <w:szCs w:val="20"/>
                <w:shd w:val="nil" w:color="auto" w:fill="auto"/>
                <w:rtl w:val="0"/>
                <w:lang w:val="nl-NL"/>
              </w:rPr>
              <w:t>b ter pre</w:t>
            </w:r>
            <w:r>
              <w:rPr>
                <w:sz w:val="20"/>
                <w:szCs w:val="20"/>
                <w:shd w:val="nil" w:color="auto" w:fill="auto"/>
                <w:rtl w:val="0"/>
              </w:rPr>
              <w:t>ž</w:t>
            </w:r>
            <w:r>
              <w:rPr>
                <w:sz w:val="20"/>
                <w:szCs w:val="20"/>
                <w:shd w:val="nil" w:color="auto" w:fill="auto"/>
                <w:rtl w:val="0"/>
              </w:rPr>
              <w:t>ivetja prebivalstva, tveganje resnih motenj v mednarodnih odnosih ali mirnem so</w:t>
            </w:r>
            <w:r>
              <w:rPr>
                <w:sz w:val="20"/>
                <w:szCs w:val="20"/>
                <w:shd w:val="nil" w:color="auto" w:fill="auto"/>
                <w:rtl w:val="0"/>
              </w:rPr>
              <w:t>ž</w:t>
            </w:r>
            <w:r>
              <w:rPr>
                <w:sz w:val="20"/>
                <w:szCs w:val="20"/>
                <w:shd w:val="nil" w:color="auto" w:fill="auto"/>
                <w:rtl w:val="0"/>
              </w:rPr>
              <w:t>itju med narodi in ogro</w:t>
            </w:r>
            <w:r>
              <w:rPr>
                <w:sz w:val="20"/>
                <w:szCs w:val="20"/>
                <w:shd w:val="nil" w:color="auto" w:fill="auto"/>
                <w:rtl w:val="0"/>
              </w:rPr>
              <w:t>ž</w:t>
            </w:r>
            <w:r>
              <w:rPr>
                <w:sz w:val="20"/>
                <w:szCs w:val="20"/>
                <w:shd w:val="nil" w:color="auto" w:fill="auto"/>
                <w:rtl w:val="0"/>
              </w:rPr>
              <w:t>anje obrambnih interesov dr</w:t>
            </w:r>
            <w:r>
              <w:rPr>
                <w:sz w:val="20"/>
                <w:szCs w:val="20"/>
                <w:shd w:val="nil" w:color="auto" w:fill="auto"/>
                <w:rtl w:val="0"/>
              </w:rPr>
              <w:t>ž</w:t>
            </w:r>
            <w:r>
              <w:rPr>
                <w:sz w:val="20"/>
                <w:szCs w:val="20"/>
                <w:shd w:val="nil" w:color="auto" w:fill="auto"/>
                <w:rtl w:val="0"/>
              </w:rPr>
              <w:t>ave. Drugi primerljivi razlogi javnega reda se razumejo kot tisti, ki predstavljajo resni</w:t>
            </w:r>
            <w:r>
              <w:rPr>
                <w:sz w:val="20"/>
                <w:szCs w:val="20"/>
                <w:shd w:val="nil" w:color="auto" w:fill="auto"/>
                <w:rtl w:val="0"/>
              </w:rPr>
              <w:t>č</w:t>
            </w:r>
            <w:r>
              <w:rPr>
                <w:sz w:val="20"/>
                <w:szCs w:val="20"/>
                <w:shd w:val="nil" w:color="auto" w:fill="auto"/>
                <w:rtl w:val="0"/>
              </w:rPr>
              <w:t>no, sedanjo in dovolj resno gro</w:t>
            </w:r>
            <w:r>
              <w:rPr>
                <w:sz w:val="20"/>
                <w:szCs w:val="20"/>
                <w:shd w:val="nil" w:color="auto" w:fill="auto"/>
                <w:rtl w:val="0"/>
              </w:rPr>
              <w:t>ž</w:t>
            </w:r>
            <w:r>
              <w:rPr>
                <w:sz w:val="20"/>
                <w:szCs w:val="20"/>
                <w:shd w:val="nil" w:color="auto" w:fill="auto"/>
                <w:rtl w:val="0"/>
              </w:rPr>
              <w:t>njo temeljnemu interesu dr</w:t>
            </w:r>
            <w:r>
              <w:rPr>
                <w:sz w:val="20"/>
                <w:szCs w:val="20"/>
                <w:shd w:val="nil" w:color="auto" w:fill="auto"/>
                <w:rtl w:val="0"/>
              </w:rPr>
              <w:t>ž</w:t>
            </w:r>
            <w:r>
              <w:rPr>
                <w:sz w:val="20"/>
                <w:szCs w:val="20"/>
                <w:shd w:val="nil" w:color="auto" w:fill="auto"/>
                <w:rtl w:val="0"/>
              </w:rPr>
              <w:t>ave,</w:t>
            </w:r>
          </w:p>
        </w:tc>
        <w:tc>
          <w:tcPr>
            <w:tcW w:type="dxa" w:w="650"/>
            <w:tcBorders>
              <w:top w:val="nil"/>
              <w:left w:val="nil"/>
              <w:bottom w:val="nil"/>
              <w:right w:val="nil"/>
            </w:tcBorders>
            <w:shd w:val="clear" w:color="auto" w:fill="auto"/>
            <w:tcMar>
              <w:top w:type="dxa" w:w="80"/>
              <w:left w:type="dxa" w:w="80"/>
              <w:bottom w:type="dxa" w:w="80"/>
              <w:right w:type="dxa" w:w="80"/>
            </w:tcMar>
            <w:vAlign w:val="top"/>
          </w:tcPr>
          <w:p/>
        </w:tc>
        <w:tc>
          <w:tcPr>
            <w:tcW w:type="dxa" w:w="4594"/>
            <w:tcBorders>
              <w:top w:val="nil"/>
              <w:left w:val="nil"/>
              <w:bottom w:val="nil"/>
              <w:right w:val="nil"/>
            </w:tcBorders>
            <w:shd w:val="clear" w:color="auto" w:fill="auto"/>
            <w:tcMar>
              <w:top w:type="dxa" w:w="80"/>
              <w:left w:type="dxa" w:w="80"/>
              <w:bottom w:type="dxa" w:w="80"/>
              <w:right w:type="dxa" w:w="80"/>
            </w:tcMar>
            <w:vAlign w:val="top"/>
          </w:tcPr>
          <w:p>
            <w:pPr>
              <w:pStyle w:val="Alinea za odstavkom"/>
              <w:numPr>
                <w:ilvl w:val="0"/>
                <w:numId w:val="22"/>
              </w:numPr>
              <w:rPr>
                <w:sz w:val="20"/>
                <w:szCs w:val="20"/>
                <w:lang w:val="en-US"/>
              </w:rPr>
            </w:pPr>
            <w:r>
              <w:rPr>
                <w:sz w:val="20"/>
                <w:szCs w:val="20"/>
                <w:shd w:val="nil" w:color="auto" w:fill="auto"/>
                <w:rtl w:val="0"/>
                <w:lang w:val="en-US"/>
              </w:rPr>
              <w:t>when a threat to the security of the country or the constitutional order of the Republic of Slovenia will thereby be prevented, or when this is necessary in order to protect people and property or other comparable reasons related to public order. A threat to the security of the country or the constitutional order of the Republic of Slovenia is a threat to the internal or external security of the country, including a threat to the functioning of institutions and basic public services and the survival of the population, a risk of serious disturbances in international relations or peaceful coexistence among nations, and a threat to the defence interests of the country. Other comparable reasons related to public order are understood as reasons that indicate a realistic, current and sufficiently serious threat to the basic interests of the country,</w:t>
            </w:r>
          </w:p>
        </w:tc>
      </w:tr>
      <w:tr>
        <w:tblPrEx>
          <w:shd w:val="clear" w:color="auto" w:fill="d0ddef"/>
        </w:tblPrEx>
        <w:trPr>
          <w:trHeight w:val="433" w:hRule="atLeast"/>
        </w:trPr>
        <w:tc>
          <w:tcPr>
            <w:tcW w:type="dxa" w:w="3828"/>
            <w:tcBorders>
              <w:top w:val="nil"/>
              <w:left w:val="nil"/>
              <w:bottom w:val="nil"/>
              <w:right w:val="nil"/>
            </w:tcBorders>
            <w:shd w:val="clear" w:color="auto" w:fill="auto"/>
            <w:tcMar>
              <w:top w:type="dxa" w:w="80"/>
              <w:left w:type="dxa" w:w="80"/>
              <w:bottom w:type="dxa" w:w="80"/>
              <w:right w:type="dxa" w:w="80"/>
            </w:tcMar>
            <w:vAlign w:val="top"/>
          </w:tcPr>
          <w:p>
            <w:pPr>
              <w:pStyle w:val="Alinea za odstavkom"/>
              <w:numPr>
                <w:ilvl w:val="0"/>
                <w:numId w:val="23"/>
              </w:numPr>
              <w:rPr>
                <w:sz w:val="20"/>
                <w:szCs w:val="20"/>
                <w:lang w:val="en-US"/>
              </w:rPr>
            </w:pPr>
            <w:r>
              <w:rPr>
                <w:sz w:val="20"/>
                <w:szCs w:val="20"/>
                <w:shd w:val="nil" w:color="auto" w:fill="auto"/>
                <w:rtl w:val="0"/>
                <w:lang w:val="en-US"/>
              </w:rPr>
              <w:t>v skladu z 28.</w:t>
            </w:r>
            <w:r>
              <w:rPr>
                <w:sz w:val="20"/>
                <w:szCs w:val="20"/>
                <w:shd w:val="nil" w:color="auto" w:fill="auto"/>
                <w:rtl w:val="0"/>
                <w:lang w:val="en-US"/>
              </w:rPr>
              <w:t> č</w:t>
            </w:r>
            <w:r>
              <w:rPr>
                <w:sz w:val="20"/>
                <w:szCs w:val="20"/>
                <w:shd w:val="nil" w:color="auto" w:fill="auto"/>
                <w:rtl w:val="0"/>
                <w:lang w:val="en-US"/>
              </w:rPr>
              <w:t>lenom Uredbe 604/2013/EU.</w:t>
            </w:r>
          </w:p>
        </w:tc>
        <w:tc>
          <w:tcPr>
            <w:tcW w:type="dxa" w:w="650"/>
            <w:tcBorders>
              <w:top w:val="nil"/>
              <w:left w:val="nil"/>
              <w:bottom w:val="nil"/>
              <w:right w:val="nil"/>
            </w:tcBorders>
            <w:shd w:val="clear" w:color="auto" w:fill="auto"/>
            <w:tcMar>
              <w:top w:type="dxa" w:w="80"/>
              <w:left w:type="dxa" w:w="80"/>
              <w:bottom w:type="dxa" w:w="80"/>
              <w:right w:type="dxa" w:w="80"/>
            </w:tcMar>
            <w:vAlign w:val="top"/>
          </w:tcPr>
          <w:p/>
        </w:tc>
        <w:tc>
          <w:tcPr>
            <w:tcW w:type="dxa" w:w="4594"/>
            <w:tcBorders>
              <w:top w:val="nil"/>
              <w:left w:val="nil"/>
              <w:bottom w:val="nil"/>
              <w:right w:val="nil"/>
            </w:tcBorders>
            <w:shd w:val="clear" w:color="auto" w:fill="auto"/>
            <w:tcMar>
              <w:top w:type="dxa" w:w="80"/>
              <w:left w:type="dxa" w:w="80"/>
              <w:bottom w:type="dxa" w:w="80"/>
              <w:right w:type="dxa" w:w="80"/>
            </w:tcMar>
            <w:vAlign w:val="top"/>
          </w:tcPr>
          <w:p>
            <w:pPr>
              <w:pStyle w:val="Alinea za odstavkom"/>
              <w:numPr>
                <w:ilvl w:val="0"/>
                <w:numId w:val="24"/>
              </w:numPr>
              <w:rPr>
                <w:sz w:val="20"/>
                <w:szCs w:val="20"/>
                <w:lang w:val="en-US"/>
              </w:rPr>
            </w:pPr>
            <w:r>
              <w:rPr>
                <w:sz w:val="20"/>
                <w:szCs w:val="20"/>
                <w:shd w:val="nil" w:color="auto" w:fill="auto"/>
                <w:rtl w:val="0"/>
                <w:lang w:val="en-US"/>
              </w:rPr>
              <w:t>in accordance with Article 28 of Regulation 604/2013/EU.</w:t>
            </w:r>
          </w:p>
        </w:tc>
      </w:tr>
      <w:tr>
        <w:tblPrEx>
          <w:shd w:val="clear" w:color="auto" w:fill="d0ddef"/>
        </w:tblPrEx>
        <w:trPr>
          <w:trHeight w:val="2413" w:hRule="atLeast"/>
        </w:trPr>
        <w:tc>
          <w:tcPr>
            <w:tcW w:type="dxa" w:w="3828"/>
            <w:tcBorders>
              <w:top w:val="nil"/>
              <w:left w:val="nil"/>
              <w:bottom w:val="nil"/>
              <w:right w:val="nil"/>
            </w:tcBorders>
            <w:shd w:val="clear" w:color="auto" w:fill="auto"/>
            <w:tcMar>
              <w:top w:type="dxa" w:w="80"/>
              <w:left w:type="dxa" w:w="80"/>
              <w:bottom w:type="dxa" w:w="80"/>
              <w:right w:type="dxa" w:w="80"/>
            </w:tcMar>
            <w:vAlign w:val="top"/>
          </w:tcPr>
          <w:p>
            <w:pPr>
              <w:pStyle w:val="Vrsta predpisa"/>
              <w:spacing w:before="0"/>
              <w:jc w:val="both"/>
            </w:pPr>
            <w:r>
              <w:rPr>
                <w:b w:val="0"/>
                <w:bCs w:val="0"/>
                <w:spacing w:val="0"/>
                <w:sz w:val="20"/>
                <w:szCs w:val="20"/>
                <w:shd w:val="nil" w:color="auto" w:fill="auto"/>
                <w:rtl w:val="0"/>
              </w:rPr>
              <w:t xml:space="preserve">(2) </w:t>
            </w:r>
            <w:r>
              <w:rPr>
                <w:b w:val="0"/>
                <w:bCs w:val="0"/>
                <w:spacing w:val="0"/>
                <w:sz w:val="20"/>
                <w:szCs w:val="20"/>
                <w:shd w:val="nil" w:color="auto" w:fill="auto"/>
                <w:rtl w:val="0"/>
              </w:rPr>
              <w:t>Č</w:t>
            </w:r>
            <w:r>
              <w:rPr>
                <w:b w:val="0"/>
                <w:bCs w:val="0"/>
                <w:spacing w:val="0"/>
                <w:sz w:val="20"/>
                <w:szCs w:val="20"/>
                <w:shd w:val="nil" w:color="auto" w:fill="auto"/>
                <w:rtl w:val="0"/>
              </w:rPr>
              <w:t>e pristojni organ ugotovi, da v posameznem primeru ni mogo</w:t>
            </w:r>
            <w:r>
              <w:rPr>
                <w:b w:val="0"/>
                <w:bCs w:val="0"/>
                <w:spacing w:val="0"/>
                <w:sz w:val="20"/>
                <w:szCs w:val="20"/>
                <w:shd w:val="nil" w:color="auto" w:fill="auto"/>
                <w:rtl w:val="0"/>
              </w:rPr>
              <w:t>č</w:t>
            </w:r>
            <w:r>
              <w:rPr>
                <w:b w:val="0"/>
                <w:bCs w:val="0"/>
                <w:spacing w:val="0"/>
                <w:sz w:val="20"/>
                <w:szCs w:val="20"/>
                <w:shd w:val="nil" w:color="auto" w:fill="auto"/>
                <w:rtl w:val="0"/>
              </w:rPr>
              <w:t>e u</w:t>
            </w:r>
            <w:r>
              <w:rPr>
                <w:b w:val="0"/>
                <w:bCs w:val="0"/>
                <w:spacing w:val="0"/>
                <w:sz w:val="20"/>
                <w:szCs w:val="20"/>
                <w:shd w:val="nil" w:color="auto" w:fill="auto"/>
                <w:rtl w:val="0"/>
              </w:rPr>
              <w:t>č</w:t>
            </w:r>
            <w:r>
              <w:rPr>
                <w:b w:val="0"/>
                <w:bCs w:val="0"/>
                <w:spacing w:val="0"/>
                <w:sz w:val="20"/>
                <w:szCs w:val="20"/>
                <w:shd w:val="nil" w:color="auto" w:fill="auto"/>
                <w:rtl w:val="0"/>
              </w:rPr>
              <w:t>inkovito izvesti ukrepa iz prej</w:t>
            </w:r>
            <w:r>
              <w:rPr>
                <w:b w:val="0"/>
                <w:bCs w:val="0"/>
                <w:spacing w:val="0"/>
                <w:sz w:val="20"/>
                <w:szCs w:val="20"/>
                <w:shd w:val="nil" w:color="auto" w:fill="auto"/>
                <w:rtl w:val="0"/>
              </w:rPr>
              <w:t>š</w:t>
            </w:r>
            <w:r>
              <w:rPr>
                <w:b w:val="0"/>
                <w:bCs w:val="0"/>
                <w:spacing w:val="0"/>
                <w:sz w:val="20"/>
                <w:szCs w:val="20"/>
                <w:shd w:val="nil" w:color="auto" w:fill="auto"/>
                <w:rtl w:val="0"/>
              </w:rPr>
              <w:t>njega odstavka ali prosilec samovoljno zapusti obmo</w:t>
            </w:r>
            <w:r>
              <w:rPr>
                <w:b w:val="0"/>
                <w:bCs w:val="0"/>
                <w:spacing w:val="0"/>
                <w:sz w:val="20"/>
                <w:szCs w:val="20"/>
                <w:shd w:val="nil" w:color="auto" w:fill="auto"/>
                <w:rtl w:val="0"/>
              </w:rPr>
              <w:t>č</w:t>
            </w:r>
            <w:r>
              <w:rPr>
                <w:b w:val="0"/>
                <w:bCs w:val="0"/>
                <w:spacing w:val="0"/>
                <w:sz w:val="20"/>
                <w:szCs w:val="20"/>
                <w:shd w:val="nil" w:color="auto" w:fill="auto"/>
                <w:rtl w:val="0"/>
              </w:rPr>
              <w:t>je obveznega zadr</w:t>
            </w:r>
            <w:r>
              <w:rPr>
                <w:b w:val="0"/>
                <w:bCs w:val="0"/>
                <w:spacing w:val="0"/>
                <w:sz w:val="20"/>
                <w:szCs w:val="20"/>
                <w:shd w:val="nil" w:color="auto" w:fill="auto"/>
                <w:rtl w:val="0"/>
              </w:rPr>
              <w:t>ž</w:t>
            </w:r>
            <w:r>
              <w:rPr>
                <w:b w:val="0"/>
                <w:bCs w:val="0"/>
                <w:spacing w:val="0"/>
                <w:sz w:val="20"/>
                <w:szCs w:val="20"/>
                <w:shd w:val="nil" w:color="auto" w:fill="auto"/>
                <w:rtl w:val="0"/>
              </w:rPr>
              <w:t>evanja, se lahko prosilcu, ki ni mladoletnik ali mladoletnik brez spremstva, odredi ukrep omejitve gibanja na Center za tujce.</w:t>
            </w:r>
          </w:p>
        </w:tc>
        <w:tc>
          <w:tcPr>
            <w:tcW w:type="dxa" w:w="650"/>
            <w:tcBorders>
              <w:top w:val="nil"/>
              <w:left w:val="nil"/>
              <w:bottom w:val="nil"/>
              <w:right w:val="nil"/>
            </w:tcBorders>
            <w:shd w:val="clear" w:color="auto" w:fill="auto"/>
            <w:tcMar>
              <w:top w:type="dxa" w:w="80"/>
              <w:left w:type="dxa" w:w="80"/>
              <w:bottom w:type="dxa" w:w="80"/>
              <w:right w:type="dxa" w:w="80"/>
            </w:tcMar>
            <w:vAlign w:val="top"/>
          </w:tcPr>
          <w:p/>
        </w:tc>
        <w:tc>
          <w:tcPr>
            <w:tcW w:type="dxa" w:w="4594"/>
            <w:tcBorders>
              <w:top w:val="nil"/>
              <w:left w:val="nil"/>
              <w:bottom w:val="nil"/>
              <w:right w:val="nil"/>
            </w:tcBorders>
            <w:shd w:val="clear" w:color="auto" w:fill="auto"/>
            <w:tcMar>
              <w:top w:type="dxa" w:w="80"/>
              <w:left w:type="dxa" w:w="80"/>
              <w:bottom w:type="dxa" w:w="80"/>
              <w:right w:type="dxa" w:w="80"/>
            </w:tcMar>
            <w:vAlign w:val="top"/>
          </w:tcPr>
          <w:p>
            <w:pPr>
              <w:pStyle w:val="Vrsta predpisa"/>
              <w:spacing w:before="0"/>
              <w:jc w:val="both"/>
            </w:pPr>
            <w:r>
              <w:rPr>
                <w:b w:val="0"/>
                <w:bCs w:val="0"/>
                <w:spacing w:val="0"/>
                <w:sz w:val="20"/>
                <w:szCs w:val="20"/>
                <w:shd w:val="nil" w:color="auto" w:fill="auto"/>
                <w:rtl w:val="0"/>
                <w:lang w:val="en-US"/>
              </w:rPr>
              <w:t xml:space="preserve">(2) If, in an individual case, the competent authority establishes that it is not possible to effectively implement the measure referred to in the preceding paragraph, or if an applicant arbitrarily leaves the area where he or she has been required to stay, the applicant shall be imposed the measure of having his or her movement restricted to the Centre for Foreigners if he or she is not a minor or an unaccompanied minor. </w:t>
            </w:r>
            <w:r>
              <w:rPr>
                <w:b w:val="0"/>
                <w:bCs w:val="0"/>
                <w:spacing w:val="0"/>
                <w:sz w:val="20"/>
                <w:szCs w:val="20"/>
                <w:shd w:val="nil" w:color="auto" w:fill="auto"/>
              </w:rPr>
            </w:r>
          </w:p>
        </w:tc>
      </w:tr>
      <w:tr>
        <w:tblPrEx>
          <w:shd w:val="clear" w:color="auto" w:fill="d0ddef"/>
        </w:tblPrEx>
        <w:trPr>
          <w:trHeight w:val="873" w:hRule="atLeast"/>
        </w:trPr>
        <w:tc>
          <w:tcPr>
            <w:tcW w:type="dxa" w:w="3828"/>
            <w:tcBorders>
              <w:top w:val="nil"/>
              <w:left w:val="nil"/>
              <w:bottom w:val="nil"/>
              <w:right w:val="nil"/>
            </w:tcBorders>
            <w:shd w:val="clear" w:color="auto" w:fill="auto"/>
            <w:tcMar>
              <w:top w:type="dxa" w:w="80"/>
              <w:left w:type="dxa" w:w="80"/>
              <w:bottom w:type="dxa" w:w="80"/>
              <w:right w:type="dxa" w:w="80"/>
            </w:tcMar>
            <w:vAlign w:val="top"/>
          </w:tcPr>
          <w:p>
            <w:pPr>
              <w:pStyle w:val="Vrsta predpisa"/>
              <w:spacing w:before="0"/>
              <w:jc w:val="both"/>
            </w:pPr>
            <w:r>
              <w:rPr>
                <w:b w:val="0"/>
                <w:bCs w:val="0"/>
                <w:spacing w:val="0"/>
                <w:sz w:val="20"/>
                <w:szCs w:val="20"/>
                <w:shd w:val="nil" w:color="auto" w:fill="auto"/>
                <w:rtl w:val="0"/>
                <w:lang w:val="en-US"/>
              </w:rPr>
              <w:t>(3) O izreku ukrepov po prvem in drugem odstavku pristojni organ odlo</w:t>
            </w:r>
            <w:r>
              <w:rPr>
                <w:b w:val="0"/>
                <w:bCs w:val="0"/>
                <w:spacing w:val="0"/>
                <w:sz w:val="20"/>
                <w:szCs w:val="20"/>
                <w:shd w:val="nil" w:color="auto" w:fill="auto"/>
                <w:rtl w:val="0"/>
                <w:lang w:val="en-US"/>
              </w:rPr>
              <w:t>č</w:t>
            </w:r>
            <w:r>
              <w:rPr>
                <w:b w:val="0"/>
                <w:bCs w:val="0"/>
                <w:spacing w:val="0"/>
                <w:sz w:val="20"/>
                <w:szCs w:val="20"/>
                <w:shd w:val="nil" w:color="auto" w:fill="auto"/>
                <w:rtl w:val="0"/>
                <w:lang w:val="en-US"/>
              </w:rPr>
              <w:t>i s sklepom.</w:t>
            </w:r>
          </w:p>
        </w:tc>
        <w:tc>
          <w:tcPr>
            <w:tcW w:type="dxa" w:w="650"/>
            <w:tcBorders>
              <w:top w:val="nil"/>
              <w:left w:val="nil"/>
              <w:bottom w:val="nil"/>
              <w:right w:val="nil"/>
            </w:tcBorders>
            <w:shd w:val="clear" w:color="auto" w:fill="auto"/>
            <w:tcMar>
              <w:top w:type="dxa" w:w="80"/>
              <w:left w:type="dxa" w:w="80"/>
              <w:bottom w:type="dxa" w:w="80"/>
              <w:right w:type="dxa" w:w="80"/>
            </w:tcMar>
            <w:vAlign w:val="top"/>
          </w:tcPr>
          <w:p/>
        </w:tc>
        <w:tc>
          <w:tcPr>
            <w:tcW w:type="dxa" w:w="4594"/>
            <w:tcBorders>
              <w:top w:val="nil"/>
              <w:left w:val="nil"/>
              <w:bottom w:val="nil"/>
              <w:right w:val="nil"/>
            </w:tcBorders>
            <w:shd w:val="clear" w:color="auto" w:fill="auto"/>
            <w:tcMar>
              <w:top w:type="dxa" w:w="80"/>
              <w:left w:type="dxa" w:w="80"/>
              <w:bottom w:type="dxa" w:w="80"/>
              <w:right w:type="dxa" w:w="80"/>
            </w:tcMar>
            <w:vAlign w:val="top"/>
          </w:tcPr>
          <w:p>
            <w:pPr>
              <w:pStyle w:val="Vrsta predpisa"/>
              <w:spacing w:before="0"/>
              <w:jc w:val="both"/>
            </w:pPr>
            <w:r>
              <w:rPr>
                <w:b w:val="0"/>
                <w:bCs w:val="0"/>
                <w:spacing w:val="0"/>
                <w:sz w:val="20"/>
                <w:szCs w:val="20"/>
                <w:shd w:val="nil" w:color="auto" w:fill="auto"/>
                <w:rtl w:val="0"/>
                <w:lang w:val="en-US"/>
              </w:rPr>
              <w:t xml:space="preserve">(3) The imposition of the measures pursuant to paragraphs one and two shall be decided on by the competent authority by an order. </w:t>
            </w:r>
            <w:r>
              <w:rPr>
                <w:b w:val="0"/>
                <w:bCs w:val="0"/>
                <w:spacing w:val="0"/>
                <w:sz w:val="20"/>
                <w:szCs w:val="20"/>
                <w:shd w:val="nil" w:color="auto" w:fill="auto"/>
              </w:rPr>
            </w:r>
          </w:p>
        </w:tc>
      </w:tr>
      <w:tr>
        <w:tblPrEx>
          <w:shd w:val="clear" w:color="auto" w:fill="d0ddef"/>
        </w:tblPrEx>
        <w:trPr>
          <w:trHeight w:val="2633" w:hRule="atLeast"/>
        </w:trPr>
        <w:tc>
          <w:tcPr>
            <w:tcW w:type="dxa" w:w="3828"/>
            <w:tcBorders>
              <w:top w:val="nil"/>
              <w:left w:val="nil"/>
              <w:bottom w:val="nil"/>
              <w:right w:val="nil"/>
            </w:tcBorders>
            <w:shd w:val="clear" w:color="auto" w:fill="auto"/>
            <w:tcMar>
              <w:top w:type="dxa" w:w="80"/>
              <w:left w:type="dxa" w:w="80"/>
              <w:bottom w:type="dxa" w:w="80"/>
              <w:right w:type="dxa" w:w="80"/>
            </w:tcMar>
            <w:vAlign w:val="top"/>
          </w:tcPr>
          <w:p>
            <w:pPr>
              <w:pStyle w:val="Vrsta predpisa"/>
              <w:spacing w:before="0"/>
              <w:jc w:val="both"/>
            </w:pPr>
            <w:r>
              <w:rPr>
                <w:b w:val="0"/>
                <w:bCs w:val="0"/>
                <w:spacing w:val="0"/>
                <w:sz w:val="20"/>
                <w:szCs w:val="20"/>
                <w:shd w:val="nil" w:color="auto" w:fill="auto"/>
                <w:rtl w:val="0"/>
                <w:lang w:val="it-IT"/>
              </w:rPr>
              <w:t xml:space="preserve">(4) Prosilcu se ukrep iz prvega in drugega odstavka tega </w:t>
            </w:r>
            <w:r>
              <w:rPr>
                <w:b w:val="0"/>
                <w:bCs w:val="0"/>
                <w:spacing w:val="0"/>
                <w:sz w:val="20"/>
                <w:szCs w:val="20"/>
                <w:shd w:val="nil" w:color="auto" w:fill="auto"/>
                <w:rtl w:val="0"/>
                <w:lang w:val="it-IT"/>
              </w:rPr>
              <w:t>č</w:t>
            </w:r>
            <w:r>
              <w:rPr>
                <w:b w:val="0"/>
                <w:bCs w:val="0"/>
                <w:spacing w:val="0"/>
                <w:sz w:val="20"/>
                <w:szCs w:val="20"/>
                <w:shd w:val="nil" w:color="auto" w:fill="auto"/>
                <w:rtl w:val="0"/>
                <w:lang w:val="it-IT"/>
              </w:rPr>
              <w:t>lena izre</w:t>
            </w:r>
            <w:r>
              <w:rPr>
                <w:b w:val="0"/>
                <w:bCs w:val="0"/>
                <w:spacing w:val="0"/>
                <w:sz w:val="20"/>
                <w:szCs w:val="20"/>
                <w:shd w:val="nil" w:color="auto" w:fill="auto"/>
                <w:rtl w:val="0"/>
                <w:lang w:val="it-IT"/>
              </w:rPr>
              <w:t>č</w:t>
            </w:r>
            <w:r>
              <w:rPr>
                <w:b w:val="0"/>
                <w:bCs w:val="0"/>
                <w:spacing w:val="0"/>
                <w:sz w:val="20"/>
                <w:szCs w:val="20"/>
                <w:shd w:val="nil" w:color="auto" w:fill="auto"/>
                <w:rtl w:val="0"/>
                <w:lang w:val="it-IT"/>
              </w:rPr>
              <w:t>e ustno. Prosilec o izre</w:t>
            </w:r>
            <w:r>
              <w:rPr>
                <w:b w:val="0"/>
                <w:bCs w:val="0"/>
                <w:spacing w:val="0"/>
                <w:sz w:val="20"/>
                <w:szCs w:val="20"/>
                <w:shd w:val="nil" w:color="auto" w:fill="auto"/>
                <w:rtl w:val="0"/>
                <w:lang w:val="it-IT"/>
              </w:rPr>
              <w:t>č</w:t>
            </w:r>
            <w:r>
              <w:rPr>
                <w:b w:val="0"/>
                <w:bCs w:val="0"/>
                <w:spacing w:val="0"/>
                <w:sz w:val="20"/>
                <w:szCs w:val="20"/>
                <w:shd w:val="nil" w:color="auto" w:fill="auto"/>
                <w:rtl w:val="0"/>
                <w:lang w:val="it-IT"/>
              </w:rPr>
              <w:t>enem ukrepu nemudoma prejme zapisnik, ki vsebuje razloge za izrek ukrepa. Zapisnik je prosilcu prebran v njem razumljivem jeziku. Pisni odpravek sklepa pristojni organ izda najpozneje v 48 urah od ustnega izreka sklepa, prosilcu pa ga vro</w:t>
            </w:r>
            <w:r>
              <w:rPr>
                <w:b w:val="0"/>
                <w:bCs w:val="0"/>
                <w:spacing w:val="0"/>
                <w:sz w:val="20"/>
                <w:szCs w:val="20"/>
                <w:shd w:val="nil" w:color="auto" w:fill="auto"/>
                <w:rtl w:val="0"/>
                <w:lang w:val="it-IT"/>
              </w:rPr>
              <w:t>č</w:t>
            </w:r>
            <w:r>
              <w:rPr>
                <w:b w:val="0"/>
                <w:bCs w:val="0"/>
                <w:spacing w:val="0"/>
                <w:sz w:val="20"/>
                <w:szCs w:val="20"/>
                <w:shd w:val="nil" w:color="auto" w:fill="auto"/>
                <w:rtl w:val="0"/>
                <w:lang w:val="it-IT"/>
              </w:rPr>
              <w:t>i v treh delovnih dneh od izdaje sklepa.</w:t>
            </w:r>
          </w:p>
        </w:tc>
        <w:tc>
          <w:tcPr>
            <w:tcW w:type="dxa" w:w="650"/>
            <w:tcBorders>
              <w:top w:val="nil"/>
              <w:left w:val="nil"/>
              <w:bottom w:val="nil"/>
              <w:right w:val="nil"/>
            </w:tcBorders>
            <w:shd w:val="clear" w:color="auto" w:fill="auto"/>
            <w:tcMar>
              <w:top w:type="dxa" w:w="80"/>
              <w:left w:type="dxa" w:w="80"/>
              <w:bottom w:type="dxa" w:w="80"/>
              <w:right w:type="dxa" w:w="80"/>
            </w:tcMar>
            <w:vAlign w:val="top"/>
          </w:tcPr>
          <w:p/>
        </w:tc>
        <w:tc>
          <w:tcPr>
            <w:tcW w:type="dxa" w:w="4594"/>
            <w:tcBorders>
              <w:top w:val="nil"/>
              <w:left w:val="nil"/>
              <w:bottom w:val="nil"/>
              <w:right w:val="nil"/>
            </w:tcBorders>
            <w:shd w:val="clear" w:color="auto" w:fill="auto"/>
            <w:tcMar>
              <w:top w:type="dxa" w:w="80"/>
              <w:left w:type="dxa" w:w="80"/>
              <w:bottom w:type="dxa" w:w="80"/>
              <w:right w:type="dxa" w:w="80"/>
            </w:tcMar>
            <w:vAlign w:val="top"/>
          </w:tcPr>
          <w:p>
            <w:pPr>
              <w:pStyle w:val="Vrsta predpisa"/>
              <w:spacing w:before="0"/>
              <w:jc w:val="both"/>
            </w:pPr>
            <w:r>
              <w:rPr>
                <w:b w:val="0"/>
                <w:bCs w:val="0"/>
                <w:spacing w:val="0"/>
                <w:sz w:val="20"/>
                <w:szCs w:val="20"/>
                <w:shd w:val="nil" w:color="auto" w:fill="auto"/>
                <w:rtl w:val="0"/>
                <w:lang w:val="en-US"/>
              </w:rPr>
              <w:t>(4) The measure referred to in paragraphs one and two of this Article shall be imposed on the applicant orally. The applicant shall immediately receive a record of the imposed measure stating the reasons for the measure. The record shall be read to the applicant in a language he or she understands. A written copy of the decision shall be issued by the competent authority no later than 48 hours after the decision was delivered orally and must be served on the applicant within three working days.</w:t>
            </w:r>
            <w:r>
              <w:rPr>
                <w:b w:val="0"/>
                <w:bCs w:val="0"/>
                <w:spacing w:val="0"/>
                <w:sz w:val="20"/>
                <w:szCs w:val="20"/>
                <w:shd w:val="nil" w:color="auto" w:fill="auto"/>
              </w:rPr>
            </w:r>
          </w:p>
        </w:tc>
      </w:tr>
      <w:tr>
        <w:tblPrEx>
          <w:shd w:val="clear" w:color="auto" w:fill="d0ddef"/>
        </w:tblPrEx>
        <w:trPr>
          <w:trHeight w:val="5273" w:hRule="atLeast"/>
        </w:trPr>
        <w:tc>
          <w:tcPr>
            <w:tcW w:type="dxa" w:w="3828"/>
            <w:tcBorders>
              <w:top w:val="nil"/>
              <w:left w:val="nil"/>
              <w:bottom w:val="nil"/>
              <w:right w:val="nil"/>
            </w:tcBorders>
            <w:shd w:val="clear" w:color="auto" w:fill="auto"/>
            <w:tcMar>
              <w:top w:type="dxa" w:w="80"/>
              <w:left w:type="dxa" w:w="80"/>
              <w:bottom w:type="dxa" w:w="80"/>
              <w:right w:type="dxa" w:w="80"/>
            </w:tcMar>
            <w:vAlign w:val="top"/>
          </w:tcPr>
          <w:p>
            <w:pPr>
              <w:pStyle w:val="Vrsta predpisa"/>
              <w:spacing w:before="0"/>
              <w:jc w:val="both"/>
            </w:pPr>
            <w:r>
              <w:rPr>
                <w:b w:val="0"/>
                <w:bCs w:val="0"/>
                <w:spacing w:val="0"/>
                <w:sz w:val="20"/>
                <w:szCs w:val="20"/>
                <w:shd w:val="nil" w:color="auto" w:fill="auto"/>
                <w:rtl w:val="0"/>
              </w:rPr>
              <w:t xml:space="preserve">(5) Ukrep iz prvega in drugega odstavka tega </w:t>
            </w:r>
            <w:r>
              <w:rPr>
                <w:b w:val="0"/>
                <w:bCs w:val="0"/>
                <w:spacing w:val="0"/>
                <w:sz w:val="20"/>
                <w:szCs w:val="20"/>
                <w:shd w:val="nil" w:color="auto" w:fill="auto"/>
                <w:rtl w:val="0"/>
              </w:rPr>
              <w:t>č</w:t>
            </w:r>
            <w:r>
              <w:rPr>
                <w:b w:val="0"/>
                <w:bCs w:val="0"/>
                <w:spacing w:val="0"/>
                <w:sz w:val="20"/>
                <w:szCs w:val="20"/>
                <w:shd w:val="nil" w:color="auto" w:fill="auto"/>
                <w:rtl w:val="0"/>
              </w:rPr>
              <w:t xml:space="preserve">lena, razen v primerih iz pete alineje prvega odstavka tega </w:t>
            </w:r>
            <w:r>
              <w:rPr>
                <w:b w:val="0"/>
                <w:bCs w:val="0"/>
                <w:spacing w:val="0"/>
                <w:sz w:val="20"/>
                <w:szCs w:val="20"/>
                <w:shd w:val="nil" w:color="auto" w:fill="auto"/>
                <w:rtl w:val="0"/>
              </w:rPr>
              <w:t>č</w:t>
            </w:r>
            <w:r>
              <w:rPr>
                <w:b w:val="0"/>
                <w:bCs w:val="0"/>
                <w:spacing w:val="0"/>
                <w:sz w:val="20"/>
                <w:szCs w:val="20"/>
                <w:shd w:val="nil" w:color="auto" w:fill="auto"/>
                <w:rtl w:val="0"/>
              </w:rPr>
              <w:t>lena, lahko traja do prenehanja razlogov, vendar najve</w:t>
            </w:r>
            <w:r>
              <w:rPr>
                <w:b w:val="0"/>
                <w:bCs w:val="0"/>
                <w:spacing w:val="0"/>
                <w:sz w:val="20"/>
                <w:szCs w:val="20"/>
                <w:shd w:val="nil" w:color="auto" w:fill="auto"/>
                <w:rtl w:val="0"/>
              </w:rPr>
              <w:t xml:space="preserve">č </w:t>
            </w:r>
            <w:r>
              <w:rPr>
                <w:b w:val="0"/>
                <w:bCs w:val="0"/>
                <w:spacing w:val="0"/>
                <w:sz w:val="20"/>
                <w:szCs w:val="20"/>
                <w:shd w:val="nil" w:color="auto" w:fill="auto"/>
                <w:rtl w:val="0"/>
                <w:lang w:val="it-IT"/>
              </w:rPr>
              <w:t xml:space="preserve">tri mesece. </w:t>
            </w:r>
            <w:r>
              <w:rPr>
                <w:b w:val="0"/>
                <w:bCs w:val="0"/>
                <w:spacing w:val="0"/>
                <w:sz w:val="20"/>
                <w:szCs w:val="20"/>
                <w:shd w:val="nil" w:color="auto" w:fill="auto"/>
                <w:rtl w:val="0"/>
              </w:rPr>
              <w:t>Č</w:t>
            </w:r>
            <w:r>
              <w:rPr>
                <w:b w:val="0"/>
                <w:bCs w:val="0"/>
                <w:spacing w:val="0"/>
                <w:sz w:val="20"/>
                <w:szCs w:val="20"/>
                <w:shd w:val="nil" w:color="auto" w:fill="auto"/>
                <w:rtl w:val="0"/>
              </w:rPr>
              <w:t xml:space="preserve">e razlogi po tem </w:t>
            </w:r>
            <w:r>
              <w:rPr>
                <w:b w:val="0"/>
                <w:bCs w:val="0"/>
                <w:spacing w:val="0"/>
                <w:sz w:val="20"/>
                <w:szCs w:val="20"/>
                <w:shd w:val="nil" w:color="auto" w:fill="auto"/>
                <w:rtl w:val="0"/>
              </w:rPr>
              <w:t>č</w:t>
            </w:r>
            <w:r>
              <w:rPr>
                <w:b w:val="0"/>
                <w:bCs w:val="0"/>
                <w:spacing w:val="0"/>
                <w:sz w:val="20"/>
                <w:szCs w:val="20"/>
                <w:shd w:val="nil" w:color="auto" w:fill="auto"/>
                <w:rtl w:val="0"/>
              </w:rPr>
              <w:t xml:space="preserve">asu </w:t>
            </w:r>
            <w:r>
              <w:rPr>
                <w:b w:val="0"/>
                <w:bCs w:val="0"/>
                <w:spacing w:val="0"/>
                <w:sz w:val="20"/>
                <w:szCs w:val="20"/>
                <w:shd w:val="nil" w:color="auto" w:fill="auto"/>
                <w:rtl w:val="0"/>
              </w:rPr>
              <w:t>š</w:t>
            </w:r>
            <w:r>
              <w:rPr>
                <w:b w:val="0"/>
                <w:bCs w:val="0"/>
                <w:spacing w:val="0"/>
                <w:sz w:val="20"/>
                <w:szCs w:val="20"/>
                <w:shd w:val="nil" w:color="auto" w:fill="auto"/>
                <w:rtl w:val="0"/>
              </w:rPr>
              <w:t>e obstajajo, se ukrep s sklepom lahko podalj</w:t>
            </w:r>
            <w:r>
              <w:rPr>
                <w:b w:val="0"/>
                <w:bCs w:val="0"/>
                <w:spacing w:val="0"/>
                <w:sz w:val="20"/>
                <w:szCs w:val="20"/>
                <w:shd w:val="nil" w:color="auto" w:fill="auto"/>
                <w:rtl w:val="0"/>
              </w:rPr>
              <w:t>š</w:t>
            </w:r>
            <w:r>
              <w:rPr>
                <w:b w:val="0"/>
                <w:bCs w:val="0"/>
                <w:spacing w:val="0"/>
                <w:sz w:val="20"/>
                <w:szCs w:val="20"/>
                <w:shd w:val="nil" w:color="auto" w:fill="auto"/>
                <w:rtl w:val="0"/>
              </w:rPr>
              <w:t xml:space="preserve">a </w:t>
            </w:r>
            <w:r>
              <w:rPr>
                <w:b w:val="0"/>
                <w:bCs w:val="0"/>
                <w:spacing w:val="0"/>
                <w:sz w:val="20"/>
                <w:szCs w:val="20"/>
                <w:shd w:val="nil" w:color="auto" w:fill="auto"/>
                <w:rtl w:val="0"/>
              </w:rPr>
              <w:t>š</w:t>
            </w:r>
            <w:r>
              <w:rPr>
                <w:b w:val="0"/>
                <w:bCs w:val="0"/>
                <w:spacing w:val="0"/>
                <w:sz w:val="20"/>
                <w:szCs w:val="20"/>
                <w:shd w:val="nil" w:color="auto" w:fill="auto"/>
                <w:rtl w:val="0"/>
              </w:rPr>
              <w:t xml:space="preserve">e za en mesec. Ukrepa iz prvega ali drugega odstavka tega </w:t>
            </w:r>
            <w:r>
              <w:rPr>
                <w:b w:val="0"/>
                <w:bCs w:val="0"/>
                <w:spacing w:val="0"/>
                <w:sz w:val="20"/>
                <w:szCs w:val="20"/>
                <w:shd w:val="nil" w:color="auto" w:fill="auto"/>
                <w:rtl w:val="0"/>
              </w:rPr>
              <w:t>č</w:t>
            </w:r>
            <w:r>
              <w:rPr>
                <w:b w:val="0"/>
                <w:bCs w:val="0"/>
                <w:spacing w:val="0"/>
                <w:sz w:val="20"/>
                <w:szCs w:val="20"/>
                <w:shd w:val="nil" w:color="auto" w:fill="auto"/>
                <w:rtl w:val="0"/>
              </w:rPr>
              <w:t>lena se odpravita po uradni dol</w:t>
            </w:r>
            <w:r>
              <w:rPr>
                <w:b w:val="0"/>
                <w:bCs w:val="0"/>
                <w:spacing w:val="0"/>
                <w:sz w:val="20"/>
                <w:szCs w:val="20"/>
                <w:shd w:val="nil" w:color="auto" w:fill="auto"/>
                <w:rtl w:val="0"/>
              </w:rPr>
              <w:t>ž</w:t>
            </w:r>
            <w:r>
              <w:rPr>
                <w:b w:val="0"/>
                <w:bCs w:val="0"/>
                <w:spacing w:val="0"/>
                <w:sz w:val="20"/>
                <w:szCs w:val="20"/>
                <w:shd w:val="nil" w:color="auto" w:fill="auto"/>
                <w:rtl w:val="0"/>
              </w:rPr>
              <w:t xml:space="preserve">nosti, </w:t>
            </w:r>
            <w:r>
              <w:rPr>
                <w:b w:val="0"/>
                <w:bCs w:val="0"/>
                <w:spacing w:val="0"/>
                <w:sz w:val="20"/>
                <w:szCs w:val="20"/>
                <w:shd w:val="nil" w:color="auto" w:fill="auto"/>
                <w:rtl w:val="0"/>
              </w:rPr>
              <w:t>č</w:t>
            </w:r>
            <w:r>
              <w:rPr>
                <w:b w:val="0"/>
                <w:bCs w:val="0"/>
                <w:spacing w:val="0"/>
                <w:sz w:val="20"/>
                <w:szCs w:val="20"/>
                <w:shd w:val="nil" w:color="auto" w:fill="auto"/>
                <w:rtl w:val="0"/>
              </w:rPr>
              <w:t>e prenehajo razlogi, ki so jih narekovali. Predsednik upravnega sodi</w:t>
            </w:r>
            <w:r>
              <w:rPr>
                <w:b w:val="0"/>
                <w:bCs w:val="0"/>
                <w:spacing w:val="0"/>
                <w:sz w:val="20"/>
                <w:szCs w:val="20"/>
                <w:shd w:val="nil" w:color="auto" w:fill="auto"/>
                <w:rtl w:val="0"/>
              </w:rPr>
              <w:t>šč</w:t>
            </w:r>
            <w:r>
              <w:rPr>
                <w:b w:val="0"/>
                <w:bCs w:val="0"/>
                <w:spacing w:val="0"/>
                <w:sz w:val="20"/>
                <w:szCs w:val="20"/>
                <w:shd w:val="nil" w:color="auto" w:fill="auto"/>
                <w:rtl w:val="0"/>
              </w:rPr>
              <w:t>a lahko odlo</w:t>
            </w:r>
            <w:r>
              <w:rPr>
                <w:b w:val="0"/>
                <w:bCs w:val="0"/>
                <w:spacing w:val="0"/>
                <w:sz w:val="20"/>
                <w:szCs w:val="20"/>
                <w:shd w:val="nil" w:color="auto" w:fill="auto"/>
                <w:rtl w:val="0"/>
              </w:rPr>
              <w:t>č</w:t>
            </w:r>
            <w:r>
              <w:rPr>
                <w:b w:val="0"/>
                <w:bCs w:val="0"/>
                <w:spacing w:val="0"/>
                <w:sz w:val="20"/>
                <w:szCs w:val="20"/>
                <w:shd w:val="nil" w:color="auto" w:fill="auto"/>
                <w:rtl w:val="0"/>
              </w:rPr>
              <w:t xml:space="preserve">i, da je treba opraviti neposredni nadzor nad izvajanjem ukrepa iz prvega ali drugega odstavka tega </w:t>
            </w:r>
            <w:r>
              <w:rPr>
                <w:b w:val="0"/>
                <w:bCs w:val="0"/>
                <w:spacing w:val="0"/>
                <w:sz w:val="20"/>
                <w:szCs w:val="20"/>
                <w:shd w:val="nil" w:color="auto" w:fill="auto"/>
                <w:rtl w:val="0"/>
              </w:rPr>
              <w:t>č</w:t>
            </w:r>
            <w:r>
              <w:rPr>
                <w:b w:val="0"/>
                <w:bCs w:val="0"/>
                <w:spacing w:val="0"/>
                <w:sz w:val="20"/>
                <w:szCs w:val="20"/>
                <w:shd w:val="nil" w:color="auto" w:fill="auto"/>
                <w:rtl w:val="0"/>
                <w:lang w:val="it-IT"/>
              </w:rPr>
              <w:t>lena in dolo</w:t>
            </w:r>
            <w:r>
              <w:rPr>
                <w:b w:val="0"/>
                <w:bCs w:val="0"/>
                <w:spacing w:val="0"/>
                <w:sz w:val="20"/>
                <w:szCs w:val="20"/>
                <w:shd w:val="nil" w:color="auto" w:fill="auto"/>
                <w:rtl w:val="0"/>
              </w:rPr>
              <w:t>č</w:t>
            </w:r>
            <w:r>
              <w:rPr>
                <w:b w:val="0"/>
                <w:bCs w:val="0"/>
                <w:spacing w:val="0"/>
                <w:sz w:val="20"/>
                <w:szCs w:val="20"/>
                <w:shd w:val="nil" w:color="auto" w:fill="auto"/>
                <w:rtl w:val="0"/>
              </w:rPr>
              <w:t>i sodnika ali sodnike upravnega sodi</w:t>
            </w:r>
            <w:r>
              <w:rPr>
                <w:b w:val="0"/>
                <w:bCs w:val="0"/>
                <w:spacing w:val="0"/>
                <w:sz w:val="20"/>
                <w:szCs w:val="20"/>
                <w:shd w:val="nil" w:color="auto" w:fill="auto"/>
                <w:rtl w:val="0"/>
              </w:rPr>
              <w:t>šč</w:t>
            </w:r>
            <w:r>
              <w:rPr>
                <w:b w:val="0"/>
                <w:bCs w:val="0"/>
                <w:spacing w:val="0"/>
                <w:sz w:val="20"/>
                <w:szCs w:val="20"/>
                <w:shd w:val="nil" w:color="auto" w:fill="auto"/>
                <w:rtl w:val="0"/>
              </w:rPr>
              <w:t>a, da ga opravijo v rokih, na krajih, katere dolo</w:t>
            </w:r>
            <w:r>
              <w:rPr>
                <w:b w:val="0"/>
                <w:bCs w:val="0"/>
                <w:spacing w:val="0"/>
                <w:sz w:val="20"/>
                <w:szCs w:val="20"/>
                <w:shd w:val="nil" w:color="auto" w:fill="auto"/>
                <w:rtl w:val="0"/>
              </w:rPr>
              <w:t>č</w:t>
            </w:r>
            <w:r>
              <w:rPr>
                <w:b w:val="0"/>
                <w:bCs w:val="0"/>
                <w:spacing w:val="0"/>
                <w:sz w:val="20"/>
                <w:szCs w:val="20"/>
                <w:shd w:val="nil" w:color="auto" w:fill="auto"/>
                <w:rtl w:val="0"/>
              </w:rPr>
              <w:t>i ali glede morebitnih dolo</w:t>
            </w:r>
            <w:r>
              <w:rPr>
                <w:b w:val="0"/>
                <w:bCs w:val="0"/>
                <w:spacing w:val="0"/>
                <w:sz w:val="20"/>
                <w:szCs w:val="20"/>
                <w:shd w:val="nil" w:color="auto" w:fill="auto"/>
                <w:rtl w:val="0"/>
              </w:rPr>
              <w:t>č</w:t>
            </w:r>
            <w:r>
              <w:rPr>
                <w:b w:val="0"/>
                <w:bCs w:val="0"/>
                <w:spacing w:val="0"/>
                <w:sz w:val="20"/>
                <w:szCs w:val="20"/>
                <w:shd w:val="nil" w:color="auto" w:fill="auto"/>
                <w:rtl w:val="0"/>
              </w:rPr>
              <w:t>enih prosilcev ter da mu o tem poro</w:t>
            </w:r>
            <w:r>
              <w:rPr>
                <w:b w:val="0"/>
                <w:bCs w:val="0"/>
                <w:spacing w:val="0"/>
                <w:sz w:val="20"/>
                <w:szCs w:val="20"/>
                <w:shd w:val="nil" w:color="auto" w:fill="auto"/>
                <w:rtl w:val="0"/>
              </w:rPr>
              <w:t>č</w:t>
            </w:r>
            <w:r>
              <w:rPr>
                <w:b w:val="0"/>
                <w:bCs w:val="0"/>
                <w:spacing w:val="0"/>
                <w:sz w:val="20"/>
                <w:szCs w:val="20"/>
                <w:shd w:val="nil" w:color="auto" w:fill="auto"/>
                <w:rtl w:val="0"/>
              </w:rPr>
              <w:t xml:space="preserve">ajo. </w:t>
            </w:r>
            <w:r>
              <w:rPr>
                <w:b w:val="0"/>
                <w:bCs w:val="0"/>
                <w:spacing w:val="0"/>
                <w:sz w:val="20"/>
                <w:szCs w:val="20"/>
                <w:shd w:val="nil" w:color="auto" w:fill="auto"/>
                <w:rtl w:val="0"/>
              </w:rPr>
              <w:t>Č</w:t>
            </w:r>
            <w:r>
              <w:rPr>
                <w:b w:val="0"/>
                <w:bCs w:val="0"/>
                <w:spacing w:val="0"/>
                <w:sz w:val="20"/>
                <w:szCs w:val="20"/>
                <w:shd w:val="nil" w:color="auto" w:fill="auto"/>
                <w:rtl w:val="0"/>
              </w:rPr>
              <w:t>e sodnik upravnega sodi</w:t>
            </w:r>
            <w:r>
              <w:rPr>
                <w:b w:val="0"/>
                <w:bCs w:val="0"/>
                <w:spacing w:val="0"/>
                <w:sz w:val="20"/>
                <w:szCs w:val="20"/>
                <w:shd w:val="nil" w:color="auto" w:fill="auto"/>
                <w:rtl w:val="0"/>
              </w:rPr>
              <w:t>šč</w:t>
            </w:r>
            <w:r>
              <w:rPr>
                <w:b w:val="0"/>
                <w:bCs w:val="0"/>
                <w:spacing w:val="0"/>
                <w:sz w:val="20"/>
                <w:szCs w:val="20"/>
                <w:shd w:val="nil" w:color="auto" w:fill="auto"/>
                <w:rtl w:val="0"/>
              </w:rPr>
              <w:t>a v okviru opravljenega nadzora ugotovi, da razlogi za omejitev gibanja za dolo</w:t>
            </w:r>
            <w:r>
              <w:rPr>
                <w:b w:val="0"/>
                <w:bCs w:val="0"/>
                <w:spacing w:val="0"/>
                <w:sz w:val="20"/>
                <w:szCs w:val="20"/>
                <w:shd w:val="nil" w:color="auto" w:fill="auto"/>
                <w:rtl w:val="0"/>
              </w:rPr>
              <w:t>č</w:t>
            </w:r>
            <w:r>
              <w:rPr>
                <w:b w:val="0"/>
                <w:bCs w:val="0"/>
                <w:spacing w:val="0"/>
                <w:sz w:val="20"/>
                <w:szCs w:val="20"/>
                <w:shd w:val="nil" w:color="auto" w:fill="auto"/>
                <w:rtl w:val="0"/>
              </w:rPr>
              <w:t>enega prosilca niso ve</w:t>
            </w:r>
            <w:r>
              <w:rPr>
                <w:b w:val="0"/>
                <w:bCs w:val="0"/>
                <w:spacing w:val="0"/>
                <w:sz w:val="20"/>
                <w:szCs w:val="20"/>
                <w:shd w:val="nil" w:color="auto" w:fill="auto"/>
                <w:rtl w:val="0"/>
              </w:rPr>
              <w:t xml:space="preserve">č </w:t>
            </w:r>
            <w:r>
              <w:rPr>
                <w:b w:val="0"/>
                <w:bCs w:val="0"/>
                <w:spacing w:val="0"/>
                <w:sz w:val="20"/>
                <w:szCs w:val="20"/>
                <w:shd w:val="nil" w:color="auto" w:fill="auto"/>
                <w:rtl w:val="0"/>
              </w:rPr>
              <w:t>podani, odredi odpravo ukrepa.</w:t>
            </w:r>
          </w:p>
        </w:tc>
        <w:tc>
          <w:tcPr>
            <w:tcW w:type="dxa" w:w="650"/>
            <w:tcBorders>
              <w:top w:val="nil"/>
              <w:left w:val="nil"/>
              <w:bottom w:val="nil"/>
              <w:right w:val="nil"/>
            </w:tcBorders>
            <w:shd w:val="clear" w:color="auto" w:fill="auto"/>
            <w:tcMar>
              <w:top w:type="dxa" w:w="80"/>
              <w:left w:type="dxa" w:w="80"/>
              <w:bottom w:type="dxa" w:w="80"/>
              <w:right w:type="dxa" w:w="80"/>
            </w:tcMar>
            <w:vAlign w:val="top"/>
          </w:tcPr>
          <w:p/>
        </w:tc>
        <w:tc>
          <w:tcPr>
            <w:tcW w:type="dxa" w:w="4594"/>
            <w:tcBorders>
              <w:top w:val="nil"/>
              <w:left w:val="nil"/>
              <w:bottom w:val="nil"/>
              <w:right w:val="nil"/>
            </w:tcBorders>
            <w:shd w:val="clear" w:color="auto" w:fill="auto"/>
            <w:tcMar>
              <w:top w:type="dxa" w:w="80"/>
              <w:left w:type="dxa" w:w="80"/>
              <w:bottom w:type="dxa" w:w="80"/>
              <w:right w:type="dxa" w:w="80"/>
            </w:tcMar>
            <w:vAlign w:val="top"/>
          </w:tcPr>
          <w:p>
            <w:pPr>
              <w:pStyle w:val="Vrsta predpisa"/>
              <w:spacing w:before="0"/>
              <w:jc w:val="both"/>
            </w:pPr>
            <w:r>
              <w:rPr>
                <w:b w:val="0"/>
                <w:bCs w:val="0"/>
                <w:spacing w:val="0"/>
                <w:sz w:val="20"/>
                <w:szCs w:val="20"/>
                <w:shd w:val="nil" w:color="auto" w:fill="auto"/>
                <w:rtl w:val="0"/>
                <w:lang w:val="en-US"/>
              </w:rPr>
              <w:t xml:space="preserve">(5) The measures referred to in paragraphs one and two of this Article may continue until the grounds for such cease, but no longer than three months, except in the cases referred to in indent five of paragraph one of this Article. If, after this period, the reasons for the restriction of movement still exist, the measure may be extended for another month based on a decision. The measures referred to in paragraphs one or two of this Article shall terminate ex officio if the underlying grounds cease to exist. The president of the Administrative Court may decide that the implementation of the measure referred to in paragraph one or two of this Article be supervised, and may appoint a judge or judges of the Administrative Court to carry out such review within the time limits and at locations determined by the president thereof or regarding certain applicants, and to report thereon. If as part of the review a judge of the Administrative Court establishes that the reasons for the restriction of the movement of a certain applicant no longer exist, he or she shall order the measure to be eliminated. </w:t>
            </w:r>
          </w:p>
        </w:tc>
      </w:tr>
      <w:tr>
        <w:tblPrEx>
          <w:shd w:val="clear" w:color="auto" w:fill="d0ddef"/>
        </w:tblPrEx>
        <w:trPr>
          <w:trHeight w:val="1793" w:hRule="atLeast"/>
        </w:trPr>
        <w:tc>
          <w:tcPr>
            <w:tcW w:type="dxa" w:w="3828"/>
            <w:tcBorders>
              <w:top w:val="nil"/>
              <w:left w:val="nil"/>
              <w:bottom w:val="nil"/>
              <w:right w:val="nil"/>
            </w:tcBorders>
            <w:shd w:val="clear" w:color="auto" w:fill="auto"/>
            <w:tcMar>
              <w:top w:type="dxa" w:w="80"/>
              <w:left w:type="dxa" w:w="80"/>
              <w:bottom w:type="dxa" w:w="80"/>
              <w:right w:type="dxa" w:w="80"/>
            </w:tcMar>
            <w:vAlign w:val="top"/>
          </w:tcPr>
          <w:p>
            <w:pPr>
              <w:pStyle w:val="Vrsta predpisa"/>
              <w:jc w:val="both"/>
            </w:pPr>
            <w:r>
              <w:rPr>
                <w:b w:val="0"/>
                <w:bCs w:val="0"/>
                <w:spacing w:val="0"/>
                <w:sz w:val="20"/>
                <w:szCs w:val="20"/>
                <w:shd w:val="nil" w:color="auto" w:fill="auto"/>
                <w:rtl w:val="0"/>
              </w:rPr>
              <w:t xml:space="preserve">(6) Zoper sklep iz tretjega odstavka tega </w:t>
            </w:r>
            <w:r>
              <w:rPr>
                <w:b w:val="0"/>
                <w:bCs w:val="0"/>
                <w:spacing w:val="0"/>
                <w:sz w:val="20"/>
                <w:szCs w:val="20"/>
                <w:shd w:val="nil" w:color="auto" w:fill="auto"/>
                <w:rtl w:val="0"/>
              </w:rPr>
              <w:t>č</w:t>
            </w:r>
            <w:r>
              <w:rPr>
                <w:b w:val="0"/>
                <w:bCs w:val="0"/>
                <w:spacing w:val="0"/>
                <w:sz w:val="20"/>
                <w:szCs w:val="20"/>
                <w:shd w:val="nil" w:color="auto" w:fill="auto"/>
                <w:rtl w:val="0"/>
              </w:rPr>
              <w:t>lena ima prosilec v treh dneh po njegovi vro</w:t>
            </w:r>
            <w:r>
              <w:rPr>
                <w:b w:val="0"/>
                <w:bCs w:val="0"/>
                <w:spacing w:val="0"/>
                <w:sz w:val="20"/>
                <w:szCs w:val="20"/>
                <w:shd w:val="nil" w:color="auto" w:fill="auto"/>
                <w:rtl w:val="0"/>
              </w:rPr>
              <w:t>č</w:t>
            </w:r>
            <w:r>
              <w:rPr>
                <w:b w:val="0"/>
                <w:bCs w:val="0"/>
                <w:spacing w:val="0"/>
                <w:sz w:val="20"/>
                <w:szCs w:val="20"/>
                <w:shd w:val="nil" w:color="auto" w:fill="auto"/>
                <w:rtl w:val="0"/>
              </w:rPr>
              <w:t>itvi pravico do vlo</w:t>
            </w:r>
            <w:r>
              <w:rPr>
                <w:b w:val="0"/>
                <w:bCs w:val="0"/>
                <w:spacing w:val="0"/>
                <w:sz w:val="20"/>
                <w:szCs w:val="20"/>
                <w:shd w:val="nil" w:color="auto" w:fill="auto"/>
                <w:rtl w:val="0"/>
              </w:rPr>
              <w:t>ž</w:t>
            </w:r>
            <w:r>
              <w:rPr>
                <w:b w:val="0"/>
                <w:bCs w:val="0"/>
                <w:spacing w:val="0"/>
                <w:sz w:val="20"/>
                <w:szCs w:val="20"/>
                <w:shd w:val="nil" w:color="auto" w:fill="auto"/>
                <w:rtl w:val="0"/>
              </w:rPr>
              <w:t>itve to</w:t>
            </w:r>
            <w:r>
              <w:rPr>
                <w:b w:val="0"/>
                <w:bCs w:val="0"/>
                <w:spacing w:val="0"/>
                <w:sz w:val="20"/>
                <w:szCs w:val="20"/>
                <w:shd w:val="nil" w:color="auto" w:fill="auto"/>
                <w:rtl w:val="0"/>
              </w:rPr>
              <w:t>ž</w:t>
            </w:r>
            <w:r>
              <w:rPr>
                <w:b w:val="0"/>
                <w:bCs w:val="0"/>
                <w:spacing w:val="0"/>
                <w:sz w:val="20"/>
                <w:szCs w:val="20"/>
                <w:shd w:val="nil" w:color="auto" w:fill="auto"/>
                <w:rtl w:val="0"/>
              </w:rPr>
              <w:t>be na upravno sodi</w:t>
            </w:r>
            <w:r>
              <w:rPr>
                <w:b w:val="0"/>
                <w:bCs w:val="0"/>
                <w:spacing w:val="0"/>
                <w:sz w:val="20"/>
                <w:szCs w:val="20"/>
                <w:shd w:val="nil" w:color="auto" w:fill="auto"/>
                <w:rtl w:val="0"/>
              </w:rPr>
              <w:t>šč</w:t>
            </w:r>
            <w:r>
              <w:rPr>
                <w:b w:val="0"/>
                <w:bCs w:val="0"/>
                <w:spacing w:val="0"/>
                <w:sz w:val="20"/>
                <w:szCs w:val="20"/>
                <w:shd w:val="nil" w:color="auto" w:fill="auto"/>
                <w:rtl w:val="0"/>
                <w:lang w:val="it-IT"/>
              </w:rPr>
              <w:t>e. Sodi</w:t>
            </w:r>
            <w:r>
              <w:rPr>
                <w:b w:val="0"/>
                <w:bCs w:val="0"/>
                <w:spacing w:val="0"/>
                <w:sz w:val="20"/>
                <w:szCs w:val="20"/>
                <w:shd w:val="nil" w:color="auto" w:fill="auto"/>
                <w:rtl w:val="0"/>
              </w:rPr>
              <w:t>šč</w:t>
            </w:r>
            <w:r>
              <w:rPr>
                <w:b w:val="0"/>
                <w:bCs w:val="0"/>
                <w:spacing w:val="0"/>
                <w:sz w:val="20"/>
                <w:szCs w:val="20"/>
                <w:shd w:val="nil" w:color="auto" w:fill="auto"/>
                <w:rtl w:val="0"/>
              </w:rPr>
              <w:t>e po predhodnem ustnem zasli</w:t>
            </w:r>
            <w:r>
              <w:rPr>
                <w:b w:val="0"/>
                <w:bCs w:val="0"/>
                <w:spacing w:val="0"/>
                <w:sz w:val="20"/>
                <w:szCs w:val="20"/>
                <w:shd w:val="nil" w:color="auto" w:fill="auto"/>
                <w:rtl w:val="0"/>
              </w:rPr>
              <w:t>š</w:t>
            </w:r>
            <w:r>
              <w:rPr>
                <w:b w:val="0"/>
                <w:bCs w:val="0"/>
                <w:spacing w:val="0"/>
                <w:sz w:val="20"/>
                <w:szCs w:val="20"/>
                <w:shd w:val="nil" w:color="auto" w:fill="auto"/>
                <w:rtl w:val="0"/>
              </w:rPr>
              <w:t>anju prosilca o to</w:t>
            </w:r>
            <w:r>
              <w:rPr>
                <w:b w:val="0"/>
                <w:bCs w:val="0"/>
                <w:spacing w:val="0"/>
                <w:sz w:val="20"/>
                <w:szCs w:val="20"/>
                <w:shd w:val="nil" w:color="auto" w:fill="auto"/>
                <w:rtl w:val="0"/>
              </w:rPr>
              <w:t>ž</w:t>
            </w:r>
            <w:r>
              <w:rPr>
                <w:b w:val="0"/>
                <w:bCs w:val="0"/>
                <w:spacing w:val="0"/>
                <w:sz w:val="20"/>
                <w:szCs w:val="20"/>
                <w:shd w:val="nil" w:color="auto" w:fill="auto"/>
                <w:rtl w:val="0"/>
              </w:rPr>
              <w:t>bi odlo</w:t>
            </w:r>
            <w:r>
              <w:rPr>
                <w:b w:val="0"/>
                <w:bCs w:val="0"/>
                <w:spacing w:val="0"/>
                <w:sz w:val="20"/>
                <w:szCs w:val="20"/>
                <w:shd w:val="nil" w:color="auto" w:fill="auto"/>
                <w:rtl w:val="0"/>
              </w:rPr>
              <w:t>č</w:t>
            </w:r>
            <w:r>
              <w:rPr>
                <w:b w:val="0"/>
                <w:bCs w:val="0"/>
                <w:spacing w:val="0"/>
                <w:sz w:val="20"/>
                <w:szCs w:val="20"/>
                <w:shd w:val="nil" w:color="auto" w:fill="auto"/>
                <w:rtl w:val="0"/>
              </w:rPr>
              <w:t>i v treh delovnih dneh.</w:t>
            </w:r>
          </w:p>
        </w:tc>
        <w:tc>
          <w:tcPr>
            <w:tcW w:type="dxa" w:w="650"/>
            <w:tcBorders>
              <w:top w:val="nil"/>
              <w:left w:val="nil"/>
              <w:bottom w:val="nil"/>
              <w:right w:val="nil"/>
            </w:tcBorders>
            <w:shd w:val="clear" w:color="auto" w:fill="auto"/>
            <w:tcMar>
              <w:top w:type="dxa" w:w="80"/>
              <w:left w:type="dxa" w:w="80"/>
              <w:bottom w:type="dxa" w:w="80"/>
              <w:right w:type="dxa" w:w="80"/>
            </w:tcMar>
            <w:vAlign w:val="top"/>
          </w:tcPr>
          <w:p/>
        </w:tc>
        <w:tc>
          <w:tcPr>
            <w:tcW w:type="dxa" w:w="4594"/>
            <w:tcBorders>
              <w:top w:val="nil"/>
              <w:left w:val="nil"/>
              <w:bottom w:val="nil"/>
              <w:right w:val="nil"/>
            </w:tcBorders>
            <w:shd w:val="clear" w:color="auto" w:fill="auto"/>
            <w:tcMar>
              <w:top w:type="dxa" w:w="80"/>
              <w:left w:type="dxa" w:w="80"/>
              <w:bottom w:type="dxa" w:w="80"/>
              <w:right w:type="dxa" w:w="80"/>
            </w:tcMar>
            <w:vAlign w:val="top"/>
          </w:tcPr>
          <w:p>
            <w:pPr>
              <w:pStyle w:val="Vrsta predpisa"/>
              <w:jc w:val="both"/>
            </w:pPr>
            <w:r>
              <w:rPr>
                <w:b w:val="0"/>
                <w:bCs w:val="0"/>
                <w:spacing w:val="0"/>
                <w:sz w:val="20"/>
                <w:szCs w:val="20"/>
                <w:shd w:val="nil" w:color="auto" w:fill="auto"/>
                <w:rtl w:val="0"/>
                <w:lang w:val="en-US"/>
              </w:rPr>
              <w:t xml:space="preserve">(6) An action may be brought by an applicant against the order referred to in paragraph three of this Article before the Administrative Court. The court shall decide on the case within three working days after a  preliminary oral hearing. </w:t>
            </w:r>
            <w:r>
              <w:rPr>
                <w:b w:val="0"/>
                <w:bCs w:val="0"/>
                <w:spacing w:val="0"/>
                <w:sz w:val="20"/>
                <w:szCs w:val="20"/>
                <w:shd w:val="nil" w:color="auto" w:fill="auto"/>
              </w:rPr>
            </w:r>
          </w:p>
        </w:tc>
      </w:tr>
      <w:tr>
        <w:tblPrEx>
          <w:shd w:val="clear" w:color="auto" w:fill="d0ddef"/>
        </w:tblPrEx>
        <w:trPr>
          <w:trHeight w:val="1360" w:hRule="atLeast"/>
        </w:trPr>
        <w:tc>
          <w:tcPr>
            <w:tcW w:type="dxa" w:w="3828"/>
            <w:tcBorders>
              <w:top w:val="nil"/>
              <w:left w:val="nil"/>
              <w:bottom w:val="nil"/>
              <w:right w:val="nil"/>
            </w:tcBorders>
            <w:shd w:val="clear" w:color="auto" w:fill="auto"/>
            <w:tcMar>
              <w:top w:type="dxa" w:w="80"/>
              <w:left w:type="dxa" w:w="80"/>
              <w:bottom w:type="dxa" w:w="80"/>
              <w:right w:type="dxa" w:w="80"/>
            </w:tcMar>
            <w:vAlign w:val="top"/>
          </w:tcPr>
          <w:p>
            <w:pPr>
              <w:pStyle w:val="Vrsta predpisa"/>
              <w:spacing w:before="0"/>
              <w:jc w:val="both"/>
            </w:pPr>
            <w:r>
              <w:rPr>
                <w:b w:val="0"/>
                <w:bCs w:val="0"/>
                <w:spacing w:val="0"/>
                <w:sz w:val="20"/>
                <w:szCs w:val="20"/>
                <w:shd w:val="nil" w:color="auto" w:fill="auto"/>
                <w:rtl w:val="0"/>
              </w:rPr>
              <w:t xml:space="preserve">(7) Zoper sklep iz petega odstavka tega </w:t>
            </w:r>
            <w:r>
              <w:rPr>
                <w:b w:val="0"/>
                <w:bCs w:val="0"/>
                <w:spacing w:val="0"/>
                <w:sz w:val="20"/>
                <w:szCs w:val="20"/>
                <w:shd w:val="nil" w:color="auto" w:fill="auto"/>
                <w:rtl w:val="0"/>
              </w:rPr>
              <w:t>č</w:t>
            </w:r>
            <w:r>
              <w:rPr>
                <w:b w:val="0"/>
                <w:bCs w:val="0"/>
                <w:spacing w:val="0"/>
                <w:sz w:val="20"/>
                <w:szCs w:val="20"/>
                <w:shd w:val="nil" w:color="auto" w:fill="auto"/>
                <w:rtl w:val="0"/>
              </w:rPr>
              <w:t>lena ima prosilec v treh dneh po njegovi vro</w:t>
            </w:r>
            <w:r>
              <w:rPr>
                <w:b w:val="0"/>
                <w:bCs w:val="0"/>
                <w:spacing w:val="0"/>
                <w:sz w:val="20"/>
                <w:szCs w:val="20"/>
                <w:shd w:val="nil" w:color="auto" w:fill="auto"/>
                <w:rtl w:val="0"/>
              </w:rPr>
              <w:t>č</w:t>
            </w:r>
            <w:r>
              <w:rPr>
                <w:b w:val="0"/>
                <w:bCs w:val="0"/>
                <w:spacing w:val="0"/>
                <w:sz w:val="20"/>
                <w:szCs w:val="20"/>
                <w:shd w:val="nil" w:color="auto" w:fill="auto"/>
                <w:rtl w:val="0"/>
              </w:rPr>
              <w:t>itvi pravico do vlo</w:t>
            </w:r>
            <w:r>
              <w:rPr>
                <w:b w:val="0"/>
                <w:bCs w:val="0"/>
                <w:spacing w:val="0"/>
                <w:sz w:val="20"/>
                <w:szCs w:val="20"/>
                <w:shd w:val="nil" w:color="auto" w:fill="auto"/>
                <w:rtl w:val="0"/>
              </w:rPr>
              <w:t>ž</w:t>
            </w:r>
            <w:r>
              <w:rPr>
                <w:b w:val="0"/>
                <w:bCs w:val="0"/>
                <w:spacing w:val="0"/>
                <w:sz w:val="20"/>
                <w:szCs w:val="20"/>
                <w:shd w:val="nil" w:color="auto" w:fill="auto"/>
                <w:rtl w:val="0"/>
              </w:rPr>
              <w:t>itve to</w:t>
            </w:r>
            <w:r>
              <w:rPr>
                <w:b w:val="0"/>
                <w:bCs w:val="0"/>
                <w:spacing w:val="0"/>
                <w:sz w:val="20"/>
                <w:szCs w:val="20"/>
                <w:shd w:val="nil" w:color="auto" w:fill="auto"/>
                <w:rtl w:val="0"/>
              </w:rPr>
              <w:t>ž</w:t>
            </w:r>
            <w:r>
              <w:rPr>
                <w:b w:val="0"/>
                <w:bCs w:val="0"/>
                <w:spacing w:val="0"/>
                <w:sz w:val="20"/>
                <w:szCs w:val="20"/>
                <w:shd w:val="nil" w:color="auto" w:fill="auto"/>
                <w:rtl w:val="0"/>
              </w:rPr>
              <w:t>be na upravno sodi</w:t>
            </w:r>
            <w:r>
              <w:rPr>
                <w:b w:val="0"/>
                <w:bCs w:val="0"/>
                <w:spacing w:val="0"/>
                <w:sz w:val="20"/>
                <w:szCs w:val="20"/>
                <w:shd w:val="nil" w:color="auto" w:fill="auto"/>
                <w:rtl w:val="0"/>
              </w:rPr>
              <w:t>šč</w:t>
            </w:r>
            <w:r>
              <w:rPr>
                <w:b w:val="0"/>
                <w:bCs w:val="0"/>
                <w:spacing w:val="0"/>
                <w:sz w:val="20"/>
                <w:szCs w:val="20"/>
                <w:shd w:val="nil" w:color="auto" w:fill="auto"/>
                <w:rtl w:val="0"/>
              </w:rPr>
              <w:t>e, ki o to</w:t>
            </w:r>
            <w:r>
              <w:rPr>
                <w:b w:val="0"/>
                <w:bCs w:val="0"/>
                <w:spacing w:val="0"/>
                <w:sz w:val="20"/>
                <w:szCs w:val="20"/>
                <w:shd w:val="nil" w:color="auto" w:fill="auto"/>
                <w:rtl w:val="0"/>
              </w:rPr>
              <w:t>ž</w:t>
            </w:r>
            <w:r>
              <w:rPr>
                <w:b w:val="0"/>
                <w:bCs w:val="0"/>
                <w:spacing w:val="0"/>
                <w:sz w:val="20"/>
                <w:szCs w:val="20"/>
                <w:shd w:val="nil" w:color="auto" w:fill="auto"/>
                <w:rtl w:val="0"/>
              </w:rPr>
              <w:t>bi odlo</w:t>
            </w:r>
            <w:r>
              <w:rPr>
                <w:b w:val="0"/>
                <w:bCs w:val="0"/>
                <w:spacing w:val="0"/>
                <w:sz w:val="20"/>
                <w:szCs w:val="20"/>
                <w:shd w:val="nil" w:color="auto" w:fill="auto"/>
                <w:rtl w:val="0"/>
              </w:rPr>
              <w:t>č</w:t>
            </w:r>
            <w:r>
              <w:rPr>
                <w:b w:val="0"/>
                <w:bCs w:val="0"/>
                <w:spacing w:val="0"/>
                <w:sz w:val="20"/>
                <w:szCs w:val="20"/>
                <w:shd w:val="nil" w:color="auto" w:fill="auto"/>
                <w:rtl w:val="0"/>
              </w:rPr>
              <w:t>i v treh delovnih dneh.</w:t>
            </w:r>
          </w:p>
        </w:tc>
        <w:tc>
          <w:tcPr>
            <w:tcW w:type="dxa" w:w="650"/>
            <w:tcBorders>
              <w:top w:val="nil"/>
              <w:left w:val="nil"/>
              <w:bottom w:val="nil"/>
              <w:right w:val="nil"/>
            </w:tcBorders>
            <w:shd w:val="clear" w:color="auto" w:fill="auto"/>
            <w:tcMar>
              <w:top w:type="dxa" w:w="80"/>
              <w:left w:type="dxa" w:w="80"/>
              <w:bottom w:type="dxa" w:w="80"/>
              <w:right w:type="dxa" w:w="80"/>
            </w:tcMar>
            <w:vAlign w:val="top"/>
          </w:tcPr>
          <w:p/>
        </w:tc>
        <w:tc>
          <w:tcPr>
            <w:tcW w:type="dxa" w:w="4594"/>
            <w:tcBorders>
              <w:top w:val="nil"/>
              <w:left w:val="nil"/>
              <w:bottom w:val="nil"/>
              <w:right w:val="nil"/>
            </w:tcBorders>
            <w:shd w:val="clear" w:color="auto" w:fill="auto"/>
            <w:tcMar>
              <w:top w:type="dxa" w:w="80"/>
              <w:left w:type="dxa" w:w="80"/>
              <w:bottom w:type="dxa" w:w="80"/>
              <w:right w:type="dxa" w:w="80"/>
            </w:tcMar>
            <w:vAlign w:val="top"/>
          </w:tcPr>
          <w:p>
            <w:pPr>
              <w:pStyle w:val="Vrsta predpisa"/>
              <w:spacing w:before="0"/>
              <w:jc w:val="both"/>
            </w:pPr>
            <w:r>
              <w:rPr>
                <w:b w:val="0"/>
                <w:bCs w:val="0"/>
                <w:spacing w:val="0"/>
                <w:sz w:val="20"/>
                <w:szCs w:val="20"/>
                <w:shd w:val="nil" w:color="auto" w:fill="auto"/>
                <w:rtl w:val="0"/>
                <w:lang w:val="en-US"/>
              </w:rPr>
              <w:t>(7) An applicant has the right to bring an action against the order referred to in paragraph five of this Article with the Administrative Court within three days of service. The court shall decide on the case within three working days.</w:t>
            </w:r>
            <w:r>
              <w:rPr>
                <w:b w:val="0"/>
                <w:bCs w:val="0"/>
                <w:spacing w:val="0"/>
                <w:sz w:val="20"/>
                <w:szCs w:val="20"/>
                <w:shd w:val="nil" w:color="auto" w:fill="auto"/>
              </w:rPr>
            </w:r>
          </w:p>
        </w:tc>
      </w:tr>
      <w:tr>
        <w:tblPrEx>
          <w:shd w:val="clear" w:color="auto" w:fill="d0ddef"/>
        </w:tblPrEx>
        <w:trPr>
          <w:trHeight w:val="1753" w:hRule="atLeast"/>
        </w:trPr>
        <w:tc>
          <w:tcPr>
            <w:tcW w:type="dxa" w:w="3828"/>
            <w:tcBorders>
              <w:top w:val="nil"/>
              <w:left w:val="nil"/>
              <w:bottom w:val="nil"/>
              <w:right w:val="nil"/>
            </w:tcBorders>
            <w:shd w:val="clear" w:color="auto" w:fill="auto"/>
            <w:tcMar>
              <w:top w:type="dxa" w:w="80"/>
              <w:left w:type="dxa" w:w="80"/>
              <w:bottom w:type="dxa" w:w="80"/>
              <w:right w:type="dxa" w:w="80"/>
            </w:tcMar>
            <w:vAlign w:val="top"/>
          </w:tcPr>
          <w:p>
            <w:pPr>
              <w:pStyle w:val="Vrsta predpisa"/>
              <w:spacing w:before="0" w:after="240"/>
              <w:jc w:val="both"/>
            </w:pPr>
            <w:r>
              <w:rPr>
                <w:b w:val="0"/>
                <w:bCs w:val="0"/>
                <w:spacing w:val="0"/>
                <w:sz w:val="20"/>
                <w:szCs w:val="20"/>
                <w:shd w:val="nil" w:color="auto" w:fill="auto"/>
                <w:rtl w:val="0"/>
              </w:rPr>
              <w:t>(8) V primeru izreka ukrepa omejitve gibanja na Center za tujce ranljivi osebi s posebnimi potrebami pristojni organ prednostno poskrbi za varovanje njenega zdravja, vklju</w:t>
            </w:r>
            <w:r>
              <w:rPr>
                <w:b w:val="0"/>
                <w:bCs w:val="0"/>
                <w:spacing w:val="0"/>
                <w:sz w:val="20"/>
                <w:szCs w:val="20"/>
                <w:shd w:val="nil" w:color="auto" w:fill="auto"/>
                <w:rtl w:val="0"/>
              </w:rPr>
              <w:t>č</w:t>
            </w:r>
            <w:r>
              <w:rPr>
                <w:b w:val="0"/>
                <w:bCs w:val="0"/>
                <w:spacing w:val="0"/>
                <w:sz w:val="20"/>
                <w:szCs w:val="20"/>
                <w:shd w:val="nil" w:color="auto" w:fill="auto"/>
                <w:rtl w:val="0"/>
              </w:rPr>
              <w:t>no z du</w:t>
            </w:r>
            <w:r>
              <w:rPr>
                <w:b w:val="0"/>
                <w:bCs w:val="0"/>
                <w:spacing w:val="0"/>
                <w:sz w:val="20"/>
                <w:szCs w:val="20"/>
                <w:shd w:val="nil" w:color="auto" w:fill="auto"/>
                <w:rtl w:val="0"/>
              </w:rPr>
              <w:t>š</w:t>
            </w:r>
            <w:r>
              <w:rPr>
                <w:b w:val="0"/>
                <w:bCs w:val="0"/>
                <w:spacing w:val="0"/>
                <w:sz w:val="20"/>
                <w:szCs w:val="20"/>
                <w:shd w:val="nil" w:color="auto" w:fill="auto"/>
                <w:rtl w:val="0"/>
              </w:rPr>
              <w:t>evnim zdravjem, ter zagotovi redno spremljanje in ustrezno pomo</w:t>
            </w:r>
            <w:r>
              <w:rPr>
                <w:b w:val="0"/>
                <w:bCs w:val="0"/>
                <w:spacing w:val="0"/>
                <w:sz w:val="20"/>
                <w:szCs w:val="20"/>
                <w:shd w:val="nil" w:color="auto" w:fill="auto"/>
                <w:rtl w:val="0"/>
              </w:rPr>
              <w:t>č</w:t>
            </w:r>
            <w:r>
              <w:rPr>
                <w:b w:val="0"/>
                <w:bCs w:val="0"/>
                <w:spacing w:val="0"/>
                <w:sz w:val="20"/>
                <w:szCs w:val="20"/>
                <w:shd w:val="nil" w:color="auto" w:fill="auto"/>
                <w:rtl w:val="0"/>
              </w:rPr>
              <w:t xml:space="preserve">, pri </w:t>
            </w:r>
            <w:r>
              <w:rPr>
                <w:b w:val="0"/>
                <w:bCs w:val="0"/>
                <w:spacing w:val="0"/>
                <w:sz w:val="20"/>
                <w:szCs w:val="20"/>
                <w:shd w:val="nil" w:color="auto" w:fill="auto"/>
                <w:rtl w:val="0"/>
              </w:rPr>
              <w:t>č</w:t>
            </w:r>
            <w:r>
              <w:rPr>
                <w:b w:val="0"/>
                <w:bCs w:val="0"/>
                <w:spacing w:val="0"/>
                <w:sz w:val="20"/>
                <w:szCs w:val="20"/>
                <w:shd w:val="nil" w:color="auto" w:fill="auto"/>
                <w:rtl w:val="0"/>
              </w:rPr>
              <w:t>emer upo</w:t>
            </w:r>
            <w:r>
              <w:rPr>
                <w:b w:val="0"/>
                <w:bCs w:val="0"/>
                <w:spacing w:val="0"/>
                <w:sz w:val="20"/>
                <w:szCs w:val="20"/>
                <w:shd w:val="nil" w:color="auto" w:fill="auto"/>
                <w:rtl w:val="0"/>
              </w:rPr>
              <w:t>š</w:t>
            </w:r>
            <w:r>
              <w:rPr>
                <w:b w:val="0"/>
                <w:bCs w:val="0"/>
                <w:spacing w:val="0"/>
                <w:sz w:val="20"/>
                <w:szCs w:val="20"/>
                <w:shd w:val="nil" w:color="auto" w:fill="auto"/>
                <w:rtl w:val="0"/>
              </w:rPr>
              <w:t>teva poseben polo</w:t>
            </w:r>
            <w:r>
              <w:rPr>
                <w:b w:val="0"/>
                <w:bCs w:val="0"/>
                <w:spacing w:val="0"/>
                <w:sz w:val="20"/>
                <w:szCs w:val="20"/>
                <w:shd w:val="nil" w:color="auto" w:fill="auto"/>
                <w:rtl w:val="0"/>
              </w:rPr>
              <w:t>ž</w:t>
            </w:r>
            <w:r>
              <w:rPr>
                <w:b w:val="0"/>
                <w:bCs w:val="0"/>
                <w:spacing w:val="0"/>
                <w:sz w:val="20"/>
                <w:szCs w:val="20"/>
                <w:shd w:val="nil" w:color="auto" w:fill="auto"/>
                <w:rtl w:val="0"/>
              </w:rPr>
              <w:t>aj te osebe.</w:t>
            </w:r>
          </w:p>
        </w:tc>
        <w:tc>
          <w:tcPr>
            <w:tcW w:type="dxa" w:w="650"/>
            <w:tcBorders>
              <w:top w:val="nil"/>
              <w:left w:val="nil"/>
              <w:bottom w:val="nil"/>
              <w:right w:val="nil"/>
            </w:tcBorders>
            <w:shd w:val="clear" w:color="auto" w:fill="auto"/>
            <w:tcMar>
              <w:top w:type="dxa" w:w="80"/>
              <w:left w:type="dxa" w:w="80"/>
              <w:bottom w:type="dxa" w:w="80"/>
              <w:right w:type="dxa" w:w="80"/>
            </w:tcMar>
            <w:vAlign w:val="top"/>
          </w:tcPr>
          <w:p/>
        </w:tc>
        <w:tc>
          <w:tcPr>
            <w:tcW w:type="dxa" w:w="4594"/>
            <w:tcBorders>
              <w:top w:val="nil"/>
              <w:left w:val="nil"/>
              <w:bottom w:val="nil"/>
              <w:right w:val="nil"/>
            </w:tcBorders>
            <w:shd w:val="clear" w:color="auto" w:fill="auto"/>
            <w:tcMar>
              <w:top w:type="dxa" w:w="80"/>
              <w:left w:type="dxa" w:w="80"/>
              <w:bottom w:type="dxa" w:w="80"/>
              <w:right w:type="dxa" w:w="80"/>
            </w:tcMar>
            <w:vAlign w:val="top"/>
          </w:tcPr>
          <w:p>
            <w:pPr>
              <w:pStyle w:val="Vrsta predpisa"/>
              <w:spacing w:before="0" w:after="240"/>
              <w:jc w:val="both"/>
            </w:pPr>
            <w:r>
              <w:rPr>
                <w:b w:val="0"/>
                <w:bCs w:val="0"/>
                <w:spacing w:val="0"/>
                <w:sz w:val="20"/>
                <w:szCs w:val="20"/>
                <w:shd w:val="nil" w:color="auto" w:fill="auto"/>
                <w:rtl w:val="0"/>
                <w:lang w:val="en-US"/>
              </w:rPr>
              <w:t>(8) If the measure of the restriction of movement to the Centre for Foreigners has been imposed on a vulnerable person with special needs, the competent authority shall as a priority ensure that his or her health, including mental health, is protected and shall ensure regular monitoring and adequate assistance, while taking into account the specific situation of that person.</w:t>
            </w:r>
          </w:p>
        </w:tc>
      </w:tr>
    </w:tbl>
    <w:p>
      <w:pPr>
        <w:pStyle w:val="Normal.0"/>
        <w:widowControl w:val="0"/>
        <w:spacing w:after="0" w:line="240" w:lineRule="auto"/>
        <w:jc w:val="both"/>
        <w:rPr>
          <w:rFonts w:ascii="Arial" w:cs="Arial" w:hAnsi="Arial" w:eastAsia="Arial"/>
          <w:sz w:val="20"/>
          <w:szCs w:val="20"/>
          <w:lang w:val="en-US"/>
        </w:rPr>
      </w:pPr>
    </w:p>
    <w:p>
      <w:pPr>
        <w:pStyle w:val="Normal.0"/>
        <w:spacing w:after="0" w:line="240" w:lineRule="auto"/>
        <w:jc w:val="both"/>
        <w:rPr>
          <w:rFonts w:ascii="Arial" w:cs="Arial" w:hAnsi="Arial" w:eastAsia="Arial"/>
          <w:sz w:val="20"/>
          <w:szCs w:val="20"/>
          <w:lang w:val="en-US"/>
        </w:rPr>
      </w:pPr>
    </w:p>
    <w:p>
      <w:pPr>
        <w:pStyle w:val="Normal.0"/>
      </w:pPr>
      <w:r>
        <w:rPr>
          <w:rFonts w:ascii="Arial Unicode MS" w:cs="Arial Unicode MS" w:hAnsi="Arial Unicode MS" w:eastAsia="Arial Unicode MS"/>
          <w:b w:val="0"/>
          <w:bCs w:val="0"/>
          <w:i w:val="0"/>
          <w:iCs w:val="0"/>
          <w:sz w:val="20"/>
          <w:szCs w:val="20"/>
          <w:lang w:val="en-US"/>
        </w:rPr>
        <w:br w:type="page"/>
      </w:r>
    </w:p>
    <w:p>
      <w:pPr>
        <w:pStyle w:val="Normal.0"/>
        <w:spacing w:after="0" w:line="240" w:lineRule="auto"/>
        <w:jc w:val="both"/>
        <w:rPr>
          <w:rFonts w:ascii="Arial" w:cs="Arial" w:hAnsi="Arial" w:eastAsia="Arial"/>
          <w:b w:val="1"/>
          <w:bCs w:val="1"/>
          <w:sz w:val="18"/>
          <w:szCs w:val="18"/>
        </w:rPr>
      </w:pPr>
      <w:r>
        <w:rPr>
          <w:rFonts w:ascii="Arial" w:hAnsi="Arial"/>
          <w:b w:val="1"/>
          <w:bCs w:val="1"/>
          <w:sz w:val="18"/>
          <w:szCs w:val="18"/>
          <w:rtl w:val="0"/>
          <w:lang w:val="en-US"/>
        </w:rPr>
        <w:t>ANNEX 2</w:t>
      </w:r>
    </w:p>
    <w:tbl>
      <w:tblPr>
        <w:tblW w:w="907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4348"/>
        <w:gridCol w:w="352"/>
        <w:gridCol w:w="4372"/>
      </w:tblGrid>
      <w:tr>
        <w:tblPrEx>
          <w:shd w:val="clear" w:color="auto" w:fill="d0ddef"/>
        </w:tblPrEx>
        <w:trPr>
          <w:trHeight w:val="1313" w:hRule="atLeast"/>
        </w:trPr>
        <w:tc>
          <w:tcPr>
            <w:tcW w:type="dxa" w:w="4348"/>
            <w:tcBorders>
              <w:top w:val="nil"/>
              <w:left w:val="nil"/>
              <w:bottom w:val="nil"/>
              <w:right w:val="nil"/>
            </w:tcBorders>
            <w:shd w:val="clear" w:color="auto" w:fill="auto"/>
            <w:tcMar>
              <w:top w:type="dxa" w:w="80"/>
              <w:left w:type="dxa" w:w="80"/>
              <w:bottom w:type="dxa" w:w="80"/>
              <w:right w:type="dxa" w:w="80"/>
            </w:tcMar>
            <w:vAlign w:val="top"/>
          </w:tcPr>
          <w:p>
            <w:pPr>
              <w:pStyle w:val="Opozorilo"/>
            </w:pPr>
            <w:r>
              <w:rPr>
                <w:sz w:val="20"/>
                <w:szCs w:val="20"/>
                <w:shd w:val="nil" w:color="auto" w:fill="auto"/>
                <w:rtl w:val="0"/>
                <w:lang w:val="en-US"/>
              </w:rPr>
              <w:t>Opozorilo: Neuradno pre</w:t>
            </w:r>
            <w:r>
              <w:rPr>
                <w:sz w:val="20"/>
                <w:szCs w:val="20"/>
                <w:shd w:val="nil" w:color="auto" w:fill="auto"/>
                <w:rtl w:val="0"/>
                <w:lang w:val="en-US"/>
              </w:rPr>
              <w:t>č</w:t>
            </w:r>
            <w:r>
              <w:rPr>
                <w:sz w:val="20"/>
                <w:szCs w:val="20"/>
                <w:shd w:val="nil" w:color="auto" w:fill="auto"/>
                <w:rtl w:val="0"/>
                <w:lang w:val="en-US"/>
              </w:rPr>
              <w:t>i</w:t>
            </w:r>
            <w:r>
              <w:rPr>
                <w:sz w:val="20"/>
                <w:szCs w:val="20"/>
                <w:shd w:val="nil" w:color="auto" w:fill="auto"/>
                <w:rtl w:val="0"/>
                <w:lang w:val="en-US"/>
              </w:rPr>
              <w:t>šč</w:t>
            </w:r>
            <w:r>
              <w:rPr>
                <w:sz w:val="20"/>
                <w:szCs w:val="20"/>
                <w:shd w:val="nil" w:color="auto" w:fill="auto"/>
                <w:rtl w:val="0"/>
                <w:lang w:val="en-US"/>
              </w:rPr>
              <w:t>eno besedilo predpisa predstavlja zgolj informativni delovni pripomo</w:t>
            </w:r>
            <w:r>
              <w:rPr>
                <w:sz w:val="20"/>
                <w:szCs w:val="20"/>
                <w:shd w:val="nil" w:color="auto" w:fill="auto"/>
                <w:rtl w:val="0"/>
                <w:lang w:val="en-US"/>
              </w:rPr>
              <w:t>č</w:t>
            </w:r>
            <w:r>
              <w:rPr>
                <w:sz w:val="20"/>
                <w:szCs w:val="20"/>
                <w:shd w:val="nil" w:color="auto" w:fill="auto"/>
                <w:rtl w:val="0"/>
                <w:lang w:val="en-US"/>
              </w:rPr>
              <w:t>ek, glede katerega organ ne jam</w:t>
            </w:r>
            <w:r>
              <w:rPr>
                <w:sz w:val="20"/>
                <w:szCs w:val="20"/>
                <w:shd w:val="nil" w:color="auto" w:fill="auto"/>
                <w:rtl w:val="0"/>
                <w:lang w:val="en-US"/>
              </w:rPr>
              <w:t>č</w:t>
            </w:r>
            <w:r>
              <w:rPr>
                <w:sz w:val="20"/>
                <w:szCs w:val="20"/>
                <w:shd w:val="nil" w:color="auto" w:fill="auto"/>
                <w:rtl w:val="0"/>
                <w:lang w:val="en-US"/>
              </w:rPr>
              <w:t>i od</w:t>
            </w:r>
            <w:r>
              <w:rPr>
                <w:sz w:val="20"/>
                <w:szCs w:val="20"/>
                <w:shd w:val="nil" w:color="auto" w:fill="auto"/>
                <w:rtl w:val="0"/>
                <w:lang w:val="en-US"/>
              </w:rPr>
              <w:t>š</w:t>
            </w:r>
            <w:r>
              <w:rPr>
                <w:sz w:val="20"/>
                <w:szCs w:val="20"/>
                <w:shd w:val="nil" w:color="auto" w:fill="auto"/>
                <w:rtl w:val="0"/>
                <w:lang w:val="en-US"/>
              </w:rPr>
              <w:t>kodninsko ali kako druga</w:t>
            </w:r>
            <w:r>
              <w:rPr>
                <w:sz w:val="20"/>
                <w:szCs w:val="20"/>
                <w:shd w:val="nil" w:color="auto" w:fill="auto"/>
                <w:rtl w:val="0"/>
                <w:lang w:val="en-US"/>
              </w:rPr>
              <w:t>č</w:t>
            </w:r>
            <w:r>
              <w:rPr>
                <w:sz w:val="20"/>
                <w:szCs w:val="20"/>
                <w:shd w:val="nil" w:color="auto" w:fill="auto"/>
                <w:rtl w:val="0"/>
                <w:lang w:val="en-US"/>
              </w:rPr>
              <w:t>e.</w:t>
            </w:r>
          </w:p>
        </w:tc>
        <w:tc>
          <w:tcPr>
            <w:tcW w:type="dxa" w:w="352"/>
            <w:tcBorders>
              <w:top w:val="nil"/>
              <w:left w:val="nil"/>
              <w:bottom w:val="nil"/>
              <w:right w:val="nil"/>
            </w:tcBorders>
            <w:shd w:val="clear" w:color="auto" w:fill="auto"/>
            <w:tcMar>
              <w:top w:type="dxa" w:w="80"/>
              <w:left w:type="dxa" w:w="80"/>
              <w:bottom w:type="dxa" w:w="80"/>
              <w:right w:type="dxa" w:w="80"/>
            </w:tcMar>
            <w:vAlign w:val="top"/>
          </w:tcPr>
          <w:p/>
        </w:tc>
        <w:tc>
          <w:tcPr>
            <w:tcW w:type="dxa" w:w="4372"/>
            <w:tcBorders>
              <w:top w:val="nil"/>
              <w:left w:val="nil"/>
              <w:bottom w:val="nil"/>
              <w:right w:val="nil"/>
            </w:tcBorders>
            <w:shd w:val="clear" w:color="auto" w:fill="auto"/>
            <w:tcMar>
              <w:top w:type="dxa" w:w="80"/>
              <w:left w:type="dxa" w:w="80"/>
              <w:bottom w:type="dxa" w:w="80"/>
              <w:right w:type="dxa" w:w="80"/>
            </w:tcMar>
            <w:vAlign w:val="top"/>
          </w:tcPr>
          <w:p>
            <w:pPr>
              <w:pStyle w:val="Opozorilo"/>
            </w:pPr>
            <w:r>
              <w:rPr>
                <w:sz w:val="20"/>
                <w:szCs w:val="20"/>
                <w:shd w:val="nil" w:color="auto" w:fill="auto"/>
                <w:rtl w:val="0"/>
                <w:lang w:val="en-US"/>
              </w:rPr>
              <w:t xml:space="preserve">Disclaimer: Unofficial consolidated version. Only the original Slovene texts of the laws and regulations have legal effect, and the translations are to be used solely as reference materials to aid in the understanding of Slovene laws and regulations. </w:t>
            </w:r>
          </w:p>
        </w:tc>
      </w:tr>
    </w:tbl>
    <w:p>
      <w:pPr>
        <w:pStyle w:val="Normal.0"/>
        <w:widowControl w:val="0"/>
        <w:spacing w:after="0" w:line="240" w:lineRule="auto"/>
        <w:jc w:val="both"/>
        <w:rPr>
          <w:rFonts w:ascii="Arial" w:cs="Arial" w:hAnsi="Arial" w:eastAsia="Arial"/>
          <w:b w:val="1"/>
          <w:bCs w:val="1"/>
          <w:sz w:val="18"/>
          <w:szCs w:val="18"/>
        </w:rPr>
      </w:pPr>
    </w:p>
    <w:p>
      <w:pPr>
        <w:pStyle w:val="Normal.0"/>
        <w:rPr>
          <w:rFonts w:ascii="Arial" w:cs="Arial" w:hAnsi="Arial" w:eastAsia="Arial"/>
          <w:sz w:val="20"/>
          <w:szCs w:val="20"/>
          <w:lang w:val="en-US"/>
        </w:rPr>
      </w:pPr>
    </w:p>
    <w:p>
      <w:pPr>
        <w:pStyle w:val="Normal.0"/>
        <w:spacing w:after="0" w:line="240" w:lineRule="auto"/>
        <w:jc w:val="both"/>
        <w:rPr>
          <w:rFonts w:ascii="Arial" w:cs="Arial" w:hAnsi="Arial" w:eastAsia="Arial"/>
          <w:sz w:val="20"/>
          <w:szCs w:val="20"/>
          <w:lang w:val="en-US"/>
        </w:rPr>
      </w:pPr>
    </w:p>
    <w:tbl>
      <w:tblPr>
        <w:tblW w:w="907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3969"/>
        <w:gridCol w:w="932"/>
        <w:gridCol w:w="4171"/>
      </w:tblGrid>
      <w:tr>
        <w:tblPrEx>
          <w:shd w:val="clear" w:color="auto" w:fill="d0ddef"/>
        </w:tblPrEx>
        <w:trPr>
          <w:trHeight w:val="473" w:hRule="atLeast"/>
        </w:trPr>
        <w:tc>
          <w:tcPr>
            <w:tcW w:type="dxa" w:w="3969"/>
            <w:tcBorders>
              <w:top w:val="nil"/>
              <w:left w:val="nil"/>
              <w:bottom w:val="nil"/>
              <w:right w:val="nil"/>
            </w:tcBorders>
            <w:shd w:val="clear" w:color="auto" w:fill="auto"/>
            <w:tcMar>
              <w:top w:type="dxa" w:w="80"/>
              <w:left w:type="dxa" w:w="80"/>
              <w:bottom w:type="dxa" w:w="80"/>
              <w:right w:type="dxa" w:w="80"/>
            </w:tcMar>
            <w:vAlign w:val="top"/>
          </w:tcPr>
          <w:p>
            <w:pPr>
              <w:pStyle w:val="Člen"/>
              <w:spacing w:before="0"/>
              <w:rPr>
                <w:spacing w:val="0"/>
                <w:shd w:val="nil" w:color="auto" w:fill="auto"/>
              </w:rPr>
            </w:pPr>
            <w:r>
              <w:rPr>
                <w:spacing w:val="0"/>
                <w:shd w:val="nil" w:color="auto" w:fill="auto"/>
                <w:rtl w:val="0"/>
                <w:lang w:val="en-US"/>
              </w:rPr>
              <w:t xml:space="preserve">ZAKON </w:t>
            </w:r>
          </w:p>
          <w:p>
            <w:pPr>
              <w:pStyle w:val="Člen"/>
              <w:bidi w:val="0"/>
              <w:spacing w:before="0"/>
              <w:ind w:left="0" w:right="0" w:firstLine="0"/>
              <w:jc w:val="center"/>
              <w:rPr>
                <w:rtl w:val="0"/>
              </w:rPr>
            </w:pPr>
            <w:r>
              <w:rPr>
                <w:spacing w:val="0"/>
                <w:shd w:val="nil" w:color="auto" w:fill="auto"/>
                <w:rtl w:val="0"/>
                <w:lang w:val="en-US"/>
              </w:rPr>
              <w:t>O TUJCIH (ZTuj-2)</w:t>
            </w:r>
          </w:p>
        </w:tc>
        <w:tc>
          <w:tcPr>
            <w:tcW w:type="dxa" w:w="932"/>
            <w:tcBorders>
              <w:top w:val="nil"/>
              <w:left w:val="nil"/>
              <w:bottom w:val="nil"/>
              <w:right w:val="nil"/>
            </w:tcBorders>
            <w:shd w:val="clear" w:color="auto" w:fill="auto"/>
            <w:tcMar>
              <w:top w:type="dxa" w:w="80"/>
              <w:left w:type="dxa" w:w="80"/>
              <w:bottom w:type="dxa" w:w="80"/>
              <w:right w:type="dxa" w:w="80"/>
            </w:tcMar>
            <w:vAlign w:val="top"/>
          </w:tcPr>
          <w:p/>
        </w:tc>
        <w:tc>
          <w:tcPr>
            <w:tcW w:type="dxa" w:w="4171"/>
            <w:tcBorders>
              <w:top w:val="nil"/>
              <w:left w:val="nil"/>
              <w:bottom w:val="nil"/>
              <w:right w:val="nil"/>
            </w:tcBorders>
            <w:shd w:val="clear" w:color="auto" w:fill="auto"/>
            <w:tcMar>
              <w:top w:type="dxa" w:w="80"/>
              <w:left w:type="dxa" w:w="80"/>
              <w:bottom w:type="dxa" w:w="80"/>
              <w:right w:type="dxa" w:w="80"/>
            </w:tcMar>
            <w:vAlign w:val="top"/>
          </w:tcPr>
          <w:p>
            <w:pPr>
              <w:pStyle w:val="Člen"/>
              <w:spacing w:before="0"/>
              <w:rPr>
                <w:spacing w:val="0"/>
                <w:shd w:val="nil" w:color="auto" w:fill="auto"/>
              </w:rPr>
            </w:pPr>
            <w:r>
              <w:rPr>
                <w:spacing w:val="0"/>
                <w:shd w:val="nil" w:color="auto" w:fill="auto"/>
                <w:rtl w:val="0"/>
                <w:lang w:val="en-US"/>
              </w:rPr>
              <w:t xml:space="preserve">FOREIGNERS ACT </w:t>
            </w:r>
          </w:p>
          <w:p>
            <w:pPr>
              <w:pStyle w:val="Člen"/>
              <w:bidi w:val="0"/>
              <w:spacing w:before="0"/>
              <w:ind w:left="0" w:right="0" w:firstLine="0"/>
              <w:jc w:val="center"/>
              <w:rPr>
                <w:rtl w:val="0"/>
              </w:rPr>
            </w:pPr>
            <w:r>
              <w:rPr>
                <w:spacing w:val="0"/>
                <w:shd w:val="nil" w:color="auto" w:fill="auto"/>
                <w:rtl w:val="0"/>
                <w:lang w:val="en-US"/>
              </w:rPr>
              <w:t>(ZTuj-2)</w:t>
            </w:r>
          </w:p>
        </w:tc>
      </w:tr>
      <w:tr>
        <w:tblPrEx>
          <w:shd w:val="clear" w:color="auto" w:fill="d0ddef"/>
        </w:tblPrEx>
        <w:trPr>
          <w:trHeight w:val="216" w:hRule="atLeast"/>
        </w:trPr>
        <w:tc>
          <w:tcPr>
            <w:tcW w:type="dxa" w:w="3969"/>
            <w:tcBorders>
              <w:top w:val="nil"/>
              <w:left w:val="nil"/>
              <w:bottom w:val="nil"/>
              <w:right w:val="nil"/>
            </w:tcBorders>
            <w:shd w:val="clear" w:color="auto" w:fill="auto"/>
            <w:tcMar>
              <w:top w:type="dxa" w:w="80"/>
              <w:left w:type="dxa" w:w="80"/>
              <w:bottom w:type="dxa" w:w="80"/>
              <w:right w:type="dxa" w:w="80"/>
            </w:tcMar>
            <w:vAlign w:val="top"/>
          </w:tcPr>
          <w:p/>
        </w:tc>
        <w:tc>
          <w:tcPr>
            <w:tcW w:type="dxa" w:w="932"/>
            <w:tcBorders>
              <w:top w:val="nil"/>
              <w:left w:val="nil"/>
              <w:bottom w:val="nil"/>
              <w:right w:val="nil"/>
            </w:tcBorders>
            <w:shd w:val="clear" w:color="auto" w:fill="auto"/>
            <w:tcMar>
              <w:top w:type="dxa" w:w="80"/>
              <w:left w:type="dxa" w:w="80"/>
              <w:bottom w:type="dxa" w:w="80"/>
              <w:right w:type="dxa" w:w="80"/>
            </w:tcMar>
            <w:vAlign w:val="top"/>
          </w:tcPr>
          <w:p/>
        </w:tc>
        <w:tc>
          <w:tcPr>
            <w:tcW w:type="dxa" w:w="4171"/>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d0ddef"/>
        </w:tblPrEx>
        <w:trPr>
          <w:trHeight w:val="213" w:hRule="atLeast"/>
        </w:trPr>
        <w:tc>
          <w:tcPr>
            <w:tcW w:type="dxa" w:w="3969"/>
            <w:tcBorders>
              <w:top w:val="nil"/>
              <w:left w:val="nil"/>
              <w:bottom w:val="nil"/>
              <w:right w:val="nil"/>
            </w:tcBorders>
            <w:shd w:val="clear" w:color="auto" w:fill="auto"/>
            <w:tcMar>
              <w:top w:type="dxa" w:w="80"/>
              <w:left w:type="dxa" w:w="80"/>
              <w:bottom w:type="dxa" w:w="80"/>
              <w:right w:type="dxa" w:w="80"/>
            </w:tcMar>
            <w:vAlign w:val="top"/>
          </w:tcPr>
          <w:p>
            <w:pPr>
              <w:pStyle w:val="Člen"/>
            </w:pPr>
            <w:r>
              <w:rPr>
                <w:sz w:val="20"/>
                <w:szCs w:val="20"/>
                <w:shd w:val="nil" w:color="auto" w:fill="auto"/>
                <w:rtl w:val="0"/>
                <w:lang w:val="en-US"/>
              </w:rPr>
              <w:t xml:space="preserve">76. </w:t>
            </w:r>
            <w:r>
              <w:rPr>
                <w:sz w:val="20"/>
                <w:szCs w:val="20"/>
                <w:shd w:val="nil" w:color="auto" w:fill="auto"/>
                <w:rtl w:val="0"/>
                <w:lang w:val="en-US"/>
              </w:rPr>
              <w:t>č</w:t>
            </w:r>
            <w:r>
              <w:rPr>
                <w:sz w:val="20"/>
                <w:szCs w:val="20"/>
                <w:shd w:val="nil" w:color="auto" w:fill="auto"/>
                <w:rtl w:val="0"/>
                <w:lang w:val="en-US"/>
              </w:rPr>
              <w:t>len</w:t>
            </w:r>
          </w:p>
        </w:tc>
        <w:tc>
          <w:tcPr>
            <w:tcW w:type="dxa" w:w="932"/>
            <w:vMerge w:val="restart"/>
            <w:tcBorders>
              <w:top w:val="nil"/>
              <w:left w:val="nil"/>
              <w:bottom w:val="nil"/>
              <w:right w:val="nil"/>
            </w:tcBorders>
            <w:shd w:val="clear" w:color="auto" w:fill="auto"/>
            <w:tcMar>
              <w:top w:type="dxa" w:w="80"/>
              <w:left w:type="dxa" w:w="80"/>
              <w:bottom w:type="dxa" w:w="80"/>
              <w:right w:type="dxa" w:w="80"/>
            </w:tcMar>
            <w:vAlign w:val="top"/>
          </w:tcPr>
          <w:p/>
        </w:tc>
        <w:tc>
          <w:tcPr>
            <w:tcW w:type="dxa" w:w="4171"/>
            <w:tcBorders>
              <w:top w:val="nil"/>
              <w:left w:val="nil"/>
              <w:bottom w:val="nil"/>
              <w:right w:val="nil"/>
            </w:tcBorders>
            <w:shd w:val="clear" w:color="auto" w:fill="auto"/>
            <w:tcMar>
              <w:top w:type="dxa" w:w="80"/>
              <w:left w:type="dxa" w:w="80"/>
              <w:bottom w:type="dxa" w:w="80"/>
              <w:right w:type="dxa" w:w="80"/>
            </w:tcMar>
            <w:vAlign w:val="top"/>
          </w:tcPr>
          <w:p>
            <w:pPr>
              <w:pStyle w:val="Člen"/>
            </w:pPr>
            <w:r>
              <w:rPr>
                <w:sz w:val="20"/>
                <w:szCs w:val="20"/>
                <w:shd w:val="nil" w:color="auto" w:fill="auto"/>
                <w:rtl w:val="0"/>
                <w:lang w:val="en-US"/>
              </w:rPr>
              <w:t xml:space="preserve">Article 76 </w:t>
            </w:r>
          </w:p>
        </w:tc>
      </w:tr>
      <w:tr>
        <w:tblPrEx>
          <w:shd w:val="clear" w:color="auto" w:fill="d0ddef"/>
        </w:tblPrEx>
        <w:trPr>
          <w:trHeight w:val="433" w:hRule="atLeast"/>
        </w:trPr>
        <w:tc>
          <w:tcPr>
            <w:tcW w:type="dxa" w:w="3969"/>
            <w:tcBorders>
              <w:top w:val="nil"/>
              <w:left w:val="nil"/>
              <w:bottom w:val="nil"/>
              <w:right w:val="nil"/>
            </w:tcBorders>
            <w:shd w:val="clear" w:color="auto" w:fill="auto"/>
            <w:tcMar>
              <w:top w:type="dxa" w:w="80"/>
              <w:left w:type="dxa" w:w="80"/>
              <w:bottom w:type="dxa" w:w="80"/>
              <w:right w:type="dxa" w:w="80"/>
            </w:tcMar>
            <w:vAlign w:val="top"/>
          </w:tcPr>
          <w:p>
            <w:pPr>
              <w:pStyle w:val="Člen_naslov"/>
            </w:pPr>
            <w:r>
              <w:rPr>
                <w:sz w:val="20"/>
                <w:szCs w:val="20"/>
                <w:shd w:val="nil" w:color="auto" w:fill="auto"/>
                <w:rtl w:val="0"/>
              </w:rPr>
              <w:t>(omejitev gibanja tujca, ki nezakonito prebiva)</w:t>
            </w:r>
          </w:p>
        </w:tc>
        <w:tc>
          <w:tcPr>
            <w:tcW w:type="dxa" w:w="932"/>
            <w:vMerge w:val="continue"/>
            <w:tcBorders>
              <w:top w:val="nil"/>
              <w:left w:val="nil"/>
              <w:bottom w:val="nil"/>
              <w:right w:val="nil"/>
            </w:tcBorders>
            <w:shd w:val="clear" w:color="auto" w:fill="auto"/>
          </w:tcPr>
          <w:p/>
        </w:tc>
        <w:tc>
          <w:tcPr>
            <w:tcW w:type="dxa" w:w="4171"/>
            <w:tcBorders>
              <w:top w:val="nil"/>
              <w:left w:val="nil"/>
              <w:bottom w:val="nil"/>
              <w:right w:val="nil"/>
            </w:tcBorders>
            <w:shd w:val="clear" w:color="auto" w:fill="auto"/>
            <w:tcMar>
              <w:top w:type="dxa" w:w="80"/>
              <w:left w:type="dxa" w:w="80"/>
              <w:bottom w:type="dxa" w:w="80"/>
              <w:right w:type="dxa" w:w="80"/>
            </w:tcMar>
            <w:vAlign w:val="top"/>
          </w:tcPr>
          <w:p>
            <w:pPr>
              <w:pStyle w:val="Člen_naslov"/>
            </w:pPr>
            <w:r>
              <w:rPr>
                <w:sz w:val="20"/>
                <w:szCs w:val="20"/>
                <w:shd w:val="nil" w:color="auto" w:fill="auto"/>
                <w:rtl w:val="0"/>
                <w:lang w:val="en-US"/>
              </w:rPr>
              <w:t xml:space="preserve">(Restriction of movement of illegally staying foreigners) </w:t>
            </w:r>
          </w:p>
        </w:tc>
      </w:tr>
      <w:tr>
        <w:tblPrEx>
          <w:shd w:val="clear" w:color="auto" w:fill="d0ddef"/>
        </w:tblPrEx>
        <w:trPr>
          <w:trHeight w:val="1973" w:hRule="atLeast"/>
        </w:trPr>
        <w:tc>
          <w:tcPr>
            <w:tcW w:type="dxa" w:w="3969"/>
            <w:tcBorders>
              <w:top w:val="nil"/>
              <w:left w:val="nil"/>
              <w:bottom w:val="nil"/>
              <w:right w:val="nil"/>
            </w:tcBorders>
            <w:shd w:val="clear" w:color="auto" w:fill="auto"/>
            <w:tcMar>
              <w:top w:type="dxa" w:w="80"/>
              <w:left w:type="dxa" w:w="80"/>
              <w:bottom w:type="dxa" w:w="80"/>
              <w:right w:type="dxa" w:w="80"/>
            </w:tcMar>
            <w:vAlign w:val="top"/>
          </w:tcPr>
          <w:p>
            <w:pPr>
              <w:pStyle w:val="Odstavek"/>
            </w:pPr>
            <w:r>
              <w:rPr>
                <w:sz w:val="20"/>
                <w:szCs w:val="20"/>
                <w:shd w:val="nil" w:color="auto" w:fill="auto"/>
                <w:rtl w:val="0"/>
              </w:rPr>
              <w:t>(1)</w:t>
            </w:r>
            <w:r>
              <w:rPr>
                <w:sz w:val="20"/>
                <w:szCs w:val="20"/>
                <w:shd w:val="nil" w:color="auto" w:fill="auto"/>
                <w:rtl w:val="0"/>
              </w:rPr>
              <w:t> </w:t>
            </w:r>
            <w:r>
              <w:rPr>
                <w:sz w:val="20"/>
                <w:szCs w:val="20"/>
                <w:shd w:val="nil" w:color="auto" w:fill="auto"/>
                <w:rtl w:val="0"/>
              </w:rPr>
              <w:t>Za tujca, pri katerem obstaja nevarnost pobega ali ni zapustil dr</w:t>
            </w:r>
            <w:r>
              <w:rPr>
                <w:sz w:val="20"/>
                <w:szCs w:val="20"/>
                <w:shd w:val="nil" w:color="auto" w:fill="auto"/>
                <w:rtl w:val="0"/>
              </w:rPr>
              <w:t>ž</w:t>
            </w:r>
            <w:r>
              <w:rPr>
                <w:sz w:val="20"/>
                <w:szCs w:val="20"/>
                <w:shd w:val="nil" w:color="auto" w:fill="auto"/>
                <w:rtl w:val="0"/>
              </w:rPr>
              <w:t>ave v dolo</w:t>
            </w:r>
            <w:r>
              <w:rPr>
                <w:sz w:val="20"/>
                <w:szCs w:val="20"/>
                <w:shd w:val="nil" w:color="auto" w:fill="auto"/>
                <w:rtl w:val="0"/>
              </w:rPr>
              <w:t>č</w:t>
            </w:r>
            <w:r>
              <w:rPr>
                <w:sz w:val="20"/>
                <w:szCs w:val="20"/>
                <w:shd w:val="nil" w:color="auto" w:fill="auto"/>
                <w:rtl w:val="0"/>
              </w:rPr>
              <w:t>enem roku in ga iz kakr</w:t>
            </w:r>
            <w:r>
              <w:rPr>
                <w:sz w:val="20"/>
                <w:szCs w:val="20"/>
                <w:shd w:val="nil" w:color="auto" w:fill="auto"/>
                <w:rtl w:val="0"/>
              </w:rPr>
              <w:t>š</w:t>
            </w:r>
            <w:r>
              <w:rPr>
                <w:sz w:val="20"/>
                <w:szCs w:val="20"/>
                <w:shd w:val="nil" w:color="auto" w:fill="auto"/>
                <w:rtl w:val="0"/>
              </w:rPr>
              <w:t>nih koli razlogov ni mogo</w:t>
            </w:r>
            <w:r>
              <w:rPr>
                <w:sz w:val="20"/>
                <w:szCs w:val="20"/>
                <w:shd w:val="nil" w:color="auto" w:fill="auto"/>
                <w:rtl w:val="0"/>
              </w:rPr>
              <w:t>č</w:t>
            </w:r>
            <w:r>
              <w:rPr>
                <w:sz w:val="20"/>
                <w:szCs w:val="20"/>
                <w:shd w:val="nil" w:color="auto" w:fill="auto"/>
                <w:rtl w:val="0"/>
              </w:rPr>
              <w:t>e takoj odstraniti, odredi policija do njegove odstranitve iz dr</w:t>
            </w:r>
            <w:r>
              <w:rPr>
                <w:sz w:val="20"/>
                <w:szCs w:val="20"/>
                <w:shd w:val="nil" w:color="auto" w:fill="auto"/>
                <w:rtl w:val="0"/>
              </w:rPr>
              <w:t>ž</w:t>
            </w:r>
            <w:r>
              <w:rPr>
                <w:sz w:val="20"/>
                <w:szCs w:val="20"/>
                <w:shd w:val="nil" w:color="auto" w:fill="auto"/>
                <w:rtl w:val="0"/>
              </w:rPr>
              <w:t>ave omejitev gibanja in nastanitev v centru ali nastanitev izven centra najve</w:t>
            </w:r>
            <w:r>
              <w:rPr>
                <w:sz w:val="20"/>
                <w:szCs w:val="20"/>
                <w:shd w:val="nil" w:color="auto" w:fill="auto"/>
                <w:rtl w:val="0"/>
              </w:rPr>
              <w:t xml:space="preserve">č </w:t>
            </w:r>
            <w:r>
              <w:rPr>
                <w:sz w:val="20"/>
                <w:szCs w:val="20"/>
                <w:shd w:val="nil" w:color="auto" w:fill="auto"/>
                <w:rtl w:val="0"/>
                <w:lang w:val="it-IT"/>
              </w:rPr>
              <w:t xml:space="preserve">za </w:t>
            </w:r>
            <w:r>
              <w:rPr>
                <w:sz w:val="20"/>
                <w:szCs w:val="20"/>
                <w:shd w:val="nil" w:color="auto" w:fill="auto"/>
                <w:rtl w:val="0"/>
              </w:rPr>
              <w:t>š</w:t>
            </w:r>
            <w:r>
              <w:rPr>
                <w:sz w:val="20"/>
                <w:szCs w:val="20"/>
                <w:shd w:val="nil" w:color="auto" w:fill="auto"/>
                <w:rtl w:val="0"/>
                <w:lang w:val="it-IT"/>
              </w:rPr>
              <w:t xml:space="preserve">est mesecev. </w:t>
            </w:r>
          </w:p>
        </w:tc>
        <w:tc>
          <w:tcPr>
            <w:tcW w:type="dxa" w:w="932"/>
            <w:vMerge w:val="continue"/>
            <w:tcBorders>
              <w:top w:val="nil"/>
              <w:left w:val="nil"/>
              <w:bottom w:val="nil"/>
              <w:right w:val="nil"/>
            </w:tcBorders>
            <w:shd w:val="clear" w:color="auto" w:fill="auto"/>
          </w:tcPr>
          <w:p/>
        </w:tc>
        <w:tc>
          <w:tcPr>
            <w:tcW w:type="dxa" w:w="4171"/>
            <w:tcBorders>
              <w:top w:val="nil"/>
              <w:left w:val="nil"/>
              <w:bottom w:val="nil"/>
              <w:right w:val="nil"/>
            </w:tcBorders>
            <w:shd w:val="clear" w:color="auto" w:fill="auto"/>
            <w:tcMar>
              <w:top w:type="dxa" w:w="80"/>
              <w:left w:type="dxa" w:w="80"/>
              <w:bottom w:type="dxa" w:w="80"/>
              <w:right w:type="dxa" w:w="80"/>
            </w:tcMar>
            <w:vAlign w:val="top"/>
          </w:tcPr>
          <w:p>
            <w:pPr>
              <w:pStyle w:val="Odstavek"/>
            </w:pPr>
            <w:r>
              <w:rPr>
                <w:sz w:val="20"/>
                <w:szCs w:val="20"/>
                <w:shd w:val="nil" w:color="auto" w:fill="auto"/>
                <w:rtl w:val="0"/>
                <w:lang w:val="en-US"/>
              </w:rPr>
              <w:t xml:space="preserve">(1) A foreigner who poses a risk of absconding or has failed to leave the country by the set deadline and who for any reason cannot be removed immediately shall be ordered by the police to restrict his or her movement and be accommodated in the Centre or outside the Centre pending his or her removal from the country, but for not more than six months. </w:t>
            </w:r>
          </w:p>
        </w:tc>
      </w:tr>
      <w:tr>
        <w:tblPrEx>
          <w:shd w:val="clear" w:color="auto" w:fill="d0ddef"/>
        </w:tblPrEx>
        <w:trPr>
          <w:trHeight w:val="653" w:hRule="atLeast"/>
        </w:trPr>
        <w:tc>
          <w:tcPr>
            <w:tcW w:type="dxa" w:w="3969"/>
            <w:tcBorders>
              <w:top w:val="nil"/>
              <w:left w:val="nil"/>
              <w:bottom w:val="nil"/>
              <w:right w:val="nil"/>
            </w:tcBorders>
            <w:shd w:val="clear" w:color="auto" w:fill="auto"/>
            <w:tcMar>
              <w:top w:type="dxa" w:w="80"/>
              <w:left w:type="dxa" w:w="80"/>
              <w:bottom w:type="dxa" w:w="80"/>
              <w:right w:type="dxa" w:w="80"/>
            </w:tcMar>
            <w:vAlign w:val="top"/>
          </w:tcPr>
          <w:p>
            <w:pPr>
              <w:pStyle w:val="Odstavek"/>
            </w:pPr>
            <w:r>
              <w:rPr>
                <w:sz w:val="20"/>
                <w:szCs w:val="20"/>
                <w:shd w:val="nil" w:color="auto" w:fill="auto"/>
                <w:rtl w:val="0"/>
              </w:rPr>
              <w:t>(2)</w:t>
            </w:r>
            <w:r>
              <w:rPr>
                <w:sz w:val="20"/>
                <w:szCs w:val="20"/>
                <w:shd w:val="nil" w:color="auto" w:fill="auto"/>
                <w:rtl w:val="0"/>
              </w:rPr>
              <w:t> </w:t>
            </w:r>
            <w:r>
              <w:rPr>
                <w:sz w:val="20"/>
                <w:szCs w:val="20"/>
                <w:shd w:val="nil" w:color="auto" w:fill="auto"/>
                <w:rtl w:val="0"/>
                <w:lang w:val="de-DE"/>
              </w:rPr>
              <w:t>Dolo</w:t>
            </w:r>
            <w:r>
              <w:rPr>
                <w:sz w:val="20"/>
                <w:szCs w:val="20"/>
                <w:shd w:val="nil" w:color="auto" w:fill="auto"/>
                <w:rtl w:val="0"/>
              </w:rPr>
              <w:t>č</w:t>
            </w:r>
            <w:r>
              <w:rPr>
                <w:sz w:val="20"/>
                <w:szCs w:val="20"/>
                <w:shd w:val="nil" w:color="auto" w:fill="auto"/>
                <w:rtl w:val="0"/>
              </w:rPr>
              <w:t>ba prej</w:t>
            </w:r>
            <w:r>
              <w:rPr>
                <w:sz w:val="20"/>
                <w:szCs w:val="20"/>
                <w:shd w:val="nil" w:color="auto" w:fill="auto"/>
                <w:rtl w:val="0"/>
              </w:rPr>
              <w:t>š</w:t>
            </w:r>
            <w:r>
              <w:rPr>
                <w:sz w:val="20"/>
                <w:szCs w:val="20"/>
                <w:shd w:val="nil" w:color="auto" w:fill="auto"/>
                <w:rtl w:val="0"/>
              </w:rPr>
              <w:t>njega odstavka se uporablja tudi v primerih, ko ni znana istovetnost tujca.</w:t>
            </w:r>
          </w:p>
        </w:tc>
        <w:tc>
          <w:tcPr>
            <w:tcW w:type="dxa" w:w="932"/>
            <w:vMerge w:val="continue"/>
            <w:tcBorders>
              <w:top w:val="nil"/>
              <w:left w:val="nil"/>
              <w:bottom w:val="nil"/>
              <w:right w:val="nil"/>
            </w:tcBorders>
            <w:shd w:val="clear" w:color="auto" w:fill="auto"/>
          </w:tcPr>
          <w:p/>
        </w:tc>
        <w:tc>
          <w:tcPr>
            <w:tcW w:type="dxa" w:w="4171"/>
            <w:tcBorders>
              <w:top w:val="nil"/>
              <w:left w:val="nil"/>
              <w:bottom w:val="nil"/>
              <w:right w:val="nil"/>
            </w:tcBorders>
            <w:shd w:val="clear" w:color="auto" w:fill="auto"/>
            <w:tcMar>
              <w:top w:type="dxa" w:w="80"/>
              <w:left w:type="dxa" w:w="80"/>
              <w:bottom w:type="dxa" w:w="80"/>
              <w:right w:type="dxa" w:w="80"/>
            </w:tcMar>
            <w:vAlign w:val="top"/>
          </w:tcPr>
          <w:p>
            <w:pPr>
              <w:pStyle w:val="Odstavek"/>
            </w:pPr>
            <w:r>
              <w:rPr>
                <w:sz w:val="20"/>
                <w:szCs w:val="20"/>
                <w:shd w:val="nil" w:color="auto" w:fill="auto"/>
                <w:rtl w:val="0"/>
                <w:lang w:val="en-US"/>
              </w:rPr>
              <w:t xml:space="preserve">(2) The provision of the preceding paragraph shall also apply in cases where a foreigner's identity is unknown. </w:t>
            </w:r>
          </w:p>
        </w:tc>
      </w:tr>
      <w:tr>
        <w:tblPrEx>
          <w:shd w:val="clear" w:color="auto" w:fill="d0ddef"/>
        </w:tblPrEx>
        <w:trPr>
          <w:trHeight w:val="1753" w:hRule="atLeast"/>
        </w:trPr>
        <w:tc>
          <w:tcPr>
            <w:tcW w:type="dxa" w:w="3969"/>
            <w:tcBorders>
              <w:top w:val="nil"/>
              <w:left w:val="nil"/>
              <w:bottom w:val="nil"/>
              <w:right w:val="nil"/>
            </w:tcBorders>
            <w:shd w:val="clear" w:color="auto" w:fill="auto"/>
            <w:tcMar>
              <w:top w:type="dxa" w:w="80"/>
              <w:left w:type="dxa" w:w="80"/>
              <w:bottom w:type="dxa" w:w="80"/>
              <w:right w:type="dxa" w:w="80"/>
            </w:tcMar>
            <w:vAlign w:val="top"/>
          </w:tcPr>
          <w:p>
            <w:pPr>
              <w:pStyle w:val="Odstavek"/>
            </w:pPr>
            <w:r>
              <w:rPr>
                <w:sz w:val="20"/>
                <w:szCs w:val="20"/>
                <w:shd w:val="nil" w:color="auto" w:fill="auto"/>
                <w:rtl w:val="0"/>
              </w:rPr>
              <w:t>(3)</w:t>
            </w:r>
            <w:r>
              <w:rPr>
                <w:sz w:val="20"/>
                <w:szCs w:val="20"/>
                <w:shd w:val="nil" w:color="auto" w:fill="auto"/>
                <w:rtl w:val="0"/>
              </w:rPr>
              <w:t> </w:t>
            </w:r>
            <w:r>
              <w:rPr>
                <w:sz w:val="20"/>
                <w:szCs w:val="20"/>
                <w:shd w:val="nil" w:color="auto" w:fill="auto"/>
                <w:rtl w:val="0"/>
              </w:rPr>
              <w:t xml:space="preserve">Omejitev gibanja </w:t>
            </w:r>
            <w:r>
              <w:rPr>
                <w:sz w:val="20"/>
                <w:szCs w:val="20"/>
                <w:shd w:val="nil" w:color="auto" w:fill="auto"/>
                <w:rtl w:val="0"/>
              </w:rPr>
              <w:t>ž</w:t>
            </w:r>
            <w:r>
              <w:rPr>
                <w:sz w:val="20"/>
                <w:szCs w:val="20"/>
                <w:shd w:val="nil" w:color="auto" w:fill="auto"/>
                <w:rtl w:val="0"/>
              </w:rPr>
              <w:t>ensk, dru</w:t>
            </w:r>
            <w:r>
              <w:rPr>
                <w:sz w:val="20"/>
                <w:szCs w:val="20"/>
                <w:shd w:val="nil" w:color="auto" w:fill="auto"/>
                <w:rtl w:val="0"/>
              </w:rPr>
              <w:t>ž</w:t>
            </w:r>
            <w:r>
              <w:rPr>
                <w:sz w:val="20"/>
                <w:szCs w:val="20"/>
                <w:shd w:val="nil" w:color="auto" w:fill="auto"/>
                <w:rtl w:val="0"/>
              </w:rPr>
              <w:t>in, otrok, mladoletnikov brez spremstva, ostarelih, huje bolnih in drugih ranljivih oseb, se zagotovi lo</w:t>
            </w:r>
            <w:r>
              <w:rPr>
                <w:sz w:val="20"/>
                <w:szCs w:val="20"/>
                <w:shd w:val="nil" w:color="auto" w:fill="auto"/>
                <w:rtl w:val="0"/>
              </w:rPr>
              <w:t>č</w:t>
            </w:r>
            <w:r>
              <w:rPr>
                <w:sz w:val="20"/>
                <w:szCs w:val="20"/>
                <w:shd w:val="nil" w:color="auto" w:fill="auto"/>
                <w:rtl w:val="0"/>
              </w:rPr>
              <w:t xml:space="preserve">eno, da je zagotovljena ustrezna zasebnost. </w:t>
            </w:r>
            <w:r>
              <w:rPr>
                <w:sz w:val="20"/>
                <w:szCs w:val="20"/>
                <w:shd w:val="nil" w:color="auto" w:fill="auto"/>
                <w:rtl w:val="0"/>
                <w:lang w:val="it-IT"/>
              </w:rPr>
              <w:t>Minister, pristojen za notranje zadeve, dolo</w:t>
            </w:r>
            <w:r>
              <w:rPr>
                <w:sz w:val="20"/>
                <w:szCs w:val="20"/>
                <w:shd w:val="nil" w:color="auto" w:fill="auto"/>
                <w:rtl w:val="0"/>
                <w:lang w:val="it-IT"/>
              </w:rPr>
              <w:t>č</w:t>
            </w:r>
            <w:r>
              <w:rPr>
                <w:sz w:val="20"/>
                <w:szCs w:val="20"/>
                <w:shd w:val="nil" w:color="auto" w:fill="auto"/>
                <w:rtl w:val="0"/>
                <w:lang w:val="it-IT"/>
              </w:rPr>
              <w:t>i postopek za nastanitev tujcev v centru.</w:t>
            </w:r>
          </w:p>
        </w:tc>
        <w:tc>
          <w:tcPr>
            <w:tcW w:type="dxa" w:w="932"/>
            <w:vMerge w:val="continue"/>
            <w:tcBorders>
              <w:top w:val="nil"/>
              <w:left w:val="nil"/>
              <w:bottom w:val="nil"/>
              <w:right w:val="nil"/>
            </w:tcBorders>
            <w:shd w:val="clear" w:color="auto" w:fill="auto"/>
          </w:tcPr>
          <w:p/>
        </w:tc>
        <w:tc>
          <w:tcPr>
            <w:tcW w:type="dxa" w:w="4171"/>
            <w:tcBorders>
              <w:top w:val="nil"/>
              <w:left w:val="nil"/>
              <w:bottom w:val="nil"/>
              <w:right w:val="nil"/>
            </w:tcBorders>
            <w:shd w:val="clear" w:color="auto" w:fill="auto"/>
            <w:tcMar>
              <w:top w:type="dxa" w:w="80"/>
              <w:left w:type="dxa" w:w="80"/>
              <w:bottom w:type="dxa" w:w="80"/>
              <w:right w:type="dxa" w:w="80"/>
            </w:tcMar>
            <w:vAlign w:val="top"/>
          </w:tcPr>
          <w:p>
            <w:pPr>
              <w:pStyle w:val="Odstavek"/>
            </w:pPr>
            <w:r>
              <w:rPr>
                <w:sz w:val="20"/>
                <w:szCs w:val="20"/>
                <w:shd w:val="nil" w:color="auto" w:fill="auto"/>
                <w:rtl w:val="0"/>
                <w:lang w:val="en-US"/>
              </w:rPr>
              <w:t xml:space="preserve">(3) Restriction of movement shall be provided separately for women, families, children, unaccompanied minors, the elderly, the seriously ill and other vulnerable persons with a view to ensuring adequate privacy. The minister responsible for the interior shall determine the procedure for the accommodation of foreigners in the Centre. </w:t>
            </w:r>
          </w:p>
        </w:tc>
      </w:tr>
      <w:tr>
        <w:tblPrEx>
          <w:shd w:val="clear" w:color="auto" w:fill="d0ddef"/>
        </w:tblPrEx>
        <w:trPr>
          <w:trHeight w:val="873" w:hRule="atLeast"/>
        </w:trPr>
        <w:tc>
          <w:tcPr>
            <w:tcW w:type="dxa" w:w="3969"/>
            <w:tcBorders>
              <w:top w:val="nil"/>
              <w:left w:val="nil"/>
              <w:bottom w:val="nil"/>
              <w:right w:val="nil"/>
            </w:tcBorders>
            <w:shd w:val="clear" w:color="auto" w:fill="auto"/>
            <w:tcMar>
              <w:top w:type="dxa" w:w="80"/>
              <w:left w:type="dxa" w:w="80"/>
              <w:bottom w:type="dxa" w:w="80"/>
              <w:right w:type="dxa" w:w="80"/>
            </w:tcMar>
            <w:vAlign w:val="top"/>
          </w:tcPr>
          <w:p>
            <w:pPr>
              <w:pStyle w:val="Odstavek"/>
            </w:pPr>
            <w:r>
              <w:rPr>
                <w:sz w:val="20"/>
                <w:szCs w:val="20"/>
                <w:shd w:val="nil" w:color="auto" w:fill="auto"/>
                <w:rtl w:val="0"/>
              </w:rPr>
              <w:t>(4)</w:t>
            </w:r>
            <w:r>
              <w:rPr>
                <w:sz w:val="20"/>
                <w:szCs w:val="20"/>
                <w:shd w:val="nil" w:color="auto" w:fill="auto"/>
                <w:rtl w:val="0"/>
              </w:rPr>
              <w:t> </w:t>
            </w:r>
            <w:r>
              <w:rPr>
                <w:sz w:val="20"/>
                <w:szCs w:val="20"/>
                <w:shd w:val="nil" w:color="auto" w:fill="auto"/>
                <w:rtl w:val="0"/>
              </w:rPr>
              <w:t xml:space="preserve">Omejitev gibanja lahko traja le toliko </w:t>
            </w:r>
            <w:r>
              <w:rPr>
                <w:sz w:val="20"/>
                <w:szCs w:val="20"/>
                <w:shd w:val="nil" w:color="auto" w:fill="auto"/>
                <w:rtl w:val="0"/>
              </w:rPr>
              <w:t>č</w:t>
            </w:r>
            <w:r>
              <w:rPr>
                <w:sz w:val="20"/>
                <w:szCs w:val="20"/>
                <w:shd w:val="nil" w:color="auto" w:fill="auto"/>
                <w:rtl w:val="0"/>
              </w:rPr>
              <w:t>asa, kolikor je potrebno, da se izvede odstranitev tujca iz dr</w:t>
            </w:r>
            <w:r>
              <w:rPr>
                <w:sz w:val="20"/>
                <w:szCs w:val="20"/>
                <w:shd w:val="nil" w:color="auto" w:fill="auto"/>
                <w:rtl w:val="0"/>
              </w:rPr>
              <w:t>ž</w:t>
            </w:r>
            <w:r>
              <w:rPr>
                <w:sz w:val="20"/>
                <w:szCs w:val="20"/>
                <w:shd w:val="nil" w:color="auto" w:fill="auto"/>
                <w:rtl w:val="0"/>
              </w:rPr>
              <w:t xml:space="preserve">ave, vendar ne dlje kot za </w:t>
            </w:r>
            <w:r>
              <w:rPr>
                <w:sz w:val="20"/>
                <w:szCs w:val="20"/>
                <w:shd w:val="nil" w:color="auto" w:fill="auto"/>
                <w:rtl w:val="0"/>
              </w:rPr>
              <w:t>š</w:t>
            </w:r>
            <w:r>
              <w:rPr>
                <w:sz w:val="20"/>
                <w:szCs w:val="20"/>
                <w:shd w:val="nil" w:color="auto" w:fill="auto"/>
                <w:rtl w:val="0"/>
                <w:lang w:val="it-IT"/>
              </w:rPr>
              <w:t xml:space="preserve">est mesecev. </w:t>
            </w:r>
          </w:p>
        </w:tc>
        <w:tc>
          <w:tcPr>
            <w:tcW w:type="dxa" w:w="932"/>
            <w:vMerge w:val="continue"/>
            <w:tcBorders>
              <w:top w:val="nil"/>
              <w:left w:val="nil"/>
              <w:bottom w:val="nil"/>
              <w:right w:val="nil"/>
            </w:tcBorders>
            <w:shd w:val="clear" w:color="auto" w:fill="auto"/>
          </w:tcPr>
          <w:p/>
        </w:tc>
        <w:tc>
          <w:tcPr>
            <w:tcW w:type="dxa" w:w="4171"/>
            <w:tcBorders>
              <w:top w:val="nil"/>
              <w:left w:val="nil"/>
              <w:bottom w:val="nil"/>
              <w:right w:val="nil"/>
            </w:tcBorders>
            <w:shd w:val="clear" w:color="auto" w:fill="auto"/>
            <w:tcMar>
              <w:top w:type="dxa" w:w="80"/>
              <w:left w:type="dxa" w:w="80"/>
              <w:bottom w:type="dxa" w:w="80"/>
              <w:right w:type="dxa" w:w="80"/>
            </w:tcMar>
            <w:vAlign w:val="top"/>
          </w:tcPr>
          <w:p>
            <w:pPr>
              <w:pStyle w:val="Odstavek"/>
            </w:pPr>
            <w:r>
              <w:rPr>
                <w:sz w:val="20"/>
                <w:szCs w:val="20"/>
                <w:shd w:val="nil" w:color="auto" w:fill="auto"/>
                <w:rtl w:val="0"/>
                <w:lang w:val="en-US"/>
              </w:rPr>
              <w:t xml:space="preserve">(4) Restriction of movement may only last for the period necessary to remove the foreigner from the country, but for not more than six months. </w:t>
            </w:r>
          </w:p>
        </w:tc>
      </w:tr>
      <w:tr>
        <w:tblPrEx>
          <w:shd w:val="clear" w:color="auto" w:fill="d0ddef"/>
        </w:tblPrEx>
        <w:trPr>
          <w:trHeight w:val="1973" w:hRule="atLeast"/>
        </w:trPr>
        <w:tc>
          <w:tcPr>
            <w:tcW w:type="dxa" w:w="3969"/>
            <w:tcBorders>
              <w:top w:val="nil"/>
              <w:left w:val="nil"/>
              <w:bottom w:val="nil"/>
              <w:right w:val="nil"/>
            </w:tcBorders>
            <w:shd w:val="clear" w:color="auto" w:fill="auto"/>
            <w:tcMar>
              <w:top w:type="dxa" w:w="80"/>
              <w:left w:type="dxa" w:w="80"/>
              <w:bottom w:type="dxa" w:w="80"/>
              <w:right w:type="dxa" w:w="80"/>
            </w:tcMar>
            <w:vAlign w:val="top"/>
          </w:tcPr>
          <w:p>
            <w:pPr>
              <w:pStyle w:val="Odstavek"/>
            </w:pPr>
            <w:r>
              <w:rPr>
                <w:sz w:val="20"/>
                <w:szCs w:val="20"/>
                <w:shd w:val="nil" w:color="auto" w:fill="auto"/>
                <w:rtl w:val="0"/>
              </w:rPr>
              <w:t>(5)</w:t>
            </w:r>
            <w:r>
              <w:rPr>
                <w:sz w:val="20"/>
                <w:szCs w:val="20"/>
                <w:shd w:val="nil" w:color="auto" w:fill="auto"/>
                <w:rtl w:val="0"/>
              </w:rPr>
              <w:t> </w:t>
            </w:r>
            <w:r>
              <w:rPr>
                <w:sz w:val="20"/>
                <w:szCs w:val="20"/>
                <w:shd w:val="nil" w:color="auto" w:fill="auto"/>
                <w:rtl w:val="0"/>
              </w:rPr>
              <w:t xml:space="preserve">Tujca iz prvega odstavka tega </w:t>
            </w:r>
            <w:r>
              <w:rPr>
                <w:sz w:val="20"/>
                <w:szCs w:val="20"/>
                <w:shd w:val="nil" w:color="auto" w:fill="auto"/>
                <w:rtl w:val="0"/>
              </w:rPr>
              <w:t>č</w:t>
            </w:r>
            <w:r>
              <w:rPr>
                <w:sz w:val="20"/>
                <w:szCs w:val="20"/>
                <w:shd w:val="nil" w:color="auto" w:fill="auto"/>
                <w:rtl w:val="0"/>
              </w:rPr>
              <w:t>lena, ki ga zaradi posebnih razlogov ali potreb ni mogo</w:t>
            </w:r>
            <w:r>
              <w:rPr>
                <w:sz w:val="20"/>
                <w:szCs w:val="20"/>
                <w:shd w:val="nil" w:color="auto" w:fill="auto"/>
                <w:rtl w:val="0"/>
              </w:rPr>
              <w:t>č</w:t>
            </w:r>
            <w:r>
              <w:rPr>
                <w:sz w:val="20"/>
                <w:szCs w:val="20"/>
                <w:shd w:val="nil" w:color="auto" w:fill="auto"/>
                <w:rtl w:val="0"/>
              </w:rPr>
              <w:t>e nastaniti v centru, se v soglasju s socialnovarstvenim zavodom, na stro</w:t>
            </w:r>
            <w:r>
              <w:rPr>
                <w:sz w:val="20"/>
                <w:szCs w:val="20"/>
                <w:shd w:val="nil" w:color="auto" w:fill="auto"/>
                <w:rtl w:val="0"/>
              </w:rPr>
              <w:t>š</w:t>
            </w:r>
            <w:r>
              <w:rPr>
                <w:sz w:val="20"/>
                <w:szCs w:val="20"/>
                <w:shd w:val="nil" w:color="auto" w:fill="auto"/>
                <w:rtl w:val="0"/>
              </w:rPr>
              <w:t xml:space="preserve">ke centra, nastani v socialnovarstvenem zavodu ali zagotovi drugo ustrezno institucionalno varstvo. </w:t>
            </w:r>
          </w:p>
        </w:tc>
        <w:tc>
          <w:tcPr>
            <w:tcW w:type="dxa" w:w="932"/>
            <w:vMerge w:val="continue"/>
            <w:tcBorders>
              <w:top w:val="nil"/>
              <w:left w:val="nil"/>
              <w:bottom w:val="nil"/>
              <w:right w:val="nil"/>
            </w:tcBorders>
            <w:shd w:val="clear" w:color="auto" w:fill="auto"/>
          </w:tcPr>
          <w:p/>
        </w:tc>
        <w:tc>
          <w:tcPr>
            <w:tcW w:type="dxa" w:w="4171"/>
            <w:tcBorders>
              <w:top w:val="nil"/>
              <w:left w:val="nil"/>
              <w:bottom w:val="nil"/>
              <w:right w:val="nil"/>
            </w:tcBorders>
            <w:shd w:val="clear" w:color="auto" w:fill="auto"/>
            <w:tcMar>
              <w:top w:type="dxa" w:w="80"/>
              <w:left w:type="dxa" w:w="80"/>
              <w:bottom w:type="dxa" w:w="80"/>
              <w:right w:type="dxa" w:w="80"/>
            </w:tcMar>
            <w:vAlign w:val="top"/>
          </w:tcPr>
          <w:p>
            <w:pPr>
              <w:pStyle w:val="Odstavek"/>
            </w:pPr>
            <w:r>
              <w:rPr>
                <w:sz w:val="20"/>
                <w:szCs w:val="20"/>
                <w:shd w:val="nil" w:color="auto" w:fill="auto"/>
                <w:rtl w:val="0"/>
                <w:lang w:val="en-US"/>
              </w:rPr>
              <w:t>(5) In agreement with a social protection institution, a foreigner referred to in paragraph one of this Article who cannot be accommodated in the Centre due to special reasons or needs may be accommodated in a social protection institution or provided with other appropriate institutional care at the expense of the Centre.</w:t>
            </w:r>
          </w:p>
        </w:tc>
      </w:tr>
      <w:tr>
        <w:tblPrEx>
          <w:shd w:val="clear" w:color="auto" w:fill="d0ddef"/>
        </w:tblPrEx>
        <w:trPr>
          <w:trHeight w:val="1533" w:hRule="atLeast"/>
        </w:trPr>
        <w:tc>
          <w:tcPr>
            <w:tcW w:type="dxa" w:w="3969"/>
            <w:tcBorders>
              <w:top w:val="nil"/>
              <w:left w:val="nil"/>
              <w:bottom w:val="nil"/>
              <w:right w:val="nil"/>
            </w:tcBorders>
            <w:shd w:val="clear" w:color="auto" w:fill="auto"/>
            <w:tcMar>
              <w:top w:type="dxa" w:w="80"/>
              <w:left w:type="dxa" w:w="80"/>
              <w:bottom w:type="dxa" w:w="80"/>
              <w:right w:type="dxa" w:w="80"/>
            </w:tcMar>
            <w:vAlign w:val="top"/>
          </w:tcPr>
          <w:p>
            <w:pPr>
              <w:pStyle w:val="Odstavek"/>
            </w:pPr>
            <w:r>
              <w:rPr>
                <w:sz w:val="20"/>
                <w:szCs w:val="20"/>
                <w:shd w:val="nil" w:color="auto" w:fill="auto"/>
                <w:rtl w:val="0"/>
              </w:rPr>
              <w:t>(6)</w:t>
            </w:r>
            <w:r>
              <w:rPr>
                <w:sz w:val="20"/>
                <w:szCs w:val="20"/>
                <w:shd w:val="nil" w:color="auto" w:fill="auto"/>
                <w:rtl w:val="0"/>
              </w:rPr>
              <w:t> </w:t>
            </w:r>
            <w:r>
              <w:rPr>
                <w:sz w:val="20"/>
                <w:szCs w:val="20"/>
                <w:shd w:val="nil" w:color="auto" w:fill="auto"/>
                <w:rtl w:val="0"/>
              </w:rPr>
              <w:t xml:space="preserve">Tujec iz prvega in drugega odstavka tega </w:t>
            </w:r>
            <w:r>
              <w:rPr>
                <w:sz w:val="20"/>
                <w:szCs w:val="20"/>
                <w:shd w:val="nil" w:color="auto" w:fill="auto"/>
                <w:rtl w:val="0"/>
              </w:rPr>
              <w:t>č</w:t>
            </w:r>
            <w:r>
              <w:rPr>
                <w:sz w:val="20"/>
                <w:szCs w:val="20"/>
                <w:shd w:val="nil" w:color="auto" w:fill="auto"/>
                <w:rtl w:val="0"/>
              </w:rPr>
              <w:t>lena ima enak obseg pravic kot tujec, ki mu je dovoljeno zadr</w:t>
            </w:r>
            <w:r>
              <w:rPr>
                <w:sz w:val="20"/>
                <w:szCs w:val="20"/>
                <w:shd w:val="nil" w:color="auto" w:fill="auto"/>
                <w:rtl w:val="0"/>
              </w:rPr>
              <w:t>ž</w:t>
            </w:r>
            <w:r>
              <w:rPr>
                <w:sz w:val="20"/>
                <w:szCs w:val="20"/>
                <w:shd w:val="nil" w:color="auto" w:fill="auto"/>
                <w:rtl w:val="0"/>
              </w:rPr>
              <w:t>evanje. Osnovna oskrba tujca se v tem primeru zagotavlja v centru in ne na na</w:t>
            </w:r>
            <w:r>
              <w:rPr>
                <w:sz w:val="20"/>
                <w:szCs w:val="20"/>
                <w:shd w:val="nil" w:color="auto" w:fill="auto"/>
                <w:rtl w:val="0"/>
              </w:rPr>
              <w:t>č</w:t>
            </w:r>
            <w:r>
              <w:rPr>
                <w:sz w:val="20"/>
                <w:szCs w:val="20"/>
                <w:shd w:val="nil" w:color="auto" w:fill="auto"/>
                <w:rtl w:val="0"/>
              </w:rPr>
              <w:t>in, kot je dolo</w:t>
            </w:r>
            <w:r>
              <w:rPr>
                <w:sz w:val="20"/>
                <w:szCs w:val="20"/>
                <w:shd w:val="nil" w:color="auto" w:fill="auto"/>
                <w:rtl w:val="0"/>
              </w:rPr>
              <w:t>č</w:t>
            </w:r>
            <w:r>
              <w:rPr>
                <w:sz w:val="20"/>
                <w:szCs w:val="20"/>
                <w:shd w:val="nil" w:color="auto" w:fill="auto"/>
                <w:rtl w:val="0"/>
              </w:rPr>
              <w:t xml:space="preserve">eno v drugem odstavku 75. </w:t>
            </w:r>
            <w:r>
              <w:rPr>
                <w:sz w:val="20"/>
                <w:szCs w:val="20"/>
                <w:shd w:val="nil" w:color="auto" w:fill="auto"/>
                <w:rtl w:val="0"/>
              </w:rPr>
              <w:t>č</w:t>
            </w:r>
            <w:r>
              <w:rPr>
                <w:sz w:val="20"/>
                <w:szCs w:val="20"/>
                <w:shd w:val="nil" w:color="auto" w:fill="auto"/>
                <w:rtl w:val="0"/>
              </w:rPr>
              <w:t xml:space="preserve">lena tega zakona. </w:t>
            </w:r>
          </w:p>
        </w:tc>
        <w:tc>
          <w:tcPr>
            <w:tcW w:type="dxa" w:w="932"/>
            <w:vMerge w:val="continue"/>
            <w:tcBorders>
              <w:top w:val="nil"/>
              <w:left w:val="nil"/>
              <w:bottom w:val="nil"/>
              <w:right w:val="nil"/>
            </w:tcBorders>
            <w:shd w:val="clear" w:color="auto" w:fill="auto"/>
          </w:tcPr>
          <w:p/>
        </w:tc>
        <w:tc>
          <w:tcPr>
            <w:tcW w:type="dxa" w:w="4171"/>
            <w:tcBorders>
              <w:top w:val="nil"/>
              <w:left w:val="nil"/>
              <w:bottom w:val="nil"/>
              <w:right w:val="nil"/>
            </w:tcBorders>
            <w:shd w:val="clear" w:color="auto" w:fill="auto"/>
            <w:tcMar>
              <w:top w:type="dxa" w:w="80"/>
              <w:left w:type="dxa" w:w="80"/>
              <w:bottom w:type="dxa" w:w="80"/>
              <w:right w:type="dxa" w:w="80"/>
            </w:tcMar>
            <w:vAlign w:val="top"/>
          </w:tcPr>
          <w:p>
            <w:pPr>
              <w:pStyle w:val="Odstavek"/>
            </w:pPr>
            <w:r>
              <w:rPr>
                <w:sz w:val="20"/>
                <w:szCs w:val="20"/>
                <w:shd w:val="nil" w:color="auto" w:fill="auto"/>
                <w:rtl w:val="0"/>
                <w:lang w:val="en-US"/>
              </w:rPr>
              <w:t xml:space="preserve">(6) A foreigner referred to in paragraphs one and two of this Article shall have the same rights as a foreigner who has been permitted to stay. In such a case, he or she shall be provided basic care in the Centre and not in the manner specified in paragraph two of Article 75 of this Act. </w:t>
            </w:r>
          </w:p>
        </w:tc>
      </w:tr>
      <w:tr>
        <w:tblPrEx>
          <w:shd w:val="clear" w:color="auto" w:fill="d0ddef"/>
        </w:tblPrEx>
        <w:trPr>
          <w:trHeight w:val="873" w:hRule="atLeast"/>
        </w:trPr>
        <w:tc>
          <w:tcPr>
            <w:tcW w:type="dxa" w:w="3969"/>
            <w:tcBorders>
              <w:top w:val="nil"/>
              <w:left w:val="nil"/>
              <w:bottom w:val="nil"/>
              <w:right w:val="nil"/>
            </w:tcBorders>
            <w:shd w:val="clear" w:color="auto" w:fill="auto"/>
            <w:tcMar>
              <w:top w:type="dxa" w:w="80"/>
              <w:left w:type="dxa" w:w="80"/>
              <w:bottom w:type="dxa" w:w="80"/>
              <w:right w:type="dxa" w:w="80"/>
            </w:tcMar>
            <w:vAlign w:val="top"/>
          </w:tcPr>
          <w:p>
            <w:pPr>
              <w:pStyle w:val="Odstavek"/>
            </w:pPr>
            <w:r>
              <w:rPr>
                <w:sz w:val="20"/>
                <w:szCs w:val="20"/>
                <w:shd w:val="nil" w:color="auto" w:fill="auto"/>
                <w:rtl w:val="0"/>
              </w:rPr>
              <w:t xml:space="preserve">(7) V </w:t>
            </w:r>
            <w:r>
              <w:rPr>
                <w:sz w:val="20"/>
                <w:szCs w:val="20"/>
                <w:shd w:val="nil" w:color="auto" w:fill="auto"/>
                <w:rtl w:val="0"/>
              </w:rPr>
              <w:t>č</w:t>
            </w:r>
            <w:r>
              <w:rPr>
                <w:sz w:val="20"/>
                <w:szCs w:val="20"/>
                <w:shd w:val="nil" w:color="auto" w:fill="auto"/>
                <w:rtl w:val="0"/>
              </w:rPr>
              <w:t>asu omejitve gibanja se tujca redno obve</w:t>
            </w:r>
            <w:r>
              <w:rPr>
                <w:sz w:val="20"/>
                <w:szCs w:val="20"/>
                <w:shd w:val="nil" w:color="auto" w:fill="auto"/>
                <w:rtl w:val="0"/>
              </w:rPr>
              <w:t>šč</w:t>
            </w:r>
            <w:r>
              <w:rPr>
                <w:sz w:val="20"/>
                <w:szCs w:val="20"/>
                <w:shd w:val="nil" w:color="auto" w:fill="auto"/>
                <w:rtl w:val="0"/>
              </w:rPr>
              <w:t xml:space="preserve">a o pravilih bivanja v centru ter o njegovih pravicah in obveznostih. </w:t>
            </w:r>
          </w:p>
        </w:tc>
        <w:tc>
          <w:tcPr>
            <w:tcW w:type="dxa" w:w="932"/>
            <w:vMerge w:val="continue"/>
            <w:tcBorders>
              <w:top w:val="nil"/>
              <w:left w:val="nil"/>
              <w:bottom w:val="nil"/>
              <w:right w:val="nil"/>
            </w:tcBorders>
            <w:shd w:val="clear" w:color="auto" w:fill="auto"/>
          </w:tcPr>
          <w:p/>
        </w:tc>
        <w:tc>
          <w:tcPr>
            <w:tcW w:type="dxa" w:w="4171"/>
            <w:tcBorders>
              <w:top w:val="nil"/>
              <w:left w:val="nil"/>
              <w:bottom w:val="nil"/>
              <w:right w:val="nil"/>
            </w:tcBorders>
            <w:shd w:val="clear" w:color="auto" w:fill="auto"/>
            <w:tcMar>
              <w:top w:type="dxa" w:w="80"/>
              <w:left w:type="dxa" w:w="80"/>
              <w:bottom w:type="dxa" w:w="80"/>
              <w:right w:type="dxa" w:w="80"/>
            </w:tcMar>
            <w:vAlign w:val="top"/>
          </w:tcPr>
          <w:p>
            <w:pPr>
              <w:pStyle w:val="Odstavek"/>
            </w:pPr>
            <w:r>
              <w:rPr>
                <w:sz w:val="20"/>
                <w:szCs w:val="20"/>
                <w:shd w:val="nil" w:color="auto" w:fill="auto"/>
                <w:rtl w:val="0"/>
                <w:lang w:val="en-US"/>
              </w:rPr>
              <w:t>(7) During a period of restricted movement, a foreigner shall be regularly informed of the house rules of the Centre and of his or her rights and obligations.</w:t>
            </w:r>
          </w:p>
        </w:tc>
      </w:tr>
      <w:tr>
        <w:tblPrEx>
          <w:shd w:val="clear" w:color="auto" w:fill="d0ddef"/>
        </w:tblPrEx>
        <w:trPr>
          <w:trHeight w:val="1533" w:hRule="atLeast"/>
        </w:trPr>
        <w:tc>
          <w:tcPr>
            <w:tcW w:type="dxa" w:w="3969"/>
            <w:tcBorders>
              <w:top w:val="nil"/>
              <w:left w:val="nil"/>
              <w:bottom w:val="nil"/>
              <w:right w:val="nil"/>
            </w:tcBorders>
            <w:shd w:val="clear" w:color="auto" w:fill="auto"/>
            <w:tcMar>
              <w:top w:type="dxa" w:w="80"/>
              <w:left w:type="dxa" w:w="80"/>
              <w:bottom w:type="dxa" w:w="80"/>
              <w:right w:type="dxa" w:w="80"/>
            </w:tcMar>
            <w:vAlign w:val="top"/>
          </w:tcPr>
          <w:p>
            <w:pPr>
              <w:pStyle w:val="Odstavek"/>
            </w:pPr>
            <w:r>
              <w:rPr>
                <w:sz w:val="20"/>
                <w:szCs w:val="20"/>
                <w:shd w:val="nil" w:color="auto" w:fill="auto"/>
                <w:rtl w:val="0"/>
              </w:rPr>
              <w:t xml:space="preserve">(8) </w:t>
            </w:r>
            <w:r>
              <w:rPr>
                <w:sz w:val="20"/>
                <w:szCs w:val="20"/>
                <w:shd w:val="nil" w:color="auto" w:fill="auto"/>
                <w:rtl w:val="0"/>
              </w:rPr>
              <w:t>Č</w:t>
            </w:r>
            <w:r>
              <w:rPr>
                <w:sz w:val="20"/>
                <w:szCs w:val="20"/>
                <w:shd w:val="nil" w:color="auto" w:fill="auto"/>
                <w:rtl w:val="0"/>
              </w:rPr>
              <w:t xml:space="preserve">as bivanja tujca izven centra brez dovoljenja za izhod iz centra in </w:t>
            </w:r>
            <w:r>
              <w:rPr>
                <w:sz w:val="20"/>
                <w:szCs w:val="20"/>
                <w:shd w:val="nil" w:color="auto" w:fill="auto"/>
                <w:rtl w:val="0"/>
              </w:rPr>
              <w:t>č</w:t>
            </w:r>
            <w:r>
              <w:rPr>
                <w:sz w:val="20"/>
                <w:szCs w:val="20"/>
                <w:shd w:val="nil" w:color="auto" w:fill="auto"/>
                <w:rtl w:val="0"/>
              </w:rPr>
              <w:t>as bivanja v priporu, zaporu ali v postopku mednarodne za</w:t>
            </w:r>
            <w:r>
              <w:rPr>
                <w:sz w:val="20"/>
                <w:szCs w:val="20"/>
                <w:shd w:val="nil" w:color="auto" w:fill="auto"/>
                <w:rtl w:val="0"/>
              </w:rPr>
              <w:t>šč</w:t>
            </w:r>
            <w:r>
              <w:rPr>
                <w:sz w:val="20"/>
                <w:szCs w:val="20"/>
                <w:shd w:val="nil" w:color="auto" w:fill="auto"/>
                <w:rtl w:val="0"/>
              </w:rPr>
              <w:t xml:space="preserve">ite, se ne </w:t>
            </w:r>
            <w:r>
              <w:rPr>
                <w:sz w:val="20"/>
                <w:szCs w:val="20"/>
                <w:shd w:val="nil" w:color="auto" w:fill="auto"/>
                <w:rtl w:val="0"/>
              </w:rPr>
              <w:t>š</w:t>
            </w:r>
            <w:r>
              <w:rPr>
                <w:sz w:val="20"/>
                <w:szCs w:val="20"/>
                <w:shd w:val="nil" w:color="auto" w:fill="auto"/>
                <w:rtl w:val="0"/>
              </w:rPr>
              <w:t xml:space="preserve">teje v </w:t>
            </w:r>
            <w:r>
              <w:rPr>
                <w:sz w:val="20"/>
                <w:szCs w:val="20"/>
                <w:shd w:val="nil" w:color="auto" w:fill="auto"/>
                <w:rtl w:val="0"/>
              </w:rPr>
              <w:t>č</w:t>
            </w:r>
            <w:r>
              <w:rPr>
                <w:sz w:val="20"/>
                <w:szCs w:val="20"/>
                <w:shd w:val="nil" w:color="auto" w:fill="auto"/>
                <w:rtl w:val="0"/>
              </w:rPr>
              <w:t xml:space="preserve">as nastanitve v centru. </w:t>
            </w:r>
          </w:p>
        </w:tc>
        <w:tc>
          <w:tcPr>
            <w:tcW w:type="dxa" w:w="932"/>
            <w:vMerge w:val="continue"/>
            <w:tcBorders>
              <w:top w:val="nil"/>
              <w:left w:val="nil"/>
              <w:bottom w:val="nil"/>
              <w:right w:val="nil"/>
            </w:tcBorders>
            <w:shd w:val="clear" w:color="auto" w:fill="auto"/>
          </w:tcPr>
          <w:p/>
        </w:tc>
        <w:tc>
          <w:tcPr>
            <w:tcW w:type="dxa" w:w="4171"/>
            <w:tcBorders>
              <w:top w:val="nil"/>
              <w:left w:val="nil"/>
              <w:bottom w:val="nil"/>
              <w:right w:val="nil"/>
            </w:tcBorders>
            <w:shd w:val="clear" w:color="auto" w:fill="auto"/>
            <w:tcMar>
              <w:top w:type="dxa" w:w="80"/>
              <w:left w:type="dxa" w:w="80"/>
              <w:bottom w:type="dxa" w:w="80"/>
              <w:right w:type="dxa" w:w="80"/>
            </w:tcMar>
            <w:vAlign w:val="top"/>
          </w:tcPr>
          <w:p>
            <w:pPr>
              <w:pStyle w:val="Odstavek"/>
            </w:pPr>
            <w:r>
              <w:rPr>
                <w:sz w:val="20"/>
                <w:szCs w:val="20"/>
                <w:shd w:val="nil" w:color="auto" w:fill="auto"/>
                <w:rtl w:val="0"/>
                <w:lang w:val="en-US"/>
              </w:rPr>
              <w:t>(8) The period of a foreigner's accommodation outside the Centre without permission to leave the Centre and the period of his or her stay in detention or prison or in an international protection procedure shall not be included in the period of accommodation in the Centre.</w:t>
            </w:r>
          </w:p>
        </w:tc>
      </w:tr>
      <w:tr>
        <w:tblPrEx>
          <w:shd w:val="clear" w:color="auto" w:fill="d0ddef"/>
        </w:tblPrEx>
        <w:trPr>
          <w:trHeight w:val="1973" w:hRule="atLeast"/>
        </w:trPr>
        <w:tc>
          <w:tcPr>
            <w:tcW w:type="dxa" w:w="3969"/>
            <w:tcBorders>
              <w:top w:val="nil"/>
              <w:left w:val="nil"/>
              <w:bottom w:val="nil"/>
              <w:right w:val="nil"/>
            </w:tcBorders>
            <w:shd w:val="clear" w:color="auto" w:fill="auto"/>
            <w:tcMar>
              <w:top w:type="dxa" w:w="80"/>
              <w:left w:type="dxa" w:w="80"/>
              <w:bottom w:type="dxa" w:w="80"/>
              <w:right w:type="dxa" w:w="80"/>
            </w:tcMar>
            <w:vAlign w:val="top"/>
          </w:tcPr>
          <w:p>
            <w:pPr>
              <w:pStyle w:val="Odstavek"/>
            </w:pPr>
            <w:r>
              <w:rPr>
                <w:sz w:val="20"/>
                <w:szCs w:val="20"/>
                <w:shd w:val="nil" w:color="auto" w:fill="auto"/>
                <w:rtl w:val="0"/>
              </w:rPr>
              <w:t>(9) Med bivanjem v centru je gibanje tujca omejeno na obmo</w:t>
            </w:r>
            <w:r>
              <w:rPr>
                <w:sz w:val="20"/>
                <w:szCs w:val="20"/>
                <w:shd w:val="nil" w:color="auto" w:fill="auto"/>
                <w:rtl w:val="0"/>
              </w:rPr>
              <w:t>č</w:t>
            </w:r>
            <w:r>
              <w:rPr>
                <w:sz w:val="20"/>
                <w:szCs w:val="20"/>
                <w:shd w:val="nil" w:color="auto" w:fill="auto"/>
                <w:rtl w:val="0"/>
              </w:rPr>
              <w:t>je centra, kjer mora tujec upo</w:t>
            </w:r>
            <w:r>
              <w:rPr>
                <w:sz w:val="20"/>
                <w:szCs w:val="20"/>
                <w:shd w:val="nil" w:color="auto" w:fill="auto"/>
                <w:rtl w:val="0"/>
              </w:rPr>
              <w:t>š</w:t>
            </w:r>
            <w:r>
              <w:rPr>
                <w:sz w:val="20"/>
                <w:szCs w:val="20"/>
                <w:shd w:val="nil" w:color="auto" w:fill="auto"/>
                <w:rtl w:val="0"/>
              </w:rPr>
              <w:t>tevati pravila bivanja v centru. Tujcu se izjemoma lahko dovoli gibanje zunaj obmo</w:t>
            </w:r>
            <w:r>
              <w:rPr>
                <w:sz w:val="20"/>
                <w:szCs w:val="20"/>
                <w:shd w:val="nil" w:color="auto" w:fill="auto"/>
                <w:rtl w:val="0"/>
              </w:rPr>
              <w:t>č</w:t>
            </w:r>
            <w:r>
              <w:rPr>
                <w:sz w:val="20"/>
                <w:szCs w:val="20"/>
                <w:shd w:val="nil" w:color="auto" w:fill="auto"/>
                <w:rtl w:val="0"/>
              </w:rPr>
              <w:t>ja centra. Pogoje in na</w:t>
            </w:r>
            <w:r>
              <w:rPr>
                <w:sz w:val="20"/>
                <w:szCs w:val="20"/>
                <w:shd w:val="nil" w:color="auto" w:fill="auto"/>
                <w:rtl w:val="0"/>
              </w:rPr>
              <w:t>č</w:t>
            </w:r>
            <w:r>
              <w:rPr>
                <w:sz w:val="20"/>
                <w:szCs w:val="20"/>
                <w:shd w:val="nil" w:color="auto" w:fill="auto"/>
                <w:rtl w:val="0"/>
              </w:rPr>
              <w:t>in dovolitve gibanja zunaj obmo</w:t>
            </w:r>
            <w:r>
              <w:rPr>
                <w:sz w:val="20"/>
                <w:szCs w:val="20"/>
                <w:shd w:val="nil" w:color="auto" w:fill="auto"/>
                <w:rtl w:val="0"/>
              </w:rPr>
              <w:t>č</w:t>
            </w:r>
            <w:r>
              <w:rPr>
                <w:sz w:val="20"/>
                <w:szCs w:val="20"/>
                <w:shd w:val="nil" w:color="auto" w:fill="auto"/>
                <w:rtl w:val="0"/>
                <w:lang w:val="es-ES_tradnl"/>
              </w:rPr>
              <w:t>ja centra dolo</w:t>
            </w:r>
            <w:r>
              <w:rPr>
                <w:sz w:val="20"/>
                <w:szCs w:val="20"/>
                <w:shd w:val="nil" w:color="auto" w:fill="auto"/>
                <w:rtl w:val="0"/>
              </w:rPr>
              <w:t>č</w:t>
            </w:r>
            <w:r>
              <w:rPr>
                <w:sz w:val="20"/>
                <w:szCs w:val="20"/>
                <w:shd w:val="nil" w:color="auto" w:fill="auto"/>
                <w:rtl w:val="0"/>
              </w:rPr>
              <w:t>ajo pravila bivanja.</w:t>
            </w:r>
          </w:p>
        </w:tc>
        <w:tc>
          <w:tcPr>
            <w:tcW w:type="dxa" w:w="932"/>
            <w:vMerge w:val="continue"/>
            <w:tcBorders>
              <w:top w:val="nil"/>
              <w:left w:val="nil"/>
              <w:bottom w:val="nil"/>
              <w:right w:val="nil"/>
            </w:tcBorders>
            <w:shd w:val="clear" w:color="auto" w:fill="auto"/>
          </w:tcPr>
          <w:p/>
        </w:tc>
        <w:tc>
          <w:tcPr>
            <w:tcW w:type="dxa" w:w="4171"/>
            <w:tcBorders>
              <w:top w:val="nil"/>
              <w:left w:val="nil"/>
              <w:bottom w:val="nil"/>
              <w:right w:val="nil"/>
            </w:tcBorders>
            <w:shd w:val="clear" w:color="auto" w:fill="auto"/>
            <w:tcMar>
              <w:top w:type="dxa" w:w="80"/>
              <w:left w:type="dxa" w:w="80"/>
              <w:bottom w:type="dxa" w:w="80"/>
              <w:right w:type="dxa" w:w="80"/>
            </w:tcMar>
            <w:vAlign w:val="top"/>
          </w:tcPr>
          <w:p>
            <w:pPr>
              <w:pStyle w:val="Odstavek"/>
            </w:pPr>
            <w:r>
              <w:rPr>
                <w:sz w:val="20"/>
                <w:szCs w:val="20"/>
                <w:shd w:val="nil" w:color="auto" w:fill="auto"/>
                <w:rtl w:val="0"/>
                <w:lang w:val="en-US"/>
              </w:rPr>
              <w:t xml:space="preserve">(9) During a foreigner's accommodation in the Centre, his or her movement shall be restricted to the Centre, where the house rules of the Centre must be observed. In exceptional cases, the foreigner may be allowed movement outside the Centre. The conditions and manner of allowing movement outside the Centre shall be specified in the house rules. </w:t>
            </w:r>
          </w:p>
        </w:tc>
      </w:tr>
    </w:tbl>
    <w:p>
      <w:pPr>
        <w:pStyle w:val="Normal.0"/>
        <w:widowControl w:val="0"/>
        <w:spacing w:after="0" w:line="240" w:lineRule="auto"/>
        <w:jc w:val="both"/>
        <w:rPr>
          <w:rFonts w:ascii="Arial" w:cs="Arial" w:hAnsi="Arial" w:eastAsia="Arial"/>
          <w:sz w:val="20"/>
          <w:szCs w:val="20"/>
          <w:lang w:val="en-US"/>
        </w:rPr>
      </w:pPr>
    </w:p>
    <w:p>
      <w:pPr>
        <w:pStyle w:val="Normal.0"/>
        <w:spacing w:after="0" w:line="240" w:lineRule="auto"/>
        <w:jc w:val="both"/>
        <w:rPr>
          <w:rFonts w:ascii="Arial" w:cs="Arial" w:hAnsi="Arial" w:eastAsia="Arial"/>
          <w:sz w:val="20"/>
          <w:szCs w:val="20"/>
          <w:lang w:val="en-US"/>
        </w:rPr>
      </w:pPr>
    </w:p>
    <w:p>
      <w:pPr>
        <w:pStyle w:val="Normal.0"/>
        <w:spacing w:after="0" w:line="240" w:lineRule="auto"/>
        <w:jc w:val="both"/>
        <w:rPr>
          <w:rFonts w:ascii="Arial" w:cs="Arial" w:hAnsi="Arial" w:eastAsia="Arial"/>
          <w:sz w:val="20"/>
          <w:szCs w:val="20"/>
          <w:lang w:val="en-US"/>
        </w:rPr>
      </w:pPr>
    </w:p>
    <w:tbl>
      <w:tblPr>
        <w:tblW w:w="907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3828"/>
        <w:gridCol w:w="302"/>
        <w:gridCol w:w="348"/>
        <w:gridCol w:w="545"/>
        <w:gridCol w:w="4049"/>
      </w:tblGrid>
      <w:tr>
        <w:tblPrEx>
          <w:shd w:val="clear" w:color="auto" w:fill="d0ddef"/>
        </w:tblPrEx>
        <w:trPr>
          <w:trHeight w:val="233" w:hRule="atLeast"/>
        </w:trPr>
        <w:tc>
          <w:tcPr>
            <w:tcW w:type="dxa" w:w="4130"/>
            <w:gridSpan w:val="2"/>
            <w:tcBorders>
              <w:top w:val="nil"/>
              <w:left w:val="nil"/>
              <w:bottom w:val="nil"/>
              <w:right w:val="nil"/>
            </w:tcBorders>
            <w:shd w:val="clear" w:color="auto" w:fill="auto"/>
            <w:tcMar>
              <w:top w:type="dxa" w:w="80"/>
              <w:left w:type="dxa" w:w="80"/>
              <w:bottom w:type="dxa" w:w="80"/>
              <w:right w:type="dxa" w:w="80"/>
            </w:tcMar>
            <w:vAlign w:val="top"/>
          </w:tcPr>
          <w:p>
            <w:pPr>
              <w:pStyle w:val="Člen"/>
              <w:spacing w:before="0"/>
            </w:pPr>
            <w:r>
              <w:rPr>
                <w:spacing w:val="0"/>
                <w:shd w:val="nil" w:color="auto" w:fill="auto"/>
                <w:rtl w:val="0"/>
                <w:lang w:val="en-US"/>
              </w:rPr>
              <w:t>/</w:t>
            </w:r>
            <w:r>
              <w:rPr>
                <w:spacing w:val="0"/>
                <w:shd w:val="nil" w:color="auto" w:fill="auto"/>
                <w:rtl w:val="0"/>
                <w:lang w:val="en-US"/>
              </w:rPr>
              <w:t>…</w:t>
            </w:r>
            <w:r>
              <w:rPr>
                <w:spacing w:val="0"/>
                <w:shd w:val="nil" w:color="auto" w:fill="auto"/>
                <w:rtl w:val="0"/>
                <w:lang w:val="en-US"/>
              </w:rPr>
              <w:t>/</w:t>
            </w:r>
          </w:p>
        </w:tc>
        <w:tc>
          <w:tcPr>
            <w:tcW w:type="dxa" w:w="348"/>
            <w:vMerge w:val="restart"/>
            <w:tcBorders>
              <w:top w:val="nil"/>
              <w:left w:val="nil"/>
              <w:bottom w:val="nil"/>
              <w:right w:val="nil"/>
            </w:tcBorders>
            <w:shd w:val="clear" w:color="auto" w:fill="auto"/>
            <w:tcMar>
              <w:top w:type="dxa" w:w="80"/>
              <w:left w:type="dxa" w:w="80"/>
              <w:bottom w:type="dxa" w:w="80"/>
              <w:right w:type="dxa" w:w="80"/>
            </w:tcMar>
            <w:vAlign w:val="top"/>
          </w:tcPr>
          <w:p/>
        </w:tc>
        <w:tc>
          <w:tcPr>
            <w:tcW w:type="dxa" w:w="4594"/>
            <w:gridSpan w:val="2"/>
            <w:tcBorders>
              <w:top w:val="nil"/>
              <w:left w:val="nil"/>
              <w:bottom w:val="nil"/>
              <w:right w:val="nil"/>
            </w:tcBorders>
            <w:shd w:val="clear" w:color="auto" w:fill="auto"/>
            <w:tcMar>
              <w:top w:type="dxa" w:w="80"/>
              <w:left w:type="dxa" w:w="80"/>
              <w:bottom w:type="dxa" w:w="80"/>
              <w:right w:type="dxa" w:w="80"/>
            </w:tcMar>
            <w:vAlign w:val="top"/>
          </w:tcPr>
          <w:p>
            <w:pPr>
              <w:pStyle w:val="Člen"/>
              <w:spacing w:before="0"/>
            </w:pPr>
            <w:r>
              <w:rPr>
                <w:spacing w:val="0"/>
                <w:shd w:val="nil" w:color="auto" w:fill="auto"/>
                <w:rtl w:val="0"/>
                <w:lang w:val="en-US"/>
              </w:rPr>
              <w:t>/</w:t>
            </w:r>
            <w:r>
              <w:rPr>
                <w:spacing w:val="0"/>
                <w:shd w:val="nil" w:color="auto" w:fill="auto"/>
                <w:rtl w:val="0"/>
                <w:lang w:val="en-US"/>
              </w:rPr>
              <w:t>…</w:t>
            </w:r>
            <w:r>
              <w:rPr>
                <w:spacing w:val="0"/>
                <w:shd w:val="nil" w:color="auto" w:fill="auto"/>
                <w:rtl w:val="0"/>
                <w:lang w:val="en-US"/>
              </w:rPr>
              <w:t>/</w:t>
            </w:r>
          </w:p>
        </w:tc>
      </w:tr>
      <w:tr>
        <w:tblPrEx>
          <w:shd w:val="clear" w:color="auto" w:fill="d0ddef"/>
        </w:tblPrEx>
        <w:trPr>
          <w:trHeight w:val="233" w:hRule="atLeast"/>
        </w:trPr>
        <w:tc>
          <w:tcPr>
            <w:tcW w:type="dxa" w:w="4130"/>
            <w:gridSpan w:val="2"/>
            <w:tcBorders>
              <w:top w:val="nil"/>
              <w:left w:val="nil"/>
              <w:bottom w:val="nil"/>
              <w:right w:val="nil"/>
            </w:tcBorders>
            <w:shd w:val="clear" w:color="auto" w:fill="auto"/>
            <w:tcMar>
              <w:top w:type="dxa" w:w="80"/>
              <w:left w:type="dxa" w:w="80"/>
              <w:bottom w:type="dxa" w:w="80"/>
              <w:right w:type="dxa" w:w="80"/>
            </w:tcMar>
            <w:vAlign w:val="top"/>
          </w:tcPr>
          <w:p/>
        </w:tc>
        <w:tc>
          <w:tcPr>
            <w:tcW w:type="dxa" w:w="348"/>
            <w:vMerge w:val="continue"/>
            <w:tcBorders>
              <w:top w:val="nil"/>
              <w:left w:val="nil"/>
              <w:bottom w:val="nil"/>
              <w:right w:val="nil"/>
            </w:tcBorders>
            <w:shd w:val="clear" w:color="auto" w:fill="auto"/>
          </w:tcPr>
          <w:p/>
        </w:tc>
        <w:tc>
          <w:tcPr>
            <w:tcW w:type="dxa" w:w="4594"/>
            <w:gridSpan w:val="2"/>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d0ddef"/>
        </w:tblPrEx>
        <w:trPr>
          <w:trHeight w:val="213" w:hRule="atLeast"/>
        </w:trPr>
        <w:tc>
          <w:tcPr>
            <w:tcW w:type="dxa" w:w="3828"/>
            <w:tcBorders>
              <w:top w:val="nil"/>
              <w:left w:val="nil"/>
              <w:bottom w:val="nil"/>
              <w:right w:val="nil"/>
            </w:tcBorders>
            <w:shd w:val="clear" w:color="auto" w:fill="auto"/>
            <w:tcMar>
              <w:top w:type="dxa" w:w="80"/>
              <w:left w:type="dxa" w:w="80"/>
              <w:bottom w:type="dxa" w:w="80"/>
              <w:right w:type="dxa" w:w="80"/>
            </w:tcMar>
            <w:vAlign w:val="top"/>
          </w:tcPr>
          <w:p>
            <w:pPr>
              <w:pStyle w:val="Normal.0"/>
              <w:suppressAutoHyphens w:val="1"/>
              <w:spacing w:after="0" w:line="240" w:lineRule="auto"/>
              <w:jc w:val="center"/>
            </w:pPr>
            <w:r>
              <w:rPr>
                <w:rFonts w:ascii="Arial" w:hAnsi="Arial"/>
                <w:b w:val="1"/>
                <w:bCs w:val="1"/>
                <w:sz w:val="20"/>
                <w:szCs w:val="20"/>
                <w:shd w:val="nil" w:color="auto" w:fill="auto"/>
                <w:rtl w:val="0"/>
                <w:lang w:val="en-US"/>
              </w:rPr>
              <w:t xml:space="preserve">82. </w:t>
            </w:r>
            <w:r>
              <w:rPr>
                <w:rFonts w:ascii="Arial" w:hAnsi="Arial" w:hint="default"/>
                <w:b w:val="1"/>
                <w:bCs w:val="1"/>
                <w:sz w:val="20"/>
                <w:szCs w:val="20"/>
                <w:shd w:val="nil" w:color="auto" w:fill="auto"/>
                <w:rtl w:val="0"/>
                <w:lang w:val="en-US"/>
              </w:rPr>
              <w:t>č</w:t>
            </w:r>
            <w:r>
              <w:rPr>
                <w:rFonts w:ascii="Arial" w:hAnsi="Arial"/>
                <w:b w:val="1"/>
                <w:bCs w:val="1"/>
                <w:sz w:val="20"/>
                <w:szCs w:val="20"/>
                <w:shd w:val="nil" w:color="auto" w:fill="auto"/>
                <w:rtl w:val="0"/>
                <w:lang w:val="en-US"/>
              </w:rPr>
              <w:t>len</w:t>
            </w:r>
          </w:p>
        </w:tc>
        <w:tc>
          <w:tcPr>
            <w:tcW w:type="dxa" w:w="1195"/>
            <w:gridSpan w:val="3"/>
            <w:vMerge w:val="restart"/>
            <w:tcBorders>
              <w:top w:val="nil"/>
              <w:left w:val="nil"/>
              <w:bottom w:val="nil"/>
              <w:right w:val="nil"/>
            </w:tcBorders>
            <w:shd w:val="clear" w:color="auto" w:fill="auto"/>
            <w:tcMar>
              <w:top w:type="dxa" w:w="80"/>
              <w:left w:type="dxa" w:w="80"/>
              <w:bottom w:type="dxa" w:w="80"/>
              <w:right w:type="dxa" w:w="80"/>
            </w:tcMar>
            <w:vAlign w:val="top"/>
          </w:tcPr>
          <w:p/>
        </w:tc>
        <w:tc>
          <w:tcPr>
            <w:tcW w:type="dxa" w:w="4049"/>
            <w:tcBorders>
              <w:top w:val="nil"/>
              <w:left w:val="nil"/>
              <w:bottom w:val="nil"/>
              <w:right w:val="nil"/>
            </w:tcBorders>
            <w:shd w:val="clear" w:color="auto" w:fill="auto"/>
            <w:tcMar>
              <w:top w:type="dxa" w:w="80"/>
              <w:left w:type="dxa" w:w="80"/>
              <w:bottom w:type="dxa" w:w="80"/>
              <w:right w:type="dxa" w:w="80"/>
            </w:tcMar>
            <w:vAlign w:val="top"/>
          </w:tcPr>
          <w:p>
            <w:pPr>
              <w:pStyle w:val="Normal.0"/>
              <w:suppressAutoHyphens w:val="1"/>
              <w:spacing w:after="0" w:line="240" w:lineRule="auto"/>
              <w:jc w:val="center"/>
            </w:pPr>
            <w:r>
              <w:rPr>
                <w:rFonts w:ascii="Arial" w:hAnsi="Arial"/>
                <w:b w:val="1"/>
                <w:bCs w:val="1"/>
                <w:sz w:val="20"/>
                <w:szCs w:val="20"/>
                <w:shd w:val="nil" w:color="auto" w:fill="auto"/>
                <w:rtl w:val="0"/>
                <w:lang w:val="en-US"/>
              </w:rPr>
              <w:t xml:space="preserve">Article 82 </w:t>
            </w:r>
          </w:p>
        </w:tc>
      </w:tr>
      <w:tr>
        <w:tblPrEx>
          <w:shd w:val="clear" w:color="auto" w:fill="d0ddef"/>
        </w:tblPrEx>
        <w:trPr>
          <w:trHeight w:val="213" w:hRule="atLeast"/>
        </w:trPr>
        <w:tc>
          <w:tcPr>
            <w:tcW w:type="dxa" w:w="3828"/>
            <w:tcBorders>
              <w:top w:val="nil"/>
              <w:left w:val="nil"/>
              <w:bottom w:val="nil"/>
              <w:right w:val="nil"/>
            </w:tcBorders>
            <w:shd w:val="clear" w:color="auto" w:fill="auto"/>
            <w:tcMar>
              <w:top w:type="dxa" w:w="80"/>
              <w:left w:type="dxa" w:w="80"/>
              <w:bottom w:type="dxa" w:w="80"/>
              <w:right w:type="dxa" w:w="80"/>
            </w:tcMar>
            <w:vAlign w:val="top"/>
          </w:tcPr>
          <w:p>
            <w:pPr>
              <w:pStyle w:val="Normal.0"/>
              <w:suppressAutoHyphens w:val="1"/>
              <w:spacing w:after="0" w:line="240" w:lineRule="auto"/>
              <w:jc w:val="center"/>
            </w:pPr>
            <w:r>
              <w:rPr>
                <w:rFonts w:ascii="Arial" w:hAnsi="Arial"/>
                <w:b w:val="1"/>
                <w:bCs w:val="1"/>
                <w:sz w:val="20"/>
                <w:szCs w:val="20"/>
                <w:shd w:val="nil" w:color="auto" w:fill="auto"/>
                <w:rtl w:val="0"/>
                <w:lang w:val="en-US"/>
              </w:rPr>
              <w:t>(postopek z mladoletnimi tujci)</w:t>
            </w:r>
          </w:p>
        </w:tc>
        <w:tc>
          <w:tcPr>
            <w:tcW w:type="dxa" w:w="1195"/>
            <w:gridSpan w:val="3"/>
            <w:vMerge w:val="continue"/>
            <w:tcBorders>
              <w:top w:val="nil"/>
              <w:left w:val="nil"/>
              <w:bottom w:val="nil"/>
              <w:right w:val="nil"/>
            </w:tcBorders>
            <w:shd w:val="clear" w:color="auto" w:fill="auto"/>
          </w:tcPr>
          <w:p/>
        </w:tc>
        <w:tc>
          <w:tcPr>
            <w:tcW w:type="dxa" w:w="4049"/>
            <w:tcBorders>
              <w:top w:val="nil"/>
              <w:left w:val="nil"/>
              <w:bottom w:val="nil"/>
              <w:right w:val="nil"/>
            </w:tcBorders>
            <w:shd w:val="clear" w:color="auto" w:fill="auto"/>
            <w:tcMar>
              <w:top w:type="dxa" w:w="80"/>
              <w:left w:type="dxa" w:w="80"/>
              <w:bottom w:type="dxa" w:w="80"/>
              <w:right w:type="dxa" w:w="80"/>
            </w:tcMar>
            <w:vAlign w:val="top"/>
          </w:tcPr>
          <w:p>
            <w:pPr>
              <w:pStyle w:val="Normal.0"/>
              <w:suppressAutoHyphens w:val="1"/>
              <w:spacing w:after="0" w:line="240" w:lineRule="auto"/>
              <w:jc w:val="center"/>
            </w:pPr>
            <w:r>
              <w:rPr>
                <w:rFonts w:ascii="Arial" w:hAnsi="Arial"/>
                <w:b w:val="1"/>
                <w:bCs w:val="1"/>
                <w:sz w:val="20"/>
                <w:szCs w:val="20"/>
                <w:shd w:val="nil" w:color="auto" w:fill="auto"/>
                <w:rtl w:val="0"/>
                <w:lang w:val="en-US"/>
              </w:rPr>
              <w:t xml:space="preserve">(Procedure for foreign minors) </w:t>
            </w:r>
          </w:p>
        </w:tc>
      </w:tr>
      <w:tr>
        <w:tblPrEx>
          <w:shd w:val="clear" w:color="auto" w:fill="d0ddef"/>
        </w:tblPrEx>
        <w:trPr>
          <w:trHeight w:val="3073" w:hRule="atLeast"/>
        </w:trPr>
        <w:tc>
          <w:tcPr>
            <w:tcW w:type="dxa" w:w="3828"/>
            <w:tcBorders>
              <w:top w:val="nil"/>
              <w:left w:val="nil"/>
              <w:bottom w:val="nil"/>
              <w:right w:val="nil"/>
            </w:tcBorders>
            <w:shd w:val="clear" w:color="auto" w:fill="auto"/>
            <w:tcMar>
              <w:top w:type="dxa" w:w="80"/>
              <w:left w:type="dxa" w:w="80"/>
              <w:bottom w:type="dxa" w:w="80"/>
              <w:right w:type="dxa" w:w="80"/>
            </w:tcMar>
            <w:vAlign w:val="top"/>
          </w:tcPr>
          <w:p>
            <w:pPr>
              <w:pStyle w:val="Normal.0"/>
              <w:suppressAutoHyphens w:val="1"/>
              <w:spacing w:before="240" w:after="0" w:line="240" w:lineRule="auto"/>
              <w:ind w:firstLine="1021"/>
              <w:jc w:val="both"/>
            </w:pPr>
            <w:r>
              <w:rPr>
                <w:rFonts w:ascii="Arial" w:hAnsi="Arial"/>
                <w:sz w:val="20"/>
                <w:szCs w:val="20"/>
                <w:shd w:val="nil" w:color="auto" w:fill="auto"/>
                <w:rtl w:val="0"/>
              </w:rPr>
              <w:t>(1)</w:t>
            </w:r>
            <w:r>
              <w:rPr>
                <w:rFonts w:ascii="Arial" w:hAnsi="Arial" w:hint="default"/>
                <w:sz w:val="20"/>
                <w:szCs w:val="20"/>
                <w:shd w:val="nil" w:color="auto" w:fill="auto"/>
                <w:rtl w:val="0"/>
              </w:rPr>
              <w:t> </w:t>
            </w:r>
            <w:r>
              <w:rPr>
                <w:rFonts w:ascii="Arial" w:hAnsi="Arial"/>
                <w:sz w:val="20"/>
                <w:szCs w:val="20"/>
                <w:shd w:val="nil" w:color="auto" w:fill="auto"/>
                <w:rtl w:val="0"/>
              </w:rPr>
              <w:t>V primeru odstranitve mladoletnega tujca brez spremstva star</w:t>
            </w:r>
            <w:r>
              <w:rPr>
                <w:rFonts w:ascii="Arial" w:hAnsi="Arial" w:hint="default"/>
                <w:sz w:val="20"/>
                <w:szCs w:val="20"/>
                <w:shd w:val="nil" w:color="auto" w:fill="auto"/>
                <w:rtl w:val="0"/>
              </w:rPr>
              <w:t>š</w:t>
            </w:r>
            <w:r>
              <w:rPr>
                <w:rFonts w:ascii="Arial" w:hAnsi="Arial"/>
                <w:sz w:val="20"/>
                <w:szCs w:val="20"/>
                <w:shd w:val="nil" w:color="auto" w:fill="auto"/>
                <w:rtl w:val="0"/>
              </w:rPr>
              <w:t>ev ali drugih zakonitih zastopnikov, ki nezakonito prebiva v Republiki Sloveniji, policija takoj obvesti center za socialno delo, ki mora mladoletnemu tujcu nemudoma postaviti skrbnika za posebni primer. Policija izda odlo</w:t>
            </w:r>
            <w:r>
              <w:rPr>
                <w:rFonts w:ascii="Arial" w:hAnsi="Arial" w:hint="default"/>
                <w:sz w:val="20"/>
                <w:szCs w:val="20"/>
                <w:shd w:val="nil" w:color="auto" w:fill="auto"/>
                <w:rtl w:val="0"/>
              </w:rPr>
              <w:t>č</w:t>
            </w:r>
            <w:r>
              <w:rPr>
                <w:rFonts w:ascii="Arial" w:hAnsi="Arial"/>
                <w:sz w:val="20"/>
                <w:szCs w:val="20"/>
                <w:shd w:val="nil" w:color="auto" w:fill="auto"/>
                <w:rtl w:val="0"/>
              </w:rPr>
              <w:t>bo o vrnitvi mladoletnemu tujcu brez spremstva, ko skrbnik za posebni primer po skrbni preu</w:t>
            </w:r>
            <w:r>
              <w:rPr>
                <w:rFonts w:ascii="Arial" w:hAnsi="Arial" w:hint="default"/>
                <w:sz w:val="20"/>
                <w:szCs w:val="20"/>
                <w:shd w:val="nil" w:color="auto" w:fill="auto"/>
                <w:rtl w:val="0"/>
              </w:rPr>
              <w:t>č</w:t>
            </w:r>
            <w:r>
              <w:rPr>
                <w:rFonts w:ascii="Arial" w:hAnsi="Arial"/>
                <w:sz w:val="20"/>
                <w:szCs w:val="20"/>
                <w:shd w:val="nil" w:color="auto" w:fill="auto"/>
                <w:rtl w:val="0"/>
              </w:rPr>
              <w:t>itvi vseh okoli</w:t>
            </w:r>
            <w:r>
              <w:rPr>
                <w:rFonts w:ascii="Arial" w:hAnsi="Arial" w:hint="default"/>
                <w:sz w:val="20"/>
                <w:szCs w:val="20"/>
                <w:shd w:val="nil" w:color="auto" w:fill="auto"/>
                <w:rtl w:val="0"/>
              </w:rPr>
              <w:t>šč</w:t>
            </w:r>
            <w:r>
              <w:rPr>
                <w:rFonts w:ascii="Arial" w:hAnsi="Arial"/>
                <w:sz w:val="20"/>
                <w:szCs w:val="20"/>
                <w:shd w:val="nil" w:color="auto" w:fill="auto"/>
                <w:rtl w:val="0"/>
              </w:rPr>
              <w:t>in ugotovi, da je to v najbolj</w:t>
            </w:r>
            <w:r>
              <w:rPr>
                <w:rFonts w:ascii="Arial" w:hAnsi="Arial" w:hint="default"/>
                <w:sz w:val="20"/>
                <w:szCs w:val="20"/>
                <w:shd w:val="nil" w:color="auto" w:fill="auto"/>
                <w:rtl w:val="0"/>
              </w:rPr>
              <w:t>š</w:t>
            </w:r>
            <w:r>
              <w:rPr>
                <w:rFonts w:ascii="Arial" w:hAnsi="Arial"/>
                <w:sz w:val="20"/>
                <w:szCs w:val="20"/>
                <w:shd w:val="nil" w:color="auto" w:fill="auto"/>
                <w:rtl w:val="0"/>
              </w:rPr>
              <w:t>em interesu mladoletnega tujca.</w:t>
            </w:r>
          </w:p>
        </w:tc>
        <w:tc>
          <w:tcPr>
            <w:tcW w:type="dxa" w:w="1195"/>
            <w:gridSpan w:val="3"/>
            <w:vMerge w:val="continue"/>
            <w:tcBorders>
              <w:top w:val="nil"/>
              <w:left w:val="nil"/>
              <w:bottom w:val="nil"/>
              <w:right w:val="nil"/>
            </w:tcBorders>
            <w:shd w:val="clear" w:color="auto" w:fill="auto"/>
          </w:tcPr>
          <w:p/>
        </w:tc>
        <w:tc>
          <w:tcPr>
            <w:tcW w:type="dxa" w:w="4049"/>
            <w:tcBorders>
              <w:top w:val="nil"/>
              <w:left w:val="nil"/>
              <w:bottom w:val="nil"/>
              <w:right w:val="nil"/>
            </w:tcBorders>
            <w:shd w:val="clear" w:color="auto" w:fill="auto"/>
            <w:tcMar>
              <w:top w:type="dxa" w:w="80"/>
              <w:left w:type="dxa" w:w="80"/>
              <w:bottom w:type="dxa" w:w="80"/>
              <w:right w:type="dxa" w:w="80"/>
            </w:tcMar>
            <w:vAlign w:val="top"/>
          </w:tcPr>
          <w:p>
            <w:pPr>
              <w:pStyle w:val="Normal.0"/>
              <w:suppressAutoHyphens w:val="1"/>
              <w:spacing w:before="240" w:after="0" w:line="240" w:lineRule="auto"/>
              <w:ind w:firstLine="1021"/>
              <w:jc w:val="both"/>
            </w:pPr>
            <w:r>
              <w:rPr>
                <w:rFonts w:ascii="Arial" w:hAnsi="Arial"/>
                <w:sz w:val="20"/>
                <w:szCs w:val="20"/>
                <w:shd w:val="nil" w:color="auto" w:fill="auto"/>
                <w:rtl w:val="0"/>
                <w:lang w:val="en-US"/>
              </w:rPr>
              <w:t xml:space="preserve">(1) In cases of the removal of a foreign minor who is not accompanied by his or her parents or other statutory representative and is illegally staying in the Republic of Slovenia, the police shall immediately inform a social work centre, which must immediately assign a special case guardian to the foreign minor. The police shall issue the unaccompanied foreign minor a return decision after his or her special case guardian, having carefully considered all of the circumstances, establishes that this is in the best interests of the foreign minor. </w:t>
            </w:r>
          </w:p>
        </w:tc>
      </w:tr>
      <w:tr>
        <w:tblPrEx>
          <w:shd w:val="clear" w:color="auto" w:fill="d0ddef"/>
        </w:tblPrEx>
        <w:trPr>
          <w:trHeight w:val="8353" w:hRule="atLeast"/>
        </w:trPr>
        <w:tc>
          <w:tcPr>
            <w:tcW w:type="dxa" w:w="3828"/>
            <w:tcBorders>
              <w:top w:val="nil"/>
              <w:left w:val="nil"/>
              <w:bottom w:val="nil"/>
              <w:right w:val="nil"/>
            </w:tcBorders>
            <w:shd w:val="clear" w:color="auto" w:fill="auto"/>
            <w:tcMar>
              <w:top w:type="dxa" w:w="80"/>
              <w:left w:type="dxa" w:w="80"/>
              <w:bottom w:type="dxa" w:w="80"/>
              <w:right w:type="dxa" w:w="80"/>
            </w:tcMar>
            <w:vAlign w:val="top"/>
          </w:tcPr>
          <w:p>
            <w:pPr>
              <w:pStyle w:val="Normal.0"/>
              <w:suppressAutoHyphens w:val="1"/>
              <w:spacing w:before="240" w:after="0" w:line="240" w:lineRule="auto"/>
              <w:ind w:firstLine="1021"/>
              <w:jc w:val="both"/>
            </w:pPr>
            <w:r>
              <w:rPr>
                <w:rFonts w:ascii="Arial" w:hAnsi="Arial"/>
                <w:sz w:val="20"/>
                <w:szCs w:val="20"/>
                <w:shd w:val="nil" w:color="auto" w:fill="auto"/>
                <w:rtl w:val="0"/>
              </w:rPr>
              <w:t>(2)</w:t>
            </w:r>
            <w:r>
              <w:rPr>
                <w:rFonts w:ascii="Arial" w:hAnsi="Arial" w:hint="default"/>
                <w:sz w:val="20"/>
                <w:szCs w:val="20"/>
                <w:shd w:val="nil" w:color="auto" w:fill="auto"/>
                <w:rtl w:val="0"/>
              </w:rPr>
              <w:t> </w:t>
            </w:r>
            <w:r>
              <w:rPr>
                <w:rFonts w:ascii="Arial" w:hAnsi="Arial"/>
                <w:sz w:val="20"/>
                <w:szCs w:val="20"/>
                <w:shd w:val="nil" w:color="auto" w:fill="auto"/>
                <w:rtl w:val="0"/>
              </w:rPr>
              <w:t>Mladoletnega tujca iz prej</w:t>
            </w:r>
            <w:r>
              <w:rPr>
                <w:rFonts w:ascii="Arial" w:hAnsi="Arial" w:hint="default"/>
                <w:sz w:val="20"/>
                <w:szCs w:val="20"/>
                <w:shd w:val="nil" w:color="auto" w:fill="auto"/>
                <w:rtl w:val="0"/>
              </w:rPr>
              <w:t>š</w:t>
            </w:r>
            <w:r>
              <w:rPr>
                <w:rFonts w:ascii="Arial" w:hAnsi="Arial"/>
                <w:sz w:val="20"/>
                <w:szCs w:val="20"/>
                <w:shd w:val="nil" w:color="auto" w:fill="auto"/>
                <w:rtl w:val="0"/>
              </w:rPr>
              <w:t>njega odstavka se ne sme odstraniti v mati</w:t>
            </w:r>
            <w:r>
              <w:rPr>
                <w:rFonts w:ascii="Arial" w:hAnsi="Arial" w:hint="default"/>
                <w:sz w:val="20"/>
                <w:szCs w:val="20"/>
                <w:shd w:val="nil" w:color="auto" w:fill="auto"/>
                <w:rtl w:val="0"/>
              </w:rPr>
              <w:t>č</w:t>
            </w:r>
            <w:r>
              <w:rPr>
                <w:rFonts w:ascii="Arial" w:hAnsi="Arial"/>
                <w:sz w:val="20"/>
                <w:szCs w:val="20"/>
                <w:shd w:val="nil" w:color="auto" w:fill="auto"/>
                <w:rtl w:val="0"/>
              </w:rPr>
              <w:t>no dr</w:t>
            </w:r>
            <w:r>
              <w:rPr>
                <w:rFonts w:ascii="Arial" w:hAnsi="Arial" w:hint="default"/>
                <w:sz w:val="20"/>
                <w:szCs w:val="20"/>
                <w:shd w:val="nil" w:color="auto" w:fill="auto"/>
                <w:rtl w:val="0"/>
              </w:rPr>
              <w:t>ž</w:t>
            </w:r>
            <w:r>
              <w:rPr>
                <w:rFonts w:ascii="Arial" w:hAnsi="Arial"/>
                <w:sz w:val="20"/>
                <w:szCs w:val="20"/>
                <w:shd w:val="nil" w:color="auto" w:fill="auto"/>
                <w:rtl w:val="0"/>
              </w:rPr>
              <w:t>avo ali v tretjo dr</w:t>
            </w:r>
            <w:r>
              <w:rPr>
                <w:rFonts w:ascii="Arial" w:hAnsi="Arial" w:hint="default"/>
                <w:sz w:val="20"/>
                <w:szCs w:val="20"/>
                <w:shd w:val="nil" w:color="auto" w:fill="auto"/>
                <w:rtl w:val="0"/>
              </w:rPr>
              <w:t>ž</w:t>
            </w:r>
            <w:r>
              <w:rPr>
                <w:rFonts w:ascii="Arial" w:hAnsi="Arial"/>
                <w:sz w:val="20"/>
                <w:szCs w:val="20"/>
                <w:shd w:val="nil" w:color="auto" w:fill="auto"/>
                <w:rtl w:val="0"/>
              </w:rPr>
              <w:t>avo, ki ga je pripravljena sprejeti, dokler mu tam ni zagotovljen sprejem. Pred odstranitvijo se je potrebno prepri</w:t>
            </w:r>
            <w:r>
              <w:rPr>
                <w:rFonts w:ascii="Arial" w:hAnsi="Arial" w:hint="default"/>
                <w:sz w:val="20"/>
                <w:szCs w:val="20"/>
                <w:shd w:val="nil" w:color="auto" w:fill="auto"/>
                <w:rtl w:val="0"/>
              </w:rPr>
              <w:t>č</w:t>
            </w:r>
            <w:r>
              <w:rPr>
                <w:rFonts w:ascii="Arial" w:hAnsi="Arial"/>
                <w:sz w:val="20"/>
                <w:szCs w:val="20"/>
                <w:shd w:val="nil" w:color="auto" w:fill="auto"/>
                <w:rtl w:val="0"/>
              </w:rPr>
              <w:t xml:space="preserve">ati, da bo mladoletni tujec vrnjen </w:t>
            </w:r>
            <w:r>
              <w:rPr>
                <w:rFonts w:ascii="Arial" w:hAnsi="Arial" w:hint="default"/>
                <w:sz w:val="20"/>
                <w:szCs w:val="20"/>
                <w:shd w:val="nil" w:color="auto" w:fill="auto"/>
                <w:rtl w:val="0"/>
              </w:rPr>
              <w:t>č</w:t>
            </w:r>
            <w:r>
              <w:rPr>
                <w:rFonts w:ascii="Arial" w:hAnsi="Arial"/>
                <w:sz w:val="20"/>
                <w:szCs w:val="20"/>
                <w:shd w:val="nil" w:color="auto" w:fill="auto"/>
                <w:rtl w:val="0"/>
              </w:rPr>
              <w:t>lanu dru</w:t>
            </w:r>
            <w:r>
              <w:rPr>
                <w:rFonts w:ascii="Arial" w:hAnsi="Arial" w:hint="default"/>
                <w:sz w:val="20"/>
                <w:szCs w:val="20"/>
                <w:shd w:val="nil" w:color="auto" w:fill="auto"/>
                <w:rtl w:val="0"/>
              </w:rPr>
              <w:t>ž</w:t>
            </w:r>
            <w:r>
              <w:rPr>
                <w:rFonts w:ascii="Arial" w:hAnsi="Arial"/>
                <w:sz w:val="20"/>
                <w:szCs w:val="20"/>
                <w:shd w:val="nil" w:color="auto" w:fill="auto"/>
                <w:rtl w:val="0"/>
              </w:rPr>
              <w:t>ine, izbranemu skrbniku ali ustreznim sprejemnim centrom v dr</w:t>
            </w:r>
            <w:r>
              <w:rPr>
                <w:rFonts w:ascii="Arial" w:hAnsi="Arial" w:hint="default"/>
                <w:sz w:val="20"/>
                <w:szCs w:val="20"/>
                <w:shd w:val="nil" w:color="auto" w:fill="auto"/>
                <w:rtl w:val="0"/>
              </w:rPr>
              <w:t>ž</w:t>
            </w:r>
            <w:r>
              <w:rPr>
                <w:rFonts w:ascii="Arial" w:hAnsi="Arial"/>
                <w:sz w:val="20"/>
                <w:szCs w:val="20"/>
                <w:shd w:val="nil" w:color="auto" w:fill="auto"/>
                <w:rtl w:val="0"/>
              </w:rPr>
              <w:t xml:space="preserve">avi vrnitve. V nobenem primeru pa se mladoletnega tujca brez spremstva ne sme odstraniti v nasprotju s Konvencijo o varstvu </w:t>
            </w:r>
            <w:r>
              <w:rPr>
                <w:rFonts w:ascii="Arial" w:hAnsi="Arial" w:hint="default"/>
                <w:sz w:val="20"/>
                <w:szCs w:val="20"/>
                <w:shd w:val="nil" w:color="auto" w:fill="auto"/>
                <w:rtl w:val="0"/>
              </w:rPr>
              <w:t>č</w:t>
            </w:r>
            <w:r>
              <w:rPr>
                <w:rFonts w:ascii="Arial" w:hAnsi="Arial"/>
                <w:sz w:val="20"/>
                <w:szCs w:val="20"/>
                <w:shd w:val="nil" w:color="auto" w:fill="auto"/>
                <w:rtl w:val="0"/>
              </w:rPr>
              <w:t>lovekovih pravic in temeljnih svobo</w:t>
            </w:r>
            <w:r>
              <w:rPr>
                <w:rFonts w:ascii="Arial" w:hAnsi="Arial" w:hint="default"/>
                <w:sz w:val="20"/>
                <w:szCs w:val="20"/>
                <w:shd w:val="nil" w:color="auto" w:fill="auto"/>
                <w:rtl w:val="0"/>
              </w:rPr>
              <w:t>šč</w:t>
            </w:r>
            <w:r>
              <w:rPr>
                <w:rFonts w:ascii="Arial" w:hAnsi="Arial"/>
                <w:sz w:val="20"/>
                <w:szCs w:val="20"/>
                <w:shd w:val="nil" w:color="auto" w:fill="auto"/>
                <w:rtl w:val="0"/>
              </w:rPr>
              <w:t xml:space="preserve">in, spremenjeno s Protokoli </w:t>
            </w:r>
            <w:r>
              <w:rPr>
                <w:rFonts w:ascii="Arial" w:hAnsi="Arial" w:hint="default"/>
                <w:sz w:val="20"/>
                <w:szCs w:val="20"/>
                <w:shd w:val="nil" w:color="auto" w:fill="auto"/>
                <w:rtl w:val="0"/>
              </w:rPr>
              <w:t>š</w:t>
            </w:r>
            <w:r>
              <w:rPr>
                <w:rFonts w:ascii="Arial" w:hAnsi="Arial"/>
                <w:sz w:val="20"/>
                <w:szCs w:val="20"/>
                <w:shd w:val="nil" w:color="auto" w:fill="auto"/>
                <w:rtl w:val="0"/>
              </w:rPr>
              <w:t xml:space="preserve">t. 3, 5 in 8 ter dopolnjeno s Protokolom </w:t>
            </w:r>
            <w:r>
              <w:rPr>
                <w:rFonts w:ascii="Arial" w:hAnsi="Arial" w:hint="default"/>
                <w:sz w:val="20"/>
                <w:szCs w:val="20"/>
                <w:shd w:val="nil" w:color="auto" w:fill="auto"/>
                <w:rtl w:val="0"/>
              </w:rPr>
              <w:t>š</w:t>
            </w:r>
            <w:r>
              <w:rPr>
                <w:rFonts w:ascii="Arial" w:hAnsi="Arial"/>
                <w:sz w:val="20"/>
                <w:szCs w:val="20"/>
                <w:shd w:val="nil" w:color="auto" w:fill="auto"/>
                <w:rtl w:val="0"/>
              </w:rPr>
              <w:t xml:space="preserve">t. 2 ter njenimi protokoli </w:t>
            </w:r>
            <w:r>
              <w:rPr>
                <w:rFonts w:ascii="Arial" w:hAnsi="Arial" w:hint="default"/>
                <w:sz w:val="20"/>
                <w:szCs w:val="20"/>
                <w:shd w:val="nil" w:color="auto" w:fill="auto"/>
                <w:rtl w:val="0"/>
              </w:rPr>
              <w:t>š</w:t>
            </w:r>
            <w:r>
              <w:rPr>
                <w:rFonts w:ascii="Arial" w:hAnsi="Arial"/>
                <w:sz w:val="20"/>
                <w:szCs w:val="20"/>
                <w:shd w:val="nil" w:color="auto" w:fill="auto"/>
                <w:rtl w:val="0"/>
              </w:rPr>
              <w:t xml:space="preserve">t. 1, 4, 6, 7, 9, 10 in 11 (Uradni list RS </w:t>
            </w:r>
            <w:r>
              <w:rPr>
                <w:rFonts w:ascii="Arial" w:hAnsi="Arial" w:hint="default"/>
                <w:sz w:val="20"/>
                <w:szCs w:val="20"/>
                <w:shd w:val="nil" w:color="auto" w:fill="auto"/>
                <w:rtl w:val="0"/>
              </w:rPr>
              <w:t xml:space="preserve">– </w:t>
            </w:r>
            <w:r>
              <w:rPr>
                <w:rFonts w:ascii="Arial" w:hAnsi="Arial"/>
                <w:sz w:val="20"/>
                <w:szCs w:val="20"/>
                <w:shd w:val="nil" w:color="auto" w:fill="auto"/>
                <w:rtl w:val="0"/>
                <w:lang w:val="fr-FR"/>
              </w:rPr>
              <w:t xml:space="preserve">MP, </w:t>
            </w:r>
            <w:r>
              <w:rPr>
                <w:rFonts w:ascii="Arial" w:hAnsi="Arial" w:hint="default"/>
                <w:sz w:val="20"/>
                <w:szCs w:val="20"/>
                <w:shd w:val="nil" w:color="auto" w:fill="auto"/>
                <w:rtl w:val="0"/>
              </w:rPr>
              <w:t>š</w:t>
            </w:r>
            <w:r>
              <w:rPr>
                <w:rFonts w:ascii="Arial" w:hAnsi="Arial"/>
                <w:sz w:val="20"/>
                <w:szCs w:val="20"/>
                <w:shd w:val="nil" w:color="auto" w:fill="auto"/>
                <w:rtl w:val="0"/>
              </w:rPr>
              <w:t>t. 7/94), Evropsko konvencijo o prepre</w:t>
            </w:r>
            <w:r>
              <w:rPr>
                <w:rFonts w:ascii="Arial" w:hAnsi="Arial" w:hint="default"/>
                <w:sz w:val="20"/>
                <w:szCs w:val="20"/>
                <w:shd w:val="nil" w:color="auto" w:fill="auto"/>
                <w:rtl w:val="0"/>
              </w:rPr>
              <w:t>č</w:t>
            </w:r>
            <w:r>
              <w:rPr>
                <w:rFonts w:ascii="Arial" w:hAnsi="Arial"/>
                <w:sz w:val="20"/>
                <w:szCs w:val="20"/>
                <w:shd w:val="nil" w:color="auto" w:fill="auto"/>
                <w:rtl w:val="0"/>
              </w:rPr>
              <w:t>evanju mu</w:t>
            </w:r>
            <w:r>
              <w:rPr>
                <w:rFonts w:ascii="Arial" w:hAnsi="Arial" w:hint="default"/>
                <w:sz w:val="20"/>
                <w:szCs w:val="20"/>
                <w:shd w:val="nil" w:color="auto" w:fill="auto"/>
                <w:rtl w:val="0"/>
              </w:rPr>
              <w:t>č</w:t>
            </w:r>
            <w:r>
              <w:rPr>
                <w:rFonts w:ascii="Arial" w:hAnsi="Arial"/>
                <w:sz w:val="20"/>
                <w:szCs w:val="20"/>
                <w:shd w:val="nil" w:color="auto" w:fill="auto"/>
                <w:rtl w:val="0"/>
              </w:rPr>
              <w:t>enja in ne</w:t>
            </w:r>
            <w:r>
              <w:rPr>
                <w:rFonts w:ascii="Arial" w:hAnsi="Arial" w:hint="default"/>
                <w:sz w:val="20"/>
                <w:szCs w:val="20"/>
                <w:shd w:val="nil" w:color="auto" w:fill="auto"/>
                <w:rtl w:val="0"/>
              </w:rPr>
              <w:t>č</w:t>
            </w:r>
            <w:r>
              <w:rPr>
                <w:rFonts w:ascii="Arial" w:hAnsi="Arial"/>
                <w:sz w:val="20"/>
                <w:szCs w:val="20"/>
                <w:shd w:val="nil" w:color="auto" w:fill="auto"/>
                <w:rtl w:val="0"/>
              </w:rPr>
              <w:t>love</w:t>
            </w:r>
            <w:r>
              <w:rPr>
                <w:rFonts w:ascii="Arial" w:hAnsi="Arial" w:hint="default"/>
                <w:sz w:val="20"/>
                <w:szCs w:val="20"/>
                <w:shd w:val="nil" w:color="auto" w:fill="auto"/>
                <w:rtl w:val="0"/>
              </w:rPr>
              <w:t>š</w:t>
            </w:r>
            <w:r>
              <w:rPr>
                <w:rFonts w:ascii="Arial" w:hAnsi="Arial"/>
                <w:sz w:val="20"/>
                <w:szCs w:val="20"/>
                <w:shd w:val="nil" w:color="auto" w:fill="auto"/>
                <w:rtl w:val="0"/>
              </w:rPr>
              <w:t>kega ali poni</w:t>
            </w:r>
            <w:r>
              <w:rPr>
                <w:rFonts w:ascii="Arial" w:hAnsi="Arial" w:hint="default"/>
                <w:sz w:val="20"/>
                <w:szCs w:val="20"/>
                <w:shd w:val="nil" w:color="auto" w:fill="auto"/>
                <w:rtl w:val="0"/>
              </w:rPr>
              <w:t>ž</w:t>
            </w:r>
            <w:r>
              <w:rPr>
                <w:rFonts w:ascii="Arial" w:hAnsi="Arial"/>
                <w:sz w:val="20"/>
                <w:szCs w:val="20"/>
                <w:shd w:val="nil" w:color="auto" w:fill="auto"/>
                <w:rtl w:val="0"/>
                <w:lang w:val="fr-FR"/>
              </w:rPr>
              <w:t>ujo</w:t>
            </w:r>
            <w:r>
              <w:rPr>
                <w:rFonts w:ascii="Arial" w:hAnsi="Arial" w:hint="default"/>
                <w:sz w:val="20"/>
                <w:szCs w:val="20"/>
                <w:shd w:val="nil" w:color="auto" w:fill="auto"/>
                <w:rtl w:val="0"/>
              </w:rPr>
              <w:t>č</w:t>
            </w:r>
            <w:r>
              <w:rPr>
                <w:rFonts w:ascii="Arial" w:hAnsi="Arial"/>
                <w:sz w:val="20"/>
                <w:szCs w:val="20"/>
                <w:shd w:val="nil" w:color="auto" w:fill="auto"/>
                <w:rtl w:val="0"/>
              </w:rPr>
              <w:t xml:space="preserve">ega ravnanja ali kaznovanja (Uradni list RS </w:t>
            </w:r>
            <w:r>
              <w:rPr>
                <w:rFonts w:ascii="Arial" w:hAnsi="Arial" w:hint="default"/>
                <w:sz w:val="20"/>
                <w:szCs w:val="20"/>
                <w:shd w:val="nil" w:color="auto" w:fill="auto"/>
                <w:rtl w:val="0"/>
              </w:rPr>
              <w:t xml:space="preserve">– </w:t>
            </w:r>
            <w:r>
              <w:rPr>
                <w:rFonts w:ascii="Arial" w:hAnsi="Arial"/>
                <w:sz w:val="20"/>
                <w:szCs w:val="20"/>
                <w:shd w:val="nil" w:color="auto" w:fill="auto"/>
                <w:rtl w:val="0"/>
                <w:lang w:val="fr-FR"/>
              </w:rPr>
              <w:t xml:space="preserve">MP, </w:t>
            </w:r>
            <w:r>
              <w:rPr>
                <w:rFonts w:ascii="Arial" w:hAnsi="Arial" w:hint="default"/>
                <w:sz w:val="20"/>
                <w:szCs w:val="20"/>
                <w:shd w:val="nil" w:color="auto" w:fill="auto"/>
                <w:rtl w:val="0"/>
              </w:rPr>
              <w:t>š</w:t>
            </w:r>
            <w:r>
              <w:rPr>
                <w:rFonts w:ascii="Arial" w:hAnsi="Arial"/>
                <w:sz w:val="20"/>
                <w:szCs w:val="20"/>
                <w:shd w:val="nil" w:color="auto" w:fill="auto"/>
                <w:rtl w:val="0"/>
              </w:rPr>
              <w:t xml:space="preserve">t. 1/94) ali Konvencijo o otrokovih pravicah (Uradni list RS </w:t>
            </w:r>
            <w:r>
              <w:rPr>
                <w:rFonts w:ascii="Arial" w:hAnsi="Arial" w:hint="default"/>
                <w:sz w:val="20"/>
                <w:szCs w:val="20"/>
                <w:shd w:val="nil" w:color="auto" w:fill="auto"/>
                <w:rtl w:val="0"/>
              </w:rPr>
              <w:t xml:space="preserve">– </w:t>
            </w:r>
            <w:r>
              <w:rPr>
                <w:rFonts w:ascii="Arial" w:hAnsi="Arial"/>
                <w:sz w:val="20"/>
                <w:szCs w:val="20"/>
                <w:shd w:val="nil" w:color="auto" w:fill="auto"/>
                <w:rtl w:val="0"/>
                <w:lang w:val="fr-FR"/>
              </w:rPr>
              <w:t xml:space="preserve">MP, </w:t>
            </w:r>
            <w:r>
              <w:rPr>
                <w:rFonts w:ascii="Arial" w:hAnsi="Arial" w:hint="default"/>
                <w:sz w:val="20"/>
                <w:szCs w:val="20"/>
                <w:shd w:val="nil" w:color="auto" w:fill="auto"/>
                <w:rtl w:val="0"/>
              </w:rPr>
              <w:t>š</w:t>
            </w:r>
            <w:r>
              <w:rPr>
                <w:rFonts w:ascii="Arial" w:hAnsi="Arial"/>
                <w:sz w:val="20"/>
                <w:szCs w:val="20"/>
                <w:shd w:val="nil" w:color="auto" w:fill="auto"/>
                <w:rtl w:val="0"/>
              </w:rPr>
              <w:t>t. 9/92) in Evropsko konvencijo o uresni</w:t>
            </w:r>
            <w:r>
              <w:rPr>
                <w:rFonts w:ascii="Arial" w:hAnsi="Arial" w:hint="default"/>
                <w:sz w:val="20"/>
                <w:szCs w:val="20"/>
                <w:shd w:val="nil" w:color="auto" w:fill="auto"/>
                <w:rtl w:val="0"/>
              </w:rPr>
              <w:t>č</w:t>
            </w:r>
            <w:r>
              <w:rPr>
                <w:rFonts w:ascii="Arial" w:hAnsi="Arial"/>
                <w:sz w:val="20"/>
                <w:szCs w:val="20"/>
                <w:shd w:val="nil" w:color="auto" w:fill="auto"/>
                <w:rtl w:val="0"/>
              </w:rPr>
              <w:t xml:space="preserve">evanju otrokovih pravic (Uradni list RS </w:t>
            </w:r>
            <w:r>
              <w:rPr>
                <w:rFonts w:ascii="Arial" w:hAnsi="Arial" w:hint="default"/>
                <w:sz w:val="20"/>
                <w:szCs w:val="20"/>
                <w:shd w:val="nil" w:color="auto" w:fill="auto"/>
                <w:rtl w:val="0"/>
              </w:rPr>
              <w:t xml:space="preserve">– </w:t>
            </w:r>
            <w:r>
              <w:rPr>
                <w:rFonts w:ascii="Arial" w:hAnsi="Arial"/>
                <w:sz w:val="20"/>
                <w:szCs w:val="20"/>
                <w:shd w:val="nil" w:color="auto" w:fill="auto"/>
                <w:rtl w:val="0"/>
                <w:lang w:val="fr-FR"/>
              </w:rPr>
              <w:t xml:space="preserve">MP, </w:t>
            </w:r>
            <w:r>
              <w:rPr>
                <w:rFonts w:ascii="Arial" w:hAnsi="Arial" w:hint="default"/>
                <w:sz w:val="20"/>
                <w:szCs w:val="20"/>
                <w:shd w:val="nil" w:color="auto" w:fill="auto"/>
                <w:rtl w:val="0"/>
              </w:rPr>
              <w:t>š</w:t>
            </w:r>
            <w:r>
              <w:rPr>
                <w:rFonts w:ascii="Arial" w:hAnsi="Arial"/>
                <w:sz w:val="20"/>
                <w:szCs w:val="20"/>
                <w:shd w:val="nil" w:color="auto" w:fill="auto"/>
                <w:rtl w:val="0"/>
              </w:rPr>
              <w:t>t. 26/99). Do odstranitve se mladoletnemu tujcu dovoli zadr</w:t>
            </w:r>
            <w:r>
              <w:rPr>
                <w:rFonts w:ascii="Arial" w:hAnsi="Arial" w:hint="default"/>
                <w:sz w:val="20"/>
                <w:szCs w:val="20"/>
                <w:shd w:val="nil" w:color="auto" w:fill="auto"/>
                <w:rtl w:val="0"/>
              </w:rPr>
              <w:t>ž</w:t>
            </w:r>
            <w:r>
              <w:rPr>
                <w:rFonts w:ascii="Arial" w:hAnsi="Arial"/>
                <w:sz w:val="20"/>
                <w:szCs w:val="20"/>
                <w:shd w:val="nil" w:color="auto" w:fill="auto"/>
                <w:rtl w:val="0"/>
              </w:rPr>
              <w:t>evanje v skladu z dolo</w:t>
            </w:r>
            <w:r>
              <w:rPr>
                <w:rFonts w:ascii="Arial" w:hAnsi="Arial" w:hint="default"/>
                <w:sz w:val="20"/>
                <w:szCs w:val="20"/>
                <w:shd w:val="nil" w:color="auto" w:fill="auto"/>
                <w:rtl w:val="0"/>
              </w:rPr>
              <w:t>č</w:t>
            </w:r>
            <w:r>
              <w:rPr>
                <w:rFonts w:ascii="Arial" w:hAnsi="Arial"/>
                <w:sz w:val="20"/>
                <w:szCs w:val="20"/>
                <w:shd w:val="nil" w:color="auto" w:fill="auto"/>
                <w:rtl w:val="0"/>
              </w:rPr>
              <w:t xml:space="preserve">bami tega zakona. </w:t>
            </w:r>
          </w:p>
        </w:tc>
        <w:tc>
          <w:tcPr>
            <w:tcW w:type="dxa" w:w="1195"/>
            <w:gridSpan w:val="3"/>
            <w:vMerge w:val="continue"/>
            <w:tcBorders>
              <w:top w:val="nil"/>
              <w:left w:val="nil"/>
              <w:bottom w:val="nil"/>
              <w:right w:val="nil"/>
            </w:tcBorders>
            <w:shd w:val="clear" w:color="auto" w:fill="auto"/>
          </w:tcPr>
          <w:p/>
        </w:tc>
        <w:tc>
          <w:tcPr>
            <w:tcW w:type="dxa" w:w="4049"/>
            <w:tcBorders>
              <w:top w:val="nil"/>
              <w:left w:val="nil"/>
              <w:bottom w:val="nil"/>
              <w:right w:val="nil"/>
            </w:tcBorders>
            <w:shd w:val="clear" w:color="auto" w:fill="auto"/>
            <w:tcMar>
              <w:top w:type="dxa" w:w="80"/>
              <w:left w:type="dxa" w:w="80"/>
              <w:bottom w:type="dxa" w:w="80"/>
              <w:right w:type="dxa" w:w="80"/>
            </w:tcMar>
            <w:vAlign w:val="top"/>
          </w:tcPr>
          <w:p>
            <w:pPr>
              <w:pStyle w:val="Normal.0"/>
              <w:suppressAutoHyphens w:val="1"/>
              <w:spacing w:before="240" w:after="0" w:line="240" w:lineRule="auto"/>
              <w:ind w:firstLine="1021"/>
              <w:jc w:val="both"/>
            </w:pPr>
            <w:r>
              <w:rPr>
                <w:rFonts w:ascii="Arial" w:hAnsi="Arial"/>
                <w:sz w:val="20"/>
                <w:szCs w:val="20"/>
                <w:shd w:val="nil" w:color="auto" w:fill="auto"/>
                <w:rtl w:val="0"/>
                <w:lang w:val="en-US"/>
              </w:rPr>
              <w:t xml:space="preserve">(2) A foreign minor referred to in the preceding paragraph may not be removed to his or her country of origin or to a third country that is willing to admit him or her until admission to the respective country is ensured for him or her. Prior to removing a foreign minor, it needs to be ensured that he or she will be returned to a member of his or her family, an appointed guardian or adequate reception facilities in the country of return. In no case may an unaccompanied foreign minor be removed contrary to the Convention for the Protection of Human Rights and Fundamental Freedoms, amended with Protocols Nos 3, 5 and 8 and supplemented with Protocol No 2, and its Protocols Nos 1, 4, 6, 7, 9, 10 and 11 (Official Gazette of the Republic of Slovenia </w:t>
            </w:r>
            <w:r>
              <w:rPr>
                <w:rFonts w:ascii="Arial" w:hAnsi="Arial" w:hint="default"/>
                <w:sz w:val="20"/>
                <w:szCs w:val="20"/>
                <w:shd w:val="nil" w:color="auto" w:fill="auto"/>
                <w:rtl w:val="0"/>
                <w:lang w:val="en-US"/>
              </w:rPr>
              <w:t xml:space="preserve">– </w:t>
            </w:r>
            <w:r>
              <w:rPr>
                <w:rFonts w:ascii="Arial" w:hAnsi="Arial"/>
                <w:sz w:val="20"/>
                <w:szCs w:val="20"/>
                <w:shd w:val="nil" w:color="auto" w:fill="auto"/>
                <w:rtl w:val="0"/>
                <w:lang w:val="en-US"/>
              </w:rPr>
              <w:t>International Treaties [</w:t>
            </w:r>
            <w:r>
              <w:rPr>
                <w:rFonts w:ascii="Arial" w:hAnsi="Arial"/>
                <w:i w:val="1"/>
                <w:iCs w:val="1"/>
                <w:sz w:val="20"/>
                <w:szCs w:val="20"/>
                <w:shd w:val="nil" w:color="auto" w:fill="auto"/>
                <w:rtl w:val="0"/>
                <w:lang w:val="en-US"/>
              </w:rPr>
              <w:t xml:space="preserve">Uradni list RS </w:t>
            </w:r>
            <w:r>
              <w:rPr>
                <w:rFonts w:ascii="Arial" w:hAnsi="Arial" w:hint="default"/>
                <w:i w:val="1"/>
                <w:iCs w:val="1"/>
                <w:sz w:val="20"/>
                <w:szCs w:val="20"/>
                <w:shd w:val="nil" w:color="auto" w:fill="auto"/>
                <w:rtl w:val="0"/>
                <w:lang w:val="en-US"/>
              </w:rPr>
              <w:t xml:space="preserve">– </w:t>
            </w:r>
            <w:r>
              <w:rPr>
                <w:rFonts w:ascii="Arial" w:hAnsi="Arial"/>
                <w:i w:val="1"/>
                <w:iCs w:val="1"/>
                <w:sz w:val="20"/>
                <w:szCs w:val="20"/>
                <w:shd w:val="nil" w:color="auto" w:fill="auto"/>
                <w:rtl w:val="0"/>
                <w:lang w:val="en-US"/>
              </w:rPr>
              <w:t>Mednarodne pogodbe</w:t>
            </w:r>
            <w:r>
              <w:rPr>
                <w:rFonts w:ascii="Arial" w:hAnsi="Arial"/>
                <w:sz w:val="20"/>
                <w:szCs w:val="20"/>
                <w:shd w:val="nil" w:color="auto" w:fill="auto"/>
                <w:rtl w:val="0"/>
                <w:lang w:val="en-US"/>
              </w:rPr>
              <w:t xml:space="preserve">], No. 7/94), the European Convention for the Prevention of Torture and Inhuman or Degrading Treatment or Punishment (Official Gazette of the Republic of Slovenia </w:t>
            </w:r>
            <w:r>
              <w:rPr>
                <w:rFonts w:ascii="Arial" w:hAnsi="Arial" w:hint="default"/>
                <w:sz w:val="20"/>
                <w:szCs w:val="20"/>
                <w:shd w:val="nil" w:color="auto" w:fill="auto"/>
                <w:rtl w:val="0"/>
                <w:lang w:val="en-US"/>
              </w:rPr>
              <w:t xml:space="preserve">– </w:t>
            </w:r>
            <w:r>
              <w:rPr>
                <w:rFonts w:ascii="Arial" w:hAnsi="Arial"/>
                <w:sz w:val="20"/>
                <w:szCs w:val="20"/>
                <w:shd w:val="nil" w:color="auto" w:fill="auto"/>
                <w:rtl w:val="0"/>
                <w:lang w:val="en-US"/>
              </w:rPr>
              <w:t>International Treaties [</w:t>
            </w:r>
            <w:r>
              <w:rPr>
                <w:rFonts w:ascii="Arial" w:hAnsi="Arial"/>
                <w:i w:val="1"/>
                <w:iCs w:val="1"/>
                <w:sz w:val="20"/>
                <w:szCs w:val="20"/>
                <w:shd w:val="nil" w:color="auto" w:fill="auto"/>
                <w:rtl w:val="0"/>
                <w:lang w:val="en-US"/>
              </w:rPr>
              <w:t xml:space="preserve">Uradni list RS </w:t>
            </w:r>
            <w:r>
              <w:rPr>
                <w:rFonts w:ascii="Arial" w:hAnsi="Arial" w:hint="default"/>
                <w:i w:val="1"/>
                <w:iCs w:val="1"/>
                <w:sz w:val="20"/>
                <w:szCs w:val="20"/>
                <w:shd w:val="nil" w:color="auto" w:fill="auto"/>
                <w:rtl w:val="0"/>
                <w:lang w:val="en-US"/>
              </w:rPr>
              <w:t xml:space="preserve">– </w:t>
            </w:r>
            <w:r>
              <w:rPr>
                <w:rFonts w:ascii="Arial" w:hAnsi="Arial"/>
                <w:i w:val="1"/>
                <w:iCs w:val="1"/>
                <w:sz w:val="20"/>
                <w:szCs w:val="20"/>
                <w:shd w:val="nil" w:color="auto" w:fill="auto"/>
                <w:rtl w:val="0"/>
                <w:lang w:val="en-US"/>
              </w:rPr>
              <w:t>Mednarodne pogodbe</w:t>
            </w:r>
            <w:r>
              <w:rPr>
                <w:rFonts w:ascii="Arial" w:hAnsi="Arial"/>
                <w:sz w:val="20"/>
                <w:szCs w:val="20"/>
                <w:shd w:val="nil" w:color="auto" w:fill="auto"/>
                <w:rtl w:val="0"/>
                <w:lang w:val="en-US"/>
              </w:rPr>
              <w:t xml:space="preserve">], No. 1/94), or the Convention on the Rights of the Child (Official Gazette of the Republic of Slovenia </w:t>
            </w:r>
            <w:r>
              <w:rPr>
                <w:rFonts w:ascii="Arial" w:hAnsi="Arial" w:hint="default"/>
                <w:sz w:val="20"/>
                <w:szCs w:val="20"/>
                <w:shd w:val="nil" w:color="auto" w:fill="auto"/>
                <w:rtl w:val="0"/>
                <w:lang w:val="en-US"/>
              </w:rPr>
              <w:t xml:space="preserve">– </w:t>
            </w:r>
            <w:r>
              <w:rPr>
                <w:rFonts w:ascii="Arial" w:hAnsi="Arial"/>
                <w:sz w:val="20"/>
                <w:szCs w:val="20"/>
                <w:shd w:val="nil" w:color="auto" w:fill="auto"/>
                <w:rtl w:val="0"/>
                <w:lang w:val="en-US"/>
              </w:rPr>
              <w:t>International Treaties [</w:t>
            </w:r>
            <w:r>
              <w:rPr>
                <w:rFonts w:ascii="Arial" w:hAnsi="Arial"/>
                <w:i w:val="1"/>
                <w:iCs w:val="1"/>
                <w:sz w:val="20"/>
                <w:szCs w:val="20"/>
                <w:shd w:val="nil" w:color="auto" w:fill="auto"/>
                <w:rtl w:val="0"/>
                <w:lang w:val="en-US"/>
              </w:rPr>
              <w:t xml:space="preserve">Uradni list RS </w:t>
            </w:r>
            <w:r>
              <w:rPr>
                <w:rFonts w:ascii="Arial" w:hAnsi="Arial" w:hint="default"/>
                <w:i w:val="1"/>
                <w:iCs w:val="1"/>
                <w:sz w:val="20"/>
                <w:szCs w:val="20"/>
                <w:shd w:val="nil" w:color="auto" w:fill="auto"/>
                <w:rtl w:val="0"/>
                <w:lang w:val="en-US"/>
              </w:rPr>
              <w:t xml:space="preserve">– </w:t>
            </w:r>
            <w:r>
              <w:rPr>
                <w:rFonts w:ascii="Arial" w:hAnsi="Arial"/>
                <w:i w:val="1"/>
                <w:iCs w:val="1"/>
                <w:sz w:val="20"/>
                <w:szCs w:val="20"/>
                <w:shd w:val="nil" w:color="auto" w:fill="auto"/>
                <w:rtl w:val="0"/>
                <w:lang w:val="en-US"/>
              </w:rPr>
              <w:t>Mednarodne pogodbe</w:t>
            </w:r>
            <w:r>
              <w:rPr>
                <w:rFonts w:ascii="Arial" w:hAnsi="Arial"/>
                <w:sz w:val="20"/>
                <w:szCs w:val="20"/>
                <w:shd w:val="nil" w:color="auto" w:fill="auto"/>
                <w:rtl w:val="0"/>
                <w:lang w:val="en-US"/>
              </w:rPr>
              <w:t>], No. 9/92) and the European Convention on the Exercise of Children's Rights</w:t>
            </w:r>
            <w:r>
              <w:rPr>
                <w:rFonts w:ascii="Arial" w:hAnsi="Arial" w:hint="default"/>
                <w:sz w:val="20"/>
                <w:szCs w:val="20"/>
                <w:shd w:val="nil" w:color="auto" w:fill="auto"/>
                <w:rtl w:val="0"/>
                <w:lang w:val="en-US"/>
              </w:rPr>
              <w:t xml:space="preserve">” </w:t>
            </w:r>
            <w:r>
              <w:rPr>
                <w:rFonts w:ascii="Arial" w:hAnsi="Arial"/>
                <w:sz w:val="20"/>
                <w:szCs w:val="20"/>
                <w:shd w:val="nil" w:color="auto" w:fill="auto"/>
                <w:rtl w:val="0"/>
                <w:lang w:val="en-US"/>
              </w:rPr>
              <w:t xml:space="preserve">(Official Gazette of the Republic of Slovenia </w:t>
            </w:r>
            <w:r>
              <w:rPr>
                <w:rFonts w:ascii="Arial" w:hAnsi="Arial" w:hint="default"/>
                <w:sz w:val="20"/>
                <w:szCs w:val="20"/>
                <w:shd w:val="nil" w:color="auto" w:fill="auto"/>
                <w:rtl w:val="0"/>
                <w:lang w:val="en-US"/>
              </w:rPr>
              <w:t xml:space="preserve">– </w:t>
            </w:r>
            <w:r>
              <w:rPr>
                <w:rFonts w:ascii="Arial" w:hAnsi="Arial"/>
                <w:sz w:val="20"/>
                <w:szCs w:val="20"/>
                <w:shd w:val="nil" w:color="auto" w:fill="auto"/>
                <w:rtl w:val="0"/>
                <w:lang w:val="en-US"/>
              </w:rPr>
              <w:t>International Treaties [</w:t>
            </w:r>
            <w:r>
              <w:rPr>
                <w:rFonts w:ascii="Arial" w:hAnsi="Arial"/>
                <w:i w:val="1"/>
                <w:iCs w:val="1"/>
                <w:sz w:val="20"/>
                <w:szCs w:val="20"/>
                <w:shd w:val="nil" w:color="auto" w:fill="auto"/>
                <w:rtl w:val="0"/>
                <w:lang w:val="en-US"/>
              </w:rPr>
              <w:t xml:space="preserve">Uradni list RS </w:t>
            </w:r>
            <w:r>
              <w:rPr>
                <w:rFonts w:ascii="Arial" w:hAnsi="Arial" w:hint="default"/>
                <w:i w:val="1"/>
                <w:iCs w:val="1"/>
                <w:sz w:val="20"/>
                <w:szCs w:val="20"/>
                <w:shd w:val="nil" w:color="auto" w:fill="auto"/>
                <w:rtl w:val="0"/>
                <w:lang w:val="en-US"/>
              </w:rPr>
              <w:t xml:space="preserve">– </w:t>
            </w:r>
            <w:r>
              <w:rPr>
                <w:rFonts w:ascii="Arial" w:hAnsi="Arial"/>
                <w:i w:val="1"/>
                <w:iCs w:val="1"/>
                <w:sz w:val="20"/>
                <w:szCs w:val="20"/>
                <w:shd w:val="nil" w:color="auto" w:fill="auto"/>
                <w:rtl w:val="0"/>
                <w:lang w:val="en-US"/>
              </w:rPr>
              <w:t>Mednarodne pogodbe</w:t>
            </w:r>
            <w:r>
              <w:rPr>
                <w:rFonts w:ascii="Arial" w:hAnsi="Arial"/>
                <w:sz w:val="20"/>
                <w:szCs w:val="20"/>
                <w:shd w:val="nil" w:color="auto" w:fill="auto"/>
                <w:rtl w:val="0"/>
                <w:lang w:val="en-US"/>
              </w:rPr>
              <w:t>], No. 26/99). A foreign minor shall be permitted to stay in accordance with the provisions of this Act until his or her removal.</w:t>
            </w:r>
          </w:p>
        </w:tc>
      </w:tr>
      <w:tr>
        <w:tblPrEx>
          <w:shd w:val="clear" w:color="auto" w:fill="d0ddef"/>
        </w:tblPrEx>
        <w:trPr>
          <w:trHeight w:val="2413" w:hRule="atLeast"/>
        </w:trPr>
        <w:tc>
          <w:tcPr>
            <w:tcW w:type="dxa" w:w="3828"/>
            <w:tcBorders>
              <w:top w:val="nil"/>
              <w:left w:val="nil"/>
              <w:bottom w:val="nil"/>
              <w:right w:val="nil"/>
            </w:tcBorders>
            <w:shd w:val="clear" w:color="auto" w:fill="auto"/>
            <w:tcMar>
              <w:top w:type="dxa" w:w="80"/>
              <w:left w:type="dxa" w:w="80"/>
              <w:bottom w:type="dxa" w:w="80"/>
              <w:right w:type="dxa" w:w="80"/>
            </w:tcMar>
            <w:vAlign w:val="top"/>
          </w:tcPr>
          <w:p>
            <w:pPr>
              <w:pStyle w:val="Normal.0"/>
              <w:suppressAutoHyphens w:val="1"/>
              <w:spacing w:before="240" w:after="0" w:line="240" w:lineRule="auto"/>
              <w:ind w:firstLine="1021"/>
              <w:jc w:val="both"/>
            </w:pPr>
            <w:r>
              <w:rPr>
                <w:rFonts w:ascii="Arial" w:hAnsi="Arial"/>
                <w:sz w:val="20"/>
                <w:szCs w:val="20"/>
                <w:shd w:val="nil" w:color="auto" w:fill="auto"/>
                <w:rtl w:val="0"/>
              </w:rPr>
              <w:t>(3)</w:t>
            </w:r>
            <w:r>
              <w:rPr>
                <w:rFonts w:ascii="Arial" w:hAnsi="Arial" w:hint="default"/>
                <w:sz w:val="20"/>
                <w:szCs w:val="20"/>
                <w:shd w:val="nil" w:color="auto" w:fill="auto"/>
                <w:rtl w:val="0"/>
              </w:rPr>
              <w:t> </w:t>
            </w:r>
            <w:r>
              <w:rPr>
                <w:rFonts w:ascii="Arial" w:hAnsi="Arial"/>
                <w:sz w:val="20"/>
                <w:szCs w:val="20"/>
                <w:shd w:val="nil" w:color="auto" w:fill="auto"/>
                <w:rtl w:val="0"/>
              </w:rPr>
              <w:t>Mladoletnega tujca in dru</w:t>
            </w:r>
            <w:r>
              <w:rPr>
                <w:rFonts w:ascii="Arial" w:hAnsi="Arial" w:hint="default"/>
                <w:sz w:val="20"/>
                <w:szCs w:val="20"/>
                <w:shd w:val="nil" w:color="auto" w:fill="auto"/>
                <w:rtl w:val="0"/>
              </w:rPr>
              <w:t>ž</w:t>
            </w:r>
            <w:r>
              <w:rPr>
                <w:rFonts w:ascii="Arial" w:hAnsi="Arial"/>
                <w:sz w:val="20"/>
                <w:szCs w:val="20"/>
                <w:shd w:val="nil" w:color="auto" w:fill="auto"/>
                <w:rtl w:val="0"/>
              </w:rPr>
              <w:t>ino z mladoletnim tujcem se v dogovoru s skrbnikom za posebni primer nastani v primernih ustanovah za nastanitev mladoletnih oseb, kjer mu bodo zagotovljene pravice iz prej</w:t>
            </w:r>
            <w:r>
              <w:rPr>
                <w:rFonts w:ascii="Arial" w:hAnsi="Arial" w:hint="default"/>
                <w:sz w:val="20"/>
                <w:szCs w:val="20"/>
                <w:shd w:val="nil" w:color="auto" w:fill="auto"/>
                <w:rtl w:val="0"/>
              </w:rPr>
              <w:t>š</w:t>
            </w:r>
            <w:r>
              <w:rPr>
                <w:rFonts w:ascii="Arial" w:hAnsi="Arial"/>
                <w:sz w:val="20"/>
                <w:szCs w:val="20"/>
                <w:shd w:val="nil" w:color="auto" w:fill="auto"/>
                <w:rtl w:val="0"/>
              </w:rPr>
              <w:t xml:space="preserve">njega odstavka. </w:t>
            </w:r>
            <w:r>
              <w:rPr>
                <w:rFonts w:ascii="Arial" w:hAnsi="Arial" w:hint="default"/>
                <w:sz w:val="20"/>
                <w:szCs w:val="20"/>
                <w:shd w:val="nil" w:color="auto" w:fill="auto"/>
                <w:rtl w:val="0"/>
                <w:lang w:val="it-IT"/>
              </w:rPr>
              <w:t>Č</w:t>
            </w:r>
            <w:r>
              <w:rPr>
                <w:rFonts w:ascii="Arial" w:hAnsi="Arial"/>
                <w:sz w:val="20"/>
                <w:szCs w:val="20"/>
                <w:shd w:val="nil" w:color="auto" w:fill="auto"/>
                <w:rtl w:val="0"/>
                <w:lang w:val="it-IT"/>
              </w:rPr>
              <w:t>e to ni mo</w:t>
            </w:r>
            <w:r>
              <w:rPr>
                <w:rFonts w:ascii="Arial" w:hAnsi="Arial" w:hint="default"/>
                <w:sz w:val="20"/>
                <w:szCs w:val="20"/>
                <w:shd w:val="nil" w:color="auto" w:fill="auto"/>
                <w:rtl w:val="0"/>
                <w:lang w:val="it-IT"/>
              </w:rPr>
              <w:t>ž</w:t>
            </w:r>
            <w:r>
              <w:rPr>
                <w:rFonts w:ascii="Arial" w:hAnsi="Arial"/>
                <w:sz w:val="20"/>
                <w:szCs w:val="20"/>
                <w:shd w:val="nil" w:color="auto" w:fill="auto"/>
                <w:rtl w:val="0"/>
                <w:lang w:val="it-IT"/>
              </w:rPr>
              <w:t>no, se mladoletnega tujca brez spremstva in dru</w:t>
            </w:r>
            <w:r>
              <w:rPr>
                <w:rFonts w:ascii="Arial" w:hAnsi="Arial" w:hint="default"/>
                <w:sz w:val="20"/>
                <w:szCs w:val="20"/>
                <w:shd w:val="nil" w:color="auto" w:fill="auto"/>
                <w:rtl w:val="0"/>
                <w:lang w:val="it-IT"/>
              </w:rPr>
              <w:t>ž</w:t>
            </w:r>
            <w:r>
              <w:rPr>
                <w:rFonts w:ascii="Arial" w:hAnsi="Arial"/>
                <w:sz w:val="20"/>
                <w:szCs w:val="20"/>
                <w:shd w:val="nil" w:color="auto" w:fill="auto"/>
                <w:rtl w:val="0"/>
                <w:lang w:val="it-IT"/>
              </w:rPr>
              <w:t>ino z mladoletnim tujcem nastani v center.</w:t>
            </w:r>
          </w:p>
        </w:tc>
        <w:tc>
          <w:tcPr>
            <w:tcW w:type="dxa" w:w="1195"/>
            <w:gridSpan w:val="3"/>
            <w:vMerge w:val="continue"/>
            <w:tcBorders>
              <w:top w:val="nil"/>
              <w:left w:val="nil"/>
              <w:bottom w:val="nil"/>
              <w:right w:val="nil"/>
            </w:tcBorders>
            <w:shd w:val="clear" w:color="auto" w:fill="auto"/>
          </w:tcPr>
          <w:p/>
        </w:tc>
        <w:tc>
          <w:tcPr>
            <w:tcW w:type="dxa" w:w="4049"/>
            <w:tcBorders>
              <w:top w:val="nil"/>
              <w:left w:val="nil"/>
              <w:bottom w:val="nil"/>
              <w:right w:val="nil"/>
            </w:tcBorders>
            <w:shd w:val="clear" w:color="auto" w:fill="auto"/>
            <w:tcMar>
              <w:top w:type="dxa" w:w="80"/>
              <w:left w:type="dxa" w:w="80"/>
              <w:bottom w:type="dxa" w:w="80"/>
              <w:right w:type="dxa" w:w="80"/>
            </w:tcMar>
            <w:vAlign w:val="top"/>
          </w:tcPr>
          <w:p>
            <w:pPr>
              <w:pStyle w:val="Normal.0"/>
              <w:suppressAutoHyphens w:val="1"/>
              <w:spacing w:before="240" w:after="0" w:line="240" w:lineRule="auto"/>
              <w:ind w:firstLine="1021"/>
              <w:jc w:val="both"/>
            </w:pPr>
            <w:r>
              <w:rPr>
                <w:rFonts w:ascii="Arial" w:hAnsi="Arial"/>
                <w:sz w:val="20"/>
                <w:szCs w:val="20"/>
                <w:shd w:val="nil" w:color="auto" w:fill="auto"/>
                <w:rtl w:val="0"/>
                <w:lang w:val="en-US"/>
              </w:rPr>
              <w:t xml:space="preserve">(3) A foreign minor and a family with a foreign minor shall be accommodated, in agreement with the special case guardian, in adequate accommodation facilities for minors, where he or she will be guaranteed the rights referred to in the preceding paragraph. If this is not possible, an unaccompanied foreign minor and a family with a foreign minor shall be accommodated in the Centre. </w:t>
            </w:r>
          </w:p>
        </w:tc>
      </w:tr>
      <w:tr>
        <w:tblPrEx>
          <w:shd w:val="clear" w:color="auto" w:fill="d0ddef"/>
        </w:tblPrEx>
        <w:trPr>
          <w:trHeight w:val="1313" w:hRule="atLeast"/>
        </w:trPr>
        <w:tc>
          <w:tcPr>
            <w:tcW w:type="dxa" w:w="3828"/>
            <w:tcBorders>
              <w:top w:val="nil"/>
              <w:left w:val="nil"/>
              <w:bottom w:val="nil"/>
              <w:right w:val="nil"/>
            </w:tcBorders>
            <w:shd w:val="clear" w:color="auto" w:fill="auto"/>
            <w:tcMar>
              <w:top w:type="dxa" w:w="80"/>
              <w:left w:type="dxa" w:w="80"/>
              <w:bottom w:type="dxa" w:w="80"/>
              <w:right w:type="dxa" w:w="80"/>
            </w:tcMar>
            <w:vAlign w:val="top"/>
          </w:tcPr>
          <w:p>
            <w:pPr>
              <w:pStyle w:val="Normal.0"/>
              <w:suppressAutoHyphens w:val="1"/>
              <w:spacing w:before="240" w:after="0" w:line="240" w:lineRule="auto"/>
              <w:ind w:firstLine="1021"/>
              <w:jc w:val="both"/>
            </w:pPr>
            <w:r>
              <w:rPr>
                <w:rFonts w:ascii="Arial" w:hAnsi="Arial"/>
                <w:sz w:val="20"/>
                <w:szCs w:val="20"/>
                <w:shd w:val="nil" w:color="auto" w:fill="auto"/>
                <w:rtl w:val="0"/>
              </w:rPr>
              <w:t xml:space="preserve">(4) Mladoletnemu tujcu, ki je nastanjen v centru, se v prostem </w:t>
            </w:r>
            <w:r>
              <w:rPr>
                <w:rFonts w:ascii="Arial" w:hAnsi="Arial" w:hint="default"/>
                <w:sz w:val="20"/>
                <w:szCs w:val="20"/>
                <w:shd w:val="nil" w:color="auto" w:fill="auto"/>
                <w:rtl w:val="0"/>
              </w:rPr>
              <w:t>č</w:t>
            </w:r>
            <w:r>
              <w:rPr>
                <w:rFonts w:ascii="Arial" w:hAnsi="Arial"/>
                <w:sz w:val="20"/>
                <w:szCs w:val="20"/>
                <w:shd w:val="nil" w:color="auto" w:fill="auto"/>
                <w:rtl w:val="0"/>
              </w:rPr>
              <w:t>asu omogo</w:t>
            </w:r>
            <w:r>
              <w:rPr>
                <w:rFonts w:ascii="Arial" w:hAnsi="Arial" w:hint="default"/>
                <w:sz w:val="20"/>
                <w:szCs w:val="20"/>
                <w:shd w:val="nil" w:color="auto" w:fill="auto"/>
                <w:rtl w:val="0"/>
              </w:rPr>
              <w:t>č</w:t>
            </w:r>
            <w:r>
              <w:rPr>
                <w:rFonts w:ascii="Arial" w:hAnsi="Arial"/>
                <w:sz w:val="20"/>
                <w:szCs w:val="20"/>
                <w:shd w:val="nil" w:color="auto" w:fill="auto"/>
                <w:rtl w:val="0"/>
              </w:rPr>
              <w:t>i ukvarjanje z dejavnostmi, vklju</w:t>
            </w:r>
            <w:r>
              <w:rPr>
                <w:rFonts w:ascii="Arial" w:hAnsi="Arial" w:hint="default"/>
                <w:sz w:val="20"/>
                <w:szCs w:val="20"/>
                <w:shd w:val="nil" w:color="auto" w:fill="auto"/>
                <w:rtl w:val="0"/>
              </w:rPr>
              <w:t>č</w:t>
            </w:r>
            <w:r>
              <w:rPr>
                <w:rFonts w:ascii="Arial" w:hAnsi="Arial"/>
                <w:sz w:val="20"/>
                <w:szCs w:val="20"/>
                <w:shd w:val="nil" w:color="auto" w:fill="auto"/>
                <w:rtl w:val="0"/>
              </w:rPr>
              <w:t>no z igrami in rekreacijskimi dejavnostmi, primernimi njegovi starosti.</w:t>
            </w:r>
          </w:p>
        </w:tc>
        <w:tc>
          <w:tcPr>
            <w:tcW w:type="dxa" w:w="1195"/>
            <w:gridSpan w:val="3"/>
            <w:vMerge w:val="continue"/>
            <w:tcBorders>
              <w:top w:val="nil"/>
              <w:left w:val="nil"/>
              <w:bottom w:val="nil"/>
              <w:right w:val="nil"/>
            </w:tcBorders>
            <w:shd w:val="clear" w:color="auto" w:fill="auto"/>
          </w:tcPr>
          <w:p/>
        </w:tc>
        <w:tc>
          <w:tcPr>
            <w:tcW w:type="dxa" w:w="4049"/>
            <w:tcBorders>
              <w:top w:val="nil"/>
              <w:left w:val="nil"/>
              <w:bottom w:val="nil"/>
              <w:right w:val="nil"/>
            </w:tcBorders>
            <w:shd w:val="clear" w:color="auto" w:fill="auto"/>
            <w:tcMar>
              <w:top w:type="dxa" w:w="80"/>
              <w:left w:type="dxa" w:w="80"/>
              <w:bottom w:type="dxa" w:w="80"/>
              <w:right w:type="dxa" w:w="80"/>
            </w:tcMar>
            <w:vAlign w:val="top"/>
          </w:tcPr>
          <w:p>
            <w:pPr>
              <w:pStyle w:val="Normal.0"/>
              <w:suppressAutoHyphens w:val="1"/>
              <w:spacing w:before="240" w:after="0" w:line="240" w:lineRule="auto"/>
              <w:ind w:firstLine="1021"/>
              <w:jc w:val="both"/>
            </w:pPr>
            <w:r>
              <w:rPr>
                <w:rFonts w:ascii="Arial" w:hAnsi="Arial"/>
                <w:sz w:val="20"/>
                <w:szCs w:val="20"/>
                <w:shd w:val="nil" w:color="auto" w:fill="auto"/>
                <w:rtl w:val="0"/>
                <w:lang w:val="en-US"/>
              </w:rPr>
              <w:t>(4) A foreign minor accommodated in the Centre shall be enabled to participate in activities in his or her free time, including games and recreational activities appropriate to his or her age.</w:t>
            </w:r>
          </w:p>
        </w:tc>
      </w:tr>
      <w:tr>
        <w:tblPrEx>
          <w:shd w:val="clear" w:color="auto" w:fill="d0ddef"/>
        </w:tblPrEx>
        <w:trPr>
          <w:trHeight w:val="2633" w:hRule="atLeast"/>
        </w:trPr>
        <w:tc>
          <w:tcPr>
            <w:tcW w:type="dxa" w:w="3828"/>
            <w:tcBorders>
              <w:top w:val="nil"/>
              <w:left w:val="nil"/>
              <w:bottom w:val="nil"/>
              <w:right w:val="nil"/>
            </w:tcBorders>
            <w:shd w:val="clear" w:color="auto" w:fill="auto"/>
            <w:tcMar>
              <w:top w:type="dxa" w:w="80"/>
              <w:left w:type="dxa" w:w="80"/>
              <w:bottom w:type="dxa" w:w="80"/>
              <w:right w:type="dxa" w:w="80"/>
            </w:tcMar>
            <w:vAlign w:val="top"/>
          </w:tcPr>
          <w:p>
            <w:pPr>
              <w:pStyle w:val="Normal.0"/>
              <w:suppressAutoHyphens w:val="1"/>
              <w:spacing w:before="240" w:after="0" w:line="240" w:lineRule="auto"/>
              <w:ind w:firstLine="1021"/>
              <w:jc w:val="both"/>
            </w:pPr>
            <w:r>
              <w:rPr>
                <w:rFonts w:ascii="Arial" w:hAnsi="Arial"/>
                <w:sz w:val="20"/>
                <w:szCs w:val="20"/>
                <w:shd w:val="nil" w:color="auto" w:fill="auto"/>
                <w:rtl w:val="0"/>
              </w:rPr>
              <w:t>(5)</w:t>
            </w:r>
            <w:r>
              <w:rPr>
                <w:rFonts w:ascii="Arial" w:hAnsi="Arial" w:hint="default"/>
                <w:sz w:val="20"/>
                <w:szCs w:val="20"/>
                <w:shd w:val="nil" w:color="auto" w:fill="auto"/>
                <w:rtl w:val="0"/>
              </w:rPr>
              <w:t> </w:t>
            </w:r>
            <w:r>
              <w:rPr>
                <w:rFonts w:ascii="Arial" w:hAnsi="Arial"/>
                <w:sz w:val="20"/>
                <w:szCs w:val="20"/>
                <w:shd w:val="nil" w:color="auto" w:fill="auto"/>
                <w:rtl w:val="0"/>
              </w:rPr>
              <w:t>Kadar identiteta mladoletnega tujca ni potrjena in obstaja dvom, da gre za mladoletno osebo, lahko policija ugotavlja starost osebe s pomo</w:t>
            </w:r>
            <w:r>
              <w:rPr>
                <w:rFonts w:ascii="Arial" w:hAnsi="Arial" w:hint="default"/>
                <w:sz w:val="20"/>
                <w:szCs w:val="20"/>
                <w:shd w:val="nil" w:color="auto" w:fill="auto"/>
                <w:rtl w:val="0"/>
              </w:rPr>
              <w:t>č</w:t>
            </w:r>
            <w:r>
              <w:rPr>
                <w:rFonts w:ascii="Arial" w:hAnsi="Arial"/>
                <w:sz w:val="20"/>
                <w:szCs w:val="20"/>
                <w:shd w:val="nil" w:color="auto" w:fill="auto"/>
                <w:rtl w:val="0"/>
              </w:rPr>
              <w:t xml:space="preserve">jo izvedencev. </w:t>
            </w:r>
            <w:r>
              <w:rPr>
                <w:rFonts w:ascii="Arial" w:hAnsi="Arial"/>
                <w:sz w:val="20"/>
                <w:szCs w:val="20"/>
                <w:shd w:val="nil" w:color="auto" w:fill="auto"/>
                <w:rtl w:val="0"/>
                <w:lang w:val="it-IT"/>
              </w:rPr>
              <w:t>Na podlagi mnenja izvedenca policija o starosti osebe izda ugotovitveno odlo</w:t>
            </w:r>
            <w:r>
              <w:rPr>
                <w:rFonts w:ascii="Arial" w:hAnsi="Arial" w:hint="default"/>
                <w:sz w:val="20"/>
                <w:szCs w:val="20"/>
                <w:shd w:val="nil" w:color="auto" w:fill="auto"/>
                <w:rtl w:val="0"/>
                <w:lang w:val="it-IT"/>
              </w:rPr>
              <w:t>č</w:t>
            </w:r>
            <w:r>
              <w:rPr>
                <w:rFonts w:ascii="Arial" w:hAnsi="Arial"/>
                <w:sz w:val="20"/>
                <w:szCs w:val="20"/>
                <w:shd w:val="nil" w:color="auto" w:fill="auto"/>
                <w:rtl w:val="0"/>
                <w:lang w:val="it-IT"/>
              </w:rPr>
              <w:t>bo. Zoper ugotovitveno odlo</w:t>
            </w:r>
            <w:r>
              <w:rPr>
                <w:rFonts w:ascii="Arial" w:hAnsi="Arial" w:hint="default"/>
                <w:sz w:val="20"/>
                <w:szCs w:val="20"/>
                <w:shd w:val="nil" w:color="auto" w:fill="auto"/>
                <w:rtl w:val="0"/>
                <w:lang w:val="it-IT"/>
              </w:rPr>
              <w:t>č</w:t>
            </w:r>
            <w:r>
              <w:rPr>
                <w:rFonts w:ascii="Arial" w:hAnsi="Arial"/>
                <w:sz w:val="20"/>
                <w:szCs w:val="20"/>
                <w:shd w:val="nil" w:color="auto" w:fill="auto"/>
                <w:rtl w:val="0"/>
                <w:lang w:val="it-IT"/>
              </w:rPr>
              <w:t>bo se lahko tujec prito</w:t>
            </w:r>
            <w:r>
              <w:rPr>
                <w:rFonts w:ascii="Arial" w:hAnsi="Arial" w:hint="default"/>
                <w:sz w:val="20"/>
                <w:szCs w:val="20"/>
                <w:shd w:val="nil" w:color="auto" w:fill="auto"/>
                <w:rtl w:val="0"/>
                <w:lang w:val="it-IT"/>
              </w:rPr>
              <w:t>ž</w:t>
            </w:r>
            <w:r>
              <w:rPr>
                <w:rFonts w:ascii="Arial" w:hAnsi="Arial"/>
                <w:sz w:val="20"/>
                <w:szCs w:val="20"/>
                <w:shd w:val="nil" w:color="auto" w:fill="auto"/>
                <w:rtl w:val="0"/>
                <w:lang w:val="it-IT"/>
              </w:rPr>
              <w:t>i v roku osmih dni od vro</w:t>
            </w:r>
            <w:r>
              <w:rPr>
                <w:rFonts w:ascii="Arial" w:hAnsi="Arial" w:hint="default"/>
                <w:sz w:val="20"/>
                <w:szCs w:val="20"/>
                <w:shd w:val="nil" w:color="auto" w:fill="auto"/>
                <w:rtl w:val="0"/>
                <w:lang w:val="it-IT"/>
              </w:rPr>
              <w:t>č</w:t>
            </w:r>
            <w:r>
              <w:rPr>
                <w:rFonts w:ascii="Arial" w:hAnsi="Arial"/>
                <w:sz w:val="20"/>
                <w:szCs w:val="20"/>
                <w:shd w:val="nil" w:color="auto" w:fill="auto"/>
                <w:rtl w:val="0"/>
                <w:lang w:val="it-IT"/>
              </w:rPr>
              <w:t>itve odlo</w:t>
            </w:r>
            <w:r>
              <w:rPr>
                <w:rFonts w:ascii="Arial" w:hAnsi="Arial" w:hint="default"/>
                <w:sz w:val="20"/>
                <w:szCs w:val="20"/>
                <w:shd w:val="nil" w:color="auto" w:fill="auto"/>
                <w:rtl w:val="0"/>
                <w:lang w:val="it-IT"/>
              </w:rPr>
              <w:t>č</w:t>
            </w:r>
            <w:r>
              <w:rPr>
                <w:rFonts w:ascii="Arial" w:hAnsi="Arial"/>
                <w:sz w:val="20"/>
                <w:szCs w:val="20"/>
                <w:shd w:val="nil" w:color="auto" w:fill="auto"/>
                <w:rtl w:val="0"/>
                <w:lang w:val="it-IT"/>
              </w:rPr>
              <w:t xml:space="preserve">be. </w:t>
            </w:r>
            <w:r>
              <w:rPr>
                <w:rFonts w:ascii="Arial" w:hAnsi="Arial"/>
                <w:sz w:val="20"/>
                <w:szCs w:val="20"/>
                <w:shd w:val="nil" w:color="auto" w:fill="auto"/>
                <w:rtl w:val="0"/>
                <w:lang w:val="en-US"/>
              </w:rPr>
              <w:t>O prito</w:t>
            </w:r>
            <w:r>
              <w:rPr>
                <w:rFonts w:ascii="Arial" w:hAnsi="Arial" w:hint="default"/>
                <w:sz w:val="20"/>
                <w:szCs w:val="20"/>
                <w:shd w:val="nil" w:color="auto" w:fill="auto"/>
                <w:rtl w:val="0"/>
                <w:lang w:val="en-US"/>
              </w:rPr>
              <w:t>ž</w:t>
            </w:r>
            <w:r>
              <w:rPr>
                <w:rFonts w:ascii="Arial" w:hAnsi="Arial"/>
                <w:sz w:val="20"/>
                <w:szCs w:val="20"/>
                <w:shd w:val="nil" w:color="auto" w:fill="auto"/>
                <w:rtl w:val="0"/>
                <w:lang w:val="en-US"/>
              </w:rPr>
              <w:t>bi odlo</w:t>
            </w:r>
            <w:r>
              <w:rPr>
                <w:rFonts w:ascii="Arial" w:hAnsi="Arial" w:hint="default"/>
                <w:sz w:val="20"/>
                <w:szCs w:val="20"/>
                <w:shd w:val="nil" w:color="auto" w:fill="auto"/>
                <w:rtl w:val="0"/>
                <w:lang w:val="en-US"/>
              </w:rPr>
              <w:t>č</w:t>
            </w:r>
            <w:r>
              <w:rPr>
                <w:rFonts w:ascii="Arial" w:hAnsi="Arial"/>
                <w:sz w:val="20"/>
                <w:szCs w:val="20"/>
                <w:shd w:val="nil" w:color="auto" w:fill="auto"/>
                <w:rtl w:val="0"/>
                <w:lang w:val="en-US"/>
              </w:rPr>
              <w:t xml:space="preserve">a ministrstvo, pristojno za notranje zadeve. </w:t>
            </w:r>
          </w:p>
        </w:tc>
        <w:tc>
          <w:tcPr>
            <w:tcW w:type="dxa" w:w="1195"/>
            <w:gridSpan w:val="3"/>
            <w:vMerge w:val="continue"/>
            <w:tcBorders>
              <w:top w:val="nil"/>
              <w:left w:val="nil"/>
              <w:bottom w:val="nil"/>
              <w:right w:val="nil"/>
            </w:tcBorders>
            <w:shd w:val="clear" w:color="auto" w:fill="auto"/>
          </w:tcPr>
          <w:p/>
        </w:tc>
        <w:tc>
          <w:tcPr>
            <w:tcW w:type="dxa" w:w="4049"/>
            <w:tcBorders>
              <w:top w:val="nil"/>
              <w:left w:val="nil"/>
              <w:bottom w:val="nil"/>
              <w:right w:val="nil"/>
            </w:tcBorders>
            <w:shd w:val="clear" w:color="auto" w:fill="auto"/>
            <w:tcMar>
              <w:top w:type="dxa" w:w="80"/>
              <w:left w:type="dxa" w:w="80"/>
              <w:bottom w:type="dxa" w:w="80"/>
              <w:right w:type="dxa" w:w="80"/>
            </w:tcMar>
            <w:vAlign w:val="top"/>
          </w:tcPr>
          <w:p>
            <w:pPr>
              <w:pStyle w:val="Normal.0"/>
              <w:suppressAutoHyphens w:val="1"/>
              <w:spacing w:before="240" w:after="0" w:line="240" w:lineRule="auto"/>
              <w:ind w:firstLine="1021"/>
              <w:jc w:val="both"/>
            </w:pPr>
            <w:r>
              <w:rPr>
                <w:rFonts w:ascii="Arial" w:hAnsi="Arial"/>
                <w:sz w:val="20"/>
                <w:szCs w:val="20"/>
                <w:shd w:val="nil" w:color="auto" w:fill="auto"/>
                <w:rtl w:val="0"/>
                <w:lang w:val="en-US"/>
              </w:rPr>
              <w:t xml:space="preserve">(5) Where the identity of a foreign minor is not confirmed and there is a suspicion that he or she is not a minor, the police may establish the age of the person with the assistance of experts. Based on an expert opinion, the police shall issue a declaratory decision on the person's age. An appeal against the declaratory decision shall be allowed within eight days of the service of the decision. Appeals shall be decided by the ministry responsible for the interior. </w:t>
            </w:r>
          </w:p>
        </w:tc>
      </w:tr>
      <w:tr>
        <w:tblPrEx>
          <w:shd w:val="clear" w:color="auto" w:fill="d0ddef"/>
        </w:tblPrEx>
        <w:trPr>
          <w:trHeight w:val="1533" w:hRule="atLeast"/>
        </w:trPr>
        <w:tc>
          <w:tcPr>
            <w:tcW w:type="dxa" w:w="3828"/>
            <w:tcBorders>
              <w:top w:val="nil"/>
              <w:left w:val="nil"/>
              <w:bottom w:val="nil"/>
              <w:right w:val="nil"/>
            </w:tcBorders>
            <w:shd w:val="clear" w:color="auto" w:fill="auto"/>
            <w:tcMar>
              <w:top w:type="dxa" w:w="80"/>
              <w:left w:type="dxa" w:w="80"/>
              <w:bottom w:type="dxa" w:w="80"/>
              <w:right w:type="dxa" w:w="80"/>
            </w:tcMar>
            <w:vAlign w:val="top"/>
          </w:tcPr>
          <w:p>
            <w:pPr>
              <w:pStyle w:val="Normal.0"/>
              <w:suppressAutoHyphens w:val="1"/>
              <w:spacing w:before="240" w:after="0" w:line="240" w:lineRule="auto"/>
              <w:ind w:firstLine="1021"/>
              <w:jc w:val="both"/>
            </w:pPr>
            <w:r>
              <w:rPr>
                <w:rFonts w:ascii="Arial" w:hAnsi="Arial"/>
                <w:sz w:val="20"/>
                <w:szCs w:val="20"/>
                <w:shd w:val="nil" w:color="auto" w:fill="auto"/>
                <w:rtl w:val="0"/>
              </w:rPr>
              <w:t>(6)</w:t>
            </w:r>
            <w:r>
              <w:rPr>
                <w:rFonts w:ascii="Arial" w:hAnsi="Arial" w:hint="default"/>
                <w:sz w:val="20"/>
                <w:szCs w:val="20"/>
                <w:shd w:val="nil" w:color="auto" w:fill="auto"/>
                <w:rtl w:val="0"/>
              </w:rPr>
              <w:t> </w:t>
            </w:r>
            <w:r>
              <w:rPr>
                <w:rFonts w:ascii="Arial" w:hAnsi="Arial"/>
                <w:sz w:val="20"/>
                <w:szCs w:val="20"/>
                <w:shd w:val="nil" w:color="auto" w:fill="auto"/>
                <w:rtl w:val="0"/>
                <w:lang w:val="de-DE"/>
              </w:rPr>
              <w:t>Stro</w:t>
            </w:r>
            <w:r>
              <w:rPr>
                <w:rFonts w:ascii="Arial" w:hAnsi="Arial" w:hint="default"/>
                <w:sz w:val="20"/>
                <w:szCs w:val="20"/>
                <w:shd w:val="nil" w:color="auto" w:fill="auto"/>
                <w:rtl w:val="0"/>
              </w:rPr>
              <w:t>ž</w:t>
            </w:r>
            <w:r>
              <w:rPr>
                <w:rFonts w:ascii="Arial" w:hAnsi="Arial"/>
                <w:sz w:val="20"/>
                <w:szCs w:val="20"/>
                <w:shd w:val="nil" w:color="auto" w:fill="auto"/>
                <w:rtl w:val="0"/>
              </w:rPr>
              <w:t>ji policijski nadzor se za mladoletnega tujca lahko odredi le izjemoma in to le skupaj s star</w:t>
            </w:r>
            <w:r>
              <w:rPr>
                <w:rFonts w:ascii="Arial" w:hAnsi="Arial" w:hint="default"/>
                <w:sz w:val="20"/>
                <w:szCs w:val="20"/>
                <w:shd w:val="nil" w:color="auto" w:fill="auto"/>
                <w:rtl w:val="0"/>
              </w:rPr>
              <w:t>š</w:t>
            </w:r>
            <w:r>
              <w:rPr>
                <w:rFonts w:ascii="Arial" w:hAnsi="Arial"/>
                <w:sz w:val="20"/>
                <w:szCs w:val="20"/>
                <w:shd w:val="nil" w:color="auto" w:fill="auto"/>
                <w:rtl w:val="0"/>
              </w:rPr>
              <w:t>i ali skupaj z enim izmed njih. Zoper mladoletnega tujca brez spremstva ni mogo</w:t>
            </w:r>
            <w:r>
              <w:rPr>
                <w:rFonts w:ascii="Arial" w:hAnsi="Arial" w:hint="default"/>
                <w:sz w:val="20"/>
                <w:szCs w:val="20"/>
                <w:shd w:val="nil" w:color="auto" w:fill="auto"/>
                <w:rtl w:val="0"/>
              </w:rPr>
              <w:t>č</w:t>
            </w:r>
            <w:r>
              <w:rPr>
                <w:rFonts w:ascii="Arial" w:hAnsi="Arial"/>
                <w:sz w:val="20"/>
                <w:szCs w:val="20"/>
                <w:shd w:val="nil" w:color="auto" w:fill="auto"/>
                <w:rtl w:val="0"/>
              </w:rPr>
              <w:t>e odrediti bivanja pod stro</w:t>
            </w:r>
            <w:r>
              <w:rPr>
                <w:rFonts w:ascii="Arial" w:hAnsi="Arial" w:hint="default"/>
                <w:sz w:val="20"/>
                <w:szCs w:val="20"/>
                <w:shd w:val="nil" w:color="auto" w:fill="auto"/>
                <w:rtl w:val="0"/>
              </w:rPr>
              <w:t>ž</w:t>
            </w:r>
            <w:r>
              <w:rPr>
                <w:rFonts w:ascii="Arial" w:hAnsi="Arial"/>
                <w:sz w:val="20"/>
                <w:szCs w:val="20"/>
                <w:shd w:val="nil" w:color="auto" w:fill="auto"/>
                <w:rtl w:val="0"/>
              </w:rPr>
              <w:t>jim policijskim nadzorom.</w:t>
            </w:r>
          </w:p>
        </w:tc>
        <w:tc>
          <w:tcPr>
            <w:tcW w:type="dxa" w:w="1195"/>
            <w:gridSpan w:val="3"/>
            <w:vMerge w:val="continue"/>
            <w:tcBorders>
              <w:top w:val="nil"/>
              <w:left w:val="nil"/>
              <w:bottom w:val="nil"/>
              <w:right w:val="nil"/>
            </w:tcBorders>
            <w:shd w:val="clear" w:color="auto" w:fill="auto"/>
          </w:tcPr>
          <w:p/>
        </w:tc>
        <w:tc>
          <w:tcPr>
            <w:tcW w:type="dxa" w:w="4049"/>
            <w:tcBorders>
              <w:top w:val="nil"/>
              <w:left w:val="nil"/>
              <w:bottom w:val="nil"/>
              <w:right w:val="nil"/>
            </w:tcBorders>
            <w:shd w:val="clear" w:color="auto" w:fill="auto"/>
            <w:tcMar>
              <w:top w:type="dxa" w:w="80"/>
              <w:left w:type="dxa" w:w="80"/>
              <w:bottom w:type="dxa" w:w="80"/>
              <w:right w:type="dxa" w:w="80"/>
            </w:tcMar>
            <w:vAlign w:val="top"/>
          </w:tcPr>
          <w:p>
            <w:pPr>
              <w:pStyle w:val="Normal.0"/>
              <w:suppressAutoHyphens w:val="1"/>
              <w:spacing w:before="240" w:after="0" w:line="240" w:lineRule="auto"/>
              <w:ind w:firstLine="1021"/>
              <w:jc w:val="both"/>
            </w:pPr>
            <w:r>
              <w:rPr>
                <w:rFonts w:ascii="Arial" w:hAnsi="Arial"/>
                <w:sz w:val="20"/>
                <w:szCs w:val="20"/>
                <w:shd w:val="nil" w:color="auto" w:fill="auto"/>
                <w:rtl w:val="0"/>
                <w:lang w:val="en-US"/>
              </w:rPr>
              <w:t>(6) Stricter police supervision may be imposed on a foreign minor only in exceptional cases and only if he or she is accompanied by both or one of his or her parents. Stricter police supervision may not be imposed on an unaccompanied foreign minor.</w:t>
            </w:r>
          </w:p>
        </w:tc>
      </w:tr>
    </w:tbl>
    <w:p>
      <w:pPr>
        <w:pStyle w:val="Normal.0"/>
        <w:widowControl w:val="0"/>
        <w:spacing w:after="0" w:line="240" w:lineRule="auto"/>
        <w:jc w:val="both"/>
      </w:pPr>
      <w:r>
        <w:rPr>
          <w:rFonts w:ascii="Arial" w:cs="Arial" w:hAnsi="Arial" w:eastAsia="Arial"/>
          <w:sz w:val="20"/>
          <w:szCs w:val="20"/>
          <w:lang w:val="en-US"/>
        </w:rPr>
      </w:r>
    </w:p>
    <w:sectPr>
      <w:headerReference w:type="default" r:id="rId4"/>
      <w:footerReference w:type="default" r:id="rId5"/>
      <w:pgSz w:w="11900" w:h="16840" w:orient="portrait"/>
      <w:pgMar w:top="1417" w:right="1417" w:bottom="1417" w:left="1417"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upperLetter"/>
      <w:suff w:val="tab"/>
      <w:lvlText w:val="%1."/>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07" w:hanging="327"/>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33" w:hanging="275"/>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47" w:hanging="327"/>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567" w:hanging="327"/>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293" w:hanging="275"/>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07" w:hanging="327"/>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27" w:hanging="327"/>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53" w:hanging="275"/>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86"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upperLetter"/>
      <w:suff w:val="tab"/>
      <w:lvlText w:val="%1."/>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07" w:hanging="327"/>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33" w:hanging="275"/>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47" w:hanging="327"/>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567" w:hanging="327"/>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293" w:hanging="275"/>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07" w:hanging="327"/>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27" w:hanging="327"/>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53" w:hanging="275"/>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lvl w:ilvl="0">
      <w:start w:val="1"/>
      <w:numFmt w:val="bullet"/>
      <w:suff w:val="tab"/>
      <w:lvlText w:val="-"/>
      <w:lvlJc w:val="left"/>
      <w:pPr>
        <w:ind w:left="786"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multiLevelType w:val="hybridMultilevel"/>
    <w:lvl w:ilvl="0">
      <w:start w:val="1"/>
      <w:numFmt w:val="bullet"/>
      <w:suff w:val="tab"/>
      <w:lvlText w:val="-"/>
      <w:lvlJc w:val="left"/>
      <w:pPr>
        <w:ind w:left="786"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lvl w:ilvl="0">
      <w:start w:val="1"/>
      <w:numFmt w:val="bullet"/>
      <w:suff w:val="tab"/>
      <w:lvlText w:val="-"/>
      <w:lvlJc w:val="left"/>
      <w:pPr>
        <w:ind w:left="786"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multiLevelType w:val="hybridMultilevel"/>
    <w:lvl w:ilvl="0">
      <w:start w:val="1"/>
      <w:numFmt w:val="bullet"/>
      <w:suff w:val="tab"/>
      <w:lvlText w:val="-"/>
      <w:lvlJc w:val="left"/>
      <w:pPr>
        <w:ind w:left="786"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lvl w:ilvl="0">
      <w:start w:val="1"/>
      <w:numFmt w:val="bullet"/>
      <w:suff w:val="tab"/>
      <w:lvlText w:val="-"/>
      <w:lvlJc w:val="left"/>
      <w:pPr>
        <w:ind w:left="786"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multiLevelType w:val="hybridMultilevel"/>
    <w:lvl w:ilvl="0">
      <w:start w:val="1"/>
      <w:numFmt w:val="bullet"/>
      <w:suff w:val="tab"/>
      <w:lvlText w:val="-"/>
      <w:lvlJc w:val="left"/>
      <w:pPr>
        <w:ind w:left="822" w:hanging="396"/>
      </w:pPr>
      <w:rPr>
        <w:rFonts w:ascii="Arial" w:cs="Arial" w:hAnsi="Arial" w:eastAsia="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start w:val="1"/>
      <w:numFmt w:val="bullet"/>
      <w:suff w:val="tab"/>
      <w:lvlText w:val="-"/>
      <w:lvlJc w:val="left"/>
      <w:pPr>
        <w:ind w:left="1116" w:hanging="396"/>
      </w:pPr>
      <w:rPr>
        <w:rFonts w:ascii="Arial" w:cs="Arial" w:hAnsi="Arial" w:eastAsia="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start w:val="1"/>
      <w:numFmt w:val="bullet"/>
      <w:suff w:val="tab"/>
      <w:lvlText w:val="-"/>
      <w:lvlJc w:val="left"/>
      <w:pPr>
        <w:ind w:left="1836" w:hanging="396"/>
      </w:pPr>
      <w:rPr>
        <w:rFonts w:ascii="Arial" w:cs="Arial" w:hAnsi="Arial" w:eastAsia="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start w:val="1"/>
      <w:numFmt w:val="bullet"/>
      <w:suff w:val="tab"/>
      <w:lvlText w:val="-"/>
      <w:lvlJc w:val="left"/>
      <w:pPr>
        <w:ind w:left="2556" w:hanging="396"/>
      </w:pPr>
      <w:rPr>
        <w:rFonts w:ascii="Arial" w:cs="Arial" w:hAnsi="Arial" w:eastAsia="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start w:val="1"/>
      <w:numFmt w:val="bullet"/>
      <w:suff w:val="tab"/>
      <w:lvlText w:val="-"/>
      <w:lvlJc w:val="left"/>
      <w:pPr>
        <w:ind w:left="3276" w:hanging="396"/>
      </w:pPr>
      <w:rPr>
        <w:rFonts w:ascii="Arial" w:cs="Arial" w:hAnsi="Arial" w:eastAsia="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start w:val="1"/>
      <w:numFmt w:val="bullet"/>
      <w:suff w:val="tab"/>
      <w:lvlText w:val="-"/>
      <w:lvlJc w:val="left"/>
      <w:pPr>
        <w:ind w:left="3996" w:hanging="396"/>
      </w:pPr>
      <w:rPr>
        <w:rFonts w:ascii="Arial" w:cs="Arial" w:hAnsi="Arial" w:eastAsia="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start w:val="1"/>
      <w:numFmt w:val="bullet"/>
      <w:suff w:val="tab"/>
      <w:lvlText w:val="-"/>
      <w:lvlJc w:val="left"/>
      <w:pPr>
        <w:ind w:left="4716" w:hanging="396"/>
      </w:pPr>
      <w:rPr>
        <w:rFonts w:ascii="Arial" w:cs="Arial" w:hAnsi="Arial" w:eastAsia="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start w:val="1"/>
      <w:numFmt w:val="bullet"/>
      <w:suff w:val="tab"/>
      <w:lvlText w:val="-"/>
      <w:lvlJc w:val="left"/>
      <w:pPr>
        <w:ind w:left="5436" w:hanging="396"/>
      </w:pPr>
      <w:rPr>
        <w:rFonts w:ascii="Arial" w:cs="Arial" w:hAnsi="Arial" w:eastAsia="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start w:val="1"/>
      <w:numFmt w:val="bullet"/>
      <w:suff w:val="tab"/>
      <w:lvlText w:val="-"/>
      <w:lvlJc w:val="left"/>
      <w:pPr>
        <w:ind w:left="6156" w:hanging="396"/>
      </w:pPr>
      <w:rPr>
        <w:rFonts w:ascii="Arial" w:cs="Arial" w:hAnsi="Arial" w:eastAsia="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18">
    <w:multiLevelType w:val="hybridMultilevel"/>
    <w:lvl w:ilvl="0">
      <w:start w:val="1"/>
      <w:numFmt w:val="bullet"/>
      <w:suff w:val="tab"/>
      <w:lvlText w:val="-"/>
      <w:lvlJc w:val="left"/>
      <w:pPr>
        <w:ind w:left="786"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multiLevelType w:val="hybridMultilevel"/>
    <w:lvl w:ilvl="0">
      <w:start w:val="1"/>
      <w:numFmt w:val="bullet"/>
      <w:suff w:val="tab"/>
      <w:lvlText w:val="-"/>
      <w:lvlJc w:val="left"/>
      <w:pPr>
        <w:ind w:left="786"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lvl w:ilvl="0">
      <w:start w:val="1"/>
      <w:numFmt w:val="bullet"/>
      <w:suff w:val="tab"/>
      <w:lvlText w:val="-"/>
      <w:lvlJc w:val="left"/>
      <w:pPr>
        <w:ind w:left="786"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multiLevelType w:val="hybridMultilevel"/>
    <w:lvl w:ilvl="0">
      <w:start w:val="1"/>
      <w:numFmt w:val="bullet"/>
      <w:suff w:val="tab"/>
      <w:lvlText w:val="-"/>
      <w:lvlJc w:val="left"/>
      <w:pPr>
        <w:ind w:left="786"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2"/>
    <w:lvlOverride w:ilvl="0">
      <w:lvl w:ilvl="0">
        <w:start w:val="1"/>
        <w:numFmt w:val="bullet"/>
        <w:suff w:val="tab"/>
        <w:lvlText w:val="-"/>
        <w:lvlJc w:val="left"/>
        <w:pPr>
          <w:ind w:left="786" w:hanging="360"/>
        </w:pPr>
        <w:rPr>
          <w:rFonts w:ascii="Arial" w:cs="Arial" w:hAnsi="Arial" w:eastAsia="Aria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1">
      <w:lvl w:ilvl="1">
        <w:start w:val="1"/>
        <w:numFmt w:val="bullet"/>
        <w:suff w:val="tab"/>
        <w:lvlText w:val="-"/>
        <w:lvlJc w:val="left"/>
        <w:pPr>
          <w:ind w:left="1080" w:hanging="360"/>
        </w:pPr>
        <w:rPr>
          <w:rFonts w:ascii="Arial" w:cs="Arial" w:hAnsi="Arial" w:eastAsia="Aria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2">
      <w:lvl w:ilvl="2">
        <w:start w:val="1"/>
        <w:numFmt w:val="bullet"/>
        <w:suff w:val="tab"/>
        <w:lvlText w:val="-"/>
        <w:lvlJc w:val="left"/>
        <w:pPr>
          <w:ind w:left="1800" w:hanging="360"/>
        </w:pPr>
        <w:rPr>
          <w:rFonts w:ascii="Arial" w:cs="Arial" w:hAnsi="Arial" w:eastAsia="Aria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3">
      <w:lvl w:ilvl="3">
        <w:start w:val="1"/>
        <w:numFmt w:val="bullet"/>
        <w:suff w:val="tab"/>
        <w:lvlText w:val="-"/>
        <w:lvlJc w:val="left"/>
        <w:pPr>
          <w:ind w:left="2520" w:hanging="360"/>
        </w:pPr>
        <w:rPr>
          <w:rFonts w:ascii="Arial" w:cs="Arial" w:hAnsi="Arial" w:eastAsia="Aria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4">
      <w:lvl w:ilvl="4">
        <w:start w:val="1"/>
        <w:numFmt w:val="bullet"/>
        <w:suff w:val="tab"/>
        <w:lvlText w:val="-"/>
        <w:lvlJc w:val="left"/>
        <w:pPr>
          <w:ind w:left="3240" w:hanging="360"/>
        </w:pPr>
        <w:rPr>
          <w:rFonts w:ascii="Arial" w:cs="Arial" w:hAnsi="Arial" w:eastAsia="Aria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5">
      <w:lvl w:ilvl="5">
        <w:start w:val="1"/>
        <w:numFmt w:val="bullet"/>
        <w:suff w:val="tab"/>
        <w:lvlText w:val="-"/>
        <w:lvlJc w:val="left"/>
        <w:pPr>
          <w:ind w:left="3960" w:hanging="360"/>
        </w:pPr>
        <w:rPr>
          <w:rFonts w:ascii="Arial" w:cs="Arial" w:hAnsi="Arial" w:eastAsia="Aria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6">
      <w:lvl w:ilvl="6">
        <w:start w:val="1"/>
        <w:numFmt w:val="bullet"/>
        <w:suff w:val="tab"/>
        <w:lvlText w:val="-"/>
        <w:lvlJc w:val="left"/>
        <w:pPr>
          <w:ind w:left="4680" w:hanging="360"/>
        </w:pPr>
        <w:rPr>
          <w:rFonts w:ascii="Arial" w:cs="Arial" w:hAnsi="Arial" w:eastAsia="Aria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7">
      <w:lvl w:ilvl="7">
        <w:start w:val="1"/>
        <w:numFmt w:val="bullet"/>
        <w:suff w:val="tab"/>
        <w:lvlText w:val="-"/>
        <w:lvlJc w:val="left"/>
        <w:pPr>
          <w:ind w:left="5400" w:hanging="360"/>
        </w:pPr>
        <w:rPr>
          <w:rFonts w:ascii="Arial" w:cs="Arial" w:hAnsi="Arial" w:eastAsia="Aria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8">
      <w:lvl w:ilvl="8">
        <w:start w:val="1"/>
        <w:numFmt w:val="bullet"/>
        <w:suff w:val="tab"/>
        <w:lvlText w:val="-"/>
        <w:lvlJc w:val="left"/>
        <w:pPr>
          <w:ind w:left="6120" w:hanging="360"/>
        </w:pPr>
        <w:rPr>
          <w:rFonts w:ascii="Arial" w:cs="Arial" w:hAnsi="Arial" w:eastAsia="Aria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num>
  <w:num w:numId="8">
    <w:abstractNumId w:val="7"/>
  </w:num>
  <w:num w:numId="9">
    <w:abstractNumId w:val="6"/>
  </w:num>
  <w:num w:numId="10">
    <w:abstractNumId w:val="9"/>
  </w:num>
  <w:num w:numId="11">
    <w:abstractNumId w:val="8"/>
  </w:num>
  <w:num w:numId="12">
    <w:abstractNumId w:val="6"/>
    <w:lvlOverride w:ilvl="0">
      <w:startOverride w:val="2"/>
    </w:lvlOverride>
  </w:num>
  <w:num w:numId="13">
    <w:abstractNumId w:val="11"/>
  </w:num>
  <w:num w:numId="14">
    <w:abstractNumId w:val="10"/>
  </w:num>
  <w:num w:numId="15">
    <w:abstractNumId w:val="12"/>
  </w:num>
  <w:num w:numId="16">
    <w:abstractNumId w:val="13"/>
  </w:num>
  <w:num w:numId="17">
    <w:abstractNumId w:val="14"/>
  </w:num>
  <w:num w:numId="18">
    <w:abstractNumId w:val="15"/>
  </w:num>
  <w:num w:numId="19">
    <w:abstractNumId w:val="16"/>
  </w:num>
  <w:num w:numId="20">
    <w:abstractNumId w:val="17"/>
  </w:num>
  <w:num w:numId="21">
    <w:abstractNumId w:val="18"/>
  </w:num>
  <w:num w:numId="22">
    <w:abstractNumId w:val="19"/>
  </w:num>
  <w:num w:numId="23">
    <w:abstractNumId w:val="20"/>
  </w:num>
  <w:num w:numId="24">
    <w:abstractNumId w:val="21"/>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8"/>
      </w:numPr>
    </w:pPr>
  </w:style>
  <w:style w:type="numbering" w:styleId="Imported Style 5">
    <w:name w:val="Imported Style 5"/>
    <w:pPr>
      <w:numPr>
        <w:numId w:val="10"/>
      </w:numPr>
    </w:pPr>
  </w:style>
  <w:style w:type="numbering" w:styleId="Imported Style 6">
    <w:name w:val="Imported Style 6"/>
    <w:pPr>
      <w:numPr>
        <w:numId w:val="13"/>
      </w:numPr>
    </w:pPr>
  </w:style>
  <w:style w:type="paragraph" w:styleId="Opozorilo">
    <w:name w:val="Opozorilo"/>
    <w:next w:val="Opozorilo"/>
    <w:pPr>
      <w:keepNext w:val="0"/>
      <w:keepLines w:val="0"/>
      <w:pageBreakBefore w:val="0"/>
      <w:widowControl w:val="1"/>
      <w:shd w:val="clear" w:color="auto" w:fill="auto"/>
      <w:suppressAutoHyphens w:val="1"/>
      <w:bidi w:val="0"/>
      <w:spacing w:before="480" w:after="0" w:line="240" w:lineRule="auto"/>
      <w:ind w:left="0" w:right="0" w:firstLine="0"/>
      <w:jc w:val="both"/>
      <w:outlineLvl w:val="9"/>
    </w:pPr>
    <w:rPr>
      <w:rFonts w:ascii="Arial" w:cs="Arial Unicode MS" w:hAnsi="Arial" w:eastAsia="Arial Unicode MS"/>
      <w:b w:val="0"/>
      <w:bCs w:val="0"/>
      <w:i w:val="0"/>
      <w:iCs w:val="0"/>
      <w:caps w:val="0"/>
      <w:smallCaps w:val="0"/>
      <w:strike w:val="0"/>
      <w:dstrike w:val="0"/>
      <w:outline w:val="0"/>
      <w:color w:val="808080"/>
      <w:spacing w:val="0"/>
      <w:kern w:val="0"/>
      <w:position w:val="0"/>
      <w:sz w:val="22"/>
      <w:szCs w:val="22"/>
      <w:u w:val="none" w:color="808080"/>
      <w:shd w:val="nil" w:color="auto" w:fill="auto"/>
      <w:vertAlign w:val="baseline"/>
      <w:lang w:val="en-US"/>
      <w14:textFill>
        <w14:solidFill>
          <w14:srgbClr w14:val="808080"/>
        </w14:solidFill>
      </w14:textFill>
    </w:rPr>
  </w:style>
  <w:style w:type="paragraph" w:styleId="Vrsta predpisa">
    <w:name w:val="Vrsta predpisa"/>
    <w:next w:val="Vrsta predpisa"/>
    <w:pPr>
      <w:keepNext w:val="0"/>
      <w:keepLines w:val="0"/>
      <w:pageBreakBefore w:val="0"/>
      <w:widowControl w:val="1"/>
      <w:shd w:val="clear" w:color="auto" w:fill="auto"/>
      <w:suppressAutoHyphens w:val="1"/>
      <w:bidi w:val="0"/>
      <w:spacing w:before="480" w:after="0" w:line="240" w:lineRule="auto"/>
      <w:ind w:left="0" w:right="0" w:firstLine="0"/>
      <w:jc w:val="center"/>
      <w:outlineLvl w:val="9"/>
    </w:pPr>
    <w:rPr>
      <w:rFonts w:ascii="Arial" w:cs="Arial Unicode MS" w:hAnsi="Arial" w:eastAsia="Arial Unicode MS"/>
      <w:b w:val="1"/>
      <w:bCs w:val="1"/>
      <w:i w:val="0"/>
      <w:iCs w:val="0"/>
      <w:caps w:val="0"/>
      <w:smallCaps w:val="0"/>
      <w:strike w:val="0"/>
      <w:dstrike w:val="0"/>
      <w:outline w:val="0"/>
      <w:color w:val="000000"/>
      <w:spacing w:val="40"/>
      <w:kern w:val="0"/>
      <w:position w:val="0"/>
      <w:sz w:val="22"/>
      <w:szCs w:val="22"/>
      <w:u w:val="none" w:color="000000"/>
      <w:shd w:val="nil" w:color="auto" w:fill="auto"/>
      <w:vertAlign w:val="baseline"/>
      <w:lang w:val="it-IT"/>
      <w14:textFill>
        <w14:solidFill>
          <w14:srgbClr w14:val="000000"/>
        </w14:solidFill>
      </w14:textFill>
    </w:rPr>
  </w:style>
  <w:style w:type="paragraph" w:styleId="Člen">
    <w:name w:val="Člen"/>
    <w:next w:val="Člen"/>
    <w:pPr>
      <w:keepNext w:val="0"/>
      <w:keepLines w:val="0"/>
      <w:pageBreakBefore w:val="0"/>
      <w:widowControl w:val="1"/>
      <w:shd w:val="clear" w:color="auto" w:fill="auto"/>
      <w:suppressAutoHyphens w:val="1"/>
      <w:bidi w:val="0"/>
      <w:spacing w:before="480" w:after="0" w:line="240" w:lineRule="auto"/>
      <w:ind w:left="0" w:right="0" w:firstLine="0"/>
      <w:jc w:val="center"/>
      <w:outlineLvl w:val="9"/>
    </w:pP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Alinea za odstavkom">
    <w:name w:val="Alinea za odstavkom"/>
    <w:next w:val="Alinea za odstavkom"/>
    <w:pPr>
      <w:keepNext w:val="0"/>
      <w:keepLines w:val="0"/>
      <w:pageBreakBefore w:val="0"/>
      <w:widowControl w:val="1"/>
      <w:shd w:val="clear" w:color="auto" w:fill="auto"/>
      <w:tabs>
        <w:tab w:val="left" w:pos="425"/>
      </w:tabs>
      <w:suppressAutoHyphens w:val="1"/>
      <w:bidi w:val="0"/>
      <w:spacing w:before="0" w:after="0" w:line="240" w:lineRule="auto"/>
      <w:ind w:left="0" w:right="0" w:firstLine="0"/>
      <w:jc w:val="both"/>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it-IT"/>
      <w14:textFill>
        <w14:solidFill>
          <w14:srgbClr w14:val="000000"/>
        </w14:solidFill>
      </w14:textFill>
    </w:rPr>
  </w:style>
  <w:style w:type="paragraph" w:styleId="Člen_naslov">
    <w:name w:val="Člen_naslov"/>
    <w:next w:val="Člen_naslov"/>
    <w:pPr>
      <w:keepNext w:val="0"/>
      <w:keepLines w:val="0"/>
      <w:pageBreakBefore w:val="0"/>
      <w:widowControl w:val="1"/>
      <w:shd w:val="clear" w:color="auto" w:fill="auto"/>
      <w:suppressAutoHyphens w:val="1"/>
      <w:bidi w:val="0"/>
      <w:spacing w:before="0" w:after="0" w:line="240" w:lineRule="auto"/>
      <w:ind w:left="0" w:right="0" w:firstLine="0"/>
      <w:jc w:val="center"/>
      <w:outlineLvl w:val="9"/>
    </w:pP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14:textFill>
        <w14:solidFill>
          <w14:srgbClr w14:val="000000"/>
        </w14:solidFill>
      </w14:textFill>
    </w:rPr>
  </w:style>
  <w:style w:type="paragraph" w:styleId="Odstavek">
    <w:name w:val="Odstavek"/>
    <w:next w:val="Odstavek"/>
    <w:pPr>
      <w:keepNext w:val="0"/>
      <w:keepLines w:val="0"/>
      <w:pageBreakBefore w:val="0"/>
      <w:widowControl w:val="1"/>
      <w:shd w:val="clear" w:color="auto" w:fill="auto"/>
      <w:suppressAutoHyphens w:val="1"/>
      <w:bidi w:val="0"/>
      <w:spacing w:before="240" w:after="0" w:line="240" w:lineRule="auto"/>
      <w:ind w:left="0" w:right="0" w:firstLine="1021"/>
      <w:jc w:val="both"/>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Fill>
        <w14:solidFill>
          <w14:srgbClr w14:val="000000"/>
        </w14:solidFill>
      </w14:textFill>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numbering" Target="numbering.xml"/><Relationship Id="rId5" Type="http://schemas.openxmlformats.org/officeDocument/2006/relationships/footer" Target="footer1.xml"/><Relationship Id="rId10" Type="http://schemas.openxmlformats.org/officeDocument/2006/relationships/customXml" Target="../customXml/item3.xml"/><Relationship Id="rId4" Type="http://schemas.openxmlformats.org/officeDocument/2006/relationships/header" Target="header1.xml"/><Relationship Id="rId9" Type="http://schemas.openxmlformats.org/officeDocument/2006/relationships/customXml" Target="../customXml/item2.xml"/></Relationships>
</file>

<file path=word/theme/theme1.xml><?xml version="1.0" encoding="utf-8"?>
<a:theme xmlns:a="http://schemas.openxmlformats.org/drawingml/2006/main" xmlns:r="http://schemas.openxmlformats.org/officeDocument/2006/relationships" name="Officeova tema">
  <a:themeElements>
    <a:clrScheme name="Officeova tema">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ova tema">
      <a:majorFont>
        <a:latin typeface="Helvetica Neue"/>
        <a:ea typeface="Helvetica Neue"/>
        <a:cs typeface="Helvetica Neue"/>
      </a:majorFont>
      <a:minorFont>
        <a:latin typeface="Helvetica Neue"/>
        <a:ea typeface="Helvetica Neue"/>
        <a:cs typeface="Helvetica Neue"/>
      </a:minorFont>
    </a:fontScheme>
    <a:fmtScheme name="Officeova 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E253F5C-218F-4457-B123-9E19AF6F2F69}"/>
</file>

<file path=customXml/itemProps2.xml><?xml version="1.0" encoding="utf-8"?>
<ds:datastoreItem xmlns:ds="http://schemas.openxmlformats.org/officeDocument/2006/customXml" ds:itemID="{BEE95915-B974-4B9D-AC25-438A73AC5746}"/>
</file>

<file path=customXml/itemProps3.xml><?xml version="1.0" encoding="utf-8"?>
<ds:datastoreItem xmlns:ds="http://schemas.openxmlformats.org/officeDocument/2006/customXml" ds:itemID="{CFD7D905-C77A-4773-A43B-85B13D87CF85}"/>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