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3785E" w14:textId="31F88F11" w:rsidR="003B13A5" w:rsidRPr="00AF580A" w:rsidRDefault="003B13A5" w:rsidP="003B13A5">
      <w:pPr>
        <w:jc w:val="center"/>
        <w:rPr>
          <w:b/>
          <w:sz w:val="24"/>
          <w:szCs w:val="24"/>
        </w:rPr>
      </w:pPr>
      <w:bookmarkStart w:id="0" w:name="_GoBack"/>
      <w:bookmarkEnd w:id="0"/>
    </w:p>
    <w:p w14:paraId="587DA4D5" w14:textId="77777777" w:rsidR="003B13A5" w:rsidRPr="00AF580A" w:rsidRDefault="003B13A5" w:rsidP="00F379B7">
      <w:pPr>
        <w:spacing w:before="120" w:after="120"/>
        <w:rPr>
          <w:b/>
          <w:sz w:val="24"/>
          <w:szCs w:val="24"/>
        </w:rPr>
      </w:pPr>
    </w:p>
    <w:p w14:paraId="672974CA" w14:textId="555244D2" w:rsidR="003B13A5" w:rsidRPr="00AF580A" w:rsidRDefault="003B13A5" w:rsidP="00F379B7">
      <w:pPr>
        <w:spacing w:before="120" w:after="120"/>
        <w:jc w:val="right"/>
        <w:rPr>
          <w:sz w:val="24"/>
          <w:szCs w:val="24"/>
        </w:rPr>
      </w:pPr>
      <w:r w:rsidRPr="00AF580A">
        <w:rPr>
          <w:sz w:val="24"/>
          <w:szCs w:val="24"/>
        </w:rPr>
        <w:t>File No.: 18/1891#6</w:t>
      </w:r>
    </w:p>
    <w:p w14:paraId="3C725B6D" w14:textId="77777777" w:rsidR="003B13A5" w:rsidRPr="00AF580A" w:rsidRDefault="003B13A5" w:rsidP="00F379B7">
      <w:pPr>
        <w:spacing w:before="120" w:after="120"/>
        <w:rPr>
          <w:sz w:val="24"/>
          <w:szCs w:val="24"/>
        </w:rPr>
      </w:pPr>
      <w:r w:rsidRPr="00AF580A">
        <w:rPr>
          <w:sz w:val="24"/>
          <w:szCs w:val="24"/>
        </w:rPr>
        <w:t>March 2018</w:t>
      </w:r>
    </w:p>
    <w:p w14:paraId="0E8B0451" w14:textId="2FA0E3A1" w:rsidR="003B13A5" w:rsidRPr="00AF580A" w:rsidRDefault="003B13A5" w:rsidP="00F379B7">
      <w:pPr>
        <w:spacing w:before="120" w:after="120"/>
        <w:jc w:val="center"/>
        <w:rPr>
          <w:b/>
          <w:sz w:val="24"/>
          <w:szCs w:val="24"/>
          <w:u w:val="single"/>
        </w:rPr>
      </w:pPr>
      <w:r w:rsidRPr="00AF580A">
        <w:rPr>
          <w:b/>
          <w:sz w:val="24"/>
          <w:szCs w:val="24"/>
          <w:u w:val="single"/>
        </w:rPr>
        <w:t>Subject: The future of content regulation and Freedom of Expression in the Digital Age roundtable</w:t>
      </w:r>
    </w:p>
    <w:p w14:paraId="6077FD3D" w14:textId="2776ADD1" w:rsidR="003B13A5" w:rsidRPr="00AF580A" w:rsidRDefault="003B13A5" w:rsidP="00F379B7">
      <w:pPr>
        <w:spacing w:before="120" w:after="120"/>
        <w:rPr>
          <w:sz w:val="24"/>
          <w:szCs w:val="24"/>
        </w:rPr>
      </w:pPr>
      <w:r w:rsidRPr="00AF580A">
        <w:rPr>
          <w:sz w:val="24"/>
          <w:szCs w:val="24"/>
        </w:rPr>
        <w:t xml:space="preserve">The Australian Government has the pleasure to provide the following information to assist </w:t>
      </w:r>
      <w:proofErr w:type="gramStart"/>
      <w:r w:rsidRPr="00AF580A">
        <w:rPr>
          <w:sz w:val="24"/>
          <w:szCs w:val="24"/>
        </w:rPr>
        <w:t xml:space="preserve">in the preparation of the Special Rapporteur on </w:t>
      </w:r>
      <w:r w:rsidR="00AF580A" w:rsidRPr="00AF580A">
        <w:rPr>
          <w:sz w:val="24"/>
          <w:szCs w:val="24"/>
        </w:rPr>
        <w:t xml:space="preserve">Freedom of Opinion and Expression’s </w:t>
      </w:r>
      <w:r w:rsidRPr="00AF580A">
        <w:rPr>
          <w:sz w:val="24"/>
          <w:szCs w:val="24"/>
        </w:rPr>
        <w:t xml:space="preserve">report to the UN Human Rights Council </w:t>
      </w:r>
      <w:r w:rsidR="00AF580A" w:rsidRPr="00AF580A">
        <w:rPr>
          <w:sz w:val="24"/>
          <w:szCs w:val="24"/>
        </w:rPr>
        <w:t>on online content regulation as part of his multi-year examination of Freedom of Expression and the Private Sector in the Digital Age</w:t>
      </w:r>
      <w:proofErr w:type="gramEnd"/>
      <w:r w:rsidR="00AF580A" w:rsidRPr="00AF580A">
        <w:rPr>
          <w:sz w:val="24"/>
          <w:szCs w:val="24"/>
        </w:rPr>
        <w:t xml:space="preserve">. </w:t>
      </w:r>
    </w:p>
    <w:p w14:paraId="3280D15E" w14:textId="77777777" w:rsidR="00AF580A" w:rsidRPr="00AF580A" w:rsidRDefault="00AF580A" w:rsidP="00F379B7">
      <w:pPr>
        <w:widowControl w:val="0"/>
        <w:spacing w:before="120" w:after="120"/>
        <w:rPr>
          <w:b/>
          <w:sz w:val="24"/>
          <w:szCs w:val="24"/>
          <w:u w:val="single"/>
        </w:rPr>
      </w:pPr>
      <w:r w:rsidRPr="00AF580A">
        <w:rPr>
          <w:b/>
          <w:sz w:val="24"/>
          <w:szCs w:val="24"/>
          <w:u w:val="single"/>
        </w:rPr>
        <w:t>Introduction</w:t>
      </w:r>
    </w:p>
    <w:p w14:paraId="32DB1EDA" w14:textId="0D4EE339" w:rsidR="00AF580A" w:rsidRDefault="00AF580A" w:rsidP="00F379B7">
      <w:pPr>
        <w:widowControl w:val="0"/>
        <w:spacing w:before="120" w:after="120"/>
        <w:rPr>
          <w:sz w:val="24"/>
          <w:szCs w:val="24"/>
        </w:rPr>
      </w:pPr>
      <w:r w:rsidRPr="00AF580A">
        <w:rPr>
          <w:sz w:val="24"/>
          <w:szCs w:val="24"/>
        </w:rPr>
        <w:t xml:space="preserve">Australia believes that human rights, including the right to freedom of expression, </w:t>
      </w:r>
      <w:proofErr w:type="gramStart"/>
      <w:r w:rsidRPr="00AF580A">
        <w:rPr>
          <w:sz w:val="24"/>
          <w:szCs w:val="24"/>
        </w:rPr>
        <w:t>should be protected</w:t>
      </w:r>
      <w:proofErr w:type="gramEnd"/>
      <w:r w:rsidRPr="00AF580A">
        <w:rPr>
          <w:sz w:val="24"/>
          <w:szCs w:val="24"/>
        </w:rPr>
        <w:t xml:space="preserve"> online as they are offline. The Australian Government supports an open</w:t>
      </w:r>
      <w:r>
        <w:rPr>
          <w:sz w:val="24"/>
          <w:szCs w:val="24"/>
        </w:rPr>
        <w:t>, free and secure</w:t>
      </w:r>
      <w:r w:rsidRPr="00AF580A">
        <w:rPr>
          <w:sz w:val="24"/>
          <w:szCs w:val="24"/>
        </w:rPr>
        <w:t xml:space="preserve"> internet where people can freely access information and express their ideas. We believe that the maintenance of security online and the protection of freedom online reinforce each other. A secure cyberspace provides trust and confidence for Australians, and underpins freedom of expression and reinforces safe and vibrant communities.</w:t>
      </w:r>
      <w:r w:rsidR="00AA2C45">
        <w:rPr>
          <w:sz w:val="24"/>
          <w:szCs w:val="24"/>
        </w:rPr>
        <w:t xml:space="preserve"> </w:t>
      </w:r>
    </w:p>
    <w:p w14:paraId="266FBFAD" w14:textId="0E7A3332" w:rsidR="00AA2C45" w:rsidRPr="00AA2C45" w:rsidRDefault="00AA2C45" w:rsidP="00AA2C45">
      <w:pPr>
        <w:pStyle w:val="TopLevelDotPoint-NGOForumBrief"/>
        <w:numPr>
          <w:ilvl w:val="0"/>
          <w:numId w:val="0"/>
        </w:numPr>
        <w:rPr>
          <w:rFonts w:ascii="Calibri" w:eastAsiaTheme="minorHAnsi" w:hAnsi="Calibri"/>
        </w:rPr>
      </w:pPr>
      <w:proofErr w:type="gramStart"/>
      <w:r w:rsidRPr="00AA2C45">
        <w:rPr>
          <w:rFonts w:ascii="Calibri" w:eastAsiaTheme="minorHAnsi" w:hAnsi="Calibri"/>
        </w:rPr>
        <w:t>Australia’s</w:t>
      </w:r>
      <w:proofErr w:type="gramEnd"/>
      <w:r w:rsidRPr="00AA2C45">
        <w:rPr>
          <w:rFonts w:ascii="Calibri" w:eastAsiaTheme="minorHAnsi" w:hAnsi="Calibri"/>
        </w:rPr>
        <w:t xml:space="preserve"> International Cyber Engagement Strategy, launched in October 2017, recognises the breadth of cyber issues and contains a dedicated chapter on human rights and democracy online.  In this chapter, Australia commits to advocate for the protection of human rights and democratic principles online; support international efforts to promote and protect human rights online; and ensure respect for and protection of human rights and democratic principles online.  Under the Strategy, the Government is supporting NGOs that defend human rights online, including the Freedom Online Coalition and the Digital Defenders Partnership. Through </w:t>
      </w:r>
      <w:r>
        <w:rPr>
          <w:rFonts w:ascii="Calibri" w:eastAsiaTheme="minorHAnsi" w:hAnsi="Calibri"/>
        </w:rPr>
        <w:t>its</w:t>
      </w:r>
      <w:r w:rsidRPr="00AA2C45">
        <w:rPr>
          <w:rFonts w:ascii="Calibri" w:eastAsiaTheme="minorHAnsi" w:hAnsi="Calibri"/>
        </w:rPr>
        <w:t xml:space="preserve"> Cyber Cooperation Program, Australia is also funding </w:t>
      </w:r>
      <w:proofErr w:type="gramStart"/>
      <w:r w:rsidRPr="00AA2C45">
        <w:rPr>
          <w:rFonts w:ascii="Calibri" w:eastAsiaTheme="minorHAnsi" w:hAnsi="Calibri"/>
        </w:rPr>
        <w:t>capacity building</w:t>
      </w:r>
      <w:proofErr w:type="gramEnd"/>
      <w:r w:rsidRPr="00AA2C45">
        <w:rPr>
          <w:rFonts w:ascii="Calibri" w:eastAsiaTheme="minorHAnsi" w:hAnsi="Calibri"/>
        </w:rPr>
        <w:t xml:space="preserve"> efforts in the Indo Pacific to increase states’ awareness of their human rights obligations online. </w:t>
      </w:r>
      <w:r>
        <w:rPr>
          <w:rFonts w:ascii="Calibri" w:eastAsiaTheme="minorHAnsi" w:hAnsi="Calibri"/>
        </w:rPr>
        <w:t xml:space="preserve">The Government will also </w:t>
      </w:r>
      <w:r w:rsidRPr="00AA2C45">
        <w:rPr>
          <w:rFonts w:ascii="Calibri" w:eastAsiaTheme="minorHAnsi" w:hAnsi="Calibri"/>
        </w:rPr>
        <w:t xml:space="preserve">ensure respect for human rights and democratic principles </w:t>
      </w:r>
      <w:proofErr w:type="gramStart"/>
      <w:r w:rsidRPr="00AA2C45">
        <w:rPr>
          <w:rFonts w:ascii="Calibri" w:eastAsiaTheme="minorHAnsi" w:hAnsi="Calibri"/>
        </w:rPr>
        <w:t>are considered</w:t>
      </w:r>
      <w:proofErr w:type="gramEnd"/>
      <w:r w:rsidRPr="00AA2C45">
        <w:rPr>
          <w:rFonts w:ascii="Calibri" w:eastAsiaTheme="minorHAnsi" w:hAnsi="Calibri"/>
        </w:rPr>
        <w:t xml:space="preserve"> in all Australian Aid projects that have a digital component.</w:t>
      </w:r>
    </w:p>
    <w:p w14:paraId="08BF7ED3" w14:textId="30DCADFD" w:rsidR="00F379B7" w:rsidRDefault="00AA2C45" w:rsidP="00F379B7">
      <w:pPr>
        <w:widowControl w:val="0"/>
        <w:spacing w:before="120" w:after="120"/>
        <w:rPr>
          <w:sz w:val="24"/>
          <w:szCs w:val="24"/>
        </w:rPr>
      </w:pPr>
      <w:r>
        <w:rPr>
          <w:sz w:val="24"/>
          <w:szCs w:val="24"/>
        </w:rPr>
        <w:t xml:space="preserve">At home, </w:t>
      </w:r>
      <w:r w:rsidR="00F379B7" w:rsidRPr="00AF580A">
        <w:rPr>
          <w:sz w:val="24"/>
          <w:szCs w:val="24"/>
        </w:rPr>
        <w:t xml:space="preserve">Australia has developed a carefully balanced regulatory system to ensure that Australians’ freedom of expression and opinion </w:t>
      </w:r>
      <w:proofErr w:type="gramStart"/>
      <w:r w:rsidR="00F379B7" w:rsidRPr="00AF580A">
        <w:rPr>
          <w:sz w:val="24"/>
          <w:szCs w:val="24"/>
        </w:rPr>
        <w:t>are respected</w:t>
      </w:r>
      <w:proofErr w:type="gramEnd"/>
      <w:r w:rsidR="00F379B7" w:rsidRPr="00AF580A">
        <w:rPr>
          <w:sz w:val="24"/>
          <w:szCs w:val="24"/>
        </w:rPr>
        <w:t xml:space="preserve">, while also regulating the darker elements of the internet in a targeted, measured and defensible way. </w:t>
      </w:r>
      <w:r w:rsidR="00F379B7">
        <w:t xml:space="preserve"> </w:t>
      </w:r>
    </w:p>
    <w:p w14:paraId="786C5D1D" w14:textId="4C27F4E1" w:rsidR="00AF580A" w:rsidRDefault="00AF580A" w:rsidP="00F379B7">
      <w:pPr>
        <w:widowControl w:val="0"/>
        <w:spacing w:before="120" w:after="120"/>
        <w:rPr>
          <w:sz w:val="24"/>
          <w:szCs w:val="24"/>
        </w:rPr>
      </w:pPr>
      <w:r w:rsidRPr="00AF580A">
        <w:rPr>
          <w:sz w:val="24"/>
          <w:szCs w:val="24"/>
        </w:rPr>
        <w:t xml:space="preserve">The Government only intervenes </w:t>
      </w:r>
      <w:r>
        <w:rPr>
          <w:sz w:val="24"/>
          <w:szCs w:val="24"/>
        </w:rPr>
        <w:t xml:space="preserve">online </w:t>
      </w:r>
      <w:r w:rsidRPr="00AF580A">
        <w:rPr>
          <w:sz w:val="24"/>
          <w:szCs w:val="24"/>
        </w:rPr>
        <w:t xml:space="preserve">in limited areas to enhance children’s safety and filter, block or ‘take down’ content relating to serious criminal activity (e.g. content that represents an incitement to violence, terrorist-related material, </w:t>
      </w:r>
      <w:proofErr w:type="gramStart"/>
      <w:r w:rsidRPr="00AF580A">
        <w:rPr>
          <w:sz w:val="24"/>
          <w:szCs w:val="24"/>
        </w:rPr>
        <w:t>child</w:t>
      </w:r>
      <w:proofErr w:type="gramEnd"/>
      <w:r w:rsidRPr="00AF580A">
        <w:rPr>
          <w:sz w:val="24"/>
          <w:szCs w:val="24"/>
        </w:rPr>
        <w:t xml:space="preserve"> exploitation and child sexual abuse).</w:t>
      </w:r>
      <w:r>
        <w:rPr>
          <w:sz w:val="24"/>
          <w:szCs w:val="24"/>
        </w:rPr>
        <w:t xml:space="preserve"> </w:t>
      </w:r>
      <w:r w:rsidRPr="00AF580A">
        <w:rPr>
          <w:sz w:val="24"/>
          <w:szCs w:val="24"/>
        </w:rPr>
        <w:t>We recognise there a number of online risks that can cause harm to both adults and children, and that proper controls need to apply to social media and content services to ensure individuals can seek redress, advice and support.</w:t>
      </w:r>
      <w:r w:rsidR="00F379B7">
        <w:rPr>
          <w:sz w:val="24"/>
          <w:szCs w:val="24"/>
        </w:rPr>
        <w:t xml:space="preserve"> </w:t>
      </w:r>
      <w:r>
        <w:rPr>
          <w:sz w:val="24"/>
          <w:szCs w:val="24"/>
        </w:rPr>
        <w:t>We work</w:t>
      </w:r>
      <w:r w:rsidRPr="00AF580A">
        <w:rPr>
          <w:sz w:val="24"/>
          <w:szCs w:val="24"/>
        </w:rPr>
        <w:t xml:space="preserve"> with the private sector, including social media organisations, to promote corporate responsibility for </w:t>
      </w:r>
      <w:r w:rsidRPr="00AF580A">
        <w:rPr>
          <w:sz w:val="24"/>
          <w:szCs w:val="24"/>
        </w:rPr>
        <w:lastRenderedPageBreak/>
        <w:t xml:space="preserve">a safe, open and secure internet. </w:t>
      </w:r>
    </w:p>
    <w:p w14:paraId="1C4D407B" w14:textId="42209588" w:rsidR="00AF580A" w:rsidRPr="00AF580A" w:rsidRDefault="00AF580A" w:rsidP="00F379B7">
      <w:pPr>
        <w:pStyle w:val="NormalWeb"/>
        <w:tabs>
          <w:tab w:val="left" w:pos="1134"/>
        </w:tabs>
        <w:spacing w:before="120" w:after="120"/>
        <w:ind w:right="-45"/>
        <w:rPr>
          <w:rFonts w:ascii="Calibri" w:hAnsi="Calibri"/>
        </w:rPr>
      </w:pPr>
      <w:r w:rsidRPr="00AF580A">
        <w:rPr>
          <w:rFonts w:ascii="Calibri" w:hAnsi="Calibri"/>
          <w:lang w:eastAsia="en-US"/>
        </w:rPr>
        <w:t xml:space="preserve">All Bills and legislative instruments introduced into the Australian Federal Parliament </w:t>
      </w:r>
      <w:proofErr w:type="gramStart"/>
      <w:r w:rsidRPr="00AF580A">
        <w:rPr>
          <w:rFonts w:ascii="Calibri" w:hAnsi="Calibri"/>
          <w:lang w:eastAsia="en-US"/>
        </w:rPr>
        <w:t>must be accompanied</w:t>
      </w:r>
      <w:proofErr w:type="gramEnd"/>
      <w:r w:rsidRPr="00AF580A">
        <w:rPr>
          <w:rFonts w:ascii="Calibri" w:hAnsi="Calibri"/>
          <w:lang w:eastAsia="en-US"/>
        </w:rPr>
        <w:t xml:space="preserve"> by an assessment of the bill’s compatibility with the rights and freedoms recognised in the seven core international human rights treaties that Australia has ratified. The Parliamentary Joint Committee on Human Rights (PJCHR) also examines and reports on the human rights compatibility of all bills and legislative instruments considered by Parliament. </w:t>
      </w:r>
      <w:r w:rsidRPr="00AF580A">
        <w:rPr>
          <w:rFonts w:ascii="Calibri" w:hAnsi="Calibri"/>
        </w:rPr>
        <w:t>The Government regularly reviews its laws to ensure they remain reasonable, necessary and proportionate with r</w:t>
      </w:r>
      <w:r w:rsidR="00F379B7">
        <w:rPr>
          <w:rFonts w:ascii="Calibri" w:hAnsi="Calibri"/>
        </w:rPr>
        <w:t>e</w:t>
      </w:r>
      <w:r w:rsidRPr="00AF580A">
        <w:rPr>
          <w:rFonts w:ascii="Calibri" w:hAnsi="Calibri"/>
        </w:rPr>
        <w:t>spect to limitations of rights.</w:t>
      </w:r>
    </w:p>
    <w:p w14:paraId="19402351" w14:textId="10B5AF6F" w:rsidR="00F379B7" w:rsidRPr="00AF580A" w:rsidRDefault="00F379B7" w:rsidP="00F379B7">
      <w:pPr>
        <w:spacing w:before="120" w:after="120"/>
        <w:rPr>
          <w:sz w:val="24"/>
          <w:szCs w:val="24"/>
        </w:rPr>
      </w:pPr>
      <w:r w:rsidRPr="00F379B7">
        <w:rPr>
          <w:sz w:val="24"/>
          <w:szCs w:val="24"/>
        </w:rPr>
        <w:t xml:space="preserve">To inform the High Commissioner’s report on this occasion, the Government is pleased to provide the following further information on its content regulation framework. </w:t>
      </w:r>
    </w:p>
    <w:p w14:paraId="31067AEC" w14:textId="77777777" w:rsidR="00AA2C45" w:rsidRDefault="00AA2C45" w:rsidP="0074387C">
      <w:pPr>
        <w:spacing w:before="120" w:after="120"/>
        <w:rPr>
          <w:b/>
          <w:sz w:val="24"/>
          <w:szCs w:val="24"/>
          <w:u w:val="single"/>
        </w:rPr>
      </w:pPr>
    </w:p>
    <w:p w14:paraId="18C58650" w14:textId="1BAF596D" w:rsidR="00C32A3F" w:rsidRPr="00AF580A" w:rsidRDefault="00AC0A4D" w:rsidP="0074387C">
      <w:pPr>
        <w:spacing w:before="120" w:after="120"/>
        <w:rPr>
          <w:b/>
          <w:sz w:val="24"/>
          <w:szCs w:val="24"/>
          <w:u w:val="single"/>
        </w:rPr>
      </w:pPr>
      <w:r w:rsidRPr="00AF580A">
        <w:rPr>
          <w:b/>
          <w:sz w:val="24"/>
          <w:szCs w:val="24"/>
          <w:u w:val="single"/>
        </w:rPr>
        <w:t>Online Safety Issues (</w:t>
      </w:r>
      <w:r w:rsidR="00FA307B" w:rsidRPr="00AF580A">
        <w:rPr>
          <w:b/>
          <w:sz w:val="24"/>
          <w:szCs w:val="24"/>
          <w:u w:val="single"/>
        </w:rPr>
        <w:t>Cyberbullying, image-based abuse and prohibited content</w:t>
      </w:r>
      <w:r w:rsidRPr="00AF580A">
        <w:rPr>
          <w:b/>
          <w:sz w:val="24"/>
          <w:szCs w:val="24"/>
          <w:u w:val="single"/>
        </w:rPr>
        <w:t>)</w:t>
      </w:r>
    </w:p>
    <w:p w14:paraId="6CBE680D" w14:textId="7F118709"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The Office of the Children’s </w:t>
      </w:r>
      <w:proofErr w:type="spellStart"/>
      <w:r w:rsidRPr="00AF580A">
        <w:rPr>
          <w:sz w:val="24"/>
          <w:szCs w:val="24"/>
        </w:rPr>
        <w:t>eSafety</w:t>
      </w:r>
      <w:proofErr w:type="spellEnd"/>
      <w:r w:rsidRPr="00AF580A">
        <w:rPr>
          <w:sz w:val="24"/>
          <w:szCs w:val="24"/>
        </w:rPr>
        <w:t xml:space="preserve"> Commissioner </w:t>
      </w:r>
      <w:r w:rsidR="0006105C" w:rsidRPr="00AF580A">
        <w:rPr>
          <w:sz w:val="24"/>
          <w:szCs w:val="24"/>
        </w:rPr>
        <w:t>(</w:t>
      </w:r>
      <w:proofErr w:type="spellStart"/>
      <w:r w:rsidR="0006105C" w:rsidRPr="00AF580A">
        <w:rPr>
          <w:sz w:val="24"/>
          <w:szCs w:val="24"/>
        </w:rPr>
        <w:t>eSafety</w:t>
      </w:r>
      <w:proofErr w:type="spellEnd"/>
      <w:r w:rsidR="0006105C" w:rsidRPr="00AF580A">
        <w:rPr>
          <w:sz w:val="24"/>
          <w:szCs w:val="24"/>
        </w:rPr>
        <w:t xml:space="preserve"> Commissioner</w:t>
      </w:r>
      <w:r w:rsidRPr="00AF580A">
        <w:rPr>
          <w:sz w:val="24"/>
          <w:szCs w:val="24"/>
        </w:rPr>
        <w:t xml:space="preserve">) </w:t>
      </w:r>
      <w:proofErr w:type="gramStart"/>
      <w:r w:rsidRPr="00AF580A">
        <w:rPr>
          <w:sz w:val="24"/>
          <w:szCs w:val="24"/>
        </w:rPr>
        <w:t>was established</w:t>
      </w:r>
      <w:proofErr w:type="gramEnd"/>
      <w:r w:rsidRPr="00AF580A">
        <w:rPr>
          <w:sz w:val="24"/>
          <w:szCs w:val="24"/>
        </w:rPr>
        <w:t xml:space="preserve"> in July 2015</w:t>
      </w:r>
      <w:r w:rsidRPr="00AF580A">
        <w:rPr>
          <w:rStyle w:val="FootnoteReference"/>
          <w:sz w:val="24"/>
          <w:szCs w:val="24"/>
        </w:rPr>
        <w:footnoteReference w:id="2"/>
      </w:r>
      <w:r w:rsidR="005B21A6" w:rsidRPr="00AF580A">
        <w:rPr>
          <w:sz w:val="24"/>
          <w:szCs w:val="24"/>
        </w:rPr>
        <w:t xml:space="preserve"> to take a national leadership role in online safety for children</w:t>
      </w:r>
      <w:r w:rsidRPr="00AF580A">
        <w:rPr>
          <w:sz w:val="24"/>
          <w:szCs w:val="24"/>
        </w:rPr>
        <w:t>. Legislation came into effect</w:t>
      </w:r>
      <w:r w:rsidR="00FA307B" w:rsidRPr="00AF580A">
        <w:rPr>
          <w:sz w:val="24"/>
          <w:szCs w:val="24"/>
        </w:rPr>
        <w:t xml:space="preserve"> on</w:t>
      </w:r>
      <w:r w:rsidRPr="00AF580A">
        <w:rPr>
          <w:sz w:val="24"/>
          <w:szCs w:val="24"/>
        </w:rPr>
        <w:t xml:space="preserve"> 23 June </w:t>
      </w:r>
      <w:proofErr w:type="gramStart"/>
      <w:r w:rsidRPr="00AF580A">
        <w:rPr>
          <w:sz w:val="24"/>
          <w:szCs w:val="24"/>
        </w:rPr>
        <w:t>2017 which</w:t>
      </w:r>
      <w:proofErr w:type="gramEnd"/>
      <w:r w:rsidRPr="00AF580A">
        <w:rPr>
          <w:sz w:val="24"/>
          <w:szCs w:val="24"/>
        </w:rPr>
        <w:t xml:space="preserve"> expanded the remit of the Commissioner to address online safety issues affecting all Australians. Section 15 of the </w:t>
      </w:r>
      <w:r w:rsidRPr="00AF580A">
        <w:rPr>
          <w:i/>
          <w:sz w:val="24"/>
          <w:szCs w:val="24"/>
        </w:rPr>
        <w:t>Enhancing Online Safety Act 2015</w:t>
      </w:r>
      <w:r w:rsidRPr="00AF580A">
        <w:rPr>
          <w:rStyle w:val="FootnoteReference"/>
          <w:i/>
          <w:sz w:val="24"/>
          <w:szCs w:val="24"/>
        </w:rPr>
        <w:footnoteReference w:id="3"/>
      </w:r>
      <w:r w:rsidRPr="00AF580A">
        <w:rPr>
          <w:sz w:val="24"/>
          <w:szCs w:val="24"/>
        </w:rPr>
        <w:t xml:space="preserve"> specifies the broad functions of the </w:t>
      </w:r>
      <w:proofErr w:type="spellStart"/>
      <w:r w:rsidRPr="00AF580A">
        <w:rPr>
          <w:sz w:val="24"/>
          <w:szCs w:val="24"/>
        </w:rPr>
        <w:t>eSafety</w:t>
      </w:r>
      <w:proofErr w:type="spellEnd"/>
      <w:r w:rsidRPr="00AF580A">
        <w:rPr>
          <w:sz w:val="24"/>
          <w:szCs w:val="24"/>
        </w:rPr>
        <w:t xml:space="preserve"> Commissioner.</w:t>
      </w:r>
    </w:p>
    <w:p w14:paraId="0EECF1FC" w14:textId="65687D28" w:rsidR="00C32A3F" w:rsidRPr="00AF580A" w:rsidRDefault="00FA307B" w:rsidP="0074387C">
      <w:pPr>
        <w:pStyle w:val="ListParagraph"/>
        <w:widowControl w:val="0"/>
        <w:numPr>
          <w:ilvl w:val="0"/>
          <w:numId w:val="19"/>
        </w:numPr>
        <w:spacing w:before="120" w:after="120"/>
        <w:rPr>
          <w:sz w:val="24"/>
          <w:szCs w:val="24"/>
        </w:rPr>
      </w:pPr>
      <w:r w:rsidRPr="00AF580A">
        <w:rPr>
          <w:sz w:val="24"/>
          <w:szCs w:val="24"/>
        </w:rPr>
        <w:t xml:space="preserve">The </w:t>
      </w:r>
      <w:proofErr w:type="spellStart"/>
      <w:r w:rsidRPr="00AF580A">
        <w:rPr>
          <w:sz w:val="24"/>
          <w:szCs w:val="24"/>
        </w:rPr>
        <w:t>eSafety</w:t>
      </w:r>
      <w:proofErr w:type="spellEnd"/>
      <w:r w:rsidRPr="00AF580A">
        <w:rPr>
          <w:sz w:val="24"/>
          <w:szCs w:val="24"/>
        </w:rPr>
        <w:t xml:space="preserve"> </w:t>
      </w:r>
      <w:r w:rsidR="0006105C" w:rsidRPr="00AF580A">
        <w:rPr>
          <w:sz w:val="24"/>
          <w:szCs w:val="24"/>
        </w:rPr>
        <w:t>Commissioner</w:t>
      </w:r>
      <w:r w:rsidRPr="00AF580A">
        <w:rPr>
          <w:sz w:val="24"/>
          <w:szCs w:val="24"/>
        </w:rPr>
        <w:t xml:space="preserve"> current administers a number of complaints and take down services which can be applied to social media platforms:</w:t>
      </w:r>
    </w:p>
    <w:p w14:paraId="365D8DEB" w14:textId="45BB7BC1" w:rsidR="00C32A3F" w:rsidRPr="00AF580A" w:rsidRDefault="00C32A3F" w:rsidP="0074387C">
      <w:pPr>
        <w:pStyle w:val="ListParagraph"/>
        <w:widowControl w:val="0"/>
        <w:numPr>
          <w:ilvl w:val="1"/>
          <w:numId w:val="19"/>
        </w:numPr>
        <w:spacing w:before="120" w:after="120"/>
        <w:rPr>
          <w:sz w:val="24"/>
          <w:szCs w:val="24"/>
        </w:rPr>
      </w:pPr>
      <w:r w:rsidRPr="00AF580A">
        <w:rPr>
          <w:sz w:val="24"/>
          <w:szCs w:val="24"/>
        </w:rPr>
        <w:t xml:space="preserve">a complaints scheme for cyberbullying targeted at an Australian child; including removal of cyberbullying </w:t>
      </w:r>
      <w:r w:rsidR="00FA307B" w:rsidRPr="00AF580A">
        <w:rPr>
          <w:sz w:val="24"/>
          <w:szCs w:val="24"/>
        </w:rPr>
        <w:t>material</w:t>
      </w:r>
      <w:r w:rsidRPr="00AF580A">
        <w:rPr>
          <w:sz w:val="24"/>
          <w:szCs w:val="24"/>
        </w:rPr>
        <w:t xml:space="preserve">; </w:t>
      </w:r>
    </w:p>
    <w:p w14:paraId="3E1A451E" w14:textId="520023AD" w:rsidR="00C32A3F" w:rsidRPr="00AF580A" w:rsidRDefault="00C32A3F" w:rsidP="0074387C">
      <w:pPr>
        <w:pStyle w:val="ListParagraph"/>
        <w:widowControl w:val="0"/>
        <w:numPr>
          <w:ilvl w:val="1"/>
          <w:numId w:val="19"/>
        </w:numPr>
        <w:spacing w:before="120" w:after="120"/>
        <w:rPr>
          <w:sz w:val="24"/>
          <w:szCs w:val="24"/>
        </w:rPr>
      </w:pPr>
      <w:proofErr w:type="gramStart"/>
      <w:r w:rsidRPr="00AF580A">
        <w:rPr>
          <w:sz w:val="24"/>
          <w:szCs w:val="24"/>
        </w:rPr>
        <w:t>an</w:t>
      </w:r>
      <w:proofErr w:type="gramEnd"/>
      <w:r w:rsidRPr="00AF580A">
        <w:rPr>
          <w:sz w:val="24"/>
          <w:szCs w:val="24"/>
        </w:rPr>
        <w:t xml:space="preserve"> image-based abuse portal to facilitate the removal of intimate images shared without consent, i.e. revenge porn.  Legislation currently before the Parliament will empower the </w:t>
      </w:r>
      <w:proofErr w:type="spellStart"/>
      <w:r w:rsidRPr="00AF580A">
        <w:rPr>
          <w:sz w:val="24"/>
          <w:szCs w:val="24"/>
        </w:rPr>
        <w:t>eSafety</w:t>
      </w:r>
      <w:proofErr w:type="spellEnd"/>
      <w:r w:rsidRPr="00AF580A">
        <w:rPr>
          <w:sz w:val="24"/>
          <w:szCs w:val="24"/>
        </w:rPr>
        <w:t xml:space="preserve"> Commissioner with civil penalties to take action against perpetrators, social media services and content hosts; and</w:t>
      </w:r>
    </w:p>
    <w:p w14:paraId="10DA5416" w14:textId="4398C240" w:rsidR="00C32A3F" w:rsidRPr="00AF580A" w:rsidRDefault="00C32A3F" w:rsidP="0074387C">
      <w:pPr>
        <w:pStyle w:val="ListParagraph"/>
        <w:widowControl w:val="0"/>
        <w:numPr>
          <w:ilvl w:val="1"/>
          <w:numId w:val="19"/>
        </w:numPr>
        <w:spacing w:before="120" w:after="120"/>
        <w:rPr>
          <w:sz w:val="24"/>
          <w:szCs w:val="24"/>
        </w:rPr>
      </w:pPr>
      <w:r w:rsidRPr="00AF580A">
        <w:rPr>
          <w:sz w:val="24"/>
          <w:szCs w:val="24"/>
        </w:rPr>
        <w:t xml:space="preserve">Administration of the Online Content Scheme (Schedules 5 &amp; 7 of </w:t>
      </w:r>
      <w:r w:rsidRPr="00AF580A">
        <w:rPr>
          <w:i/>
          <w:sz w:val="24"/>
          <w:szCs w:val="24"/>
        </w:rPr>
        <w:t>Broadcasting Services Act 1992</w:t>
      </w:r>
      <w:r w:rsidRPr="00AF580A">
        <w:rPr>
          <w:sz w:val="24"/>
          <w:szCs w:val="24"/>
        </w:rPr>
        <w:t>) for prohibited online material.</w:t>
      </w:r>
    </w:p>
    <w:p w14:paraId="019620B0" w14:textId="0E29AD2D" w:rsidR="00C32A3F" w:rsidRPr="00AF580A" w:rsidRDefault="00C32A3F" w:rsidP="0074387C">
      <w:pPr>
        <w:pStyle w:val="ListParagraph"/>
        <w:widowControl w:val="0"/>
        <w:spacing w:before="120" w:after="120"/>
        <w:ind w:left="360"/>
        <w:rPr>
          <w:sz w:val="24"/>
          <w:szCs w:val="24"/>
        </w:rPr>
      </w:pPr>
      <w:r w:rsidRPr="00AF580A">
        <w:rPr>
          <w:sz w:val="24"/>
          <w:szCs w:val="24"/>
        </w:rPr>
        <w:t xml:space="preserve">These roles </w:t>
      </w:r>
      <w:proofErr w:type="gramStart"/>
      <w:r w:rsidRPr="00AF580A">
        <w:rPr>
          <w:sz w:val="24"/>
          <w:szCs w:val="24"/>
        </w:rPr>
        <w:t>are explained</w:t>
      </w:r>
      <w:proofErr w:type="gramEnd"/>
      <w:r w:rsidRPr="00AF580A">
        <w:rPr>
          <w:sz w:val="24"/>
          <w:szCs w:val="24"/>
        </w:rPr>
        <w:t xml:space="preserve"> in more detail below.</w:t>
      </w:r>
    </w:p>
    <w:p w14:paraId="15BC8B5D" w14:textId="77777777" w:rsidR="00C32A3F" w:rsidRPr="00AF580A" w:rsidRDefault="00C32A3F" w:rsidP="0074387C">
      <w:pPr>
        <w:spacing w:before="120" w:after="120"/>
        <w:rPr>
          <w:i/>
          <w:sz w:val="24"/>
          <w:szCs w:val="24"/>
        </w:rPr>
      </w:pPr>
      <w:r w:rsidRPr="00AF580A">
        <w:rPr>
          <w:i/>
          <w:sz w:val="24"/>
          <w:szCs w:val="24"/>
        </w:rPr>
        <w:t>Cyberbullying Complaints Scheme</w:t>
      </w:r>
    </w:p>
    <w:p w14:paraId="0949F623" w14:textId="2BDB526A"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The cyberbullying complaints scheme </w:t>
      </w:r>
      <w:proofErr w:type="gramStart"/>
      <w:r w:rsidRPr="00AF580A">
        <w:rPr>
          <w:sz w:val="24"/>
          <w:szCs w:val="24"/>
        </w:rPr>
        <w:t>is designed</w:t>
      </w:r>
      <w:proofErr w:type="gramEnd"/>
      <w:r w:rsidRPr="00AF580A">
        <w:rPr>
          <w:sz w:val="24"/>
          <w:szCs w:val="24"/>
        </w:rPr>
        <w:t xml:space="preserve"> to quickly remove cyberbullying material that is harmful to a child from large social media sites. It is a world first complaints system where children, parents and teachers can lodge a complaint and receive timely advice and assistance. </w:t>
      </w:r>
    </w:p>
    <w:p w14:paraId="0A495892" w14:textId="4987654C"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In order to lodge a complaint with the </w:t>
      </w:r>
      <w:proofErr w:type="spellStart"/>
      <w:r w:rsidRPr="00AF580A">
        <w:rPr>
          <w:sz w:val="24"/>
          <w:szCs w:val="24"/>
        </w:rPr>
        <w:t>eSafety</w:t>
      </w:r>
      <w:proofErr w:type="spellEnd"/>
      <w:r w:rsidRPr="00AF580A">
        <w:rPr>
          <w:sz w:val="24"/>
          <w:szCs w:val="24"/>
        </w:rPr>
        <w:t xml:space="preserve"> Commissioner, a complaint </w:t>
      </w:r>
      <w:proofErr w:type="gramStart"/>
      <w:r w:rsidRPr="00AF580A">
        <w:rPr>
          <w:sz w:val="24"/>
          <w:szCs w:val="24"/>
        </w:rPr>
        <w:t>must first be made</w:t>
      </w:r>
      <w:proofErr w:type="gramEnd"/>
      <w:r w:rsidRPr="00AF580A">
        <w:rPr>
          <w:sz w:val="24"/>
          <w:szCs w:val="24"/>
        </w:rPr>
        <w:t xml:space="preserve"> to the relevant social media service under its complaints scheme. If the service does not remove the material within 48 hours, a complaint </w:t>
      </w:r>
      <w:proofErr w:type="gramStart"/>
      <w:r w:rsidRPr="00AF580A">
        <w:rPr>
          <w:sz w:val="24"/>
          <w:szCs w:val="24"/>
        </w:rPr>
        <w:t>can then be made</w:t>
      </w:r>
      <w:proofErr w:type="gramEnd"/>
      <w:r w:rsidRPr="00AF580A">
        <w:rPr>
          <w:sz w:val="24"/>
          <w:szCs w:val="24"/>
        </w:rPr>
        <w:t xml:space="preserve"> to the </w:t>
      </w:r>
      <w:proofErr w:type="spellStart"/>
      <w:r w:rsidRPr="00AF580A">
        <w:rPr>
          <w:sz w:val="24"/>
          <w:szCs w:val="24"/>
        </w:rPr>
        <w:t>eSafety</w:t>
      </w:r>
      <w:proofErr w:type="spellEnd"/>
      <w:r w:rsidRPr="00AF580A">
        <w:rPr>
          <w:sz w:val="24"/>
          <w:szCs w:val="24"/>
        </w:rPr>
        <w:t xml:space="preserve"> Commissioner. Each complaint received by the Commissioner </w:t>
      </w:r>
      <w:proofErr w:type="gramStart"/>
      <w:r w:rsidRPr="00AF580A">
        <w:rPr>
          <w:sz w:val="24"/>
          <w:szCs w:val="24"/>
        </w:rPr>
        <w:t>is assessed</w:t>
      </w:r>
      <w:proofErr w:type="gramEnd"/>
      <w:r w:rsidRPr="00AF580A">
        <w:rPr>
          <w:sz w:val="24"/>
          <w:szCs w:val="24"/>
        </w:rPr>
        <w:t xml:space="preserve"> on a case-by-case basis. </w:t>
      </w:r>
    </w:p>
    <w:p w14:paraId="4D4B729D" w14:textId="47F8E7EC" w:rsidR="00FA307B" w:rsidRPr="00AF580A" w:rsidRDefault="00C32A3F" w:rsidP="0074387C">
      <w:pPr>
        <w:pStyle w:val="ListParagraph"/>
        <w:widowControl w:val="0"/>
        <w:numPr>
          <w:ilvl w:val="0"/>
          <w:numId w:val="19"/>
        </w:numPr>
        <w:spacing w:before="120" w:after="120"/>
        <w:rPr>
          <w:sz w:val="24"/>
          <w:szCs w:val="24"/>
        </w:rPr>
      </w:pPr>
      <w:r w:rsidRPr="00AF580A">
        <w:rPr>
          <w:sz w:val="24"/>
          <w:szCs w:val="24"/>
        </w:rPr>
        <w:lastRenderedPageBreak/>
        <w:t xml:space="preserve">Under the legislation, the </w:t>
      </w:r>
      <w:proofErr w:type="spellStart"/>
      <w:r w:rsidRPr="00AF580A">
        <w:rPr>
          <w:sz w:val="24"/>
          <w:szCs w:val="24"/>
        </w:rPr>
        <w:t>eSafety</w:t>
      </w:r>
      <w:proofErr w:type="spellEnd"/>
      <w:r w:rsidRPr="00AF580A">
        <w:rPr>
          <w:sz w:val="24"/>
          <w:szCs w:val="24"/>
        </w:rPr>
        <w:t xml:space="preserve"> Commissioner has two sets of powers to deal with a cyberbullying complaint:</w:t>
      </w:r>
    </w:p>
    <w:p w14:paraId="23D9CB2D" w14:textId="74B334CA" w:rsidR="00C32A3F" w:rsidRPr="00AF580A" w:rsidRDefault="00C32A3F" w:rsidP="0074387C">
      <w:pPr>
        <w:pStyle w:val="ListParagraph"/>
        <w:widowControl w:val="0"/>
        <w:numPr>
          <w:ilvl w:val="0"/>
          <w:numId w:val="35"/>
        </w:numPr>
        <w:spacing w:before="120" w:after="120"/>
        <w:rPr>
          <w:sz w:val="24"/>
          <w:szCs w:val="24"/>
        </w:rPr>
      </w:pPr>
      <w:r w:rsidRPr="00AF580A">
        <w:rPr>
          <w:sz w:val="24"/>
          <w:szCs w:val="24"/>
        </w:rPr>
        <w:t xml:space="preserve">First, the </w:t>
      </w:r>
      <w:proofErr w:type="spellStart"/>
      <w:r w:rsidR="00FA307B" w:rsidRPr="00AF580A">
        <w:rPr>
          <w:sz w:val="24"/>
          <w:szCs w:val="24"/>
        </w:rPr>
        <w:t>eSafety</w:t>
      </w:r>
      <w:proofErr w:type="spellEnd"/>
      <w:r w:rsidR="00FA307B" w:rsidRPr="00AF580A">
        <w:rPr>
          <w:sz w:val="24"/>
          <w:szCs w:val="24"/>
        </w:rPr>
        <w:t xml:space="preserve"> </w:t>
      </w:r>
      <w:r w:rsidRPr="00AF580A">
        <w:rPr>
          <w:sz w:val="24"/>
          <w:szCs w:val="24"/>
        </w:rPr>
        <w:t xml:space="preserve">Commissioner is able to issue notices to large social media services to remove cyberbullying material targeted at an Australian child from the service. </w:t>
      </w:r>
    </w:p>
    <w:p w14:paraId="755452FD" w14:textId="4C3507DF" w:rsidR="00C32A3F" w:rsidRPr="00AF580A" w:rsidRDefault="00C32A3F" w:rsidP="0074387C">
      <w:pPr>
        <w:pStyle w:val="ListParagraph"/>
        <w:widowControl w:val="0"/>
        <w:numPr>
          <w:ilvl w:val="0"/>
          <w:numId w:val="35"/>
        </w:numPr>
        <w:spacing w:before="120" w:after="120"/>
        <w:rPr>
          <w:sz w:val="24"/>
          <w:szCs w:val="24"/>
        </w:rPr>
      </w:pPr>
      <w:r w:rsidRPr="00AF580A">
        <w:rPr>
          <w:sz w:val="24"/>
          <w:szCs w:val="24"/>
        </w:rPr>
        <w:t xml:space="preserve">Second, the </w:t>
      </w:r>
      <w:proofErr w:type="spellStart"/>
      <w:r w:rsidR="00FA307B" w:rsidRPr="00AF580A">
        <w:rPr>
          <w:sz w:val="24"/>
          <w:szCs w:val="24"/>
        </w:rPr>
        <w:t>eSafety</w:t>
      </w:r>
      <w:proofErr w:type="spellEnd"/>
      <w:r w:rsidR="00FA307B" w:rsidRPr="00AF580A">
        <w:rPr>
          <w:sz w:val="24"/>
          <w:szCs w:val="24"/>
        </w:rPr>
        <w:t xml:space="preserve"> </w:t>
      </w:r>
      <w:r w:rsidRPr="00AF580A">
        <w:rPr>
          <w:sz w:val="24"/>
          <w:szCs w:val="24"/>
        </w:rPr>
        <w:t>Commissioner is able to give a notice to a person who posts cyberbullying material targeted at an Australian child on either a social media service or a ‘relevant electronic service’ (e.g. email, text message).</w:t>
      </w:r>
    </w:p>
    <w:p w14:paraId="16D447D6" w14:textId="77777777"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The scheme involves a two-tiered system, backed by legislation, to apply to social media services accessible to Australian children. Social media services participating under tier 1 participate on a cooperative basis and are not be subject to legally binding notices or penalties. These social media services generally have robust, well-established mechanisms for handling complaints and the scheme </w:t>
      </w:r>
      <w:proofErr w:type="gramStart"/>
      <w:r w:rsidRPr="00AF580A">
        <w:rPr>
          <w:sz w:val="24"/>
          <w:szCs w:val="24"/>
        </w:rPr>
        <w:t>is designed</w:t>
      </w:r>
      <w:proofErr w:type="gramEnd"/>
      <w:r w:rsidRPr="00AF580A">
        <w:rPr>
          <w:sz w:val="24"/>
          <w:szCs w:val="24"/>
        </w:rPr>
        <w:t xml:space="preserve"> to interwork with these existing processes. Those declared to be tier </w:t>
      </w:r>
      <w:proofErr w:type="gramStart"/>
      <w:r w:rsidRPr="00AF580A">
        <w:rPr>
          <w:sz w:val="24"/>
          <w:szCs w:val="24"/>
        </w:rPr>
        <w:t>2</w:t>
      </w:r>
      <w:proofErr w:type="gramEnd"/>
      <w:r w:rsidRPr="00AF580A">
        <w:rPr>
          <w:sz w:val="24"/>
          <w:szCs w:val="24"/>
        </w:rPr>
        <w:t xml:space="preserve"> social media services are subject to legally binding removal notices and face civil penalties for non-compliance.</w:t>
      </w:r>
    </w:p>
    <w:p w14:paraId="40A18401" w14:textId="77777777"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The </w:t>
      </w:r>
      <w:proofErr w:type="spellStart"/>
      <w:r w:rsidRPr="00AF580A">
        <w:rPr>
          <w:sz w:val="24"/>
          <w:szCs w:val="24"/>
        </w:rPr>
        <w:t>eSafety</w:t>
      </w:r>
      <w:proofErr w:type="spellEnd"/>
      <w:r w:rsidRPr="00AF580A">
        <w:rPr>
          <w:sz w:val="24"/>
          <w:szCs w:val="24"/>
        </w:rPr>
        <w:t xml:space="preserve"> Commissioner works collaboratively with key social media services </w:t>
      </w:r>
      <w:proofErr w:type="gramStart"/>
      <w:r w:rsidRPr="00AF580A">
        <w:rPr>
          <w:sz w:val="24"/>
          <w:szCs w:val="24"/>
        </w:rPr>
        <w:t>to rapidly remove</w:t>
      </w:r>
      <w:proofErr w:type="gramEnd"/>
      <w:r w:rsidRPr="00AF580A">
        <w:rPr>
          <w:sz w:val="24"/>
          <w:szCs w:val="24"/>
        </w:rPr>
        <w:t xml:space="preserve"> cyberbullying material. While the </w:t>
      </w:r>
      <w:proofErr w:type="spellStart"/>
      <w:r w:rsidRPr="00AF580A" w:rsidDel="00F76443">
        <w:rPr>
          <w:sz w:val="24"/>
          <w:szCs w:val="24"/>
        </w:rPr>
        <w:t>eSafety</w:t>
      </w:r>
      <w:proofErr w:type="spellEnd"/>
      <w:r w:rsidRPr="00AF580A" w:rsidDel="00F76443">
        <w:rPr>
          <w:sz w:val="24"/>
          <w:szCs w:val="24"/>
        </w:rPr>
        <w:t xml:space="preserve"> Commissioner </w:t>
      </w:r>
      <w:r w:rsidRPr="00AF580A">
        <w:rPr>
          <w:sz w:val="24"/>
          <w:szCs w:val="24"/>
        </w:rPr>
        <w:t xml:space="preserve">does not have the authority to compel sites and services hosted overseas (and not social media partners with the Commissioner under the two-tiered scheme) to remove content, many of these sites and services remove content at the </w:t>
      </w:r>
      <w:proofErr w:type="spellStart"/>
      <w:r w:rsidRPr="00AF580A">
        <w:rPr>
          <w:sz w:val="24"/>
          <w:szCs w:val="24"/>
        </w:rPr>
        <w:t>eSafety</w:t>
      </w:r>
      <w:proofErr w:type="spellEnd"/>
      <w:r w:rsidRPr="00AF580A">
        <w:rPr>
          <w:sz w:val="24"/>
          <w:szCs w:val="24"/>
        </w:rPr>
        <w:t xml:space="preserve"> Commissioner’s request on a voluntary basis.</w:t>
      </w:r>
    </w:p>
    <w:p w14:paraId="548E3205" w14:textId="0C7ED2D5"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The </w:t>
      </w:r>
      <w:proofErr w:type="spellStart"/>
      <w:r w:rsidRPr="00AF580A">
        <w:rPr>
          <w:sz w:val="24"/>
          <w:szCs w:val="24"/>
        </w:rPr>
        <w:t>eSafety</w:t>
      </w:r>
      <w:proofErr w:type="spellEnd"/>
      <w:r w:rsidRPr="00AF580A" w:rsidDel="00EA77EA">
        <w:rPr>
          <w:sz w:val="24"/>
          <w:szCs w:val="24"/>
        </w:rPr>
        <w:t xml:space="preserve"> </w:t>
      </w:r>
      <w:r w:rsidRPr="00AF580A">
        <w:rPr>
          <w:sz w:val="24"/>
          <w:szCs w:val="24"/>
        </w:rPr>
        <w:t>Commissioner conti</w:t>
      </w:r>
      <w:r w:rsidR="003A0CA9" w:rsidRPr="00AF580A">
        <w:rPr>
          <w:sz w:val="24"/>
          <w:szCs w:val="24"/>
        </w:rPr>
        <w:t>nues to engage with smaller app</w:t>
      </w:r>
      <w:r w:rsidRPr="00AF580A">
        <w:rPr>
          <w:sz w:val="24"/>
          <w:szCs w:val="24"/>
        </w:rPr>
        <w:t xml:space="preserve"> developers individually in a bid to get more services formally into the two-tiered scheme. The </w:t>
      </w:r>
      <w:proofErr w:type="spellStart"/>
      <w:r w:rsidRPr="00AF580A">
        <w:rPr>
          <w:sz w:val="24"/>
          <w:szCs w:val="24"/>
        </w:rPr>
        <w:t>eSafety</w:t>
      </w:r>
      <w:proofErr w:type="spellEnd"/>
      <w:r w:rsidRPr="00AF580A" w:rsidDel="00EA77EA">
        <w:rPr>
          <w:sz w:val="24"/>
          <w:szCs w:val="24"/>
        </w:rPr>
        <w:t xml:space="preserve"> </w:t>
      </w:r>
      <w:r w:rsidRPr="00AF580A">
        <w:rPr>
          <w:sz w:val="24"/>
          <w:szCs w:val="24"/>
        </w:rPr>
        <w:t xml:space="preserve">Commissioner believes that more </w:t>
      </w:r>
      <w:proofErr w:type="gramStart"/>
      <w:r w:rsidRPr="00AF580A">
        <w:rPr>
          <w:sz w:val="24"/>
          <w:szCs w:val="24"/>
        </w:rPr>
        <w:t>could be achieved</w:t>
      </w:r>
      <w:proofErr w:type="gramEnd"/>
      <w:r w:rsidRPr="00AF580A">
        <w:rPr>
          <w:sz w:val="24"/>
          <w:szCs w:val="24"/>
        </w:rPr>
        <w:t xml:space="preserve"> if more requirements </w:t>
      </w:r>
      <w:r w:rsidR="003A0CA9" w:rsidRPr="00AF580A">
        <w:rPr>
          <w:sz w:val="24"/>
          <w:szCs w:val="24"/>
        </w:rPr>
        <w:t>are placed on the gaming and app</w:t>
      </w:r>
      <w:r w:rsidRPr="00AF580A">
        <w:rPr>
          <w:sz w:val="24"/>
          <w:szCs w:val="24"/>
        </w:rPr>
        <w:t xml:space="preserve"> stores platforms to also comply with the Basic Online Safety Requirements established under the Online Safety Act. </w:t>
      </w:r>
    </w:p>
    <w:p w14:paraId="232D553F" w14:textId="77777777" w:rsidR="00C32A3F" w:rsidRPr="00AF580A" w:rsidRDefault="00C32A3F" w:rsidP="0074387C">
      <w:pPr>
        <w:spacing w:before="120" w:after="120"/>
        <w:rPr>
          <w:i/>
          <w:sz w:val="24"/>
          <w:szCs w:val="24"/>
        </w:rPr>
      </w:pPr>
      <w:r w:rsidRPr="00AF580A">
        <w:rPr>
          <w:i/>
          <w:sz w:val="24"/>
          <w:szCs w:val="24"/>
        </w:rPr>
        <w:t xml:space="preserve">Non-Consensual Sharing of Intimate Images </w:t>
      </w:r>
    </w:p>
    <w:p w14:paraId="56C0F369" w14:textId="77777777"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The Australian Government considers the non-consensual sharing of intimate images, or ‘revenge pornography’, a grave violation of a person’s freedom. </w:t>
      </w:r>
    </w:p>
    <w:p w14:paraId="77556A7F" w14:textId="13A059E4" w:rsidR="005B21A6"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The Enhancing Online Safety (Non-consensual sharing of intimate images) Bill 2018 is currently before the Australian Parliament. The Bill makes it an offence to post, or threaten to post, an intimate image on a social media site, via email or SMS, or on a website without consent. Civil remedies </w:t>
      </w:r>
      <w:proofErr w:type="gramStart"/>
      <w:r w:rsidRPr="00AF580A">
        <w:rPr>
          <w:sz w:val="24"/>
          <w:szCs w:val="24"/>
        </w:rPr>
        <w:t>can be applied</w:t>
      </w:r>
      <w:proofErr w:type="gramEnd"/>
      <w:r w:rsidRPr="00AF580A">
        <w:rPr>
          <w:sz w:val="24"/>
          <w:szCs w:val="24"/>
        </w:rPr>
        <w:t xml:space="preserve"> to both the perpetrator</w:t>
      </w:r>
      <w:r w:rsidR="00FA307B" w:rsidRPr="00AF580A">
        <w:rPr>
          <w:sz w:val="24"/>
          <w:szCs w:val="24"/>
        </w:rPr>
        <w:t xml:space="preserve"> and content host, and to social media and content providers who fail to comply with a request to remove offending material.</w:t>
      </w:r>
    </w:p>
    <w:p w14:paraId="1658E1CB" w14:textId="0A6C2ADB"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The </w:t>
      </w:r>
      <w:proofErr w:type="spellStart"/>
      <w:r w:rsidRPr="00AF580A">
        <w:rPr>
          <w:sz w:val="24"/>
          <w:szCs w:val="24"/>
        </w:rPr>
        <w:t>eSafety</w:t>
      </w:r>
      <w:proofErr w:type="spellEnd"/>
      <w:r w:rsidRPr="00AF580A">
        <w:rPr>
          <w:sz w:val="24"/>
          <w:szCs w:val="24"/>
        </w:rPr>
        <w:t xml:space="preserve"> </w:t>
      </w:r>
      <w:r w:rsidR="00FA307B" w:rsidRPr="00AF580A">
        <w:rPr>
          <w:sz w:val="24"/>
          <w:szCs w:val="24"/>
        </w:rPr>
        <w:t>Commissioner</w:t>
      </w:r>
      <w:r w:rsidRPr="00AF580A">
        <w:rPr>
          <w:sz w:val="24"/>
          <w:szCs w:val="24"/>
        </w:rPr>
        <w:t xml:space="preserve"> will be empowered with enforcement capabilities, including the ability to take fast and effective action to have images removed and to limit further shar</w:t>
      </w:r>
      <w:r w:rsidR="0074387C" w:rsidRPr="00AF580A">
        <w:rPr>
          <w:sz w:val="24"/>
          <w:szCs w:val="24"/>
        </w:rPr>
        <w:t>i</w:t>
      </w:r>
      <w:r w:rsidRPr="00AF580A">
        <w:rPr>
          <w:sz w:val="24"/>
          <w:szCs w:val="24"/>
        </w:rPr>
        <w:t>ng of images, which is the primary concern of victims.</w:t>
      </w:r>
    </w:p>
    <w:p w14:paraId="69EEA07D" w14:textId="2D7F6EC0"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The civil penalty regime will complement the national portal launched by the </w:t>
      </w:r>
      <w:proofErr w:type="spellStart"/>
      <w:r w:rsidRPr="00AF580A">
        <w:rPr>
          <w:sz w:val="24"/>
          <w:szCs w:val="24"/>
        </w:rPr>
        <w:t>eSafety</w:t>
      </w:r>
      <w:proofErr w:type="spellEnd"/>
      <w:r w:rsidRPr="00AF580A">
        <w:rPr>
          <w:sz w:val="24"/>
          <w:szCs w:val="24"/>
        </w:rPr>
        <w:t xml:space="preserve"> </w:t>
      </w:r>
      <w:r w:rsidR="00FA307B" w:rsidRPr="00AF580A">
        <w:rPr>
          <w:sz w:val="24"/>
          <w:szCs w:val="24"/>
        </w:rPr>
        <w:t>Commissioner on 16</w:t>
      </w:r>
      <w:r w:rsidRPr="00AF580A">
        <w:rPr>
          <w:sz w:val="24"/>
          <w:szCs w:val="24"/>
        </w:rPr>
        <w:t xml:space="preserve"> October 2017. The portal allows persons to report instances of non</w:t>
      </w:r>
      <w:r w:rsidRPr="00AF580A">
        <w:rPr>
          <w:sz w:val="24"/>
          <w:szCs w:val="24"/>
        </w:rPr>
        <w:noBreakHyphen/>
        <w:t>consensual sharing of intimate images. The portal is a world first government-led initiative and provides immediate and tangible support to victims of image</w:t>
      </w:r>
      <w:r w:rsidRPr="00AF580A">
        <w:rPr>
          <w:sz w:val="24"/>
          <w:szCs w:val="24"/>
        </w:rPr>
        <w:noBreakHyphen/>
        <w:t>based abuse.</w:t>
      </w:r>
    </w:p>
    <w:p w14:paraId="45EB8F86" w14:textId="6106A730" w:rsidR="00C32A3F" w:rsidRPr="00AF580A" w:rsidRDefault="00C32A3F" w:rsidP="0074387C">
      <w:pPr>
        <w:spacing w:before="120" w:after="120"/>
        <w:rPr>
          <w:i/>
          <w:sz w:val="24"/>
          <w:szCs w:val="24"/>
        </w:rPr>
      </w:pPr>
      <w:r w:rsidRPr="00AF580A">
        <w:rPr>
          <w:i/>
          <w:sz w:val="24"/>
          <w:szCs w:val="24"/>
        </w:rPr>
        <w:t>Online Content Scheme</w:t>
      </w:r>
    </w:p>
    <w:p w14:paraId="78EDD993" w14:textId="77777777"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lastRenderedPageBreak/>
        <w:t>The Online Content Scheme, set out in Schedules 5 and 7 of the</w:t>
      </w:r>
      <w:r w:rsidRPr="00AF580A">
        <w:rPr>
          <w:i/>
          <w:sz w:val="24"/>
          <w:szCs w:val="24"/>
        </w:rPr>
        <w:t xml:space="preserve"> Broadcasting Services Act 1992</w:t>
      </w:r>
      <w:r w:rsidRPr="00AF580A">
        <w:rPr>
          <w:rStyle w:val="FootnoteReference"/>
          <w:sz w:val="24"/>
          <w:szCs w:val="24"/>
        </w:rPr>
        <w:footnoteReference w:id="4"/>
      </w:r>
      <w:r w:rsidRPr="00AF580A">
        <w:rPr>
          <w:sz w:val="24"/>
          <w:szCs w:val="24"/>
        </w:rPr>
        <w:t>, regulates prohibited and potential prohibited online content in Australia based on the National Classification Scheme. The scheme is complaints-based and applies to content accessed through the Internet, mobile phones and convergent devices, as well as subscription-based internet portals, chat rooms, live audio-visual streaming, and link services.</w:t>
      </w:r>
    </w:p>
    <w:p w14:paraId="1A2CF6E4" w14:textId="25831E8C"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The scheme aims to address community concerns about offensive and illegal content online, and help protect children from exposure to inappropriate material.</w:t>
      </w:r>
    </w:p>
    <w:p w14:paraId="3CCCC22B" w14:textId="72B4BAE5" w:rsidR="00C32A3F" w:rsidRPr="00AF580A" w:rsidRDefault="00C32A3F" w:rsidP="0074387C">
      <w:pPr>
        <w:pStyle w:val="ListParagraph"/>
        <w:widowControl w:val="0"/>
        <w:spacing w:before="120" w:after="120"/>
        <w:ind w:left="360"/>
        <w:rPr>
          <w:sz w:val="24"/>
          <w:szCs w:val="24"/>
        </w:rPr>
      </w:pPr>
      <w:r w:rsidRPr="00AF580A">
        <w:rPr>
          <w:sz w:val="24"/>
          <w:szCs w:val="24"/>
        </w:rPr>
        <w:t xml:space="preserve"> The scheme empowers the </w:t>
      </w:r>
      <w:proofErr w:type="spellStart"/>
      <w:r w:rsidRPr="00AF580A">
        <w:rPr>
          <w:sz w:val="24"/>
          <w:szCs w:val="24"/>
        </w:rPr>
        <w:t>eSafety</w:t>
      </w:r>
      <w:proofErr w:type="spellEnd"/>
      <w:r w:rsidRPr="00AF580A">
        <w:rPr>
          <w:sz w:val="24"/>
          <w:szCs w:val="24"/>
        </w:rPr>
        <w:t xml:space="preserve"> Commissioner to investigate complaints and take action if the content is “prohibited” or “potentially prohibited”. Prohibited content includes content that </w:t>
      </w:r>
      <w:proofErr w:type="gramStart"/>
      <w:r w:rsidRPr="00AF580A">
        <w:rPr>
          <w:sz w:val="24"/>
          <w:szCs w:val="24"/>
        </w:rPr>
        <w:t>has been classified</w:t>
      </w:r>
      <w:proofErr w:type="gramEnd"/>
      <w:r w:rsidRPr="00AF580A">
        <w:rPr>
          <w:sz w:val="24"/>
          <w:szCs w:val="24"/>
        </w:rPr>
        <w:t xml:space="preserve"> by the National Classification Board as:</w:t>
      </w:r>
    </w:p>
    <w:p w14:paraId="1641B50E" w14:textId="77777777" w:rsidR="00C32A3F" w:rsidRPr="00AF580A" w:rsidRDefault="00C32A3F" w:rsidP="0074387C">
      <w:pPr>
        <w:pStyle w:val="ListParagraph"/>
        <w:widowControl w:val="0"/>
        <w:numPr>
          <w:ilvl w:val="1"/>
          <w:numId w:val="19"/>
        </w:numPr>
        <w:spacing w:before="120" w:after="120"/>
        <w:rPr>
          <w:sz w:val="24"/>
          <w:szCs w:val="24"/>
        </w:rPr>
      </w:pPr>
      <w:r w:rsidRPr="00AF580A">
        <w:rPr>
          <w:i/>
          <w:sz w:val="24"/>
          <w:szCs w:val="24"/>
        </w:rPr>
        <w:t>Refused Classification</w:t>
      </w:r>
      <w:r w:rsidRPr="00AF580A">
        <w:rPr>
          <w:sz w:val="24"/>
          <w:szCs w:val="24"/>
        </w:rPr>
        <w:t xml:space="preserve"> – includes child sexual abuse material, material that advocates the doing of a terrorist act, detailed instruction or promotion in crime or violence, instruction in paedophilic activity, gratuitous, exploitative and offensive depictions of violence or sexual violence </w:t>
      </w:r>
    </w:p>
    <w:p w14:paraId="71CB8DDC" w14:textId="77777777" w:rsidR="00C32A3F" w:rsidRPr="00AF580A" w:rsidRDefault="00C32A3F" w:rsidP="0074387C">
      <w:pPr>
        <w:pStyle w:val="ListParagraph"/>
        <w:widowControl w:val="0"/>
        <w:numPr>
          <w:ilvl w:val="1"/>
          <w:numId w:val="19"/>
        </w:numPr>
        <w:spacing w:before="120" w:after="120"/>
        <w:rPr>
          <w:sz w:val="24"/>
          <w:szCs w:val="24"/>
        </w:rPr>
      </w:pPr>
      <w:r w:rsidRPr="00AF580A">
        <w:rPr>
          <w:i/>
          <w:sz w:val="24"/>
          <w:szCs w:val="24"/>
        </w:rPr>
        <w:t>X18+</w:t>
      </w:r>
      <w:r w:rsidRPr="00AF580A">
        <w:rPr>
          <w:sz w:val="24"/>
          <w:szCs w:val="24"/>
        </w:rPr>
        <w:t xml:space="preserve"> - content that contains explicit sexual activity between adults</w:t>
      </w:r>
    </w:p>
    <w:p w14:paraId="290E1E78" w14:textId="77777777" w:rsidR="00C32A3F" w:rsidRPr="00AF580A" w:rsidRDefault="00C32A3F" w:rsidP="0074387C">
      <w:pPr>
        <w:pStyle w:val="ListParagraph"/>
        <w:widowControl w:val="0"/>
        <w:numPr>
          <w:ilvl w:val="1"/>
          <w:numId w:val="19"/>
        </w:numPr>
        <w:spacing w:before="120" w:after="120"/>
        <w:rPr>
          <w:sz w:val="24"/>
          <w:szCs w:val="24"/>
        </w:rPr>
      </w:pPr>
      <w:r w:rsidRPr="00AF580A">
        <w:rPr>
          <w:i/>
          <w:sz w:val="24"/>
          <w:szCs w:val="24"/>
        </w:rPr>
        <w:t>R18+, unless it is subject to a restricted access system</w:t>
      </w:r>
      <w:r w:rsidRPr="00AF580A">
        <w:rPr>
          <w:sz w:val="24"/>
          <w:szCs w:val="24"/>
        </w:rPr>
        <w:t xml:space="preserve"> – content that is of high impact and includes realistically simulated sex, violence, drug use or nudity</w:t>
      </w:r>
    </w:p>
    <w:p w14:paraId="1DB3AAA7" w14:textId="77777777" w:rsidR="00C32A3F" w:rsidRPr="00AF580A" w:rsidRDefault="00C32A3F" w:rsidP="0074387C">
      <w:pPr>
        <w:pStyle w:val="ListParagraph"/>
        <w:widowControl w:val="0"/>
        <w:numPr>
          <w:ilvl w:val="1"/>
          <w:numId w:val="19"/>
        </w:numPr>
        <w:spacing w:before="120" w:after="120"/>
        <w:rPr>
          <w:sz w:val="24"/>
          <w:szCs w:val="24"/>
        </w:rPr>
      </w:pPr>
      <w:r w:rsidRPr="00AF580A">
        <w:rPr>
          <w:i/>
          <w:sz w:val="24"/>
          <w:szCs w:val="24"/>
        </w:rPr>
        <w:t>MA15+ and is provided on a commercial basis, unless it is subject to a restricted access system</w:t>
      </w:r>
      <w:r w:rsidRPr="00AF580A">
        <w:rPr>
          <w:sz w:val="24"/>
          <w:szCs w:val="24"/>
        </w:rPr>
        <w:t xml:space="preserve"> – content is strong impact</w:t>
      </w:r>
    </w:p>
    <w:p w14:paraId="5E880284" w14:textId="77777777" w:rsidR="00C32A3F" w:rsidRPr="00AF580A" w:rsidRDefault="00C32A3F" w:rsidP="0074387C">
      <w:pPr>
        <w:pStyle w:val="ListParagraph"/>
        <w:widowControl w:val="0"/>
        <w:spacing w:before="120" w:after="120"/>
        <w:ind w:left="360"/>
        <w:rPr>
          <w:sz w:val="24"/>
          <w:szCs w:val="24"/>
        </w:rPr>
      </w:pPr>
      <w:r w:rsidRPr="00AF580A">
        <w:rPr>
          <w:sz w:val="24"/>
          <w:szCs w:val="24"/>
        </w:rPr>
        <w:t xml:space="preserve">Potential prohibited content is content that is likely to </w:t>
      </w:r>
      <w:proofErr w:type="gramStart"/>
      <w:r w:rsidRPr="00AF580A">
        <w:rPr>
          <w:sz w:val="24"/>
          <w:szCs w:val="24"/>
        </w:rPr>
        <w:t>be classified</w:t>
      </w:r>
      <w:proofErr w:type="gramEnd"/>
      <w:r w:rsidRPr="00AF580A">
        <w:rPr>
          <w:sz w:val="24"/>
          <w:szCs w:val="24"/>
        </w:rPr>
        <w:t xml:space="preserve"> in one of the above categories, if it were to be classified.</w:t>
      </w:r>
    </w:p>
    <w:p w14:paraId="711D8AA9" w14:textId="77777777"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These prohibitions </w:t>
      </w:r>
      <w:proofErr w:type="gramStart"/>
      <w:r w:rsidRPr="00AF580A">
        <w:rPr>
          <w:sz w:val="24"/>
          <w:szCs w:val="24"/>
        </w:rPr>
        <w:t>are backed</w:t>
      </w:r>
      <w:proofErr w:type="gramEnd"/>
      <w:r w:rsidRPr="00AF580A">
        <w:rPr>
          <w:sz w:val="24"/>
          <w:szCs w:val="24"/>
        </w:rPr>
        <w:t xml:space="preserve"> by strong sanctions for non-compliance including criminal penalties for serious offences.</w:t>
      </w:r>
    </w:p>
    <w:p w14:paraId="3D2D63A3" w14:textId="77777777"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Where prohibited content </w:t>
      </w:r>
      <w:proofErr w:type="gramStart"/>
      <w:r w:rsidRPr="00AF580A">
        <w:rPr>
          <w:sz w:val="24"/>
          <w:szCs w:val="24"/>
        </w:rPr>
        <w:t>is hosted</w:t>
      </w:r>
      <w:proofErr w:type="gramEnd"/>
      <w:r w:rsidRPr="00AF580A">
        <w:rPr>
          <w:sz w:val="24"/>
          <w:szCs w:val="24"/>
        </w:rPr>
        <w:t xml:space="preserve"> in Australia, the </w:t>
      </w:r>
      <w:proofErr w:type="spellStart"/>
      <w:r w:rsidRPr="00AF580A">
        <w:rPr>
          <w:sz w:val="24"/>
          <w:szCs w:val="24"/>
        </w:rPr>
        <w:t>eSafety</w:t>
      </w:r>
      <w:proofErr w:type="spellEnd"/>
      <w:r w:rsidRPr="00AF580A">
        <w:rPr>
          <w:sz w:val="24"/>
          <w:szCs w:val="24"/>
        </w:rPr>
        <w:t xml:space="preserve"> Commissioner can direct the content service provider to remove the content from their service. Where prohibited content </w:t>
      </w:r>
      <w:proofErr w:type="gramStart"/>
      <w:r w:rsidRPr="00AF580A">
        <w:rPr>
          <w:sz w:val="24"/>
          <w:szCs w:val="24"/>
        </w:rPr>
        <w:t>is not hosted</w:t>
      </w:r>
      <w:proofErr w:type="gramEnd"/>
      <w:r w:rsidRPr="00AF580A">
        <w:rPr>
          <w:sz w:val="24"/>
          <w:szCs w:val="24"/>
        </w:rPr>
        <w:t xml:space="preserve"> in Australia, the </w:t>
      </w:r>
      <w:proofErr w:type="spellStart"/>
      <w:r w:rsidRPr="00AF580A">
        <w:rPr>
          <w:sz w:val="24"/>
          <w:szCs w:val="24"/>
        </w:rPr>
        <w:t>eSafety</w:t>
      </w:r>
      <w:proofErr w:type="spellEnd"/>
      <w:r w:rsidRPr="00AF580A">
        <w:rPr>
          <w:sz w:val="24"/>
          <w:szCs w:val="24"/>
        </w:rPr>
        <w:t xml:space="preserve"> Commissioner will notify approved filter suppliers about the content, so that access to the content using such filters is blocked.</w:t>
      </w:r>
    </w:p>
    <w:p w14:paraId="68140E4C" w14:textId="77777777"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Regardless of where content </w:t>
      </w:r>
      <w:proofErr w:type="gramStart"/>
      <w:r w:rsidRPr="00AF580A">
        <w:rPr>
          <w:sz w:val="24"/>
          <w:szCs w:val="24"/>
        </w:rPr>
        <w:t>is hosted</w:t>
      </w:r>
      <w:proofErr w:type="gramEnd"/>
      <w:r w:rsidRPr="00AF580A">
        <w:rPr>
          <w:sz w:val="24"/>
          <w:szCs w:val="24"/>
        </w:rPr>
        <w:t xml:space="preserve">, if the </w:t>
      </w:r>
      <w:proofErr w:type="spellStart"/>
      <w:r w:rsidRPr="00AF580A">
        <w:rPr>
          <w:sz w:val="24"/>
          <w:szCs w:val="24"/>
        </w:rPr>
        <w:t>eSafety</w:t>
      </w:r>
      <w:proofErr w:type="spellEnd"/>
      <w:r w:rsidRPr="00AF580A">
        <w:rPr>
          <w:sz w:val="24"/>
          <w:szCs w:val="24"/>
        </w:rPr>
        <w:t xml:space="preserve"> Commissioner considers the content to be of a sufficiently serious nature, it must notify an Australian police force.</w:t>
      </w:r>
    </w:p>
    <w:p w14:paraId="315465EE" w14:textId="77777777" w:rsidR="0074387C" w:rsidRPr="00AF580A" w:rsidRDefault="0074387C" w:rsidP="0074387C">
      <w:pPr>
        <w:spacing w:before="120" w:after="120"/>
        <w:rPr>
          <w:b/>
          <w:sz w:val="24"/>
          <w:szCs w:val="24"/>
          <w:u w:val="single"/>
        </w:rPr>
      </w:pPr>
    </w:p>
    <w:p w14:paraId="4EED48E1" w14:textId="40DE75A7" w:rsidR="00C32A3F" w:rsidRPr="00AF580A" w:rsidRDefault="00C32A3F" w:rsidP="0074387C">
      <w:pPr>
        <w:spacing w:before="120" w:after="120"/>
        <w:rPr>
          <w:b/>
          <w:sz w:val="24"/>
          <w:szCs w:val="24"/>
          <w:u w:val="single"/>
        </w:rPr>
      </w:pPr>
      <w:r w:rsidRPr="00AF580A">
        <w:rPr>
          <w:b/>
          <w:sz w:val="24"/>
          <w:szCs w:val="24"/>
          <w:u w:val="single"/>
        </w:rPr>
        <w:t>Terrorist or violent extremist content</w:t>
      </w:r>
    </w:p>
    <w:p w14:paraId="49E0A7A4" w14:textId="179388D8" w:rsidR="0006105C" w:rsidRPr="00AF580A" w:rsidRDefault="0006105C" w:rsidP="0074387C">
      <w:pPr>
        <w:pStyle w:val="ListParagraph"/>
        <w:numPr>
          <w:ilvl w:val="0"/>
          <w:numId w:val="19"/>
        </w:numPr>
        <w:spacing w:before="120" w:after="120"/>
        <w:rPr>
          <w:sz w:val="24"/>
          <w:szCs w:val="24"/>
        </w:rPr>
      </w:pPr>
      <w:r w:rsidRPr="00AF580A">
        <w:rPr>
          <w:sz w:val="24"/>
          <w:szCs w:val="24"/>
        </w:rPr>
        <w:t xml:space="preserve">The Australian Government believes that the maintenance of security online and the protection of freedom online reinforce each other. A secure cyberspace provides trust and confidence for Australians. This underpins freedom of expression and reinforces safe and vibrant communities. The Australian Government works with the private sector to promote corporate responsibility for a safe, open and secure internet. </w:t>
      </w:r>
    </w:p>
    <w:p w14:paraId="391DB113" w14:textId="01A316B9"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 xml:space="preserve">The </w:t>
      </w:r>
      <w:r w:rsidR="005B21A6" w:rsidRPr="00AF580A">
        <w:rPr>
          <w:sz w:val="24"/>
          <w:szCs w:val="24"/>
        </w:rPr>
        <w:t xml:space="preserve">Australian </w:t>
      </w:r>
      <w:r w:rsidRPr="00AF580A">
        <w:rPr>
          <w:sz w:val="24"/>
          <w:szCs w:val="24"/>
        </w:rPr>
        <w:t xml:space="preserve">Government maintains cooperative relationships with social media companies to encourage industry-led action to curtail the spread of terrorist and violent </w:t>
      </w:r>
      <w:r w:rsidRPr="00AF580A">
        <w:rPr>
          <w:sz w:val="24"/>
          <w:szCs w:val="24"/>
        </w:rPr>
        <w:lastRenderedPageBreak/>
        <w:t xml:space="preserve">extremist content on their platforms. </w:t>
      </w:r>
    </w:p>
    <w:p w14:paraId="14325122" w14:textId="77777777" w:rsidR="00C32A3F" w:rsidRPr="00AF580A" w:rsidRDefault="00C32A3F" w:rsidP="0074387C">
      <w:pPr>
        <w:pStyle w:val="ListParagraph"/>
        <w:widowControl w:val="0"/>
        <w:numPr>
          <w:ilvl w:val="0"/>
          <w:numId w:val="19"/>
        </w:numPr>
        <w:spacing w:before="120" w:after="120"/>
        <w:rPr>
          <w:sz w:val="24"/>
          <w:szCs w:val="24"/>
        </w:rPr>
      </w:pPr>
      <w:r w:rsidRPr="00AF580A">
        <w:rPr>
          <w:sz w:val="24"/>
          <w:szCs w:val="24"/>
        </w:rPr>
        <w:t>The Government refers content that it has identified in open source forums to social media platforms for review and voluntary removal where it breaches the company’s terms of service.  The Government uses the social media platforms’ publicly available mechanisms for flagging content. The focus of this cooperative arrangement is referring for review any content that:</w:t>
      </w:r>
    </w:p>
    <w:p w14:paraId="695F4902" w14:textId="77777777" w:rsidR="00C32A3F" w:rsidRPr="00AF580A" w:rsidRDefault="00C32A3F" w:rsidP="0074387C">
      <w:pPr>
        <w:pStyle w:val="ListParagraph"/>
        <w:widowControl w:val="0"/>
        <w:numPr>
          <w:ilvl w:val="1"/>
          <w:numId w:val="19"/>
        </w:numPr>
        <w:spacing w:before="120" w:after="120"/>
        <w:rPr>
          <w:sz w:val="24"/>
          <w:szCs w:val="24"/>
        </w:rPr>
      </w:pPr>
      <w:r w:rsidRPr="00AF580A">
        <w:rPr>
          <w:sz w:val="24"/>
          <w:szCs w:val="24"/>
        </w:rPr>
        <w:t>provides instructions to commit an offence associated with terrorism;</w:t>
      </w:r>
    </w:p>
    <w:p w14:paraId="6630442F" w14:textId="77777777" w:rsidR="005B21A6" w:rsidRPr="00AF580A" w:rsidRDefault="00C32A3F" w:rsidP="0074387C">
      <w:pPr>
        <w:pStyle w:val="ListParagraph"/>
        <w:widowControl w:val="0"/>
        <w:numPr>
          <w:ilvl w:val="1"/>
          <w:numId w:val="19"/>
        </w:numPr>
        <w:spacing w:before="120" w:after="120"/>
        <w:rPr>
          <w:sz w:val="24"/>
          <w:szCs w:val="24"/>
        </w:rPr>
      </w:pPr>
      <w:r w:rsidRPr="00AF580A">
        <w:rPr>
          <w:sz w:val="24"/>
          <w:szCs w:val="24"/>
        </w:rPr>
        <w:t xml:space="preserve">is extremely graphic in nature; or </w:t>
      </w:r>
    </w:p>
    <w:p w14:paraId="69A88362" w14:textId="311D7A1F" w:rsidR="005B21A6" w:rsidRPr="00AF580A" w:rsidRDefault="00C32A3F" w:rsidP="0074387C">
      <w:pPr>
        <w:pStyle w:val="ListParagraph"/>
        <w:widowControl w:val="0"/>
        <w:numPr>
          <w:ilvl w:val="1"/>
          <w:numId w:val="19"/>
        </w:numPr>
        <w:spacing w:before="120" w:after="120"/>
        <w:rPr>
          <w:sz w:val="24"/>
          <w:szCs w:val="24"/>
        </w:rPr>
      </w:pPr>
      <w:proofErr w:type="gramStart"/>
      <w:r w:rsidRPr="00AF580A">
        <w:rPr>
          <w:sz w:val="24"/>
          <w:szCs w:val="24"/>
        </w:rPr>
        <w:t>expres</w:t>
      </w:r>
      <w:r w:rsidR="005B21A6" w:rsidRPr="00AF580A">
        <w:rPr>
          <w:sz w:val="24"/>
          <w:szCs w:val="24"/>
        </w:rPr>
        <w:t>sly</w:t>
      </w:r>
      <w:proofErr w:type="gramEnd"/>
      <w:r w:rsidR="005B21A6" w:rsidRPr="00AF580A">
        <w:rPr>
          <w:sz w:val="24"/>
          <w:szCs w:val="24"/>
        </w:rPr>
        <w:t xml:space="preserve"> promotes or advocates violence against individuals or organisations.</w:t>
      </w:r>
    </w:p>
    <w:p w14:paraId="52E2CD81" w14:textId="2097D6A4" w:rsidR="005B21A6" w:rsidRPr="00AF580A" w:rsidRDefault="005B21A6" w:rsidP="0074387C">
      <w:pPr>
        <w:pStyle w:val="ListParagraph"/>
        <w:widowControl w:val="0"/>
        <w:numPr>
          <w:ilvl w:val="0"/>
          <w:numId w:val="19"/>
        </w:numPr>
        <w:spacing w:before="120" w:after="120"/>
        <w:rPr>
          <w:sz w:val="24"/>
          <w:szCs w:val="24"/>
        </w:rPr>
      </w:pPr>
      <w:r w:rsidRPr="00AF580A">
        <w:rPr>
          <w:sz w:val="24"/>
          <w:szCs w:val="24"/>
        </w:rPr>
        <w:t xml:space="preserve">The National Cyber Security Advisor also engages with industry </w:t>
      </w:r>
      <w:proofErr w:type="gramStart"/>
      <w:r w:rsidRPr="00AF580A">
        <w:rPr>
          <w:sz w:val="24"/>
          <w:szCs w:val="24"/>
        </w:rPr>
        <w:t>to further promote</w:t>
      </w:r>
      <w:proofErr w:type="gramEnd"/>
      <w:r w:rsidRPr="00AF580A">
        <w:rPr>
          <w:sz w:val="24"/>
          <w:szCs w:val="24"/>
        </w:rPr>
        <w:t xml:space="preserve"> corporate responsibility for safe, secure and free internet.</w:t>
      </w:r>
    </w:p>
    <w:p w14:paraId="5817D4E9" w14:textId="77777777" w:rsidR="00BF3D11" w:rsidRPr="00AF580A" w:rsidRDefault="00BF3D11" w:rsidP="0074387C">
      <w:pPr>
        <w:pStyle w:val="ListParagraph"/>
        <w:spacing w:before="120" w:after="120"/>
        <w:rPr>
          <w:sz w:val="24"/>
          <w:szCs w:val="24"/>
        </w:rPr>
      </w:pPr>
    </w:p>
    <w:p w14:paraId="4FD52760" w14:textId="1349BCC0" w:rsidR="003B7332" w:rsidRPr="00AF580A" w:rsidRDefault="00AC0A4D" w:rsidP="0074387C">
      <w:pPr>
        <w:spacing w:before="120" w:after="120"/>
        <w:rPr>
          <w:b/>
          <w:sz w:val="24"/>
          <w:szCs w:val="24"/>
          <w:u w:val="single"/>
        </w:rPr>
      </w:pPr>
      <w:r w:rsidRPr="00AF580A">
        <w:rPr>
          <w:b/>
          <w:sz w:val="24"/>
          <w:szCs w:val="24"/>
          <w:u w:val="single"/>
        </w:rPr>
        <w:t xml:space="preserve">Other </w:t>
      </w:r>
      <w:r w:rsidR="003B7332" w:rsidRPr="00AF580A">
        <w:rPr>
          <w:b/>
          <w:sz w:val="24"/>
          <w:szCs w:val="24"/>
          <w:u w:val="single"/>
        </w:rPr>
        <w:t>Commonwealth, State and Territory Laws</w:t>
      </w:r>
      <w:r w:rsidR="00450D4A" w:rsidRPr="00AF580A">
        <w:rPr>
          <w:b/>
          <w:sz w:val="24"/>
          <w:szCs w:val="24"/>
          <w:u w:val="single"/>
        </w:rPr>
        <w:t xml:space="preserve"> </w:t>
      </w:r>
    </w:p>
    <w:p w14:paraId="10DFC541" w14:textId="13A09A3C" w:rsidR="00450D4A" w:rsidRPr="00AF580A" w:rsidRDefault="00450D4A" w:rsidP="0074387C">
      <w:pPr>
        <w:pStyle w:val="ListParagraph"/>
        <w:widowControl w:val="0"/>
        <w:numPr>
          <w:ilvl w:val="0"/>
          <w:numId w:val="19"/>
        </w:numPr>
        <w:spacing w:before="120" w:after="120"/>
        <w:rPr>
          <w:b/>
          <w:sz w:val="24"/>
          <w:szCs w:val="24"/>
          <w:u w:val="single"/>
        </w:rPr>
      </w:pPr>
      <w:r w:rsidRPr="00AF580A">
        <w:rPr>
          <w:sz w:val="24"/>
          <w:szCs w:val="24"/>
        </w:rPr>
        <w:t xml:space="preserve">Australia has existing laws that protect fundamental human </w:t>
      </w:r>
      <w:proofErr w:type="gramStart"/>
      <w:r w:rsidRPr="00AF580A">
        <w:rPr>
          <w:sz w:val="24"/>
          <w:szCs w:val="24"/>
        </w:rPr>
        <w:t>rights which</w:t>
      </w:r>
      <w:proofErr w:type="gramEnd"/>
      <w:r w:rsidRPr="00AF580A">
        <w:rPr>
          <w:sz w:val="24"/>
          <w:szCs w:val="24"/>
        </w:rPr>
        <w:t xml:space="preserve"> </w:t>
      </w:r>
      <w:r w:rsidR="00AC0A4D" w:rsidRPr="00AF580A">
        <w:rPr>
          <w:sz w:val="24"/>
          <w:szCs w:val="24"/>
        </w:rPr>
        <w:t>can be applied</w:t>
      </w:r>
      <w:r w:rsidRPr="00AF580A">
        <w:rPr>
          <w:sz w:val="24"/>
          <w:szCs w:val="24"/>
        </w:rPr>
        <w:t xml:space="preserve"> to online behaviour or content. </w:t>
      </w:r>
    </w:p>
    <w:p w14:paraId="5B32FCF0" w14:textId="77777777" w:rsidR="0073660D" w:rsidRPr="00AF580A" w:rsidRDefault="0073660D" w:rsidP="0074387C">
      <w:pPr>
        <w:spacing w:before="120" w:after="120"/>
        <w:rPr>
          <w:i/>
          <w:sz w:val="24"/>
          <w:szCs w:val="24"/>
        </w:rPr>
      </w:pPr>
      <w:r w:rsidRPr="00AF580A">
        <w:rPr>
          <w:i/>
          <w:sz w:val="24"/>
          <w:szCs w:val="24"/>
        </w:rPr>
        <w:t>Criminal Code Act 1995</w:t>
      </w:r>
    </w:p>
    <w:p w14:paraId="3BB20280" w14:textId="03A24490" w:rsidR="003F3C91" w:rsidRPr="00AF580A" w:rsidRDefault="0073660D" w:rsidP="0074387C">
      <w:pPr>
        <w:pStyle w:val="ListParagraph"/>
        <w:widowControl w:val="0"/>
        <w:numPr>
          <w:ilvl w:val="0"/>
          <w:numId w:val="19"/>
        </w:numPr>
        <w:spacing w:before="120" w:after="120"/>
        <w:rPr>
          <w:rFonts w:eastAsia="Calibri"/>
          <w:sz w:val="24"/>
          <w:szCs w:val="24"/>
        </w:rPr>
      </w:pPr>
      <w:r w:rsidRPr="00AF580A">
        <w:rPr>
          <w:sz w:val="24"/>
          <w:szCs w:val="24"/>
        </w:rPr>
        <w:t xml:space="preserve">Under the Commonwealth </w:t>
      </w:r>
      <w:r w:rsidRPr="00AF580A">
        <w:rPr>
          <w:i/>
          <w:sz w:val="24"/>
          <w:szCs w:val="24"/>
        </w:rPr>
        <w:t>Criminal Code Act 1995</w:t>
      </w:r>
      <w:r w:rsidR="003F3C91" w:rsidRPr="00AF580A">
        <w:rPr>
          <w:i/>
          <w:sz w:val="24"/>
          <w:szCs w:val="24"/>
        </w:rPr>
        <w:t xml:space="preserve"> </w:t>
      </w:r>
      <w:r w:rsidR="003F3C91" w:rsidRPr="00AF580A">
        <w:rPr>
          <w:sz w:val="24"/>
          <w:szCs w:val="24"/>
        </w:rPr>
        <w:t>(Criminal Code)</w:t>
      </w:r>
      <w:r w:rsidRPr="00AF580A">
        <w:rPr>
          <w:sz w:val="24"/>
          <w:szCs w:val="24"/>
        </w:rPr>
        <w:t xml:space="preserve">, it is a crime to use the internet or phone in a </w:t>
      </w:r>
      <w:r w:rsidR="0055665D" w:rsidRPr="00AF580A">
        <w:rPr>
          <w:i/>
          <w:sz w:val="24"/>
          <w:szCs w:val="24"/>
        </w:rPr>
        <w:t>menacing, harassing or offensive</w:t>
      </w:r>
      <w:r w:rsidRPr="00AF580A">
        <w:rPr>
          <w:sz w:val="24"/>
          <w:szCs w:val="24"/>
        </w:rPr>
        <w:t xml:space="preserve"> way</w:t>
      </w:r>
      <w:r w:rsidRPr="00AF580A">
        <w:rPr>
          <w:rStyle w:val="FootnoteReference"/>
          <w:sz w:val="24"/>
          <w:szCs w:val="24"/>
        </w:rPr>
        <w:footnoteReference w:id="5"/>
      </w:r>
      <w:r w:rsidRPr="00AF580A">
        <w:rPr>
          <w:sz w:val="24"/>
          <w:szCs w:val="24"/>
        </w:rPr>
        <w:t>. It is also an offence to use the internet or phone to threaten to kill or cause serious harm to another person</w:t>
      </w:r>
      <w:r w:rsidRPr="00AF580A">
        <w:rPr>
          <w:rStyle w:val="FootnoteReference"/>
          <w:sz w:val="24"/>
          <w:szCs w:val="24"/>
        </w:rPr>
        <w:footnoteReference w:id="6"/>
      </w:r>
      <w:r w:rsidRPr="00AF580A">
        <w:rPr>
          <w:sz w:val="24"/>
          <w:szCs w:val="24"/>
        </w:rPr>
        <w:t>. Maximum penalties for these offences range from three to ten years imprisonment.</w:t>
      </w:r>
    </w:p>
    <w:p w14:paraId="04466748" w14:textId="6287F53E" w:rsidR="003F3C91" w:rsidRPr="00AF580A" w:rsidRDefault="003F3C91" w:rsidP="0074387C">
      <w:pPr>
        <w:pStyle w:val="ListParagraph"/>
        <w:widowControl w:val="0"/>
        <w:numPr>
          <w:ilvl w:val="0"/>
          <w:numId w:val="19"/>
        </w:numPr>
        <w:spacing w:before="120" w:after="120"/>
        <w:rPr>
          <w:rFonts w:eastAsia="Calibri"/>
          <w:sz w:val="24"/>
          <w:szCs w:val="24"/>
        </w:rPr>
      </w:pPr>
      <w:r w:rsidRPr="00AF580A">
        <w:rPr>
          <w:sz w:val="24"/>
          <w:szCs w:val="24"/>
        </w:rPr>
        <w:t xml:space="preserve">Section 474.25 of the Criminal Code requires an internet service provider or content host to refer details of child abuse material to the Australian Federal Police, where it becomes aware that the service </w:t>
      </w:r>
      <w:proofErr w:type="gramStart"/>
      <w:r w:rsidRPr="00AF580A">
        <w:rPr>
          <w:sz w:val="24"/>
          <w:szCs w:val="24"/>
        </w:rPr>
        <w:t>can be used</w:t>
      </w:r>
      <w:proofErr w:type="gramEnd"/>
      <w:r w:rsidRPr="00AF580A">
        <w:rPr>
          <w:sz w:val="24"/>
          <w:szCs w:val="24"/>
        </w:rPr>
        <w:t xml:space="preserve"> to access that material. The maximum penalty for this offence is 100 units.</w:t>
      </w:r>
    </w:p>
    <w:p w14:paraId="1BF4D6BA" w14:textId="114A7D7F" w:rsidR="003F3C91" w:rsidRPr="00AF580A" w:rsidRDefault="003F3C91" w:rsidP="0074387C">
      <w:pPr>
        <w:pStyle w:val="ListParagraph"/>
        <w:widowControl w:val="0"/>
        <w:spacing w:before="120" w:after="120"/>
        <w:ind w:left="360"/>
        <w:rPr>
          <w:sz w:val="24"/>
          <w:szCs w:val="24"/>
        </w:rPr>
      </w:pPr>
      <w:r w:rsidRPr="00AF580A">
        <w:rPr>
          <w:sz w:val="24"/>
          <w:szCs w:val="24"/>
        </w:rPr>
        <w:t xml:space="preserve">This provision does not require internet service providers and content hosts to monitor their services for child abuse material, but rather ensures that material </w:t>
      </w:r>
      <w:proofErr w:type="gramStart"/>
      <w:r w:rsidRPr="00AF580A">
        <w:rPr>
          <w:sz w:val="24"/>
          <w:szCs w:val="24"/>
        </w:rPr>
        <w:t>is referred</w:t>
      </w:r>
      <w:proofErr w:type="gramEnd"/>
      <w:r w:rsidRPr="00AF580A">
        <w:rPr>
          <w:sz w:val="24"/>
          <w:szCs w:val="24"/>
        </w:rPr>
        <w:t xml:space="preserve"> for law enforcement consideration when the service provider becomes aware of the existence</w:t>
      </w:r>
      <w:r w:rsidR="0074387C" w:rsidRPr="00AF580A">
        <w:rPr>
          <w:sz w:val="24"/>
          <w:szCs w:val="24"/>
        </w:rPr>
        <w:t xml:space="preserve"> </w:t>
      </w:r>
      <w:r w:rsidRPr="00AF580A">
        <w:rPr>
          <w:sz w:val="24"/>
          <w:szCs w:val="24"/>
        </w:rPr>
        <w:t>of the material.</w:t>
      </w:r>
    </w:p>
    <w:p w14:paraId="00E324B0" w14:textId="77777777" w:rsidR="0073660D" w:rsidRPr="00AF580A" w:rsidRDefault="0073660D" w:rsidP="0074387C">
      <w:pPr>
        <w:pStyle w:val="ListParagraph"/>
        <w:widowControl w:val="0"/>
        <w:numPr>
          <w:ilvl w:val="0"/>
          <w:numId w:val="19"/>
        </w:numPr>
        <w:spacing w:before="120" w:after="120"/>
        <w:rPr>
          <w:sz w:val="24"/>
          <w:szCs w:val="24"/>
        </w:rPr>
      </w:pPr>
      <w:r w:rsidRPr="00AF580A">
        <w:rPr>
          <w:sz w:val="24"/>
          <w:szCs w:val="24"/>
        </w:rPr>
        <w:t xml:space="preserve">Each state and territory has anti-stalking and threatening behaviour </w:t>
      </w:r>
      <w:proofErr w:type="gramStart"/>
      <w:r w:rsidRPr="00AF580A">
        <w:rPr>
          <w:sz w:val="24"/>
          <w:szCs w:val="24"/>
        </w:rPr>
        <w:t>laws which</w:t>
      </w:r>
      <w:proofErr w:type="gramEnd"/>
      <w:r w:rsidRPr="00AF580A">
        <w:rPr>
          <w:sz w:val="24"/>
          <w:szCs w:val="24"/>
        </w:rPr>
        <w:t xml:space="preserve"> may apply to online behaviour such as cyberbullying. States and territories also have their own defamation </w:t>
      </w:r>
      <w:proofErr w:type="gramStart"/>
      <w:r w:rsidRPr="00AF580A">
        <w:rPr>
          <w:sz w:val="24"/>
          <w:szCs w:val="24"/>
        </w:rPr>
        <w:t>laws which</w:t>
      </w:r>
      <w:proofErr w:type="gramEnd"/>
      <w:r w:rsidRPr="00AF580A">
        <w:rPr>
          <w:sz w:val="24"/>
          <w:szCs w:val="24"/>
        </w:rPr>
        <w:t xml:space="preserve"> may apply to online content.</w:t>
      </w:r>
    </w:p>
    <w:p w14:paraId="1FE3AD8F" w14:textId="20FFA855" w:rsidR="0073660D" w:rsidRPr="00AF580A" w:rsidRDefault="0073660D" w:rsidP="0074387C">
      <w:pPr>
        <w:spacing w:before="120" w:after="120"/>
        <w:rPr>
          <w:i/>
          <w:sz w:val="24"/>
          <w:szCs w:val="24"/>
        </w:rPr>
      </w:pPr>
      <w:r w:rsidRPr="00AF580A">
        <w:rPr>
          <w:i/>
          <w:sz w:val="24"/>
          <w:szCs w:val="24"/>
        </w:rPr>
        <w:t>Anti-discrimination laws</w:t>
      </w:r>
    </w:p>
    <w:p w14:paraId="7C861CD0" w14:textId="77777777" w:rsidR="0073660D" w:rsidRPr="00AF580A" w:rsidRDefault="0073660D" w:rsidP="0074387C">
      <w:pPr>
        <w:pStyle w:val="ListParagraph"/>
        <w:widowControl w:val="0"/>
        <w:numPr>
          <w:ilvl w:val="0"/>
          <w:numId w:val="19"/>
        </w:numPr>
        <w:spacing w:before="120" w:after="120"/>
        <w:rPr>
          <w:sz w:val="24"/>
          <w:szCs w:val="24"/>
        </w:rPr>
      </w:pPr>
      <w:r w:rsidRPr="00AF580A">
        <w:rPr>
          <w:sz w:val="24"/>
          <w:szCs w:val="24"/>
        </w:rPr>
        <w:t>Issues relating to online content can be the basis for complaints to the Australian Human Rights Commission under federal anti-discrimination law</w:t>
      </w:r>
      <w:r w:rsidRPr="00AF580A">
        <w:rPr>
          <w:rStyle w:val="FootnoteReference"/>
          <w:sz w:val="24"/>
          <w:szCs w:val="24"/>
        </w:rPr>
        <w:footnoteReference w:id="7"/>
      </w:r>
      <w:r w:rsidRPr="00AF580A">
        <w:rPr>
          <w:sz w:val="24"/>
          <w:szCs w:val="24"/>
        </w:rPr>
        <w:t xml:space="preserve"> (for example, online content that </w:t>
      </w:r>
      <w:proofErr w:type="gramStart"/>
      <w:r w:rsidRPr="00AF580A">
        <w:rPr>
          <w:sz w:val="24"/>
          <w:szCs w:val="24"/>
        </w:rPr>
        <w:t>is alleged</w:t>
      </w:r>
      <w:proofErr w:type="gramEnd"/>
      <w:r w:rsidRPr="00AF580A">
        <w:rPr>
          <w:sz w:val="24"/>
          <w:szCs w:val="24"/>
        </w:rPr>
        <w:t xml:space="preserve"> to constitute sexual harassment or racial vilification). Parallel legislation </w:t>
      </w:r>
      <w:r w:rsidRPr="00AF580A">
        <w:rPr>
          <w:sz w:val="24"/>
          <w:szCs w:val="24"/>
        </w:rPr>
        <w:lastRenderedPageBreak/>
        <w:t>exists in all states and territories.</w:t>
      </w:r>
    </w:p>
    <w:p w14:paraId="7CEB9C39" w14:textId="747A8FED" w:rsidR="0073660D" w:rsidRPr="00AF580A" w:rsidRDefault="0073660D" w:rsidP="0074387C">
      <w:pPr>
        <w:spacing w:before="120" w:after="120"/>
        <w:rPr>
          <w:i/>
          <w:sz w:val="24"/>
          <w:szCs w:val="24"/>
        </w:rPr>
      </w:pPr>
      <w:r w:rsidRPr="00AF580A">
        <w:rPr>
          <w:i/>
          <w:sz w:val="24"/>
          <w:szCs w:val="24"/>
        </w:rPr>
        <w:t xml:space="preserve">Suicide Related Material </w:t>
      </w:r>
      <w:r w:rsidR="00054FA0" w:rsidRPr="00AF580A">
        <w:rPr>
          <w:i/>
          <w:sz w:val="24"/>
          <w:szCs w:val="24"/>
        </w:rPr>
        <w:t>Offences 2005</w:t>
      </w:r>
    </w:p>
    <w:p w14:paraId="75D523A6" w14:textId="77777777" w:rsidR="0073660D" w:rsidRPr="00AF580A" w:rsidRDefault="0073660D" w:rsidP="0074387C">
      <w:pPr>
        <w:pStyle w:val="ListParagraph"/>
        <w:widowControl w:val="0"/>
        <w:numPr>
          <w:ilvl w:val="0"/>
          <w:numId w:val="19"/>
        </w:numPr>
        <w:spacing w:before="120" w:after="120"/>
        <w:rPr>
          <w:sz w:val="24"/>
          <w:szCs w:val="24"/>
        </w:rPr>
      </w:pPr>
      <w:r w:rsidRPr="00AF580A">
        <w:rPr>
          <w:iCs/>
          <w:sz w:val="24"/>
          <w:szCs w:val="24"/>
        </w:rPr>
        <w:t xml:space="preserve">In 2005, the Australian Parliament passed the </w:t>
      </w:r>
      <w:r w:rsidRPr="00AF580A">
        <w:rPr>
          <w:i/>
          <w:iCs/>
          <w:sz w:val="24"/>
          <w:szCs w:val="24"/>
        </w:rPr>
        <w:t>Criminal Code Amendment</w:t>
      </w:r>
      <w:r w:rsidRPr="00AF580A">
        <w:rPr>
          <w:iCs/>
          <w:sz w:val="24"/>
          <w:szCs w:val="24"/>
        </w:rPr>
        <w:t xml:space="preserve"> (</w:t>
      </w:r>
      <w:r w:rsidRPr="00AF580A">
        <w:rPr>
          <w:i/>
          <w:iCs/>
          <w:sz w:val="24"/>
          <w:szCs w:val="24"/>
        </w:rPr>
        <w:t>Suicide Related Material Offences) Act 2005</w:t>
      </w:r>
      <w:r w:rsidRPr="00AF580A">
        <w:rPr>
          <w:rStyle w:val="FootnoteReference"/>
          <w:i/>
          <w:iCs/>
          <w:sz w:val="24"/>
          <w:szCs w:val="24"/>
        </w:rPr>
        <w:footnoteReference w:id="8"/>
      </w:r>
      <w:r w:rsidRPr="00AF580A">
        <w:rPr>
          <w:iCs/>
          <w:sz w:val="24"/>
          <w:szCs w:val="24"/>
        </w:rPr>
        <w:t xml:space="preserve">, which makes it illegal to use </w:t>
      </w:r>
      <w:r w:rsidRPr="00AF580A">
        <w:rPr>
          <w:sz w:val="24"/>
          <w:szCs w:val="24"/>
        </w:rPr>
        <w:t>a carriage service to access, transmit or otherwise make available suicide related material, and possession, production, supplying or obtaining suicide related material for use through a carriage service</w:t>
      </w:r>
    </w:p>
    <w:p w14:paraId="2DCAA6BF" w14:textId="77777777" w:rsidR="00AC0A4D" w:rsidRPr="00AF580A" w:rsidRDefault="00AC0A4D" w:rsidP="0074387C">
      <w:pPr>
        <w:spacing w:before="120" w:after="120"/>
        <w:rPr>
          <w:b/>
          <w:sz w:val="24"/>
          <w:szCs w:val="24"/>
          <w:u w:val="single"/>
        </w:rPr>
      </w:pPr>
    </w:p>
    <w:p w14:paraId="08E0BB8F" w14:textId="5A1232CA" w:rsidR="0073660D" w:rsidRPr="00AF580A" w:rsidRDefault="0073660D" w:rsidP="0074387C">
      <w:pPr>
        <w:spacing w:before="120" w:after="120"/>
        <w:rPr>
          <w:b/>
          <w:sz w:val="24"/>
          <w:szCs w:val="24"/>
          <w:u w:val="single"/>
        </w:rPr>
      </w:pPr>
      <w:r w:rsidRPr="00AF580A">
        <w:rPr>
          <w:b/>
          <w:sz w:val="24"/>
          <w:szCs w:val="24"/>
          <w:u w:val="single"/>
        </w:rPr>
        <w:t>INTERPOL and Section 313 Telecommunications Act 1997</w:t>
      </w:r>
      <w:r w:rsidR="00C21C18" w:rsidRPr="00AF580A">
        <w:rPr>
          <w:b/>
          <w:sz w:val="24"/>
          <w:szCs w:val="24"/>
          <w:u w:val="single"/>
        </w:rPr>
        <w:t xml:space="preserve"> (</w:t>
      </w:r>
      <w:proofErr w:type="spellStart"/>
      <w:r w:rsidR="00C21C18" w:rsidRPr="00AF580A">
        <w:rPr>
          <w:b/>
          <w:sz w:val="24"/>
          <w:szCs w:val="24"/>
          <w:u w:val="single"/>
        </w:rPr>
        <w:t>Cth</w:t>
      </w:r>
      <w:proofErr w:type="spellEnd"/>
      <w:r w:rsidR="00C21C18" w:rsidRPr="00AF580A">
        <w:rPr>
          <w:b/>
          <w:sz w:val="24"/>
          <w:szCs w:val="24"/>
          <w:u w:val="single"/>
        </w:rPr>
        <w:t>)</w:t>
      </w:r>
    </w:p>
    <w:p w14:paraId="2A868E4B" w14:textId="622DC06A" w:rsidR="00035E39" w:rsidRPr="00AF580A" w:rsidRDefault="0073660D" w:rsidP="0074387C">
      <w:pPr>
        <w:pStyle w:val="ListParagraph"/>
        <w:widowControl w:val="0"/>
        <w:numPr>
          <w:ilvl w:val="0"/>
          <w:numId w:val="19"/>
        </w:numPr>
        <w:spacing w:before="120" w:after="120"/>
        <w:rPr>
          <w:sz w:val="24"/>
          <w:szCs w:val="24"/>
        </w:rPr>
      </w:pPr>
      <w:r w:rsidRPr="00AF580A">
        <w:rPr>
          <w:sz w:val="24"/>
          <w:szCs w:val="24"/>
        </w:rPr>
        <w:t>Section 313</w:t>
      </w:r>
      <w:r w:rsidRPr="00AF580A">
        <w:rPr>
          <w:rStyle w:val="FootnoteReference"/>
          <w:sz w:val="24"/>
          <w:szCs w:val="24"/>
        </w:rPr>
        <w:footnoteReference w:id="9"/>
      </w:r>
      <w:r w:rsidRPr="00AF580A">
        <w:rPr>
          <w:sz w:val="24"/>
          <w:szCs w:val="24"/>
        </w:rPr>
        <w:t xml:space="preserve"> of the</w:t>
      </w:r>
      <w:r w:rsidRPr="00AF580A">
        <w:rPr>
          <w:i/>
          <w:sz w:val="24"/>
          <w:szCs w:val="24"/>
        </w:rPr>
        <w:t xml:space="preserve"> Telecommunications Act 1997</w:t>
      </w:r>
      <w:r w:rsidRPr="00AF580A">
        <w:rPr>
          <w:sz w:val="24"/>
          <w:szCs w:val="24"/>
        </w:rPr>
        <w:t xml:space="preserve"> </w:t>
      </w:r>
      <w:r w:rsidR="003F3C91" w:rsidRPr="00AF580A">
        <w:rPr>
          <w:sz w:val="24"/>
          <w:szCs w:val="24"/>
        </w:rPr>
        <w:t>(</w:t>
      </w:r>
      <w:proofErr w:type="spellStart"/>
      <w:r w:rsidR="003F3C91" w:rsidRPr="00AF580A">
        <w:rPr>
          <w:sz w:val="24"/>
          <w:szCs w:val="24"/>
        </w:rPr>
        <w:t>Cth</w:t>
      </w:r>
      <w:proofErr w:type="spellEnd"/>
      <w:r w:rsidR="003F3C91" w:rsidRPr="00AF580A">
        <w:rPr>
          <w:sz w:val="24"/>
          <w:szCs w:val="24"/>
        </w:rPr>
        <w:t xml:space="preserve">) </w:t>
      </w:r>
      <w:r w:rsidRPr="00AF580A">
        <w:rPr>
          <w:sz w:val="24"/>
          <w:szCs w:val="24"/>
        </w:rPr>
        <w:t xml:space="preserve">provides Australian government agencies, including state government agencies, with the ability to obtain assistance from the telecommunications industry when upholding Australian laws. </w:t>
      </w:r>
    </w:p>
    <w:p w14:paraId="19E37310" w14:textId="3090EFE7" w:rsidR="003F3C91" w:rsidRPr="00AF580A" w:rsidRDefault="003F3C91" w:rsidP="0074387C">
      <w:pPr>
        <w:pStyle w:val="ListParagraph"/>
        <w:widowControl w:val="0"/>
        <w:numPr>
          <w:ilvl w:val="0"/>
          <w:numId w:val="19"/>
        </w:numPr>
        <w:spacing w:before="120" w:after="120"/>
        <w:rPr>
          <w:sz w:val="24"/>
          <w:szCs w:val="24"/>
        </w:rPr>
      </w:pPr>
      <w:r w:rsidRPr="00AF580A">
        <w:rPr>
          <w:sz w:val="24"/>
          <w:szCs w:val="24"/>
        </w:rPr>
        <w:t xml:space="preserve">The </w:t>
      </w:r>
      <w:r w:rsidR="000E6994" w:rsidRPr="00AF580A">
        <w:rPr>
          <w:sz w:val="24"/>
          <w:szCs w:val="24"/>
        </w:rPr>
        <w:t>Australian Federal Police (AFP)</w:t>
      </w:r>
      <w:r w:rsidRPr="00AF580A">
        <w:rPr>
          <w:sz w:val="24"/>
          <w:szCs w:val="24"/>
        </w:rPr>
        <w:t xml:space="preserve"> has responsibility for website blocking requests under section 313 of the </w:t>
      </w:r>
      <w:r w:rsidRPr="00AF580A">
        <w:rPr>
          <w:i/>
          <w:sz w:val="24"/>
          <w:szCs w:val="24"/>
        </w:rPr>
        <w:t>Telecommunications Act 1997</w:t>
      </w:r>
      <w:r w:rsidRPr="00AF580A">
        <w:rPr>
          <w:sz w:val="24"/>
          <w:szCs w:val="24"/>
        </w:rPr>
        <w:t>.</w:t>
      </w:r>
    </w:p>
    <w:p w14:paraId="38523302" w14:textId="77777777" w:rsidR="003F3C91" w:rsidRPr="00AF580A" w:rsidRDefault="003F3C91" w:rsidP="0074387C">
      <w:pPr>
        <w:pStyle w:val="ListParagraph"/>
        <w:widowControl w:val="0"/>
        <w:numPr>
          <w:ilvl w:val="0"/>
          <w:numId w:val="19"/>
        </w:numPr>
        <w:spacing w:before="120" w:after="120"/>
        <w:rPr>
          <w:sz w:val="24"/>
          <w:szCs w:val="24"/>
        </w:rPr>
      </w:pPr>
      <w:r w:rsidRPr="00AF580A">
        <w:rPr>
          <w:sz w:val="24"/>
          <w:szCs w:val="24"/>
        </w:rPr>
        <w:t xml:space="preserve">Subsection 313(1) of the </w:t>
      </w:r>
      <w:r w:rsidRPr="00AF580A">
        <w:rPr>
          <w:i/>
          <w:sz w:val="24"/>
          <w:szCs w:val="24"/>
        </w:rPr>
        <w:t>Telecommunications Act 1997</w:t>
      </w:r>
      <w:r w:rsidRPr="00AF580A">
        <w:rPr>
          <w:sz w:val="24"/>
          <w:szCs w:val="24"/>
        </w:rPr>
        <w:t xml:space="preserve"> (</w:t>
      </w:r>
      <w:proofErr w:type="spellStart"/>
      <w:r w:rsidRPr="00AF580A">
        <w:rPr>
          <w:sz w:val="24"/>
          <w:szCs w:val="24"/>
        </w:rPr>
        <w:t>Cth</w:t>
      </w:r>
      <w:proofErr w:type="spellEnd"/>
      <w:r w:rsidRPr="00AF580A">
        <w:rPr>
          <w:sz w:val="24"/>
          <w:szCs w:val="24"/>
        </w:rPr>
        <w:t xml:space="preserve">) imposes obligations on internet service providers to do their best to prevent telecommunications networks from being used to commit Commonwealth offences. </w:t>
      </w:r>
    </w:p>
    <w:p w14:paraId="447B9D4E" w14:textId="147C1992" w:rsidR="003F3C91" w:rsidRPr="00AF580A" w:rsidRDefault="003F3C91" w:rsidP="0074387C">
      <w:pPr>
        <w:pStyle w:val="ListParagraph"/>
        <w:widowControl w:val="0"/>
        <w:numPr>
          <w:ilvl w:val="0"/>
          <w:numId w:val="19"/>
        </w:numPr>
        <w:spacing w:before="120" w:after="120"/>
        <w:rPr>
          <w:sz w:val="24"/>
          <w:szCs w:val="24"/>
        </w:rPr>
      </w:pPr>
      <w:r w:rsidRPr="00AF580A">
        <w:rPr>
          <w:sz w:val="24"/>
          <w:szCs w:val="24"/>
        </w:rPr>
        <w:t xml:space="preserve">Subsection 313(3) of the </w:t>
      </w:r>
      <w:r w:rsidRPr="00AF580A">
        <w:rPr>
          <w:i/>
          <w:sz w:val="24"/>
          <w:szCs w:val="24"/>
        </w:rPr>
        <w:t>Telecommunications Act 1997</w:t>
      </w:r>
      <w:r w:rsidRPr="00AF580A">
        <w:rPr>
          <w:sz w:val="24"/>
          <w:szCs w:val="24"/>
        </w:rPr>
        <w:t xml:space="preserve"> (</w:t>
      </w:r>
      <w:proofErr w:type="spellStart"/>
      <w:r w:rsidRPr="00AF580A">
        <w:rPr>
          <w:sz w:val="24"/>
          <w:szCs w:val="24"/>
        </w:rPr>
        <w:t>Cth</w:t>
      </w:r>
      <w:proofErr w:type="spellEnd"/>
      <w:r w:rsidRPr="00AF580A">
        <w:rPr>
          <w:sz w:val="24"/>
          <w:szCs w:val="24"/>
        </w:rPr>
        <w:t xml:space="preserve">) imposes obligations on internet service providers to provide officers and authorities of the Commonwealth and of the States and Territories to provide such help as is reasonably necessary for the following purposes: </w:t>
      </w:r>
    </w:p>
    <w:p w14:paraId="554EA169" w14:textId="77777777" w:rsidR="003F3C91" w:rsidRPr="00AF580A" w:rsidRDefault="003F3C91" w:rsidP="0074387C">
      <w:pPr>
        <w:pStyle w:val="ListParagraph"/>
        <w:widowControl w:val="0"/>
        <w:numPr>
          <w:ilvl w:val="1"/>
          <w:numId w:val="19"/>
        </w:numPr>
        <w:spacing w:before="120" w:after="120"/>
        <w:rPr>
          <w:sz w:val="24"/>
          <w:szCs w:val="24"/>
        </w:rPr>
      </w:pPr>
      <w:r w:rsidRPr="00AF580A">
        <w:rPr>
          <w:sz w:val="24"/>
          <w:szCs w:val="24"/>
        </w:rPr>
        <w:t>enforcing the criminal law and laws imposing pecuniary penalties;</w:t>
      </w:r>
    </w:p>
    <w:p w14:paraId="44931E73" w14:textId="77777777" w:rsidR="003F3C91" w:rsidRPr="00AF580A" w:rsidRDefault="003F3C91" w:rsidP="0074387C">
      <w:pPr>
        <w:pStyle w:val="ListParagraph"/>
        <w:widowControl w:val="0"/>
        <w:numPr>
          <w:ilvl w:val="1"/>
          <w:numId w:val="19"/>
        </w:numPr>
        <w:spacing w:before="120" w:after="120"/>
        <w:rPr>
          <w:sz w:val="24"/>
          <w:szCs w:val="24"/>
        </w:rPr>
      </w:pPr>
      <w:r w:rsidRPr="00AF580A">
        <w:rPr>
          <w:sz w:val="24"/>
          <w:szCs w:val="24"/>
        </w:rPr>
        <w:t>the enforcement of the criminal laws in force in a foreign country;</w:t>
      </w:r>
    </w:p>
    <w:p w14:paraId="5B03EB6E" w14:textId="77777777" w:rsidR="003F3C91" w:rsidRPr="00AF580A" w:rsidRDefault="003F3C91" w:rsidP="0074387C">
      <w:pPr>
        <w:pStyle w:val="ListParagraph"/>
        <w:widowControl w:val="0"/>
        <w:numPr>
          <w:ilvl w:val="1"/>
          <w:numId w:val="19"/>
        </w:numPr>
        <w:spacing w:before="120" w:after="120"/>
        <w:rPr>
          <w:sz w:val="24"/>
          <w:szCs w:val="24"/>
        </w:rPr>
      </w:pPr>
      <w:r w:rsidRPr="00AF580A">
        <w:rPr>
          <w:sz w:val="24"/>
          <w:szCs w:val="24"/>
        </w:rPr>
        <w:t>protecting the public revenue; or</w:t>
      </w:r>
    </w:p>
    <w:p w14:paraId="406BCA01" w14:textId="77777777" w:rsidR="003F3C91" w:rsidRPr="00AF580A" w:rsidRDefault="003F3C91" w:rsidP="0074387C">
      <w:pPr>
        <w:pStyle w:val="ListParagraph"/>
        <w:widowControl w:val="0"/>
        <w:numPr>
          <w:ilvl w:val="1"/>
          <w:numId w:val="19"/>
        </w:numPr>
        <w:spacing w:before="120" w:after="120"/>
        <w:rPr>
          <w:sz w:val="24"/>
          <w:szCs w:val="24"/>
        </w:rPr>
      </w:pPr>
      <w:proofErr w:type="gramStart"/>
      <w:r w:rsidRPr="00AF580A">
        <w:rPr>
          <w:sz w:val="24"/>
          <w:szCs w:val="24"/>
        </w:rPr>
        <w:t>safeguarding</w:t>
      </w:r>
      <w:proofErr w:type="gramEnd"/>
      <w:r w:rsidRPr="00AF580A">
        <w:rPr>
          <w:sz w:val="24"/>
          <w:szCs w:val="24"/>
        </w:rPr>
        <w:t xml:space="preserve"> national security.</w:t>
      </w:r>
    </w:p>
    <w:p w14:paraId="0231698D" w14:textId="77777777" w:rsidR="003F3C91" w:rsidRPr="00AF580A" w:rsidRDefault="003F3C91" w:rsidP="0074387C">
      <w:pPr>
        <w:pStyle w:val="ListParagraph"/>
        <w:widowControl w:val="0"/>
        <w:numPr>
          <w:ilvl w:val="0"/>
          <w:numId w:val="19"/>
        </w:numPr>
        <w:spacing w:before="120" w:after="120"/>
        <w:rPr>
          <w:sz w:val="24"/>
          <w:szCs w:val="24"/>
        </w:rPr>
      </w:pPr>
      <w:r w:rsidRPr="00AF580A">
        <w:rPr>
          <w:sz w:val="24"/>
          <w:szCs w:val="24"/>
        </w:rPr>
        <w:t>The AFP uses section 313(3) requests to disrupt illegal online activity where other mechanisms have been or are likely to be unsuccessful.</w:t>
      </w:r>
    </w:p>
    <w:p w14:paraId="3CAAE9E4" w14:textId="77777777" w:rsidR="003F3C91" w:rsidRPr="00AF580A" w:rsidRDefault="003F3C91" w:rsidP="0074387C">
      <w:pPr>
        <w:pStyle w:val="ListParagraph"/>
        <w:widowControl w:val="0"/>
        <w:numPr>
          <w:ilvl w:val="0"/>
          <w:numId w:val="19"/>
        </w:numPr>
        <w:spacing w:before="120" w:after="120"/>
        <w:rPr>
          <w:sz w:val="24"/>
          <w:szCs w:val="24"/>
        </w:rPr>
      </w:pPr>
      <w:r w:rsidRPr="00AF580A">
        <w:rPr>
          <w:sz w:val="24"/>
          <w:szCs w:val="24"/>
        </w:rPr>
        <w:t xml:space="preserve">Through the Access Limitation Scheme, the AFP predominantly uses section 313(3) requests to block access to INTERPOL’s ‘Worst of List’ of child exploitation websites. When an Australian user attempts to access a website contained on the Worst of List, they </w:t>
      </w:r>
      <w:proofErr w:type="gramStart"/>
      <w:r w:rsidRPr="00AF580A">
        <w:rPr>
          <w:sz w:val="24"/>
          <w:szCs w:val="24"/>
        </w:rPr>
        <w:t>are redirected</w:t>
      </w:r>
      <w:proofErr w:type="gramEnd"/>
      <w:r w:rsidRPr="00AF580A">
        <w:rPr>
          <w:sz w:val="24"/>
          <w:szCs w:val="24"/>
        </w:rPr>
        <w:t xml:space="preserve"> to an INTERPOL ‘stop page’, blocking access to information containing child abuse material. The AFP provides the list to Australian internet service providers, and relies on them to block the identified websites in Australia.</w:t>
      </w:r>
    </w:p>
    <w:p w14:paraId="03DB94FE" w14:textId="77777777" w:rsidR="003F3C91" w:rsidRPr="00AF580A" w:rsidRDefault="003F3C91" w:rsidP="0074387C">
      <w:pPr>
        <w:pStyle w:val="ListParagraph"/>
        <w:widowControl w:val="0"/>
        <w:numPr>
          <w:ilvl w:val="0"/>
          <w:numId w:val="19"/>
        </w:numPr>
        <w:spacing w:before="120" w:after="120"/>
        <w:rPr>
          <w:sz w:val="24"/>
          <w:szCs w:val="24"/>
        </w:rPr>
      </w:pPr>
      <w:r w:rsidRPr="00AF580A">
        <w:rPr>
          <w:sz w:val="24"/>
          <w:szCs w:val="24"/>
        </w:rPr>
        <w:t>Websites included on the INTERPOL ‘Worst of List’ depict some of the most severe child sexual exploitation material.</w:t>
      </w:r>
    </w:p>
    <w:p w14:paraId="19EF917E" w14:textId="77777777" w:rsidR="003F3C91" w:rsidRPr="00AF580A" w:rsidRDefault="003F3C91" w:rsidP="0074387C">
      <w:pPr>
        <w:pStyle w:val="ListParagraph"/>
        <w:widowControl w:val="0"/>
        <w:numPr>
          <w:ilvl w:val="0"/>
          <w:numId w:val="19"/>
        </w:numPr>
        <w:spacing w:before="120" w:after="120"/>
        <w:rPr>
          <w:sz w:val="24"/>
          <w:szCs w:val="24"/>
        </w:rPr>
      </w:pPr>
      <w:r w:rsidRPr="00AF580A">
        <w:rPr>
          <w:sz w:val="24"/>
          <w:szCs w:val="24"/>
        </w:rPr>
        <w:t xml:space="preserve">The AFP believes blocking of this known criminal content is a proactive, disruption </w:t>
      </w:r>
      <w:proofErr w:type="gramStart"/>
      <w:r w:rsidRPr="00AF580A">
        <w:rPr>
          <w:sz w:val="24"/>
          <w:szCs w:val="24"/>
        </w:rPr>
        <w:t>strategy which</w:t>
      </w:r>
      <w:proofErr w:type="gramEnd"/>
      <w:r w:rsidRPr="00AF580A">
        <w:rPr>
          <w:sz w:val="24"/>
          <w:szCs w:val="24"/>
        </w:rPr>
        <w:t xml:space="preserve"> is a positive step in helping to protect children from sexual exploitation and abuse.</w:t>
      </w:r>
    </w:p>
    <w:p w14:paraId="699460CF" w14:textId="77777777" w:rsidR="00C21C18" w:rsidRPr="00AF580A" w:rsidRDefault="00C21C18" w:rsidP="0074387C">
      <w:pPr>
        <w:pStyle w:val="ListParagraph"/>
        <w:spacing w:before="120" w:after="120"/>
        <w:rPr>
          <w:sz w:val="24"/>
          <w:szCs w:val="24"/>
        </w:rPr>
      </w:pPr>
    </w:p>
    <w:p w14:paraId="43A334B3" w14:textId="4EAF76F8" w:rsidR="00C21C18" w:rsidRPr="00AF580A" w:rsidRDefault="00C21C18" w:rsidP="0074387C">
      <w:pPr>
        <w:spacing w:before="120" w:after="120"/>
        <w:rPr>
          <w:b/>
          <w:sz w:val="24"/>
          <w:szCs w:val="24"/>
          <w:u w:val="single"/>
        </w:rPr>
      </w:pPr>
      <w:r w:rsidRPr="00AF580A">
        <w:rPr>
          <w:b/>
          <w:sz w:val="24"/>
          <w:szCs w:val="24"/>
          <w:u w:val="single"/>
        </w:rPr>
        <w:t xml:space="preserve">Referrals to AFP and </w:t>
      </w:r>
      <w:proofErr w:type="spellStart"/>
      <w:r w:rsidRPr="00AF580A">
        <w:rPr>
          <w:b/>
          <w:sz w:val="24"/>
          <w:szCs w:val="24"/>
          <w:u w:val="single"/>
        </w:rPr>
        <w:t>eSafety</w:t>
      </w:r>
      <w:proofErr w:type="spellEnd"/>
      <w:r w:rsidRPr="00AF580A">
        <w:rPr>
          <w:b/>
          <w:sz w:val="24"/>
          <w:szCs w:val="24"/>
          <w:u w:val="single"/>
        </w:rPr>
        <w:t xml:space="preserve"> Commissioner</w:t>
      </w:r>
      <w:r w:rsidR="00FE3F45" w:rsidRPr="00AF580A">
        <w:rPr>
          <w:b/>
          <w:sz w:val="24"/>
          <w:szCs w:val="24"/>
          <w:u w:val="single"/>
        </w:rPr>
        <w:t xml:space="preserve"> – content on social media sites</w:t>
      </w:r>
    </w:p>
    <w:p w14:paraId="33B7EA8B" w14:textId="7516EA12" w:rsidR="00C21C18" w:rsidRPr="00AF580A" w:rsidRDefault="00C21C18" w:rsidP="0074387C">
      <w:pPr>
        <w:pStyle w:val="ListParagraph"/>
        <w:widowControl w:val="0"/>
        <w:numPr>
          <w:ilvl w:val="0"/>
          <w:numId w:val="19"/>
        </w:numPr>
        <w:spacing w:before="120" w:after="120"/>
        <w:rPr>
          <w:sz w:val="24"/>
          <w:szCs w:val="24"/>
        </w:rPr>
      </w:pPr>
      <w:r w:rsidRPr="00AF580A">
        <w:rPr>
          <w:sz w:val="24"/>
          <w:szCs w:val="24"/>
        </w:rPr>
        <w:t xml:space="preserve">There are distinct differences between referrals to the AFP and referrals to the </w:t>
      </w:r>
      <w:proofErr w:type="spellStart"/>
      <w:r w:rsidR="005A3442" w:rsidRPr="00AF580A">
        <w:rPr>
          <w:sz w:val="24"/>
          <w:szCs w:val="24"/>
        </w:rPr>
        <w:t>e</w:t>
      </w:r>
      <w:r w:rsidRPr="00AF580A">
        <w:rPr>
          <w:sz w:val="24"/>
          <w:szCs w:val="24"/>
        </w:rPr>
        <w:t>Safety</w:t>
      </w:r>
      <w:proofErr w:type="spellEnd"/>
      <w:r w:rsidRPr="00AF580A">
        <w:rPr>
          <w:sz w:val="24"/>
          <w:szCs w:val="24"/>
        </w:rPr>
        <w:t xml:space="preserve"> Commissioner, these being:</w:t>
      </w:r>
    </w:p>
    <w:p w14:paraId="31AD9AFB" w14:textId="77777777" w:rsidR="00C21C18" w:rsidRPr="00AF580A" w:rsidRDefault="00C21C18" w:rsidP="0074387C">
      <w:pPr>
        <w:pStyle w:val="ListParagraph"/>
        <w:numPr>
          <w:ilvl w:val="1"/>
          <w:numId w:val="25"/>
        </w:numPr>
        <w:spacing w:before="120" w:after="120"/>
        <w:rPr>
          <w:sz w:val="24"/>
          <w:szCs w:val="24"/>
        </w:rPr>
      </w:pPr>
      <w:r w:rsidRPr="00AF580A">
        <w:rPr>
          <w:sz w:val="24"/>
          <w:szCs w:val="24"/>
        </w:rPr>
        <w:t>AFP referral: information that could lead to the criminal investigation of an Australian child sex offender, or the identification of a child or other person, and there is an Australian link to a child exploitation matter; and</w:t>
      </w:r>
    </w:p>
    <w:p w14:paraId="6C1F69C5" w14:textId="77777777" w:rsidR="00C21C18" w:rsidRPr="00AF580A" w:rsidRDefault="00C21C18" w:rsidP="0074387C">
      <w:pPr>
        <w:pStyle w:val="ListParagraph"/>
        <w:numPr>
          <w:ilvl w:val="1"/>
          <w:numId w:val="25"/>
        </w:numPr>
        <w:spacing w:before="120" w:after="120"/>
        <w:rPr>
          <w:sz w:val="24"/>
          <w:szCs w:val="24"/>
        </w:rPr>
      </w:pPr>
      <w:proofErr w:type="spellStart"/>
      <w:proofErr w:type="gramStart"/>
      <w:r w:rsidRPr="00AF580A">
        <w:rPr>
          <w:sz w:val="24"/>
          <w:szCs w:val="24"/>
        </w:rPr>
        <w:t>eSafety</w:t>
      </w:r>
      <w:proofErr w:type="spellEnd"/>
      <w:proofErr w:type="gramEnd"/>
      <w:r w:rsidRPr="00AF580A">
        <w:rPr>
          <w:sz w:val="24"/>
          <w:szCs w:val="24"/>
        </w:rPr>
        <w:t xml:space="preserve"> referral: information that identifies inappropriate content, including child abuse material, hosted inside Australia where a takedown of the host will not compromise any ongoing AFP investigation.</w:t>
      </w:r>
    </w:p>
    <w:p w14:paraId="3341937E" w14:textId="049EE8D0" w:rsidR="00C21C18" w:rsidRPr="00AF580A" w:rsidRDefault="00C21C18" w:rsidP="0074387C">
      <w:pPr>
        <w:pStyle w:val="ListParagraph"/>
        <w:widowControl w:val="0"/>
        <w:numPr>
          <w:ilvl w:val="0"/>
          <w:numId w:val="19"/>
        </w:numPr>
        <w:spacing w:before="120" w:after="120"/>
        <w:rPr>
          <w:sz w:val="24"/>
          <w:szCs w:val="24"/>
        </w:rPr>
      </w:pPr>
      <w:r w:rsidRPr="00AF580A">
        <w:rPr>
          <w:sz w:val="24"/>
          <w:szCs w:val="24"/>
        </w:rPr>
        <w:t>The AFP refers matters to</w:t>
      </w:r>
      <w:r w:rsidR="005A3442" w:rsidRPr="00AF580A">
        <w:rPr>
          <w:sz w:val="24"/>
          <w:szCs w:val="24"/>
        </w:rPr>
        <w:t xml:space="preserve"> the</w:t>
      </w:r>
      <w:r w:rsidRPr="00AF580A">
        <w:rPr>
          <w:sz w:val="24"/>
          <w:szCs w:val="24"/>
        </w:rPr>
        <w:t xml:space="preserve"> </w:t>
      </w:r>
      <w:proofErr w:type="spellStart"/>
      <w:r w:rsidRPr="00AF580A">
        <w:rPr>
          <w:sz w:val="24"/>
          <w:szCs w:val="24"/>
        </w:rPr>
        <w:t>eSafety</w:t>
      </w:r>
      <w:proofErr w:type="spellEnd"/>
      <w:r w:rsidRPr="00AF580A">
        <w:rPr>
          <w:sz w:val="24"/>
          <w:szCs w:val="24"/>
        </w:rPr>
        <w:t xml:space="preserve"> </w:t>
      </w:r>
      <w:r w:rsidR="005A3442" w:rsidRPr="00AF580A">
        <w:rPr>
          <w:sz w:val="24"/>
          <w:szCs w:val="24"/>
        </w:rPr>
        <w:t xml:space="preserve">Commissioner </w:t>
      </w:r>
      <w:r w:rsidRPr="00AF580A">
        <w:rPr>
          <w:sz w:val="24"/>
          <w:szCs w:val="24"/>
        </w:rPr>
        <w:t xml:space="preserve">on a regular basis (approx. 2 per month). These referrals may involve reports from members of the public who believe a web link contains offensive material including possibly child exploitation material (CEM). The AFP confirms if CEM is on the site and, if so, the AFP refers the matter to </w:t>
      </w:r>
      <w:proofErr w:type="spellStart"/>
      <w:r w:rsidRPr="00AF580A">
        <w:rPr>
          <w:sz w:val="24"/>
          <w:szCs w:val="24"/>
        </w:rPr>
        <w:t>eSafety</w:t>
      </w:r>
      <w:proofErr w:type="spellEnd"/>
      <w:r w:rsidRPr="00AF580A">
        <w:rPr>
          <w:sz w:val="24"/>
          <w:szCs w:val="24"/>
        </w:rPr>
        <w:t xml:space="preserve">.  </w:t>
      </w:r>
    </w:p>
    <w:p w14:paraId="7F42E048" w14:textId="21B285CE" w:rsidR="00C21C18" w:rsidRPr="00AF580A" w:rsidRDefault="00C21C18" w:rsidP="0074387C">
      <w:pPr>
        <w:pStyle w:val="ListParagraph"/>
        <w:widowControl w:val="0"/>
        <w:numPr>
          <w:ilvl w:val="0"/>
          <w:numId w:val="19"/>
        </w:numPr>
        <w:spacing w:before="120" w:after="120"/>
        <w:rPr>
          <w:sz w:val="24"/>
          <w:szCs w:val="24"/>
        </w:rPr>
      </w:pPr>
      <w:r w:rsidRPr="00AF580A">
        <w:rPr>
          <w:sz w:val="24"/>
          <w:szCs w:val="24"/>
        </w:rPr>
        <w:t xml:space="preserve">The AFP encourages those wishing to make reports regarding cyberbullying or image based abuse to report the cyberbullying or abuse to the site on which the material </w:t>
      </w:r>
      <w:proofErr w:type="gramStart"/>
      <w:r w:rsidRPr="00AF580A">
        <w:rPr>
          <w:sz w:val="24"/>
          <w:szCs w:val="24"/>
        </w:rPr>
        <w:t>is hosted</w:t>
      </w:r>
      <w:proofErr w:type="gramEnd"/>
      <w:r w:rsidRPr="00AF580A">
        <w:rPr>
          <w:sz w:val="24"/>
          <w:szCs w:val="24"/>
        </w:rPr>
        <w:t xml:space="preserve"> in the first instance. If the material </w:t>
      </w:r>
      <w:proofErr w:type="gramStart"/>
      <w:r w:rsidRPr="00AF580A">
        <w:rPr>
          <w:sz w:val="24"/>
          <w:szCs w:val="24"/>
        </w:rPr>
        <w:t>is not</w:t>
      </w:r>
      <w:r w:rsidR="00AC0A4D" w:rsidRPr="00AF580A">
        <w:rPr>
          <w:sz w:val="24"/>
          <w:szCs w:val="24"/>
        </w:rPr>
        <w:t xml:space="preserve"> removed</w:t>
      </w:r>
      <w:proofErr w:type="gramEnd"/>
      <w:r w:rsidR="00AC0A4D" w:rsidRPr="00AF580A">
        <w:rPr>
          <w:sz w:val="24"/>
          <w:szCs w:val="24"/>
        </w:rPr>
        <w:t xml:space="preserve"> following complaint, the AFP</w:t>
      </w:r>
      <w:r w:rsidRPr="00AF580A">
        <w:rPr>
          <w:sz w:val="24"/>
          <w:szCs w:val="24"/>
        </w:rPr>
        <w:t xml:space="preserve"> encourage</w:t>
      </w:r>
      <w:r w:rsidR="00AC0A4D" w:rsidRPr="00AF580A">
        <w:rPr>
          <w:sz w:val="24"/>
          <w:szCs w:val="24"/>
        </w:rPr>
        <w:t>s</w:t>
      </w:r>
      <w:r w:rsidRPr="00AF580A">
        <w:rPr>
          <w:sz w:val="24"/>
          <w:szCs w:val="24"/>
        </w:rPr>
        <w:t xml:space="preserve"> them to report this </w:t>
      </w:r>
      <w:proofErr w:type="spellStart"/>
      <w:r w:rsidRPr="00AF580A">
        <w:rPr>
          <w:sz w:val="24"/>
          <w:szCs w:val="24"/>
        </w:rPr>
        <w:t>eSafety</w:t>
      </w:r>
      <w:proofErr w:type="spellEnd"/>
      <w:r w:rsidRPr="00AF580A">
        <w:rPr>
          <w:sz w:val="24"/>
          <w:szCs w:val="24"/>
        </w:rPr>
        <w:t xml:space="preserve"> Commissioner to facilitate the removal. These details are captured in the updated 2018 </w:t>
      </w:r>
      <w:proofErr w:type="spellStart"/>
      <w:r w:rsidRPr="00AF580A">
        <w:rPr>
          <w:sz w:val="24"/>
          <w:szCs w:val="24"/>
        </w:rPr>
        <w:t>ThinkUKnow</w:t>
      </w:r>
      <w:proofErr w:type="spellEnd"/>
      <w:r w:rsidRPr="00AF580A">
        <w:rPr>
          <w:sz w:val="24"/>
          <w:szCs w:val="24"/>
        </w:rPr>
        <w:t xml:space="preserve"> </w:t>
      </w:r>
      <w:proofErr w:type="gramStart"/>
      <w:r w:rsidRPr="00AF580A">
        <w:rPr>
          <w:sz w:val="24"/>
          <w:szCs w:val="24"/>
        </w:rPr>
        <w:t>presentations which</w:t>
      </w:r>
      <w:proofErr w:type="gramEnd"/>
      <w:r w:rsidRPr="00AF580A">
        <w:rPr>
          <w:sz w:val="24"/>
          <w:szCs w:val="24"/>
        </w:rPr>
        <w:t xml:space="preserve"> are being delivered to communities across the country.</w:t>
      </w:r>
    </w:p>
    <w:p w14:paraId="7BBC4623" w14:textId="2FE462F5" w:rsidR="00C206C6" w:rsidRDefault="00C206C6">
      <w:pPr>
        <w:spacing w:after="160" w:line="259" w:lineRule="auto"/>
        <w:rPr>
          <w:b/>
          <w:bCs/>
          <w:sz w:val="24"/>
          <w:szCs w:val="24"/>
          <w:u w:val="single"/>
        </w:rPr>
      </w:pPr>
    </w:p>
    <w:p w14:paraId="374F6492" w14:textId="1AB70EB7" w:rsidR="003B3A59" w:rsidRPr="00AF580A" w:rsidRDefault="003B3A59" w:rsidP="00AF580A">
      <w:pPr>
        <w:spacing w:before="120" w:after="120"/>
        <w:rPr>
          <w:rFonts w:cstheme="minorHAnsi"/>
          <w:sz w:val="24"/>
          <w:szCs w:val="24"/>
        </w:rPr>
      </w:pPr>
      <w:r w:rsidRPr="00AF580A">
        <w:rPr>
          <w:b/>
          <w:bCs/>
          <w:sz w:val="24"/>
          <w:szCs w:val="24"/>
          <w:u w:val="single"/>
        </w:rPr>
        <w:t xml:space="preserve">Human rights scrutiny – Statements of Compatibility </w:t>
      </w:r>
    </w:p>
    <w:p w14:paraId="06A523C6" w14:textId="0B7F5B76" w:rsidR="00C206C6" w:rsidRDefault="003B3A59" w:rsidP="0074387C">
      <w:pPr>
        <w:pStyle w:val="Default"/>
        <w:spacing w:before="120" w:after="120"/>
        <w:rPr>
          <w:rFonts w:ascii="Calibri" w:hAnsi="Calibri"/>
        </w:rPr>
      </w:pPr>
      <w:r w:rsidRPr="00AF580A">
        <w:rPr>
          <w:rFonts w:ascii="Calibri" w:hAnsi="Calibri"/>
        </w:rPr>
        <w:t xml:space="preserve">All government and non-government Bills and disallowable legislative instruments introduced into the Federal Parliament </w:t>
      </w:r>
      <w:proofErr w:type="gramStart"/>
      <w:r w:rsidRPr="00AF580A">
        <w:rPr>
          <w:rFonts w:ascii="Calibri" w:hAnsi="Calibri"/>
        </w:rPr>
        <w:t>must be accompanied</w:t>
      </w:r>
      <w:proofErr w:type="gramEnd"/>
      <w:r w:rsidRPr="00AF580A">
        <w:rPr>
          <w:rFonts w:ascii="Calibri" w:hAnsi="Calibri"/>
        </w:rPr>
        <w:t xml:space="preserve"> by a Statement of Compatibility. A Statement of Compatibility must contain an assessment of the Bill or legislative instrument's compatibility with the rights and freedoms recognised in the seven core international human rights </w:t>
      </w:r>
      <w:proofErr w:type="gramStart"/>
      <w:r w:rsidRPr="00AF580A">
        <w:rPr>
          <w:rFonts w:ascii="Calibri" w:hAnsi="Calibri"/>
        </w:rPr>
        <w:t>treaties which</w:t>
      </w:r>
      <w:proofErr w:type="gramEnd"/>
      <w:r w:rsidRPr="00AF580A">
        <w:rPr>
          <w:rFonts w:ascii="Calibri" w:hAnsi="Calibri"/>
        </w:rPr>
        <w:t xml:space="preserve"> Australia has ra</w:t>
      </w:r>
      <w:r w:rsidR="00C206C6">
        <w:rPr>
          <w:rFonts w:ascii="Calibri" w:hAnsi="Calibri"/>
        </w:rPr>
        <w:t xml:space="preserve">tified, including the Covenant. </w:t>
      </w:r>
      <w:r w:rsidRPr="00AF580A">
        <w:rPr>
          <w:rFonts w:ascii="Calibri" w:hAnsi="Calibri"/>
        </w:rPr>
        <w:t xml:space="preserve">This process encourages early and ongoing consideration of human rights in policy and legislative development. </w:t>
      </w:r>
      <w:r w:rsidR="00333C63">
        <w:rPr>
          <w:rFonts w:ascii="Calibri" w:hAnsi="Calibri"/>
        </w:rPr>
        <w:t xml:space="preserve"> </w:t>
      </w:r>
    </w:p>
    <w:p w14:paraId="6A551FFC" w14:textId="00DBADBF" w:rsidR="003B3A59" w:rsidRPr="00AF580A" w:rsidRDefault="003B3A59" w:rsidP="0074387C">
      <w:pPr>
        <w:pStyle w:val="Default"/>
        <w:spacing w:before="120" w:after="120"/>
        <w:rPr>
          <w:rFonts w:ascii="Calibri" w:hAnsi="Calibri"/>
        </w:rPr>
      </w:pPr>
      <w:r w:rsidRPr="00AF580A">
        <w:rPr>
          <w:rFonts w:ascii="Calibri" w:hAnsi="Calibri"/>
        </w:rPr>
        <w:t xml:space="preserve">The Attorney-General’s Department and the Parliamentary Joint Committee on Human Rights issue guidance documents to assist public servants to assess the human rights compatibility of policy and legislation and to draft Statements of Compatibility. </w:t>
      </w:r>
      <w:r w:rsidR="00333C63">
        <w:rPr>
          <w:rFonts w:ascii="Calibri" w:hAnsi="Calibri"/>
        </w:rPr>
        <w:t xml:space="preserve"> </w:t>
      </w:r>
      <w:r w:rsidRPr="00AF580A">
        <w:rPr>
          <w:rFonts w:ascii="Calibri" w:hAnsi="Calibri"/>
        </w:rPr>
        <w:t xml:space="preserve">The Human Rights Unit within the Attorney-General’s Department consult on draft Statements of Compatibility and provide additional assistance to public servants as requested. </w:t>
      </w:r>
    </w:p>
    <w:p w14:paraId="10C432F1" w14:textId="77777777" w:rsidR="00AF580A" w:rsidRDefault="00AF580A" w:rsidP="0074387C">
      <w:pPr>
        <w:pStyle w:val="Default"/>
        <w:spacing w:before="120" w:after="120"/>
        <w:rPr>
          <w:rFonts w:ascii="Calibri" w:hAnsi="Calibri"/>
          <w:b/>
          <w:bCs/>
          <w:u w:val="single"/>
        </w:rPr>
      </w:pPr>
    </w:p>
    <w:p w14:paraId="62B05289" w14:textId="6E10ACDB" w:rsidR="003B3A59" w:rsidRPr="00AF580A" w:rsidRDefault="003B3A59" w:rsidP="0074387C">
      <w:pPr>
        <w:pStyle w:val="Default"/>
        <w:spacing w:before="120" w:after="120"/>
        <w:rPr>
          <w:rFonts w:ascii="Calibri" w:hAnsi="Calibri"/>
          <w:u w:val="single"/>
        </w:rPr>
      </w:pPr>
      <w:r w:rsidRPr="00AF580A">
        <w:rPr>
          <w:rFonts w:ascii="Calibri" w:hAnsi="Calibri"/>
          <w:b/>
          <w:bCs/>
          <w:u w:val="single"/>
        </w:rPr>
        <w:t xml:space="preserve">Parliamentary Joint Committee on Human Rights (PJCHR) </w:t>
      </w:r>
    </w:p>
    <w:p w14:paraId="215B2B29" w14:textId="2BB817F6" w:rsidR="003B3A59" w:rsidRPr="00AF580A" w:rsidRDefault="003B3A59" w:rsidP="00333C63">
      <w:pPr>
        <w:pStyle w:val="Default"/>
        <w:spacing w:before="120" w:after="120"/>
        <w:rPr>
          <w:rFonts w:ascii="Calibri" w:hAnsi="Calibri"/>
        </w:rPr>
      </w:pPr>
      <w:r w:rsidRPr="00AF580A">
        <w:rPr>
          <w:rFonts w:ascii="Calibri" w:hAnsi="Calibri"/>
        </w:rPr>
        <w:t xml:space="preserve">The Parliamentary Joint Committee on Human Rights (PJCHR) examines and reports on the human rights compatibility of all bills and legislative instruments that come before the Parliament. </w:t>
      </w:r>
      <w:r w:rsidR="00333C63">
        <w:rPr>
          <w:rFonts w:ascii="Calibri" w:hAnsi="Calibri"/>
        </w:rPr>
        <w:t xml:space="preserve"> It </w:t>
      </w:r>
      <w:r w:rsidR="00333C63" w:rsidRPr="00AF580A">
        <w:rPr>
          <w:rFonts w:ascii="Calibri" w:hAnsi="Calibri"/>
        </w:rPr>
        <w:t xml:space="preserve">plays an important role in promoting dialogue about and recognition of human rights in the Parliament and in the broader community. </w:t>
      </w:r>
      <w:r w:rsidR="00333C63">
        <w:rPr>
          <w:rFonts w:ascii="Calibri" w:hAnsi="Calibri"/>
        </w:rPr>
        <w:t xml:space="preserve">  Its </w:t>
      </w:r>
      <w:r w:rsidR="00333C63" w:rsidRPr="00AF580A">
        <w:rPr>
          <w:rFonts w:ascii="Calibri" w:hAnsi="Calibri"/>
        </w:rPr>
        <w:t xml:space="preserve">work </w:t>
      </w:r>
      <w:proofErr w:type="gramStart"/>
      <w:r w:rsidR="00333C63" w:rsidRPr="00AF580A">
        <w:rPr>
          <w:rFonts w:ascii="Calibri" w:hAnsi="Calibri"/>
        </w:rPr>
        <w:t>is considered</w:t>
      </w:r>
      <w:proofErr w:type="gramEnd"/>
      <w:r w:rsidR="00333C63" w:rsidRPr="00AF580A">
        <w:rPr>
          <w:rFonts w:ascii="Calibri" w:hAnsi="Calibri"/>
        </w:rPr>
        <w:t xml:space="preserve"> in developing and refining legislation.</w:t>
      </w:r>
    </w:p>
    <w:p w14:paraId="55597B03" w14:textId="528B1F3B" w:rsidR="003B3A59" w:rsidRDefault="003B3A59" w:rsidP="0074387C">
      <w:pPr>
        <w:pStyle w:val="Default"/>
        <w:spacing w:before="120" w:after="120"/>
        <w:rPr>
          <w:rFonts w:ascii="Calibri" w:hAnsi="Calibri"/>
        </w:rPr>
      </w:pPr>
      <w:r w:rsidRPr="00AF580A">
        <w:rPr>
          <w:rFonts w:ascii="Calibri" w:hAnsi="Calibri"/>
        </w:rPr>
        <w:t xml:space="preserve">The PJCHR generally meets when both Houses of Parliament are sitting, and has a regular reporting cycle around these meetings. </w:t>
      </w:r>
      <w:r w:rsidR="00333C63">
        <w:rPr>
          <w:rFonts w:ascii="Calibri" w:hAnsi="Calibri"/>
        </w:rPr>
        <w:t xml:space="preserve"> </w:t>
      </w:r>
      <w:r w:rsidRPr="00AF580A">
        <w:rPr>
          <w:rFonts w:ascii="Calibri" w:hAnsi="Calibri"/>
        </w:rPr>
        <w:t xml:space="preserve">Reports </w:t>
      </w:r>
      <w:proofErr w:type="gramStart"/>
      <w:r w:rsidRPr="00AF580A">
        <w:rPr>
          <w:rFonts w:ascii="Calibri" w:hAnsi="Calibri"/>
        </w:rPr>
        <w:t>are tabled</w:t>
      </w:r>
      <w:proofErr w:type="gramEnd"/>
      <w:r w:rsidRPr="00AF580A">
        <w:rPr>
          <w:rFonts w:ascii="Calibri" w:hAnsi="Calibri"/>
        </w:rPr>
        <w:t xml:space="preserve"> after each meeting, and deal with the bills and instruments of delegated legislation introduced or tabled in the preceding period. </w:t>
      </w:r>
    </w:p>
    <w:p w14:paraId="52203ECC" w14:textId="77777777" w:rsidR="00333C63" w:rsidRPr="00AF580A" w:rsidRDefault="00333C63" w:rsidP="00333C63">
      <w:pPr>
        <w:pStyle w:val="Default"/>
        <w:spacing w:before="120" w:after="120"/>
        <w:rPr>
          <w:rFonts w:ascii="Calibri" w:hAnsi="Calibri"/>
        </w:rPr>
      </w:pPr>
      <w:r w:rsidRPr="00AF580A">
        <w:rPr>
          <w:rFonts w:ascii="Calibri" w:hAnsi="Calibri"/>
        </w:rPr>
        <w:t xml:space="preserve">Where a bill or instrument limits a human right, the Parliamentary Joint Committee on Human Rights requires that the Statement of Compatibility provide a detailed and evidence-based assessment of the measures against the limitation criteria. If the Committee considers that a Statement of Compatibility does not include a reasoned and evidence-based assessment, the Committee will write to the relevant Minister seeking further information. </w:t>
      </w:r>
    </w:p>
    <w:p w14:paraId="5CFE4FEB" w14:textId="77777777" w:rsidR="00333C63" w:rsidRPr="00AF580A" w:rsidRDefault="00333C63" w:rsidP="00333C63">
      <w:pPr>
        <w:pStyle w:val="Default"/>
        <w:spacing w:before="120" w:after="120"/>
        <w:rPr>
          <w:rFonts w:ascii="Calibri" w:hAnsi="Calibri"/>
        </w:rPr>
      </w:pPr>
      <w:r w:rsidRPr="00AF580A">
        <w:rPr>
          <w:rFonts w:ascii="Calibri" w:hAnsi="Calibri"/>
        </w:rPr>
        <w:t xml:space="preserve">The PJCHR seeks to conclude and report on its examination of bills while they are still before the Parliament, so that its findings may inform legislative deliberations. However, this is dependent on the legislative program of the government of the day and the timeliness of ministers' responses to the PJCHR’s inquiries. </w:t>
      </w:r>
    </w:p>
    <w:p w14:paraId="57F844C6" w14:textId="7B1E1A46" w:rsidR="00333C63" w:rsidRPr="00AF580A" w:rsidRDefault="00333C63" w:rsidP="00333C63">
      <w:pPr>
        <w:pStyle w:val="Default"/>
        <w:spacing w:before="120" w:after="120"/>
        <w:rPr>
          <w:rFonts w:ascii="Calibri" w:hAnsi="Calibri"/>
        </w:rPr>
      </w:pPr>
      <w:r w:rsidRPr="00AF580A">
        <w:rPr>
          <w:rFonts w:ascii="Calibri" w:hAnsi="Calibri"/>
        </w:rPr>
        <w:t xml:space="preserve">Where a bill </w:t>
      </w:r>
      <w:proofErr w:type="gramStart"/>
      <w:r w:rsidRPr="00AF580A">
        <w:rPr>
          <w:rFonts w:ascii="Calibri" w:hAnsi="Calibri"/>
        </w:rPr>
        <w:t>is passed</w:t>
      </w:r>
      <w:proofErr w:type="gramEnd"/>
      <w:r w:rsidRPr="00AF580A">
        <w:rPr>
          <w:rFonts w:ascii="Calibri" w:hAnsi="Calibri"/>
        </w:rPr>
        <w:t xml:space="preserve"> before the PJCHR has been able to conclude its examination, the PJCHR nevertheless completes its examination of the legislation and reports its findings to the Parliament. </w:t>
      </w:r>
      <w:r w:rsidR="00C206C6">
        <w:rPr>
          <w:rFonts w:ascii="Calibri" w:hAnsi="Calibri"/>
        </w:rPr>
        <w:t xml:space="preserve">Its work may then influence refinement of the legislation. </w:t>
      </w:r>
    </w:p>
    <w:p w14:paraId="503B6EBF" w14:textId="24E0759F" w:rsidR="003B3A59" w:rsidRPr="00AF580A" w:rsidRDefault="003B3A59" w:rsidP="0074387C">
      <w:pPr>
        <w:pStyle w:val="Default"/>
        <w:spacing w:before="120" w:after="120"/>
        <w:rPr>
          <w:rFonts w:ascii="Calibri" w:hAnsi="Calibri"/>
        </w:rPr>
      </w:pPr>
      <w:r w:rsidRPr="00AF580A">
        <w:rPr>
          <w:rFonts w:ascii="Calibri" w:hAnsi="Calibri"/>
        </w:rPr>
        <w:t xml:space="preserve">The PJCHR may also consider the human rights compatibility of existing legislation and has self-initiated inquiries into human rights issues in certain circumstances. </w:t>
      </w:r>
      <w:r w:rsidR="00333C63">
        <w:rPr>
          <w:rFonts w:ascii="Calibri" w:hAnsi="Calibri"/>
        </w:rPr>
        <w:t>T</w:t>
      </w:r>
      <w:r w:rsidRPr="00AF580A">
        <w:rPr>
          <w:rFonts w:ascii="Calibri" w:hAnsi="Calibri"/>
        </w:rPr>
        <w:t xml:space="preserve">he Attorney-General may also refer any matter relating to human rights to the PJCHR for inquiry and report. </w:t>
      </w:r>
    </w:p>
    <w:p w14:paraId="2C7B57CA" w14:textId="77777777" w:rsidR="003B3A59" w:rsidRPr="00AF580A" w:rsidRDefault="003B3A59" w:rsidP="0074387C">
      <w:pPr>
        <w:pStyle w:val="Default"/>
        <w:spacing w:before="120" w:after="120"/>
        <w:rPr>
          <w:rFonts w:ascii="Calibri" w:hAnsi="Calibri"/>
        </w:rPr>
      </w:pPr>
      <w:r w:rsidRPr="00AF580A">
        <w:rPr>
          <w:rFonts w:ascii="Calibri" w:hAnsi="Calibri"/>
          <w:i/>
          <w:iCs/>
        </w:rPr>
        <w:t xml:space="preserve">Parliamentary committee inquiries into issues of human rights concerns </w:t>
      </w:r>
    </w:p>
    <w:p w14:paraId="426C70E9" w14:textId="61BE2943" w:rsidR="003B3A59" w:rsidRPr="00AF580A" w:rsidRDefault="003B3A59" w:rsidP="0074387C">
      <w:pPr>
        <w:pStyle w:val="Default"/>
        <w:spacing w:before="120" w:after="120"/>
        <w:rPr>
          <w:rFonts w:ascii="Calibri" w:hAnsi="Calibri"/>
        </w:rPr>
      </w:pPr>
      <w:r w:rsidRPr="00AF580A">
        <w:rPr>
          <w:rFonts w:ascii="Calibri" w:hAnsi="Calibri"/>
        </w:rPr>
        <w:t xml:space="preserve">Parliamentary human rights scrutiny is not limited to the Parliamentary Joint Committee on Human Rights. </w:t>
      </w:r>
      <w:r w:rsidR="00333C63">
        <w:rPr>
          <w:rFonts w:ascii="Calibri" w:hAnsi="Calibri"/>
        </w:rPr>
        <w:t xml:space="preserve"> </w:t>
      </w:r>
      <w:r w:rsidRPr="00AF580A">
        <w:rPr>
          <w:rFonts w:ascii="Calibri" w:hAnsi="Calibri"/>
        </w:rPr>
        <w:t xml:space="preserve">There are a number of parliamentary committees in the Australian </w:t>
      </w:r>
      <w:proofErr w:type="gramStart"/>
      <w:r w:rsidRPr="00AF580A">
        <w:rPr>
          <w:rFonts w:ascii="Calibri" w:hAnsi="Calibri"/>
        </w:rPr>
        <w:t>Parliament which</w:t>
      </w:r>
      <w:proofErr w:type="gramEnd"/>
      <w:r w:rsidRPr="00AF580A">
        <w:rPr>
          <w:rFonts w:ascii="Calibri" w:hAnsi="Calibri"/>
        </w:rPr>
        <w:t xml:space="preserve"> are able to conduct inquiries into issues raising human rights concerns. </w:t>
      </w:r>
    </w:p>
    <w:p w14:paraId="553467D2" w14:textId="77777777" w:rsidR="003B3A59" w:rsidRPr="00AF580A" w:rsidRDefault="003B3A59" w:rsidP="0074387C">
      <w:pPr>
        <w:pStyle w:val="Default"/>
        <w:spacing w:before="120" w:after="120"/>
        <w:rPr>
          <w:rFonts w:ascii="Calibri" w:hAnsi="Calibri"/>
        </w:rPr>
      </w:pPr>
      <w:r w:rsidRPr="00AF580A">
        <w:rPr>
          <w:rFonts w:ascii="Calibri" w:hAnsi="Calibri"/>
        </w:rPr>
        <w:t xml:space="preserve">This includes for example, the Senate Committee on Community Affairs, the Senate Standing Committee on Legal and Constitutional Affairs, the Parliamentary Joint Committee on Intelligence and Security and the Parliamentary Joint Committee on Law Enforcement. </w:t>
      </w:r>
    </w:p>
    <w:p w14:paraId="7E0BA6B5" w14:textId="77777777" w:rsidR="003B3A59" w:rsidRPr="00AF580A" w:rsidRDefault="003B3A59" w:rsidP="0074387C">
      <w:pPr>
        <w:pStyle w:val="Default"/>
        <w:spacing w:before="120" w:after="120"/>
        <w:rPr>
          <w:rFonts w:ascii="Calibri" w:hAnsi="Calibri"/>
        </w:rPr>
      </w:pPr>
    </w:p>
    <w:p w14:paraId="09D12399" w14:textId="77777777" w:rsidR="003B3A59" w:rsidRPr="00AF580A" w:rsidRDefault="003B3A59" w:rsidP="0074387C">
      <w:pPr>
        <w:widowControl w:val="0"/>
        <w:spacing w:before="120" w:after="120"/>
        <w:rPr>
          <w:rFonts w:cstheme="minorHAnsi"/>
          <w:sz w:val="24"/>
          <w:szCs w:val="24"/>
        </w:rPr>
      </w:pPr>
    </w:p>
    <w:sectPr w:rsidR="003B3A59" w:rsidRPr="00AF580A" w:rsidSect="00C6049B">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E57F6" w14:textId="77777777" w:rsidR="00571D6C" w:rsidRDefault="00571D6C" w:rsidP="0073660D">
      <w:r>
        <w:separator/>
      </w:r>
    </w:p>
  </w:endnote>
  <w:endnote w:type="continuationSeparator" w:id="0">
    <w:p w14:paraId="2FD5F8B2" w14:textId="77777777" w:rsidR="00571D6C" w:rsidRDefault="00571D6C" w:rsidP="0073660D">
      <w:r>
        <w:continuationSeparator/>
      </w:r>
    </w:p>
  </w:endnote>
  <w:endnote w:type="continuationNotice" w:id="1">
    <w:p w14:paraId="641E9C0D" w14:textId="77777777" w:rsidR="00571D6C" w:rsidRDefault="00571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218008"/>
      <w:docPartObj>
        <w:docPartGallery w:val="Page Numbers (Bottom of Page)"/>
        <w:docPartUnique/>
      </w:docPartObj>
    </w:sdtPr>
    <w:sdtEndPr>
      <w:rPr>
        <w:noProof/>
      </w:rPr>
    </w:sdtEndPr>
    <w:sdtContent>
      <w:p w14:paraId="2726745F" w14:textId="5371F512" w:rsidR="003A0CA9" w:rsidRDefault="003A0CA9">
        <w:pPr>
          <w:pStyle w:val="Footer"/>
          <w:jc w:val="right"/>
        </w:pPr>
        <w:r>
          <w:fldChar w:fldCharType="begin"/>
        </w:r>
        <w:r>
          <w:instrText xml:space="preserve"> PAGE   \* MERGEFORMAT </w:instrText>
        </w:r>
        <w:r>
          <w:fldChar w:fldCharType="separate"/>
        </w:r>
        <w:r w:rsidR="00E97CAA">
          <w:rPr>
            <w:noProof/>
          </w:rPr>
          <w:t>1</w:t>
        </w:r>
        <w:r>
          <w:rPr>
            <w:noProof/>
          </w:rPr>
          <w:fldChar w:fldCharType="end"/>
        </w:r>
      </w:p>
    </w:sdtContent>
  </w:sdt>
  <w:p w14:paraId="1640F68D" w14:textId="77777777" w:rsidR="003A0CA9" w:rsidRDefault="003A0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F3EAC" w14:textId="77777777" w:rsidR="00571D6C" w:rsidRDefault="00571D6C" w:rsidP="0073660D">
      <w:r>
        <w:separator/>
      </w:r>
    </w:p>
  </w:footnote>
  <w:footnote w:type="continuationSeparator" w:id="0">
    <w:p w14:paraId="42C0E662" w14:textId="77777777" w:rsidR="00571D6C" w:rsidRDefault="00571D6C" w:rsidP="0073660D">
      <w:r>
        <w:continuationSeparator/>
      </w:r>
    </w:p>
  </w:footnote>
  <w:footnote w:type="continuationNotice" w:id="1">
    <w:p w14:paraId="788EB205" w14:textId="77777777" w:rsidR="00571D6C" w:rsidRDefault="00571D6C"/>
  </w:footnote>
  <w:footnote w:id="2">
    <w:p w14:paraId="588EA38A" w14:textId="77777777" w:rsidR="00C32A3F" w:rsidRDefault="00C32A3F" w:rsidP="00C32A3F">
      <w:pPr>
        <w:pStyle w:val="FootnoteText"/>
      </w:pPr>
      <w:r>
        <w:rPr>
          <w:rStyle w:val="FootnoteReference"/>
        </w:rPr>
        <w:footnoteRef/>
      </w:r>
      <w:r w:rsidRPr="00392FC1">
        <w:rPr>
          <w:i/>
        </w:rPr>
        <w:t>Enhancing Online Safety for Children Act</w:t>
      </w:r>
      <w:r w:rsidRPr="00392FC1">
        <w:t xml:space="preserve"> </w:t>
      </w:r>
      <w:r w:rsidRPr="00392FC1">
        <w:rPr>
          <w:i/>
        </w:rPr>
        <w:t>2015</w:t>
      </w:r>
      <w:r>
        <w:t xml:space="preserve"> (</w:t>
      </w:r>
      <w:proofErr w:type="spellStart"/>
      <w:r>
        <w:t>Cth</w:t>
      </w:r>
      <w:proofErr w:type="spellEnd"/>
      <w:r>
        <w:t xml:space="preserve">)  </w:t>
      </w:r>
      <w:hyperlink r:id="rId1" w:history="1">
        <w:r w:rsidRPr="00C05B16">
          <w:rPr>
            <w:rStyle w:val="Hyperlink"/>
          </w:rPr>
          <w:t>https://www.legislation.gov.au/Details/C2017C00187</w:t>
        </w:r>
      </w:hyperlink>
      <w:r>
        <w:t xml:space="preserve"> </w:t>
      </w:r>
    </w:p>
  </w:footnote>
  <w:footnote w:id="3">
    <w:p w14:paraId="7324B77A" w14:textId="77777777" w:rsidR="00C32A3F" w:rsidRDefault="00C32A3F" w:rsidP="00C32A3F">
      <w:pPr>
        <w:pStyle w:val="FootnoteText"/>
      </w:pPr>
      <w:r w:rsidRPr="00392FC1">
        <w:rPr>
          <w:rStyle w:val="FootnoteReference"/>
        </w:rPr>
        <w:footnoteRef/>
      </w:r>
      <w:r w:rsidRPr="00392FC1">
        <w:t xml:space="preserve"> </w:t>
      </w:r>
      <w:r w:rsidRPr="00392FC1">
        <w:rPr>
          <w:i/>
        </w:rPr>
        <w:t xml:space="preserve">Enhancing Online Safety Act 2015 </w:t>
      </w:r>
      <w:r w:rsidRPr="00392FC1">
        <w:t>(</w:t>
      </w:r>
      <w:proofErr w:type="spellStart"/>
      <w:r w:rsidRPr="00392FC1">
        <w:t>Cth</w:t>
      </w:r>
      <w:proofErr w:type="spellEnd"/>
      <w:r w:rsidRPr="00392FC1">
        <w:t>) s 15.</w:t>
      </w:r>
      <w:r w:rsidRPr="00392FC1">
        <w:rPr>
          <w:i/>
        </w:rPr>
        <w:t xml:space="preserve"> </w:t>
      </w:r>
      <w:hyperlink r:id="rId2" w:history="1">
        <w:r w:rsidRPr="00392FC1">
          <w:rPr>
            <w:rStyle w:val="Hyperlink"/>
          </w:rPr>
          <w:t>https://www.legislation.gov.au/Details/C2017C00187</w:t>
        </w:r>
      </w:hyperlink>
      <w:r>
        <w:rPr>
          <w:i/>
        </w:rPr>
        <w:t xml:space="preserve"> </w:t>
      </w:r>
    </w:p>
  </w:footnote>
  <w:footnote w:id="4">
    <w:p w14:paraId="647577C9" w14:textId="77777777" w:rsidR="00C32A3F" w:rsidRDefault="00C32A3F" w:rsidP="00C32A3F">
      <w:pPr>
        <w:pStyle w:val="FootnoteText"/>
      </w:pPr>
      <w:r>
        <w:rPr>
          <w:rStyle w:val="FootnoteReference"/>
        </w:rPr>
        <w:footnoteRef/>
      </w:r>
      <w:r>
        <w:t xml:space="preserve"> </w:t>
      </w:r>
      <w:r w:rsidRPr="006F648A">
        <w:rPr>
          <w:i/>
        </w:rPr>
        <w:t>Broadcasting Services Act 1992</w:t>
      </w:r>
      <w:r>
        <w:t xml:space="preserve"> (</w:t>
      </w:r>
      <w:proofErr w:type="spellStart"/>
      <w:r>
        <w:t>Cth</w:t>
      </w:r>
      <w:proofErr w:type="spellEnd"/>
      <w:r>
        <w:t xml:space="preserve">) </w:t>
      </w:r>
      <w:proofErr w:type="spellStart"/>
      <w:r>
        <w:t>Schs</w:t>
      </w:r>
      <w:proofErr w:type="spellEnd"/>
      <w:r>
        <w:t xml:space="preserve"> 5,7 </w:t>
      </w:r>
      <w:hyperlink r:id="rId3" w:history="1">
        <w:r w:rsidRPr="00C05B16">
          <w:rPr>
            <w:rStyle w:val="Hyperlink"/>
          </w:rPr>
          <w:t>https://www.legislation.gov.au/Details/C2017C00346/Html/Volume_2</w:t>
        </w:r>
      </w:hyperlink>
      <w:r>
        <w:t xml:space="preserve"> </w:t>
      </w:r>
    </w:p>
  </w:footnote>
  <w:footnote w:id="5">
    <w:p w14:paraId="2503332E" w14:textId="492847FD" w:rsidR="006C1196" w:rsidRDefault="006C1196" w:rsidP="0073660D">
      <w:pPr>
        <w:pStyle w:val="FootnoteText"/>
      </w:pPr>
      <w:r>
        <w:rPr>
          <w:rStyle w:val="FootnoteReference"/>
        </w:rPr>
        <w:footnoteRef/>
      </w:r>
      <w:r>
        <w:t xml:space="preserve"> </w:t>
      </w:r>
      <w:r>
        <w:rPr>
          <w:i/>
          <w:iCs/>
        </w:rPr>
        <w:t>Criminal Code Act</w:t>
      </w:r>
      <w:r>
        <w:t xml:space="preserve"> </w:t>
      </w:r>
      <w:r>
        <w:rPr>
          <w:i/>
          <w:iCs/>
        </w:rPr>
        <w:t>1995</w:t>
      </w:r>
      <w:r>
        <w:t xml:space="preserve"> (</w:t>
      </w:r>
      <w:proofErr w:type="spellStart"/>
      <w:r>
        <w:t>Cth</w:t>
      </w:r>
      <w:proofErr w:type="spellEnd"/>
      <w:r>
        <w:t>) s474.17.</w:t>
      </w:r>
    </w:p>
  </w:footnote>
  <w:footnote w:id="6">
    <w:p w14:paraId="06CF2AE1" w14:textId="41DF36AA" w:rsidR="006C1196" w:rsidRDefault="006C1196" w:rsidP="0073660D">
      <w:pPr>
        <w:pStyle w:val="FootnoteText"/>
      </w:pPr>
      <w:r>
        <w:rPr>
          <w:rStyle w:val="FootnoteReference"/>
        </w:rPr>
        <w:footnoteRef/>
      </w:r>
      <w:r>
        <w:t xml:space="preserve"> </w:t>
      </w:r>
      <w:r w:rsidRPr="004D439C">
        <w:rPr>
          <w:iCs/>
        </w:rPr>
        <w:t>Ibid.</w:t>
      </w:r>
    </w:p>
  </w:footnote>
  <w:footnote w:id="7">
    <w:p w14:paraId="400C5DE9" w14:textId="198C9B56" w:rsidR="006C1196" w:rsidRDefault="006C1196" w:rsidP="0073660D">
      <w:pPr>
        <w:pStyle w:val="FootnoteText"/>
        <w:rPr>
          <w:i/>
          <w:iCs/>
        </w:rPr>
      </w:pPr>
      <w:r>
        <w:rPr>
          <w:rStyle w:val="FootnoteReference"/>
        </w:rPr>
        <w:footnoteRef/>
      </w:r>
      <w:r>
        <w:t xml:space="preserve"> </w:t>
      </w:r>
      <w:r w:rsidRPr="0058665F">
        <w:rPr>
          <w:i/>
          <w:iCs/>
        </w:rPr>
        <w:t>Racial Discrimination Act 1975</w:t>
      </w:r>
      <w:r>
        <w:t xml:space="preserve"> (</w:t>
      </w:r>
      <w:proofErr w:type="spellStart"/>
      <w:r>
        <w:t>Cth</w:t>
      </w:r>
      <w:proofErr w:type="spellEnd"/>
      <w:r>
        <w:t xml:space="preserve">).  </w:t>
      </w:r>
      <w:hyperlink r:id="rId4" w:history="1">
        <w:r w:rsidRPr="006B6C36">
          <w:rPr>
            <w:rStyle w:val="Hyperlink"/>
            <w:iCs/>
          </w:rPr>
          <w:t>www.comlaw.gov.au/Details/C2014C00014</w:t>
        </w:r>
      </w:hyperlink>
      <w:r>
        <w:rPr>
          <w:i/>
          <w:iCs/>
        </w:rPr>
        <w:t xml:space="preserve"> </w:t>
      </w:r>
    </w:p>
    <w:p w14:paraId="357B8159" w14:textId="4D88162D" w:rsidR="006C1196" w:rsidRDefault="006C1196" w:rsidP="0073660D">
      <w:pPr>
        <w:pStyle w:val="FootnoteText"/>
        <w:rPr>
          <w:iCs/>
        </w:rPr>
      </w:pPr>
      <w:r w:rsidRPr="0058665F">
        <w:rPr>
          <w:i/>
          <w:iCs/>
        </w:rPr>
        <w:t>Sex Discrimination Act 1984</w:t>
      </w:r>
      <w:r w:rsidRPr="006B6C36">
        <w:t xml:space="preserve"> </w:t>
      </w:r>
      <w:r>
        <w:t>(</w:t>
      </w:r>
      <w:proofErr w:type="spellStart"/>
      <w:r>
        <w:t>Cth</w:t>
      </w:r>
      <w:proofErr w:type="spellEnd"/>
      <w:r>
        <w:t xml:space="preserve">). </w:t>
      </w:r>
      <w:hyperlink r:id="rId5" w:history="1">
        <w:r w:rsidRPr="00DF7D82">
          <w:rPr>
            <w:rStyle w:val="Hyperlink"/>
            <w:iCs/>
          </w:rPr>
          <w:t>www.comlaw.gov.au/Details/C2014C00002</w:t>
        </w:r>
      </w:hyperlink>
    </w:p>
    <w:p w14:paraId="5E1DF4AB" w14:textId="1D9A03F1" w:rsidR="006C1196" w:rsidRPr="0058665F" w:rsidRDefault="006C1196" w:rsidP="0073660D">
      <w:pPr>
        <w:pStyle w:val="FootnoteText"/>
        <w:rPr>
          <w:b/>
          <w:i/>
        </w:rPr>
      </w:pPr>
      <w:r w:rsidRPr="0058665F">
        <w:rPr>
          <w:i/>
          <w:iCs/>
        </w:rPr>
        <w:t>Age Discrimination Act 2004</w:t>
      </w:r>
      <w:r>
        <w:t>(</w:t>
      </w:r>
      <w:proofErr w:type="spellStart"/>
      <w:r>
        <w:t>Cth</w:t>
      </w:r>
      <w:proofErr w:type="spellEnd"/>
      <w:r>
        <w:t xml:space="preserve">). </w:t>
      </w:r>
      <w:r>
        <w:rPr>
          <w:i/>
          <w:iCs/>
        </w:rPr>
        <w:t xml:space="preserve"> </w:t>
      </w:r>
      <w:r w:rsidRPr="00452B8F">
        <w:rPr>
          <w:rStyle w:val="Hyperlink"/>
          <w:iCs/>
        </w:rPr>
        <w:t>www.comlaw.gov.au/Details/C2014C00435</w:t>
      </w:r>
    </w:p>
  </w:footnote>
  <w:footnote w:id="8">
    <w:p w14:paraId="0CC59BB5" w14:textId="3895E7E1" w:rsidR="006C1196" w:rsidRDefault="006C1196" w:rsidP="0073660D">
      <w:pPr>
        <w:pStyle w:val="FootnoteText"/>
      </w:pPr>
      <w:r>
        <w:rPr>
          <w:rStyle w:val="FootnoteReference"/>
        </w:rPr>
        <w:footnoteRef/>
      </w:r>
      <w:r>
        <w:t xml:space="preserve"> </w:t>
      </w:r>
      <w:r w:rsidRPr="000D6571">
        <w:rPr>
          <w:i/>
        </w:rPr>
        <w:t>Criminal Code Amendment (Suicide Related Material Offences</w:t>
      </w:r>
      <w:r>
        <w:rPr>
          <w:i/>
        </w:rPr>
        <w:t>)</w:t>
      </w:r>
      <w:r w:rsidRPr="000D6571">
        <w:rPr>
          <w:i/>
        </w:rPr>
        <w:t xml:space="preserve"> Act 2005</w:t>
      </w:r>
      <w:r>
        <w:t xml:space="preserve"> (</w:t>
      </w:r>
      <w:proofErr w:type="spellStart"/>
      <w:r>
        <w:t>Cth</w:t>
      </w:r>
      <w:proofErr w:type="spellEnd"/>
      <w:r>
        <w:t xml:space="preserve">).  </w:t>
      </w:r>
      <w:hyperlink r:id="rId6" w:history="1">
        <w:r w:rsidRPr="00DF7D82">
          <w:rPr>
            <w:rStyle w:val="Hyperlink"/>
          </w:rPr>
          <w:t>www.comlaw.gov.au/Details/C2005A00092</w:t>
        </w:r>
      </w:hyperlink>
      <w:r>
        <w:t xml:space="preserve"> </w:t>
      </w:r>
    </w:p>
  </w:footnote>
  <w:footnote w:id="9">
    <w:p w14:paraId="54A3C79C" w14:textId="4D370522" w:rsidR="006C1196" w:rsidRDefault="006C1196" w:rsidP="0073660D">
      <w:pPr>
        <w:pStyle w:val="FootnoteText"/>
      </w:pPr>
      <w:r>
        <w:rPr>
          <w:rStyle w:val="FootnoteReference"/>
        </w:rPr>
        <w:footnoteRef/>
      </w:r>
      <w:r>
        <w:t xml:space="preserve"> </w:t>
      </w:r>
      <w:r>
        <w:rPr>
          <w:i/>
        </w:rPr>
        <w:t>Telecommunications Act 1997</w:t>
      </w:r>
      <w:r w:rsidRPr="00DE5CF4">
        <w:t xml:space="preserve"> </w:t>
      </w:r>
      <w:r>
        <w:t>s313 (</w:t>
      </w:r>
      <w:proofErr w:type="spellStart"/>
      <w:r>
        <w:t>Cth</w:t>
      </w:r>
      <w:proofErr w:type="spellEnd"/>
      <w:r>
        <w:t xml:space="preserve">). </w:t>
      </w:r>
      <w:r>
        <w:rPr>
          <w:i/>
        </w:rPr>
        <w:t xml:space="preserve"> </w:t>
      </w:r>
      <w:hyperlink r:id="rId7" w:history="1">
        <w:r w:rsidRPr="001B68CA">
          <w:rPr>
            <w:rStyle w:val="Hyperlink"/>
          </w:rPr>
          <w:t>www.comlaw.gov.au/Details/C2012C00584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298D" w14:textId="722D5449" w:rsidR="003B13A5" w:rsidRDefault="003B13A5" w:rsidP="003B13A5">
    <w:pPr>
      <w:pStyle w:val="Header"/>
      <w:jc w:val="center"/>
    </w:pPr>
    <w:r>
      <w:rPr>
        <w:noProof/>
        <w:lang w:eastAsia="en-AU"/>
      </w:rPr>
      <w:drawing>
        <wp:inline distT="0" distB="0" distL="0" distR="0" wp14:anchorId="500770E6" wp14:editId="48831579">
          <wp:extent cx="2743200"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43200" cy="1165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BD7"/>
    <w:multiLevelType w:val="hybridMultilevel"/>
    <w:tmpl w:val="7DBCF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2A3E7F"/>
    <w:multiLevelType w:val="hybridMultilevel"/>
    <w:tmpl w:val="A748F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77000"/>
    <w:multiLevelType w:val="hybridMultilevel"/>
    <w:tmpl w:val="BB32D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542673F"/>
    <w:multiLevelType w:val="hybridMultilevel"/>
    <w:tmpl w:val="506C9B92"/>
    <w:lvl w:ilvl="0" w:tplc="0C090001">
      <w:start w:val="1"/>
      <w:numFmt w:val="bullet"/>
      <w:lvlText w:val=""/>
      <w:lvlJc w:val="left"/>
      <w:pPr>
        <w:ind w:left="372" w:hanging="360"/>
      </w:pPr>
      <w:rPr>
        <w:rFonts w:ascii="Symbol" w:hAnsi="Symbol" w:hint="default"/>
      </w:rPr>
    </w:lvl>
    <w:lvl w:ilvl="1" w:tplc="0C090003">
      <w:start w:val="1"/>
      <w:numFmt w:val="bullet"/>
      <w:lvlText w:val="o"/>
      <w:lvlJc w:val="left"/>
      <w:pPr>
        <w:ind w:left="1092" w:hanging="360"/>
      </w:pPr>
      <w:rPr>
        <w:rFonts w:ascii="Courier New" w:hAnsi="Courier New" w:cs="Courier New" w:hint="default"/>
      </w:rPr>
    </w:lvl>
    <w:lvl w:ilvl="2" w:tplc="0C090005">
      <w:start w:val="1"/>
      <w:numFmt w:val="bullet"/>
      <w:lvlText w:val=""/>
      <w:lvlJc w:val="left"/>
      <w:pPr>
        <w:ind w:left="1812" w:hanging="360"/>
      </w:pPr>
      <w:rPr>
        <w:rFonts w:ascii="Wingdings" w:hAnsi="Wingdings" w:hint="default"/>
      </w:rPr>
    </w:lvl>
    <w:lvl w:ilvl="3" w:tplc="0C090001">
      <w:start w:val="1"/>
      <w:numFmt w:val="bullet"/>
      <w:lvlText w:val=""/>
      <w:lvlJc w:val="left"/>
      <w:pPr>
        <w:ind w:left="2532" w:hanging="360"/>
      </w:pPr>
      <w:rPr>
        <w:rFonts w:ascii="Symbol" w:hAnsi="Symbol" w:hint="default"/>
      </w:rPr>
    </w:lvl>
    <w:lvl w:ilvl="4" w:tplc="0C090003">
      <w:start w:val="1"/>
      <w:numFmt w:val="bullet"/>
      <w:lvlText w:val="o"/>
      <w:lvlJc w:val="left"/>
      <w:pPr>
        <w:ind w:left="3252" w:hanging="360"/>
      </w:pPr>
      <w:rPr>
        <w:rFonts w:ascii="Courier New" w:hAnsi="Courier New" w:cs="Courier New" w:hint="default"/>
      </w:rPr>
    </w:lvl>
    <w:lvl w:ilvl="5" w:tplc="0C090005">
      <w:start w:val="1"/>
      <w:numFmt w:val="bullet"/>
      <w:lvlText w:val=""/>
      <w:lvlJc w:val="left"/>
      <w:pPr>
        <w:ind w:left="3972" w:hanging="360"/>
      </w:pPr>
      <w:rPr>
        <w:rFonts w:ascii="Wingdings" w:hAnsi="Wingdings" w:hint="default"/>
      </w:rPr>
    </w:lvl>
    <w:lvl w:ilvl="6" w:tplc="0C090001">
      <w:start w:val="1"/>
      <w:numFmt w:val="bullet"/>
      <w:lvlText w:val=""/>
      <w:lvlJc w:val="left"/>
      <w:pPr>
        <w:ind w:left="4692" w:hanging="360"/>
      </w:pPr>
      <w:rPr>
        <w:rFonts w:ascii="Symbol" w:hAnsi="Symbol" w:hint="default"/>
      </w:rPr>
    </w:lvl>
    <w:lvl w:ilvl="7" w:tplc="0C090003">
      <w:start w:val="1"/>
      <w:numFmt w:val="bullet"/>
      <w:lvlText w:val="o"/>
      <w:lvlJc w:val="left"/>
      <w:pPr>
        <w:ind w:left="5412" w:hanging="360"/>
      </w:pPr>
      <w:rPr>
        <w:rFonts w:ascii="Courier New" w:hAnsi="Courier New" w:cs="Courier New" w:hint="default"/>
      </w:rPr>
    </w:lvl>
    <w:lvl w:ilvl="8" w:tplc="0C090005">
      <w:start w:val="1"/>
      <w:numFmt w:val="bullet"/>
      <w:lvlText w:val=""/>
      <w:lvlJc w:val="left"/>
      <w:pPr>
        <w:ind w:left="6132" w:hanging="360"/>
      </w:pPr>
      <w:rPr>
        <w:rFonts w:ascii="Wingdings" w:hAnsi="Wingdings" w:hint="default"/>
      </w:rPr>
    </w:lvl>
  </w:abstractNum>
  <w:abstractNum w:abstractNumId="4" w15:restartNumberingAfterBreak="0">
    <w:nsid w:val="162B2F92"/>
    <w:multiLevelType w:val="hybridMultilevel"/>
    <w:tmpl w:val="7ADE2E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A0A36C3"/>
    <w:multiLevelType w:val="hybridMultilevel"/>
    <w:tmpl w:val="4D6226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3618DE"/>
    <w:multiLevelType w:val="hybridMultilevel"/>
    <w:tmpl w:val="52609344"/>
    <w:lvl w:ilvl="0" w:tplc="26FA9852">
      <w:start w:val="1"/>
      <w:numFmt w:val="bullet"/>
      <w:pStyle w:val="TopLevelDotPoint-NGOForumBrief"/>
      <w:lvlText w:val=""/>
      <w:lvlJc w:val="left"/>
      <w:pPr>
        <w:ind w:left="720" w:hanging="360"/>
      </w:pPr>
      <w:rPr>
        <w:rFonts w:ascii="Symbol" w:hAnsi="Symbol" w:hint="default"/>
        <w:color w:val="auto"/>
      </w:rPr>
    </w:lvl>
    <w:lvl w:ilvl="1" w:tplc="B6846526">
      <w:numFmt w:val="bullet"/>
      <w:lvlText w:val="-"/>
      <w:lvlJc w:val="left"/>
      <w:pPr>
        <w:ind w:left="1440" w:hanging="360"/>
      </w:pPr>
      <w:rPr>
        <w:rFonts w:ascii="Calibri" w:eastAsia="Calibri" w:hAnsi="Calibri" w:cs="Times New Roman" w:hint="default"/>
      </w:rPr>
    </w:lvl>
    <w:lvl w:ilvl="2" w:tplc="C846C76C">
      <w:start w:val="1"/>
      <w:numFmt w:val="bullet"/>
      <w:lvlText w:val=":"/>
      <w:lvlJc w:val="left"/>
      <w:pPr>
        <w:ind w:left="2160" w:hanging="360"/>
      </w:pPr>
      <w:rPr>
        <w:rFonts w:ascii="Calibri" w:hAnsi="Calibri" w:hint="default"/>
      </w:rPr>
    </w:lvl>
    <w:lvl w:ilvl="3" w:tplc="C846C76C">
      <w:start w:val="1"/>
      <w:numFmt w:val="bullet"/>
      <w:lvlText w:val=":"/>
      <w:lvlJc w:val="left"/>
      <w:pPr>
        <w:ind w:left="2880" w:hanging="360"/>
      </w:pPr>
      <w:rPr>
        <w:rFonts w:ascii="Calibri" w:hAnsi="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17070"/>
    <w:multiLevelType w:val="hybridMultilevel"/>
    <w:tmpl w:val="B2A4BF92"/>
    <w:lvl w:ilvl="0" w:tplc="AE8CC20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BC75AF"/>
    <w:multiLevelType w:val="hybridMultilevel"/>
    <w:tmpl w:val="720806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B66D7E"/>
    <w:multiLevelType w:val="hybridMultilevel"/>
    <w:tmpl w:val="A192FE0A"/>
    <w:lvl w:ilvl="0" w:tplc="D938BFE4">
      <w:start w:val="1"/>
      <w:numFmt w:val="bullet"/>
      <w:lvlText w:val=""/>
      <w:lvlJc w:val="left"/>
      <w:pPr>
        <w:ind w:left="720" w:hanging="360"/>
      </w:pPr>
      <w:rPr>
        <w:rFonts w:ascii="Symbol" w:hAnsi="Symbol" w:hint="default"/>
      </w:rPr>
    </w:lvl>
    <w:lvl w:ilvl="1" w:tplc="0FDA6DB8">
      <w:start w:val="1"/>
      <w:numFmt w:val="bullet"/>
      <w:lvlText w:val="o"/>
      <w:lvlJc w:val="left"/>
      <w:pPr>
        <w:ind w:left="1440" w:hanging="360"/>
      </w:pPr>
      <w:rPr>
        <w:rFonts w:ascii="Courier New" w:hAnsi="Courier New" w:cs="Courier New" w:hint="default"/>
      </w:rPr>
    </w:lvl>
    <w:lvl w:ilvl="2" w:tplc="C7161F7A">
      <w:start w:val="1"/>
      <w:numFmt w:val="bullet"/>
      <w:lvlText w:val=""/>
      <w:lvlJc w:val="left"/>
      <w:pPr>
        <w:ind w:left="2160" w:hanging="360"/>
      </w:pPr>
      <w:rPr>
        <w:rFonts w:ascii="Wingdings" w:hAnsi="Wingdings" w:hint="default"/>
      </w:rPr>
    </w:lvl>
    <w:lvl w:ilvl="3" w:tplc="D674C130" w:tentative="1">
      <w:start w:val="1"/>
      <w:numFmt w:val="bullet"/>
      <w:lvlText w:val=""/>
      <w:lvlJc w:val="left"/>
      <w:pPr>
        <w:ind w:left="2880" w:hanging="360"/>
      </w:pPr>
      <w:rPr>
        <w:rFonts w:ascii="Symbol" w:hAnsi="Symbol" w:hint="default"/>
      </w:rPr>
    </w:lvl>
    <w:lvl w:ilvl="4" w:tplc="C406CFA6" w:tentative="1">
      <w:start w:val="1"/>
      <w:numFmt w:val="bullet"/>
      <w:lvlText w:val="o"/>
      <w:lvlJc w:val="left"/>
      <w:pPr>
        <w:ind w:left="3600" w:hanging="360"/>
      </w:pPr>
      <w:rPr>
        <w:rFonts w:ascii="Courier New" w:hAnsi="Courier New" w:cs="Courier New" w:hint="default"/>
      </w:rPr>
    </w:lvl>
    <w:lvl w:ilvl="5" w:tplc="D43A6E9C" w:tentative="1">
      <w:start w:val="1"/>
      <w:numFmt w:val="bullet"/>
      <w:lvlText w:val=""/>
      <w:lvlJc w:val="left"/>
      <w:pPr>
        <w:ind w:left="4320" w:hanging="360"/>
      </w:pPr>
      <w:rPr>
        <w:rFonts w:ascii="Wingdings" w:hAnsi="Wingdings" w:hint="default"/>
      </w:rPr>
    </w:lvl>
    <w:lvl w:ilvl="6" w:tplc="C21C39F2" w:tentative="1">
      <w:start w:val="1"/>
      <w:numFmt w:val="bullet"/>
      <w:lvlText w:val=""/>
      <w:lvlJc w:val="left"/>
      <w:pPr>
        <w:ind w:left="5040" w:hanging="360"/>
      </w:pPr>
      <w:rPr>
        <w:rFonts w:ascii="Symbol" w:hAnsi="Symbol" w:hint="default"/>
      </w:rPr>
    </w:lvl>
    <w:lvl w:ilvl="7" w:tplc="43C66B00" w:tentative="1">
      <w:start w:val="1"/>
      <w:numFmt w:val="bullet"/>
      <w:lvlText w:val="o"/>
      <w:lvlJc w:val="left"/>
      <w:pPr>
        <w:ind w:left="5760" w:hanging="360"/>
      </w:pPr>
      <w:rPr>
        <w:rFonts w:ascii="Courier New" w:hAnsi="Courier New" w:cs="Courier New" w:hint="default"/>
      </w:rPr>
    </w:lvl>
    <w:lvl w:ilvl="8" w:tplc="76762920" w:tentative="1">
      <w:start w:val="1"/>
      <w:numFmt w:val="bullet"/>
      <w:lvlText w:val=""/>
      <w:lvlJc w:val="left"/>
      <w:pPr>
        <w:ind w:left="6480" w:hanging="360"/>
      </w:pPr>
      <w:rPr>
        <w:rFonts w:ascii="Wingdings" w:hAnsi="Wingdings" w:hint="default"/>
      </w:rPr>
    </w:lvl>
  </w:abstractNum>
  <w:abstractNum w:abstractNumId="10" w15:restartNumberingAfterBreak="0">
    <w:nsid w:val="2269483F"/>
    <w:multiLevelType w:val="hybridMultilevel"/>
    <w:tmpl w:val="9B6E42A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3A77A17"/>
    <w:multiLevelType w:val="hybridMultilevel"/>
    <w:tmpl w:val="4A203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7634551"/>
    <w:multiLevelType w:val="hybridMultilevel"/>
    <w:tmpl w:val="11928DDC"/>
    <w:lvl w:ilvl="0" w:tplc="0C090001">
      <w:start w:val="1"/>
      <w:numFmt w:val="bullet"/>
      <w:lvlText w:val=""/>
      <w:lvlJc w:val="left"/>
      <w:pPr>
        <w:ind w:left="360" w:hanging="360"/>
      </w:pPr>
      <w:rPr>
        <w:rFonts w:ascii="Symbol" w:hAnsi="Symbol" w:hint="default"/>
      </w:rPr>
    </w:lvl>
    <w:lvl w:ilvl="1" w:tplc="1144DF78">
      <w:start w:val="1"/>
      <w:numFmt w:val="lowerRoman"/>
      <w:lvlText w:val="(%2)"/>
      <w:lvlJc w:val="right"/>
      <w:pPr>
        <w:ind w:left="1080" w:hanging="360"/>
      </w:pPr>
      <w:rPr>
        <w:rFonts w:hint="default"/>
      </w:rPr>
    </w:lvl>
    <w:lvl w:ilvl="2" w:tplc="1144DF78">
      <w:start w:val="1"/>
      <w:numFmt w:val="lowerRoman"/>
      <w:lvlText w:val="(%3)"/>
      <w:lvlJc w:val="right"/>
      <w:pPr>
        <w:ind w:left="1800" w:hanging="360"/>
      </w:pPr>
      <w:rPr>
        <w:rFont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355701B7"/>
    <w:multiLevelType w:val="hybridMultilevel"/>
    <w:tmpl w:val="CCF8D84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64F3D4E"/>
    <w:multiLevelType w:val="hybridMultilevel"/>
    <w:tmpl w:val="1B4E0014"/>
    <w:lvl w:ilvl="0" w:tplc="5E5EA498">
      <w:start w:val="1"/>
      <w:numFmt w:val="decimal"/>
      <w:lvlText w:val="%1."/>
      <w:lvlJc w:val="left"/>
      <w:pPr>
        <w:ind w:left="360" w:hanging="360"/>
      </w:pPr>
      <w:rPr>
        <w:rFonts w:ascii="Calibri" w:eastAsiaTheme="minorHAnsi" w:hAnsi="Calibri" w:cs="Times New Roman"/>
        <w:b/>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D291C3C"/>
    <w:multiLevelType w:val="hybridMultilevel"/>
    <w:tmpl w:val="DB2A5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2F3777"/>
    <w:multiLevelType w:val="hybridMultilevel"/>
    <w:tmpl w:val="FD52EF34"/>
    <w:lvl w:ilvl="0" w:tplc="A822A87E">
      <w:start w:val="1"/>
      <w:numFmt w:val="bullet"/>
      <w:lvlText w:val=""/>
      <w:lvlJc w:val="left"/>
      <w:pPr>
        <w:ind w:left="720" w:hanging="360"/>
      </w:pPr>
      <w:rPr>
        <w:rFonts w:ascii="Symbol" w:hAnsi="Symbol" w:hint="default"/>
      </w:rPr>
    </w:lvl>
    <w:lvl w:ilvl="1" w:tplc="5F12B974" w:tentative="1">
      <w:start w:val="1"/>
      <w:numFmt w:val="bullet"/>
      <w:lvlText w:val="o"/>
      <w:lvlJc w:val="left"/>
      <w:pPr>
        <w:ind w:left="1440" w:hanging="360"/>
      </w:pPr>
      <w:rPr>
        <w:rFonts w:ascii="Courier New" w:hAnsi="Courier New" w:cs="Courier New" w:hint="default"/>
      </w:rPr>
    </w:lvl>
    <w:lvl w:ilvl="2" w:tplc="39828DC2" w:tentative="1">
      <w:start w:val="1"/>
      <w:numFmt w:val="bullet"/>
      <w:lvlText w:val=""/>
      <w:lvlJc w:val="left"/>
      <w:pPr>
        <w:ind w:left="2160" w:hanging="360"/>
      </w:pPr>
      <w:rPr>
        <w:rFonts w:ascii="Wingdings" w:hAnsi="Wingdings" w:hint="default"/>
      </w:rPr>
    </w:lvl>
    <w:lvl w:ilvl="3" w:tplc="BBB47B14" w:tentative="1">
      <w:start w:val="1"/>
      <w:numFmt w:val="bullet"/>
      <w:lvlText w:val=""/>
      <w:lvlJc w:val="left"/>
      <w:pPr>
        <w:ind w:left="2880" w:hanging="360"/>
      </w:pPr>
      <w:rPr>
        <w:rFonts w:ascii="Symbol" w:hAnsi="Symbol" w:hint="default"/>
      </w:rPr>
    </w:lvl>
    <w:lvl w:ilvl="4" w:tplc="1DE64D86" w:tentative="1">
      <w:start w:val="1"/>
      <w:numFmt w:val="bullet"/>
      <w:lvlText w:val="o"/>
      <w:lvlJc w:val="left"/>
      <w:pPr>
        <w:ind w:left="3600" w:hanging="360"/>
      </w:pPr>
      <w:rPr>
        <w:rFonts w:ascii="Courier New" w:hAnsi="Courier New" w:cs="Courier New" w:hint="default"/>
      </w:rPr>
    </w:lvl>
    <w:lvl w:ilvl="5" w:tplc="A3348304" w:tentative="1">
      <w:start w:val="1"/>
      <w:numFmt w:val="bullet"/>
      <w:lvlText w:val=""/>
      <w:lvlJc w:val="left"/>
      <w:pPr>
        <w:ind w:left="4320" w:hanging="360"/>
      </w:pPr>
      <w:rPr>
        <w:rFonts w:ascii="Wingdings" w:hAnsi="Wingdings" w:hint="default"/>
      </w:rPr>
    </w:lvl>
    <w:lvl w:ilvl="6" w:tplc="9F9467D8" w:tentative="1">
      <w:start w:val="1"/>
      <w:numFmt w:val="bullet"/>
      <w:lvlText w:val=""/>
      <w:lvlJc w:val="left"/>
      <w:pPr>
        <w:ind w:left="5040" w:hanging="360"/>
      </w:pPr>
      <w:rPr>
        <w:rFonts w:ascii="Symbol" w:hAnsi="Symbol" w:hint="default"/>
      </w:rPr>
    </w:lvl>
    <w:lvl w:ilvl="7" w:tplc="4B3CB0DA" w:tentative="1">
      <w:start w:val="1"/>
      <w:numFmt w:val="bullet"/>
      <w:lvlText w:val="o"/>
      <w:lvlJc w:val="left"/>
      <w:pPr>
        <w:ind w:left="5760" w:hanging="360"/>
      </w:pPr>
      <w:rPr>
        <w:rFonts w:ascii="Courier New" w:hAnsi="Courier New" w:cs="Courier New" w:hint="default"/>
      </w:rPr>
    </w:lvl>
    <w:lvl w:ilvl="8" w:tplc="4A78399A" w:tentative="1">
      <w:start w:val="1"/>
      <w:numFmt w:val="bullet"/>
      <w:lvlText w:val=""/>
      <w:lvlJc w:val="left"/>
      <w:pPr>
        <w:ind w:left="6480" w:hanging="360"/>
      </w:pPr>
      <w:rPr>
        <w:rFonts w:ascii="Wingdings" w:hAnsi="Wingdings" w:hint="default"/>
      </w:rPr>
    </w:lvl>
  </w:abstractNum>
  <w:abstractNum w:abstractNumId="17" w15:restartNumberingAfterBreak="0">
    <w:nsid w:val="4401151E"/>
    <w:multiLevelType w:val="hybridMultilevel"/>
    <w:tmpl w:val="A15A6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4A949C0"/>
    <w:multiLevelType w:val="hybridMultilevel"/>
    <w:tmpl w:val="478C3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4F32EC"/>
    <w:multiLevelType w:val="hybridMultilevel"/>
    <w:tmpl w:val="9710C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9B30FFB"/>
    <w:multiLevelType w:val="hybridMultilevel"/>
    <w:tmpl w:val="66A6532A"/>
    <w:lvl w:ilvl="0" w:tplc="DA323F3C">
      <w:start w:val="1"/>
      <w:numFmt w:val="bullet"/>
      <w:lvlText w:val="•"/>
      <w:lvlJc w:val="left"/>
      <w:pPr>
        <w:tabs>
          <w:tab w:val="num" w:pos="720"/>
        </w:tabs>
        <w:ind w:left="720" w:hanging="360"/>
      </w:pPr>
      <w:rPr>
        <w:rFonts w:ascii="Arial" w:hAnsi="Arial" w:hint="default"/>
      </w:rPr>
    </w:lvl>
    <w:lvl w:ilvl="1" w:tplc="590CA370" w:tentative="1">
      <w:start w:val="1"/>
      <w:numFmt w:val="bullet"/>
      <w:lvlText w:val="•"/>
      <w:lvlJc w:val="left"/>
      <w:pPr>
        <w:tabs>
          <w:tab w:val="num" w:pos="1440"/>
        </w:tabs>
        <w:ind w:left="1440" w:hanging="360"/>
      </w:pPr>
      <w:rPr>
        <w:rFonts w:ascii="Arial" w:hAnsi="Arial" w:hint="default"/>
      </w:rPr>
    </w:lvl>
    <w:lvl w:ilvl="2" w:tplc="7AEE9C46" w:tentative="1">
      <w:start w:val="1"/>
      <w:numFmt w:val="bullet"/>
      <w:lvlText w:val="•"/>
      <w:lvlJc w:val="left"/>
      <w:pPr>
        <w:tabs>
          <w:tab w:val="num" w:pos="2160"/>
        </w:tabs>
        <w:ind w:left="2160" w:hanging="360"/>
      </w:pPr>
      <w:rPr>
        <w:rFonts w:ascii="Arial" w:hAnsi="Arial" w:hint="default"/>
      </w:rPr>
    </w:lvl>
    <w:lvl w:ilvl="3" w:tplc="A696473A" w:tentative="1">
      <w:start w:val="1"/>
      <w:numFmt w:val="bullet"/>
      <w:lvlText w:val="•"/>
      <w:lvlJc w:val="left"/>
      <w:pPr>
        <w:tabs>
          <w:tab w:val="num" w:pos="2880"/>
        </w:tabs>
        <w:ind w:left="2880" w:hanging="360"/>
      </w:pPr>
      <w:rPr>
        <w:rFonts w:ascii="Arial" w:hAnsi="Arial" w:hint="default"/>
      </w:rPr>
    </w:lvl>
    <w:lvl w:ilvl="4" w:tplc="DC7AC710" w:tentative="1">
      <w:start w:val="1"/>
      <w:numFmt w:val="bullet"/>
      <w:lvlText w:val="•"/>
      <w:lvlJc w:val="left"/>
      <w:pPr>
        <w:tabs>
          <w:tab w:val="num" w:pos="3600"/>
        </w:tabs>
        <w:ind w:left="3600" w:hanging="360"/>
      </w:pPr>
      <w:rPr>
        <w:rFonts w:ascii="Arial" w:hAnsi="Arial" w:hint="default"/>
      </w:rPr>
    </w:lvl>
    <w:lvl w:ilvl="5" w:tplc="5B124612" w:tentative="1">
      <w:start w:val="1"/>
      <w:numFmt w:val="bullet"/>
      <w:lvlText w:val="•"/>
      <w:lvlJc w:val="left"/>
      <w:pPr>
        <w:tabs>
          <w:tab w:val="num" w:pos="4320"/>
        </w:tabs>
        <w:ind w:left="4320" w:hanging="360"/>
      </w:pPr>
      <w:rPr>
        <w:rFonts w:ascii="Arial" w:hAnsi="Arial" w:hint="default"/>
      </w:rPr>
    </w:lvl>
    <w:lvl w:ilvl="6" w:tplc="9030EB6A" w:tentative="1">
      <w:start w:val="1"/>
      <w:numFmt w:val="bullet"/>
      <w:lvlText w:val="•"/>
      <w:lvlJc w:val="left"/>
      <w:pPr>
        <w:tabs>
          <w:tab w:val="num" w:pos="5040"/>
        </w:tabs>
        <w:ind w:left="5040" w:hanging="360"/>
      </w:pPr>
      <w:rPr>
        <w:rFonts w:ascii="Arial" w:hAnsi="Arial" w:hint="default"/>
      </w:rPr>
    </w:lvl>
    <w:lvl w:ilvl="7" w:tplc="EBC6C87C" w:tentative="1">
      <w:start w:val="1"/>
      <w:numFmt w:val="bullet"/>
      <w:lvlText w:val="•"/>
      <w:lvlJc w:val="left"/>
      <w:pPr>
        <w:tabs>
          <w:tab w:val="num" w:pos="5760"/>
        </w:tabs>
        <w:ind w:left="5760" w:hanging="360"/>
      </w:pPr>
      <w:rPr>
        <w:rFonts w:ascii="Arial" w:hAnsi="Arial" w:hint="default"/>
      </w:rPr>
    </w:lvl>
    <w:lvl w:ilvl="8" w:tplc="D266226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454B44"/>
    <w:multiLevelType w:val="hybridMultilevel"/>
    <w:tmpl w:val="DFA8DC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3D0DC8"/>
    <w:multiLevelType w:val="hybridMultilevel"/>
    <w:tmpl w:val="25964C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FF79D7"/>
    <w:multiLevelType w:val="hybridMultilevel"/>
    <w:tmpl w:val="E9E20B8A"/>
    <w:lvl w:ilvl="0" w:tplc="24703012">
      <w:start w:val="1"/>
      <w:numFmt w:val="bullet"/>
      <w:lvlText w:val="•"/>
      <w:lvlJc w:val="left"/>
      <w:pPr>
        <w:tabs>
          <w:tab w:val="num" w:pos="720"/>
        </w:tabs>
        <w:ind w:left="720" w:hanging="360"/>
      </w:pPr>
      <w:rPr>
        <w:rFonts w:ascii="Arial" w:hAnsi="Arial" w:hint="default"/>
      </w:rPr>
    </w:lvl>
    <w:lvl w:ilvl="1" w:tplc="95CC2902">
      <w:start w:val="188"/>
      <w:numFmt w:val="bullet"/>
      <w:lvlText w:val="•"/>
      <w:lvlJc w:val="left"/>
      <w:pPr>
        <w:tabs>
          <w:tab w:val="num" w:pos="1440"/>
        </w:tabs>
        <w:ind w:left="1440" w:hanging="360"/>
      </w:pPr>
      <w:rPr>
        <w:rFonts w:ascii="Arial" w:hAnsi="Arial" w:hint="default"/>
      </w:rPr>
    </w:lvl>
    <w:lvl w:ilvl="2" w:tplc="A7FCF67C" w:tentative="1">
      <w:start w:val="1"/>
      <w:numFmt w:val="bullet"/>
      <w:lvlText w:val="•"/>
      <w:lvlJc w:val="left"/>
      <w:pPr>
        <w:tabs>
          <w:tab w:val="num" w:pos="2160"/>
        </w:tabs>
        <w:ind w:left="2160" w:hanging="360"/>
      </w:pPr>
      <w:rPr>
        <w:rFonts w:ascii="Arial" w:hAnsi="Arial" w:hint="default"/>
      </w:rPr>
    </w:lvl>
    <w:lvl w:ilvl="3" w:tplc="946A5182" w:tentative="1">
      <w:start w:val="1"/>
      <w:numFmt w:val="bullet"/>
      <w:lvlText w:val="•"/>
      <w:lvlJc w:val="left"/>
      <w:pPr>
        <w:tabs>
          <w:tab w:val="num" w:pos="2880"/>
        </w:tabs>
        <w:ind w:left="2880" w:hanging="360"/>
      </w:pPr>
      <w:rPr>
        <w:rFonts w:ascii="Arial" w:hAnsi="Arial" w:hint="default"/>
      </w:rPr>
    </w:lvl>
    <w:lvl w:ilvl="4" w:tplc="836AFDEC" w:tentative="1">
      <w:start w:val="1"/>
      <w:numFmt w:val="bullet"/>
      <w:lvlText w:val="•"/>
      <w:lvlJc w:val="left"/>
      <w:pPr>
        <w:tabs>
          <w:tab w:val="num" w:pos="3600"/>
        </w:tabs>
        <w:ind w:left="3600" w:hanging="360"/>
      </w:pPr>
      <w:rPr>
        <w:rFonts w:ascii="Arial" w:hAnsi="Arial" w:hint="default"/>
      </w:rPr>
    </w:lvl>
    <w:lvl w:ilvl="5" w:tplc="F57C1A88" w:tentative="1">
      <w:start w:val="1"/>
      <w:numFmt w:val="bullet"/>
      <w:lvlText w:val="•"/>
      <w:lvlJc w:val="left"/>
      <w:pPr>
        <w:tabs>
          <w:tab w:val="num" w:pos="4320"/>
        </w:tabs>
        <w:ind w:left="4320" w:hanging="360"/>
      </w:pPr>
      <w:rPr>
        <w:rFonts w:ascii="Arial" w:hAnsi="Arial" w:hint="default"/>
      </w:rPr>
    </w:lvl>
    <w:lvl w:ilvl="6" w:tplc="2A7423F6" w:tentative="1">
      <w:start w:val="1"/>
      <w:numFmt w:val="bullet"/>
      <w:lvlText w:val="•"/>
      <w:lvlJc w:val="left"/>
      <w:pPr>
        <w:tabs>
          <w:tab w:val="num" w:pos="5040"/>
        </w:tabs>
        <w:ind w:left="5040" w:hanging="360"/>
      </w:pPr>
      <w:rPr>
        <w:rFonts w:ascii="Arial" w:hAnsi="Arial" w:hint="default"/>
      </w:rPr>
    </w:lvl>
    <w:lvl w:ilvl="7" w:tplc="11FC5788" w:tentative="1">
      <w:start w:val="1"/>
      <w:numFmt w:val="bullet"/>
      <w:lvlText w:val="•"/>
      <w:lvlJc w:val="left"/>
      <w:pPr>
        <w:tabs>
          <w:tab w:val="num" w:pos="5760"/>
        </w:tabs>
        <w:ind w:left="5760" w:hanging="360"/>
      </w:pPr>
      <w:rPr>
        <w:rFonts w:ascii="Arial" w:hAnsi="Arial" w:hint="default"/>
      </w:rPr>
    </w:lvl>
    <w:lvl w:ilvl="8" w:tplc="7F60187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9617E8"/>
    <w:multiLevelType w:val="hybridMultilevel"/>
    <w:tmpl w:val="A824E2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FB63EB2"/>
    <w:multiLevelType w:val="multilevel"/>
    <w:tmpl w:val="5F2C9560"/>
    <w:lvl w:ilvl="0">
      <w:start w:val="1"/>
      <w:numFmt w:val="bullet"/>
      <w:pStyle w:val="ListBullet"/>
      <w:lvlText w:val="●"/>
      <w:lvlJc w:val="left"/>
      <w:pPr>
        <w:ind w:left="928" w:hanging="284"/>
      </w:pPr>
      <w:rPr>
        <w:rFonts w:ascii="Arial" w:hAnsi="Arial" w:hint="default"/>
        <w:b/>
        <w:i w:val="0"/>
        <w:color w:val="auto"/>
        <w:sz w:val="20"/>
        <w:u w:color="92D050"/>
      </w:rPr>
    </w:lvl>
    <w:lvl w:ilvl="1">
      <w:start w:val="1"/>
      <w:numFmt w:val="bullet"/>
      <w:pStyle w:val="ListBullet2"/>
      <w:lvlText w:val="‒"/>
      <w:lvlJc w:val="left"/>
      <w:pPr>
        <w:ind w:left="1211" w:hanging="283"/>
      </w:pPr>
      <w:rPr>
        <w:rFonts w:ascii="Arial" w:hAnsi="Arial" w:hint="default"/>
        <w:color w:val="000000" w:themeColor="text1"/>
      </w:rPr>
    </w:lvl>
    <w:lvl w:ilvl="2">
      <w:start w:val="1"/>
      <w:numFmt w:val="bullet"/>
      <w:pStyle w:val="ListBullet3"/>
      <w:lvlText w:val="o"/>
      <w:lvlJc w:val="left"/>
      <w:pPr>
        <w:ind w:left="1495" w:hanging="284"/>
      </w:pPr>
      <w:rPr>
        <w:rFonts w:ascii="Courier New" w:hAnsi="Courier New" w:hint="default"/>
      </w:rPr>
    </w:lvl>
    <w:lvl w:ilvl="3">
      <w:start w:val="1"/>
      <w:numFmt w:val="bullet"/>
      <w:pStyle w:val="ListBullet4"/>
      <w:lvlText w:val=""/>
      <w:lvlJc w:val="left"/>
      <w:pPr>
        <w:ind w:left="1778" w:hanging="283"/>
      </w:pPr>
      <w:rPr>
        <w:rFonts w:ascii="Wingdings" w:hAnsi="Wingdings" w:hint="default"/>
      </w:rPr>
    </w:lvl>
    <w:lvl w:ilvl="4">
      <w:start w:val="1"/>
      <w:numFmt w:val="bullet"/>
      <w:pStyle w:val="ListBullet5"/>
      <w:lvlText w:val=""/>
      <w:lvlJc w:val="left"/>
      <w:pPr>
        <w:ind w:left="2062" w:hanging="284"/>
      </w:pPr>
      <w:rPr>
        <w:rFonts w:ascii="Symbol" w:hAnsi="Symbol" w:hint="default"/>
      </w:rPr>
    </w:lvl>
    <w:lvl w:ilvl="5">
      <w:start w:val="1"/>
      <w:numFmt w:val="bullet"/>
      <w:lvlText w:val=""/>
      <w:lvlJc w:val="left"/>
      <w:pPr>
        <w:ind w:left="5248" w:hanging="360"/>
      </w:pPr>
      <w:rPr>
        <w:rFonts w:ascii="Wingdings" w:hAnsi="Wingdings" w:hint="default"/>
      </w:rPr>
    </w:lvl>
    <w:lvl w:ilvl="6">
      <w:start w:val="1"/>
      <w:numFmt w:val="bullet"/>
      <w:lvlText w:val=""/>
      <w:lvlJc w:val="left"/>
      <w:pPr>
        <w:ind w:left="5968" w:hanging="360"/>
      </w:pPr>
      <w:rPr>
        <w:rFonts w:ascii="Symbol" w:hAnsi="Symbol" w:hint="default"/>
      </w:rPr>
    </w:lvl>
    <w:lvl w:ilvl="7">
      <w:start w:val="1"/>
      <w:numFmt w:val="bullet"/>
      <w:lvlText w:val="o"/>
      <w:lvlJc w:val="left"/>
      <w:pPr>
        <w:ind w:left="6688" w:hanging="360"/>
      </w:pPr>
      <w:rPr>
        <w:rFonts w:ascii="Courier New" w:hAnsi="Courier New" w:cs="Courier New" w:hint="default"/>
      </w:rPr>
    </w:lvl>
    <w:lvl w:ilvl="8">
      <w:start w:val="1"/>
      <w:numFmt w:val="bullet"/>
      <w:lvlText w:val=""/>
      <w:lvlJc w:val="left"/>
      <w:pPr>
        <w:ind w:left="7408" w:hanging="360"/>
      </w:pPr>
      <w:rPr>
        <w:rFonts w:ascii="Wingdings" w:hAnsi="Wingdings" w:hint="default"/>
      </w:rPr>
    </w:lvl>
  </w:abstractNum>
  <w:abstractNum w:abstractNumId="26" w15:restartNumberingAfterBreak="0">
    <w:nsid w:val="552829D9"/>
    <w:multiLevelType w:val="hybridMultilevel"/>
    <w:tmpl w:val="68C85B06"/>
    <w:lvl w:ilvl="0" w:tplc="1144DF78">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552C44E2"/>
    <w:multiLevelType w:val="hybridMultilevel"/>
    <w:tmpl w:val="17742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E34CD3"/>
    <w:multiLevelType w:val="hybridMultilevel"/>
    <w:tmpl w:val="DDF6B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356EA7"/>
    <w:multiLevelType w:val="hybridMultilevel"/>
    <w:tmpl w:val="A2D07E14"/>
    <w:lvl w:ilvl="0" w:tplc="47B2E432">
      <w:start w:val="1"/>
      <w:numFmt w:val="bullet"/>
      <w:lvlText w:val="•"/>
      <w:lvlJc w:val="left"/>
      <w:pPr>
        <w:tabs>
          <w:tab w:val="num" w:pos="720"/>
        </w:tabs>
        <w:ind w:left="720" w:hanging="360"/>
      </w:pPr>
      <w:rPr>
        <w:rFonts w:ascii="Arial" w:hAnsi="Arial" w:hint="default"/>
      </w:rPr>
    </w:lvl>
    <w:lvl w:ilvl="1" w:tplc="FE56BB32" w:tentative="1">
      <w:start w:val="1"/>
      <w:numFmt w:val="bullet"/>
      <w:lvlText w:val="•"/>
      <w:lvlJc w:val="left"/>
      <w:pPr>
        <w:tabs>
          <w:tab w:val="num" w:pos="1440"/>
        </w:tabs>
        <w:ind w:left="1440" w:hanging="360"/>
      </w:pPr>
      <w:rPr>
        <w:rFonts w:ascii="Arial" w:hAnsi="Arial" w:hint="default"/>
      </w:rPr>
    </w:lvl>
    <w:lvl w:ilvl="2" w:tplc="12D6FE0E" w:tentative="1">
      <w:start w:val="1"/>
      <w:numFmt w:val="bullet"/>
      <w:lvlText w:val="•"/>
      <w:lvlJc w:val="left"/>
      <w:pPr>
        <w:tabs>
          <w:tab w:val="num" w:pos="2160"/>
        </w:tabs>
        <w:ind w:left="2160" w:hanging="360"/>
      </w:pPr>
      <w:rPr>
        <w:rFonts w:ascii="Arial" w:hAnsi="Arial" w:hint="default"/>
      </w:rPr>
    </w:lvl>
    <w:lvl w:ilvl="3" w:tplc="EFA40012" w:tentative="1">
      <w:start w:val="1"/>
      <w:numFmt w:val="bullet"/>
      <w:lvlText w:val="•"/>
      <w:lvlJc w:val="left"/>
      <w:pPr>
        <w:tabs>
          <w:tab w:val="num" w:pos="2880"/>
        </w:tabs>
        <w:ind w:left="2880" w:hanging="360"/>
      </w:pPr>
      <w:rPr>
        <w:rFonts w:ascii="Arial" w:hAnsi="Arial" w:hint="default"/>
      </w:rPr>
    </w:lvl>
    <w:lvl w:ilvl="4" w:tplc="ECBEC3FC" w:tentative="1">
      <w:start w:val="1"/>
      <w:numFmt w:val="bullet"/>
      <w:lvlText w:val="•"/>
      <w:lvlJc w:val="left"/>
      <w:pPr>
        <w:tabs>
          <w:tab w:val="num" w:pos="3600"/>
        </w:tabs>
        <w:ind w:left="3600" w:hanging="360"/>
      </w:pPr>
      <w:rPr>
        <w:rFonts w:ascii="Arial" w:hAnsi="Arial" w:hint="default"/>
      </w:rPr>
    </w:lvl>
    <w:lvl w:ilvl="5" w:tplc="54500C40" w:tentative="1">
      <w:start w:val="1"/>
      <w:numFmt w:val="bullet"/>
      <w:lvlText w:val="•"/>
      <w:lvlJc w:val="left"/>
      <w:pPr>
        <w:tabs>
          <w:tab w:val="num" w:pos="4320"/>
        </w:tabs>
        <w:ind w:left="4320" w:hanging="360"/>
      </w:pPr>
      <w:rPr>
        <w:rFonts w:ascii="Arial" w:hAnsi="Arial" w:hint="default"/>
      </w:rPr>
    </w:lvl>
    <w:lvl w:ilvl="6" w:tplc="4FB07408" w:tentative="1">
      <w:start w:val="1"/>
      <w:numFmt w:val="bullet"/>
      <w:lvlText w:val="•"/>
      <w:lvlJc w:val="left"/>
      <w:pPr>
        <w:tabs>
          <w:tab w:val="num" w:pos="5040"/>
        </w:tabs>
        <w:ind w:left="5040" w:hanging="360"/>
      </w:pPr>
      <w:rPr>
        <w:rFonts w:ascii="Arial" w:hAnsi="Arial" w:hint="default"/>
      </w:rPr>
    </w:lvl>
    <w:lvl w:ilvl="7" w:tplc="D4DC8F8E" w:tentative="1">
      <w:start w:val="1"/>
      <w:numFmt w:val="bullet"/>
      <w:lvlText w:val="•"/>
      <w:lvlJc w:val="left"/>
      <w:pPr>
        <w:tabs>
          <w:tab w:val="num" w:pos="5760"/>
        </w:tabs>
        <w:ind w:left="5760" w:hanging="360"/>
      </w:pPr>
      <w:rPr>
        <w:rFonts w:ascii="Arial" w:hAnsi="Arial" w:hint="default"/>
      </w:rPr>
    </w:lvl>
    <w:lvl w:ilvl="8" w:tplc="BFB0603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FB438F5"/>
    <w:multiLevelType w:val="hybridMultilevel"/>
    <w:tmpl w:val="B6741EA0"/>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31" w15:restartNumberingAfterBreak="0">
    <w:nsid w:val="6DDF5794"/>
    <w:multiLevelType w:val="hybridMultilevel"/>
    <w:tmpl w:val="1C30E086"/>
    <w:lvl w:ilvl="0" w:tplc="500066FA">
      <w:start w:val="1"/>
      <w:numFmt w:val="bullet"/>
      <w:lvlText w:val=""/>
      <w:lvlJc w:val="left"/>
      <w:pPr>
        <w:ind w:left="360" w:hanging="360"/>
      </w:pPr>
      <w:rPr>
        <w:rFonts w:ascii="Symbol" w:hAnsi="Symbol" w:hint="default"/>
        <w:color w:val="auto"/>
      </w:rPr>
    </w:lvl>
    <w:lvl w:ilvl="1" w:tplc="F6D02B3C">
      <w:start w:val="1"/>
      <w:numFmt w:val="bullet"/>
      <w:lvlText w:val="o"/>
      <w:lvlJc w:val="left"/>
      <w:pPr>
        <w:ind w:left="1080" w:hanging="360"/>
      </w:pPr>
      <w:rPr>
        <w:rFonts w:ascii="Courier New" w:hAnsi="Courier New" w:cs="Courier New" w:hint="default"/>
      </w:rPr>
    </w:lvl>
    <w:lvl w:ilvl="2" w:tplc="1CC4EF12" w:tentative="1">
      <w:start w:val="1"/>
      <w:numFmt w:val="bullet"/>
      <w:lvlText w:val=""/>
      <w:lvlJc w:val="left"/>
      <w:pPr>
        <w:ind w:left="1800" w:hanging="360"/>
      </w:pPr>
      <w:rPr>
        <w:rFonts w:ascii="Wingdings" w:hAnsi="Wingdings" w:hint="default"/>
      </w:rPr>
    </w:lvl>
    <w:lvl w:ilvl="3" w:tplc="1F2EB394" w:tentative="1">
      <w:start w:val="1"/>
      <w:numFmt w:val="bullet"/>
      <w:lvlText w:val=""/>
      <w:lvlJc w:val="left"/>
      <w:pPr>
        <w:ind w:left="2520" w:hanging="360"/>
      </w:pPr>
      <w:rPr>
        <w:rFonts w:ascii="Symbol" w:hAnsi="Symbol" w:hint="default"/>
      </w:rPr>
    </w:lvl>
    <w:lvl w:ilvl="4" w:tplc="E00A75A8" w:tentative="1">
      <w:start w:val="1"/>
      <w:numFmt w:val="bullet"/>
      <w:lvlText w:val="o"/>
      <w:lvlJc w:val="left"/>
      <w:pPr>
        <w:ind w:left="3240" w:hanging="360"/>
      </w:pPr>
      <w:rPr>
        <w:rFonts w:ascii="Courier New" w:hAnsi="Courier New" w:cs="Courier New" w:hint="default"/>
      </w:rPr>
    </w:lvl>
    <w:lvl w:ilvl="5" w:tplc="25848B94" w:tentative="1">
      <w:start w:val="1"/>
      <w:numFmt w:val="bullet"/>
      <w:lvlText w:val=""/>
      <w:lvlJc w:val="left"/>
      <w:pPr>
        <w:ind w:left="3960" w:hanging="360"/>
      </w:pPr>
      <w:rPr>
        <w:rFonts w:ascii="Wingdings" w:hAnsi="Wingdings" w:hint="default"/>
      </w:rPr>
    </w:lvl>
    <w:lvl w:ilvl="6" w:tplc="1226C3A0" w:tentative="1">
      <w:start w:val="1"/>
      <w:numFmt w:val="bullet"/>
      <w:lvlText w:val=""/>
      <w:lvlJc w:val="left"/>
      <w:pPr>
        <w:ind w:left="4680" w:hanging="360"/>
      </w:pPr>
      <w:rPr>
        <w:rFonts w:ascii="Symbol" w:hAnsi="Symbol" w:hint="default"/>
      </w:rPr>
    </w:lvl>
    <w:lvl w:ilvl="7" w:tplc="6B0414BE" w:tentative="1">
      <w:start w:val="1"/>
      <w:numFmt w:val="bullet"/>
      <w:lvlText w:val="o"/>
      <w:lvlJc w:val="left"/>
      <w:pPr>
        <w:ind w:left="5400" w:hanging="360"/>
      </w:pPr>
      <w:rPr>
        <w:rFonts w:ascii="Courier New" w:hAnsi="Courier New" w:cs="Courier New" w:hint="default"/>
      </w:rPr>
    </w:lvl>
    <w:lvl w:ilvl="8" w:tplc="009E29BC" w:tentative="1">
      <w:start w:val="1"/>
      <w:numFmt w:val="bullet"/>
      <w:lvlText w:val=""/>
      <w:lvlJc w:val="left"/>
      <w:pPr>
        <w:ind w:left="6120" w:hanging="360"/>
      </w:pPr>
      <w:rPr>
        <w:rFonts w:ascii="Wingdings" w:hAnsi="Wingdings" w:hint="default"/>
      </w:rPr>
    </w:lvl>
  </w:abstractNum>
  <w:abstractNum w:abstractNumId="32" w15:restartNumberingAfterBreak="0">
    <w:nsid w:val="71023C1A"/>
    <w:multiLevelType w:val="hybridMultilevel"/>
    <w:tmpl w:val="BD4C83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1440BCF"/>
    <w:multiLevelType w:val="hybridMultilevel"/>
    <w:tmpl w:val="0D4094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79EA4ACF"/>
    <w:multiLevelType w:val="hybridMultilevel"/>
    <w:tmpl w:val="5718A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F579BD"/>
    <w:multiLevelType w:val="hybridMultilevel"/>
    <w:tmpl w:val="91920FEC"/>
    <w:lvl w:ilvl="0" w:tplc="47446C04">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7CBB67D8"/>
    <w:multiLevelType w:val="hybridMultilevel"/>
    <w:tmpl w:val="93187FAE"/>
    <w:lvl w:ilvl="0" w:tplc="453C65DE">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1"/>
  </w:num>
  <w:num w:numId="4">
    <w:abstractNumId w:val="9"/>
  </w:num>
  <w:num w:numId="5">
    <w:abstractNumId w:val="16"/>
  </w:num>
  <w:num w:numId="6">
    <w:abstractNumId w:val="2"/>
  </w:num>
  <w:num w:numId="7">
    <w:abstractNumId w:val="12"/>
  </w:num>
  <w:num w:numId="8">
    <w:abstractNumId w:val="26"/>
  </w:num>
  <w:num w:numId="9">
    <w:abstractNumId w:val="8"/>
  </w:num>
  <w:num w:numId="10">
    <w:abstractNumId w:val="31"/>
  </w:num>
  <w:num w:numId="11">
    <w:abstractNumId w:val="17"/>
  </w:num>
  <w:num w:numId="12">
    <w:abstractNumId w:val="23"/>
  </w:num>
  <w:num w:numId="13">
    <w:abstractNumId w:val="29"/>
  </w:num>
  <w:num w:numId="14">
    <w:abstractNumId w:val="20"/>
  </w:num>
  <w:num w:numId="15">
    <w:abstractNumId w:val="15"/>
  </w:num>
  <w:num w:numId="16">
    <w:abstractNumId w:val="7"/>
  </w:num>
  <w:num w:numId="17">
    <w:abstractNumId w:val="5"/>
  </w:num>
  <w:num w:numId="18">
    <w:abstractNumId w:val="18"/>
  </w:num>
  <w:num w:numId="19">
    <w:abstractNumId w:val="33"/>
  </w:num>
  <w:num w:numId="20">
    <w:abstractNumId w:val="3"/>
  </w:num>
  <w:num w:numId="21">
    <w:abstractNumId w:val="27"/>
  </w:num>
  <w:num w:numId="22">
    <w:abstractNumId w:val="1"/>
  </w:num>
  <w:num w:numId="23">
    <w:abstractNumId w:val="28"/>
  </w:num>
  <w:num w:numId="24">
    <w:abstractNumId w:val="4"/>
  </w:num>
  <w:num w:numId="25">
    <w:abstractNumId w:val="24"/>
  </w:num>
  <w:num w:numId="26">
    <w:abstractNumId w:val="14"/>
    <w:lvlOverride w:ilvl="0">
      <w:startOverride w:val="1"/>
    </w:lvlOverride>
    <w:lvlOverride w:ilvl="1"/>
    <w:lvlOverride w:ilvl="2"/>
    <w:lvlOverride w:ilvl="3"/>
    <w:lvlOverride w:ilvl="4"/>
    <w:lvlOverride w:ilvl="5"/>
    <w:lvlOverride w:ilvl="6"/>
    <w:lvlOverride w:ilvl="7"/>
    <w:lvlOverride w:ilvl="8"/>
  </w:num>
  <w:num w:numId="27">
    <w:abstractNumId w:val="30"/>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4"/>
  </w:num>
  <w:num w:numId="31">
    <w:abstractNumId w:val="19"/>
  </w:num>
  <w:num w:numId="32">
    <w:abstractNumId w:val="25"/>
  </w:num>
  <w:num w:numId="33">
    <w:abstractNumId w:val="25"/>
  </w:num>
  <w:num w:numId="34">
    <w:abstractNumId w:val="25"/>
  </w:num>
  <w:num w:numId="35">
    <w:abstractNumId w:val="10"/>
  </w:num>
  <w:num w:numId="36">
    <w:abstractNumId w:val="33"/>
  </w:num>
  <w:num w:numId="37">
    <w:abstractNumId w:val="13"/>
  </w:num>
  <w:num w:numId="38">
    <w:abstractNumId w:val="6"/>
  </w:num>
  <w:num w:numId="39">
    <w:abstractNumId w:val="6"/>
  </w:num>
  <w:num w:numId="40">
    <w:abstractNumId w:val="6"/>
  </w:num>
  <w:num w:numId="41">
    <w:abstractNumId w:val="6"/>
  </w:num>
  <w:num w:numId="42">
    <w:abstractNumId w:val="32"/>
  </w:num>
  <w:num w:numId="43">
    <w:abstractNumId w:val="11"/>
  </w:num>
  <w:num w:numId="44">
    <w:abstractNumId w:val="36"/>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A1"/>
    <w:rsid w:val="00035E39"/>
    <w:rsid w:val="00054FA0"/>
    <w:rsid w:val="0006105C"/>
    <w:rsid w:val="00075B66"/>
    <w:rsid w:val="000A328C"/>
    <w:rsid w:val="000B472C"/>
    <w:rsid w:val="000D6C23"/>
    <w:rsid w:val="000E6994"/>
    <w:rsid w:val="0012209E"/>
    <w:rsid w:val="00135ED0"/>
    <w:rsid w:val="00180647"/>
    <w:rsid w:val="001830B5"/>
    <w:rsid w:val="002162C9"/>
    <w:rsid w:val="002356CA"/>
    <w:rsid w:val="0024303B"/>
    <w:rsid w:val="00266A22"/>
    <w:rsid w:val="0026719B"/>
    <w:rsid w:val="00280276"/>
    <w:rsid w:val="002B5A8C"/>
    <w:rsid w:val="002B6302"/>
    <w:rsid w:val="002C3FA9"/>
    <w:rsid w:val="002F5E86"/>
    <w:rsid w:val="00317A49"/>
    <w:rsid w:val="0033007F"/>
    <w:rsid w:val="00333C63"/>
    <w:rsid w:val="0033440F"/>
    <w:rsid w:val="003353A3"/>
    <w:rsid w:val="00345FA2"/>
    <w:rsid w:val="00350560"/>
    <w:rsid w:val="0036374B"/>
    <w:rsid w:val="00372556"/>
    <w:rsid w:val="00392FC1"/>
    <w:rsid w:val="003A0CA9"/>
    <w:rsid w:val="003B13A5"/>
    <w:rsid w:val="003B3A59"/>
    <w:rsid w:val="003B5A1E"/>
    <w:rsid w:val="003B7332"/>
    <w:rsid w:val="003E0D21"/>
    <w:rsid w:val="003F3C91"/>
    <w:rsid w:val="004329F4"/>
    <w:rsid w:val="00450D4A"/>
    <w:rsid w:val="004669C9"/>
    <w:rsid w:val="004F1877"/>
    <w:rsid w:val="00503147"/>
    <w:rsid w:val="00535E7F"/>
    <w:rsid w:val="0054687F"/>
    <w:rsid w:val="00547227"/>
    <w:rsid w:val="00551399"/>
    <w:rsid w:val="0055665D"/>
    <w:rsid w:val="00565DE2"/>
    <w:rsid w:val="00571D6C"/>
    <w:rsid w:val="00586631"/>
    <w:rsid w:val="005A3442"/>
    <w:rsid w:val="005B21A6"/>
    <w:rsid w:val="005D3575"/>
    <w:rsid w:val="005E72BD"/>
    <w:rsid w:val="006128D6"/>
    <w:rsid w:val="00664BCA"/>
    <w:rsid w:val="006A19EF"/>
    <w:rsid w:val="006C1196"/>
    <w:rsid w:val="006E6EB4"/>
    <w:rsid w:val="00703531"/>
    <w:rsid w:val="007050D5"/>
    <w:rsid w:val="00706FA9"/>
    <w:rsid w:val="00722530"/>
    <w:rsid w:val="00725F2D"/>
    <w:rsid w:val="0073660D"/>
    <w:rsid w:val="007375E5"/>
    <w:rsid w:val="0074387C"/>
    <w:rsid w:val="007452E6"/>
    <w:rsid w:val="00755167"/>
    <w:rsid w:val="00764F60"/>
    <w:rsid w:val="00795756"/>
    <w:rsid w:val="007B0F48"/>
    <w:rsid w:val="0082351F"/>
    <w:rsid w:val="008254AD"/>
    <w:rsid w:val="00835BDD"/>
    <w:rsid w:val="00851E66"/>
    <w:rsid w:val="008809D3"/>
    <w:rsid w:val="008A0EE0"/>
    <w:rsid w:val="008A14AD"/>
    <w:rsid w:val="008A41C8"/>
    <w:rsid w:val="008A70EB"/>
    <w:rsid w:val="008E3AF7"/>
    <w:rsid w:val="00903860"/>
    <w:rsid w:val="00910E41"/>
    <w:rsid w:val="00932ECC"/>
    <w:rsid w:val="00934ABA"/>
    <w:rsid w:val="00956D59"/>
    <w:rsid w:val="00965FB8"/>
    <w:rsid w:val="00997FCE"/>
    <w:rsid w:val="009C35FB"/>
    <w:rsid w:val="009E25F1"/>
    <w:rsid w:val="00A22980"/>
    <w:rsid w:val="00A23AA2"/>
    <w:rsid w:val="00A7112F"/>
    <w:rsid w:val="00AA2C45"/>
    <w:rsid w:val="00AB1FF0"/>
    <w:rsid w:val="00AC0A4D"/>
    <w:rsid w:val="00AF580A"/>
    <w:rsid w:val="00B10916"/>
    <w:rsid w:val="00B17BC7"/>
    <w:rsid w:val="00B4148E"/>
    <w:rsid w:val="00B83380"/>
    <w:rsid w:val="00B84EF5"/>
    <w:rsid w:val="00BD4FAC"/>
    <w:rsid w:val="00BF3D11"/>
    <w:rsid w:val="00C05A4B"/>
    <w:rsid w:val="00C206C6"/>
    <w:rsid w:val="00C21C18"/>
    <w:rsid w:val="00C32A3F"/>
    <w:rsid w:val="00C334D2"/>
    <w:rsid w:val="00C6049B"/>
    <w:rsid w:val="00C810B8"/>
    <w:rsid w:val="00C91175"/>
    <w:rsid w:val="00CB3FA1"/>
    <w:rsid w:val="00CC7353"/>
    <w:rsid w:val="00CD46DC"/>
    <w:rsid w:val="00CE60DF"/>
    <w:rsid w:val="00D03330"/>
    <w:rsid w:val="00D2377A"/>
    <w:rsid w:val="00D56033"/>
    <w:rsid w:val="00D76DC7"/>
    <w:rsid w:val="00D84D76"/>
    <w:rsid w:val="00D9105C"/>
    <w:rsid w:val="00DA67CA"/>
    <w:rsid w:val="00DB715D"/>
    <w:rsid w:val="00DE5CF4"/>
    <w:rsid w:val="00DE685E"/>
    <w:rsid w:val="00DE7BFE"/>
    <w:rsid w:val="00DF4866"/>
    <w:rsid w:val="00DF6192"/>
    <w:rsid w:val="00E06430"/>
    <w:rsid w:val="00E24252"/>
    <w:rsid w:val="00E53E22"/>
    <w:rsid w:val="00E8281A"/>
    <w:rsid w:val="00E870CC"/>
    <w:rsid w:val="00E97CAA"/>
    <w:rsid w:val="00EA0FF6"/>
    <w:rsid w:val="00EA4FA5"/>
    <w:rsid w:val="00EA77EA"/>
    <w:rsid w:val="00EB11F5"/>
    <w:rsid w:val="00EC32E8"/>
    <w:rsid w:val="00EF132A"/>
    <w:rsid w:val="00F061DB"/>
    <w:rsid w:val="00F20A44"/>
    <w:rsid w:val="00F370BA"/>
    <w:rsid w:val="00F379B7"/>
    <w:rsid w:val="00F76443"/>
    <w:rsid w:val="00F81260"/>
    <w:rsid w:val="00FA307B"/>
    <w:rsid w:val="00FA3A4A"/>
    <w:rsid w:val="00FE3F45"/>
    <w:rsid w:val="00FE6D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B949"/>
  <w15:chartTrackingRefBased/>
  <w15:docId w15:val="{8B50F049-F50B-4A83-BCB4-4146BB71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FA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75B6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B3FA1"/>
    <w:pPr>
      <w:spacing w:before="240" w:after="240"/>
    </w:pPr>
  </w:style>
  <w:style w:type="character" w:customStyle="1" w:styleId="BodyTextChar">
    <w:name w:val="Body Text Char"/>
    <w:basedOn w:val="DefaultParagraphFont"/>
    <w:link w:val="BodyText"/>
    <w:uiPriority w:val="99"/>
    <w:semiHidden/>
    <w:rsid w:val="00CB3FA1"/>
    <w:rPr>
      <w:rFonts w:ascii="Calibri" w:hAnsi="Calibri" w:cs="Times New Roman"/>
    </w:rPr>
  </w:style>
  <w:style w:type="paragraph" w:styleId="ListParagraph">
    <w:name w:val="List Paragraph"/>
    <w:aliases w:val="Bullet Point,Bullet point,Bullet points,Bulleted Para,CV text,Content descriptions,Dot pt,L,List Bullet Cab,List Paragraph Number,List Paragraph1,List Paragraph11,List Paragraph2,NFP GP Bulleted List,Recommendation,bullet point list,列出段落"/>
    <w:basedOn w:val="Normal"/>
    <w:link w:val="ListParagraphChar"/>
    <w:uiPriority w:val="34"/>
    <w:qFormat/>
    <w:rsid w:val="00CB3FA1"/>
    <w:pPr>
      <w:ind w:left="720"/>
    </w:pPr>
  </w:style>
  <w:style w:type="character" w:customStyle="1" w:styleId="ListParagraphChar">
    <w:name w:val="List Paragraph Char"/>
    <w:aliases w:val="Bullet Point Char,Bullet point Char,Bullet points Char,Bulleted Para Char,CV text Char,Content descriptions Char,Dot pt Char,L Char,List Bullet Cab Char,List Paragraph Number Char,List Paragraph1 Char,List Paragraph11 Char,列出段落 Char"/>
    <w:basedOn w:val="DefaultParagraphFont"/>
    <w:link w:val="ListParagraph"/>
    <w:uiPriority w:val="34"/>
    <w:qFormat/>
    <w:locked/>
    <w:rsid w:val="008A70EB"/>
    <w:rPr>
      <w:rFonts w:ascii="Calibri" w:hAnsi="Calibri" w:cs="Times New Roman"/>
    </w:rPr>
  </w:style>
  <w:style w:type="paragraph" w:styleId="Footer">
    <w:name w:val="footer"/>
    <w:basedOn w:val="Normal"/>
    <w:link w:val="FooterChar"/>
    <w:uiPriority w:val="99"/>
    <w:unhideWhenUsed/>
    <w:rsid w:val="008A70EB"/>
    <w:pPr>
      <w:tabs>
        <w:tab w:val="center" w:pos="4513"/>
        <w:tab w:val="right" w:pos="9026"/>
      </w:tabs>
    </w:pPr>
    <w:rPr>
      <w:rFonts w:eastAsia="Calibri"/>
    </w:rPr>
  </w:style>
  <w:style w:type="character" w:customStyle="1" w:styleId="FooterChar">
    <w:name w:val="Footer Char"/>
    <w:basedOn w:val="DefaultParagraphFont"/>
    <w:link w:val="Footer"/>
    <w:uiPriority w:val="99"/>
    <w:rsid w:val="008A70EB"/>
    <w:rPr>
      <w:rFonts w:ascii="Calibri" w:eastAsia="Calibri" w:hAnsi="Calibri" w:cs="Times New Roman"/>
    </w:rPr>
  </w:style>
  <w:style w:type="paragraph" w:styleId="BalloonText">
    <w:name w:val="Balloon Text"/>
    <w:basedOn w:val="Normal"/>
    <w:link w:val="BalloonTextChar"/>
    <w:uiPriority w:val="99"/>
    <w:semiHidden/>
    <w:unhideWhenUsed/>
    <w:rsid w:val="00266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A22"/>
    <w:rPr>
      <w:rFonts w:ascii="Segoe UI" w:hAnsi="Segoe UI" w:cs="Segoe UI"/>
      <w:sz w:val="18"/>
      <w:szCs w:val="18"/>
    </w:rPr>
  </w:style>
  <w:style w:type="paragraph" w:customStyle="1" w:styleId="MinSubbodytext">
    <w:name w:val="Min Sub body text"/>
    <w:uiPriority w:val="3"/>
    <w:rsid w:val="00266A22"/>
    <w:pPr>
      <w:tabs>
        <w:tab w:val="right" w:pos="9923"/>
      </w:tabs>
      <w:spacing w:after="0" w:line="240" w:lineRule="auto"/>
      <w:ind w:left="-142"/>
    </w:pPr>
    <w:rPr>
      <w:rFonts w:ascii="Times New Roman" w:eastAsia="Calibri" w:hAnsi="Times New Roman" w:cs="Times New Roman"/>
      <w:sz w:val="24"/>
      <w:szCs w:val="24"/>
      <w:lang w:eastAsia="en-AU"/>
    </w:rPr>
  </w:style>
  <w:style w:type="character" w:styleId="CommentReference">
    <w:name w:val="annotation reference"/>
    <w:basedOn w:val="DefaultParagraphFont"/>
    <w:uiPriority w:val="99"/>
    <w:semiHidden/>
    <w:unhideWhenUsed/>
    <w:rsid w:val="0073660D"/>
    <w:rPr>
      <w:sz w:val="16"/>
      <w:szCs w:val="16"/>
    </w:rPr>
  </w:style>
  <w:style w:type="paragraph" w:styleId="CommentText">
    <w:name w:val="annotation text"/>
    <w:basedOn w:val="Normal"/>
    <w:link w:val="CommentTextChar"/>
    <w:uiPriority w:val="99"/>
    <w:semiHidden/>
    <w:unhideWhenUsed/>
    <w:rsid w:val="0073660D"/>
    <w:rPr>
      <w:sz w:val="20"/>
      <w:szCs w:val="20"/>
    </w:rPr>
  </w:style>
  <w:style w:type="character" w:customStyle="1" w:styleId="CommentTextChar">
    <w:name w:val="Comment Text Char"/>
    <w:basedOn w:val="DefaultParagraphFont"/>
    <w:link w:val="CommentText"/>
    <w:uiPriority w:val="99"/>
    <w:semiHidden/>
    <w:rsid w:val="0073660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3660D"/>
    <w:rPr>
      <w:b/>
      <w:bCs/>
    </w:rPr>
  </w:style>
  <w:style w:type="character" w:customStyle="1" w:styleId="CommentSubjectChar">
    <w:name w:val="Comment Subject Char"/>
    <w:basedOn w:val="CommentTextChar"/>
    <w:link w:val="CommentSubject"/>
    <w:uiPriority w:val="99"/>
    <w:semiHidden/>
    <w:rsid w:val="0073660D"/>
    <w:rPr>
      <w:rFonts w:ascii="Calibri" w:hAnsi="Calibri" w:cs="Times New Roman"/>
      <w:b/>
      <w:bCs/>
      <w:sz w:val="20"/>
      <w:szCs w:val="20"/>
    </w:rPr>
  </w:style>
  <w:style w:type="paragraph" w:styleId="Revision">
    <w:name w:val="Revision"/>
    <w:hidden/>
    <w:uiPriority w:val="99"/>
    <w:semiHidden/>
    <w:rsid w:val="0073660D"/>
    <w:pPr>
      <w:spacing w:after="0" w:line="240" w:lineRule="auto"/>
    </w:pPr>
    <w:rPr>
      <w:rFonts w:ascii="Calibri" w:hAnsi="Calibri" w:cs="Times New Roman"/>
    </w:rPr>
  </w:style>
  <w:style w:type="character" w:styleId="Hyperlink">
    <w:name w:val="Hyperlink"/>
    <w:basedOn w:val="DefaultParagraphFont"/>
    <w:uiPriority w:val="99"/>
    <w:unhideWhenUsed/>
    <w:rsid w:val="0073660D"/>
    <w:rPr>
      <w:color w:val="0563C1"/>
      <w:u w:val="single"/>
    </w:rPr>
  </w:style>
  <w:style w:type="paragraph" w:styleId="FootnoteText">
    <w:name w:val="footnote text"/>
    <w:basedOn w:val="Normal"/>
    <w:link w:val="FootnoteTextChar"/>
    <w:uiPriority w:val="99"/>
    <w:semiHidden/>
    <w:unhideWhenUsed/>
    <w:rsid w:val="0073660D"/>
    <w:rPr>
      <w:rFonts w:ascii="Times New Roman" w:hAnsi="Times New Roman"/>
      <w:sz w:val="20"/>
      <w:szCs w:val="20"/>
      <w:lang w:eastAsia="en-AU"/>
    </w:rPr>
  </w:style>
  <w:style w:type="character" w:customStyle="1" w:styleId="FootnoteTextChar">
    <w:name w:val="Footnote Text Char"/>
    <w:basedOn w:val="DefaultParagraphFont"/>
    <w:link w:val="FootnoteText"/>
    <w:uiPriority w:val="99"/>
    <w:semiHidden/>
    <w:rsid w:val="0073660D"/>
    <w:rPr>
      <w:rFonts w:ascii="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3660D"/>
    <w:rPr>
      <w:vertAlign w:val="superscript"/>
    </w:rPr>
  </w:style>
  <w:style w:type="paragraph" w:styleId="NormalWeb">
    <w:name w:val="Normal (Web)"/>
    <w:basedOn w:val="Normal"/>
    <w:uiPriority w:val="99"/>
    <w:unhideWhenUsed/>
    <w:rsid w:val="0073660D"/>
    <w:rPr>
      <w:rFonts w:ascii="Times New Roman" w:hAnsi="Times New Roman"/>
      <w:sz w:val="24"/>
      <w:szCs w:val="24"/>
      <w:lang w:eastAsia="en-AU"/>
    </w:rPr>
  </w:style>
  <w:style w:type="paragraph" w:styleId="Header">
    <w:name w:val="header"/>
    <w:basedOn w:val="Normal"/>
    <w:link w:val="HeaderChar"/>
    <w:uiPriority w:val="99"/>
    <w:unhideWhenUsed/>
    <w:rsid w:val="0033440F"/>
    <w:pPr>
      <w:tabs>
        <w:tab w:val="center" w:pos="4513"/>
        <w:tab w:val="right" w:pos="9026"/>
      </w:tabs>
    </w:pPr>
  </w:style>
  <w:style w:type="character" w:customStyle="1" w:styleId="HeaderChar">
    <w:name w:val="Header Char"/>
    <w:basedOn w:val="DefaultParagraphFont"/>
    <w:link w:val="Header"/>
    <w:uiPriority w:val="99"/>
    <w:rsid w:val="0033440F"/>
    <w:rPr>
      <w:rFonts w:ascii="Calibri" w:hAnsi="Calibri" w:cs="Times New Roman"/>
    </w:rPr>
  </w:style>
  <w:style w:type="character" w:styleId="FollowedHyperlink">
    <w:name w:val="FollowedHyperlink"/>
    <w:basedOn w:val="DefaultParagraphFont"/>
    <w:uiPriority w:val="99"/>
    <w:semiHidden/>
    <w:unhideWhenUsed/>
    <w:rsid w:val="0033440F"/>
    <w:rPr>
      <w:color w:val="954F72" w:themeColor="followedHyperlink"/>
      <w:u w:val="single"/>
    </w:rPr>
  </w:style>
  <w:style w:type="character" w:customStyle="1" w:styleId="Heading1Char">
    <w:name w:val="Heading 1 Char"/>
    <w:basedOn w:val="DefaultParagraphFont"/>
    <w:link w:val="Heading1"/>
    <w:uiPriority w:val="9"/>
    <w:rsid w:val="00075B66"/>
    <w:rPr>
      <w:rFonts w:asciiTheme="majorHAnsi" w:eastAsiaTheme="majorEastAsia" w:hAnsiTheme="majorHAnsi" w:cstheme="majorBidi"/>
      <w:color w:val="2E74B5" w:themeColor="accent1" w:themeShade="BF"/>
      <w:sz w:val="32"/>
      <w:szCs w:val="32"/>
    </w:rPr>
  </w:style>
  <w:style w:type="paragraph" w:styleId="ListBullet">
    <w:name w:val="List Bullet"/>
    <w:basedOn w:val="Normal"/>
    <w:uiPriority w:val="20"/>
    <w:qFormat/>
    <w:rsid w:val="00BF3D11"/>
    <w:pPr>
      <w:numPr>
        <w:numId w:val="32"/>
      </w:numPr>
    </w:pPr>
    <w:rPr>
      <w:rFonts w:asciiTheme="minorHAnsi" w:eastAsia="MS Mincho" w:hAnsiTheme="minorHAnsi"/>
    </w:rPr>
  </w:style>
  <w:style w:type="paragraph" w:styleId="ListBullet2">
    <w:name w:val="List Bullet 2"/>
    <w:basedOn w:val="ListBullet"/>
    <w:uiPriority w:val="20"/>
    <w:rsid w:val="00BF3D11"/>
    <w:pPr>
      <w:numPr>
        <w:ilvl w:val="1"/>
      </w:numPr>
    </w:pPr>
  </w:style>
  <w:style w:type="paragraph" w:styleId="ListBullet3">
    <w:name w:val="List Bullet 3"/>
    <w:basedOn w:val="Normal"/>
    <w:uiPriority w:val="20"/>
    <w:rsid w:val="00BF3D11"/>
    <w:pPr>
      <w:numPr>
        <w:ilvl w:val="2"/>
        <w:numId w:val="32"/>
      </w:numPr>
    </w:pPr>
    <w:rPr>
      <w:rFonts w:asciiTheme="minorHAnsi" w:eastAsia="MS Mincho" w:hAnsiTheme="minorHAnsi"/>
    </w:rPr>
  </w:style>
  <w:style w:type="paragraph" w:styleId="ListBullet4">
    <w:name w:val="List Bullet 4"/>
    <w:basedOn w:val="Normal"/>
    <w:uiPriority w:val="20"/>
    <w:rsid w:val="00BF3D11"/>
    <w:pPr>
      <w:numPr>
        <w:ilvl w:val="3"/>
        <w:numId w:val="32"/>
      </w:numPr>
    </w:pPr>
    <w:rPr>
      <w:rFonts w:asciiTheme="minorHAnsi" w:eastAsia="MS Mincho" w:hAnsiTheme="minorHAnsi"/>
    </w:rPr>
  </w:style>
  <w:style w:type="paragraph" w:styleId="ListBullet5">
    <w:name w:val="List Bullet 5"/>
    <w:basedOn w:val="ListBullet4"/>
    <w:uiPriority w:val="20"/>
    <w:rsid w:val="00BF3D11"/>
    <w:pPr>
      <w:numPr>
        <w:ilvl w:val="4"/>
      </w:numPr>
      <w:spacing w:after="120"/>
    </w:pPr>
  </w:style>
  <w:style w:type="paragraph" w:customStyle="1" w:styleId="TopLevelDotPoint-NGOForumBrief">
    <w:name w:val="Top Level Dot Point - NGO Forum Brief"/>
    <w:basedOn w:val="Normal"/>
    <w:link w:val="TopLevelDotPoint-NGOForumBriefChar"/>
    <w:qFormat/>
    <w:rsid w:val="003B3A59"/>
    <w:pPr>
      <w:numPr>
        <w:numId w:val="38"/>
      </w:numPr>
      <w:spacing w:before="40" w:after="40"/>
    </w:pPr>
    <w:rPr>
      <w:rFonts w:asciiTheme="minorHAnsi" w:eastAsia="Times New Roman" w:hAnsiTheme="minorHAnsi"/>
      <w:sz w:val="24"/>
      <w:szCs w:val="24"/>
    </w:rPr>
  </w:style>
  <w:style w:type="character" w:customStyle="1" w:styleId="TopLevelDotPoint-NGOForumBriefChar">
    <w:name w:val="Top Level Dot Point - NGO Forum Brief Char"/>
    <w:basedOn w:val="DefaultParagraphFont"/>
    <w:link w:val="TopLevelDotPoint-NGOForumBrief"/>
    <w:rsid w:val="003B3A59"/>
    <w:rPr>
      <w:rFonts w:eastAsia="Times New Roman" w:cs="Times New Roman"/>
      <w:sz w:val="24"/>
      <w:szCs w:val="24"/>
    </w:rPr>
  </w:style>
  <w:style w:type="paragraph" w:customStyle="1" w:styleId="NGOForumIfasked">
    <w:name w:val="NGO Forum If asked"/>
    <w:basedOn w:val="Normal"/>
    <w:link w:val="NGOForumIfaskedChar"/>
    <w:qFormat/>
    <w:rsid w:val="003B3A59"/>
    <w:pPr>
      <w:spacing w:before="40" w:after="40"/>
    </w:pPr>
    <w:rPr>
      <w:rFonts w:asciiTheme="minorHAnsi" w:eastAsia="Times New Roman" w:hAnsiTheme="minorHAnsi"/>
      <w:b/>
      <w:i/>
      <w:sz w:val="24"/>
      <w:szCs w:val="24"/>
    </w:rPr>
  </w:style>
  <w:style w:type="character" w:customStyle="1" w:styleId="NGOForumIfaskedChar">
    <w:name w:val="NGO Forum If asked Char"/>
    <w:basedOn w:val="DefaultParagraphFont"/>
    <w:link w:val="NGOForumIfasked"/>
    <w:rsid w:val="003B3A59"/>
    <w:rPr>
      <w:rFonts w:eastAsia="Times New Roman" w:cs="Times New Roman"/>
      <w:b/>
      <w:i/>
      <w:sz w:val="24"/>
      <w:szCs w:val="24"/>
    </w:rPr>
  </w:style>
  <w:style w:type="paragraph" w:styleId="NoSpacing">
    <w:name w:val="No Spacing"/>
    <w:basedOn w:val="Normal"/>
    <w:uiPriority w:val="1"/>
    <w:qFormat/>
    <w:rsid w:val="003B3A59"/>
  </w:style>
  <w:style w:type="paragraph" w:customStyle="1" w:styleId="Default">
    <w:name w:val="Default"/>
    <w:rsid w:val="003B3A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853368">
      <w:bodyDiv w:val="1"/>
      <w:marLeft w:val="0"/>
      <w:marRight w:val="0"/>
      <w:marTop w:val="0"/>
      <w:marBottom w:val="0"/>
      <w:divBdr>
        <w:top w:val="none" w:sz="0" w:space="0" w:color="auto"/>
        <w:left w:val="none" w:sz="0" w:space="0" w:color="auto"/>
        <w:bottom w:val="none" w:sz="0" w:space="0" w:color="auto"/>
        <w:right w:val="none" w:sz="0" w:space="0" w:color="auto"/>
      </w:divBdr>
    </w:div>
    <w:div w:id="928078496">
      <w:bodyDiv w:val="1"/>
      <w:marLeft w:val="0"/>
      <w:marRight w:val="0"/>
      <w:marTop w:val="0"/>
      <w:marBottom w:val="0"/>
      <w:divBdr>
        <w:top w:val="none" w:sz="0" w:space="0" w:color="auto"/>
        <w:left w:val="none" w:sz="0" w:space="0" w:color="auto"/>
        <w:bottom w:val="none" w:sz="0" w:space="0" w:color="auto"/>
        <w:right w:val="none" w:sz="0" w:space="0" w:color="auto"/>
      </w:divBdr>
      <w:divsChild>
        <w:div w:id="627587856">
          <w:marLeft w:val="274"/>
          <w:marRight w:val="0"/>
          <w:marTop w:val="0"/>
          <w:marBottom w:val="0"/>
          <w:divBdr>
            <w:top w:val="none" w:sz="0" w:space="0" w:color="auto"/>
            <w:left w:val="none" w:sz="0" w:space="0" w:color="auto"/>
            <w:bottom w:val="none" w:sz="0" w:space="0" w:color="auto"/>
            <w:right w:val="none" w:sz="0" w:space="0" w:color="auto"/>
          </w:divBdr>
        </w:div>
        <w:div w:id="721056237">
          <w:marLeft w:val="274"/>
          <w:marRight w:val="0"/>
          <w:marTop w:val="0"/>
          <w:marBottom w:val="0"/>
          <w:divBdr>
            <w:top w:val="none" w:sz="0" w:space="0" w:color="auto"/>
            <w:left w:val="none" w:sz="0" w:space="0" w:color="auto"/>
            <w:bottom w:val="none" w:sz="0" w:space="0" w:color="auto"/>
            <w:right w:val="none" w:sz="0" w:space="0" w:color="auto"/>
          </w:divBdr>
        </w:div>
        <w:div w:id="157313912">
          <w:marLeft w:val="274"/>
          <w:marRight w:val="0"/>
          <w:marTop w:val="0"/>
          <w:marBottom w:val="0"/>
          <w:divBdr>
            <w:top w:val="none" w:sz="0" w:space="0" w:color="auto"/>
            <w:left w:val="none" w:sz="0" w:space="0" w:color="auto"/>
            <w:bottom w:val="none" w:sz="0" w:space="0" w:color="auto"/>
            <w:right w:val="none" w:sz="0" w:space="0" w:color="auto"/>
          </w:divBdr>
        </w:div>
        <w:div w:id="1631323342">
          <w:marLeft w:val="274"/>
          <w:marRight w:val="0"/>
          <w:marTop w:val="0"/>
          <w:marBottom w:val="0"/>
          <w:divBdr>
            <w:top w:val="none" w:sz="0" w:space="0" w:color="auto"/>
            <w:left w:val="none" w:sz="0" w:space="0" w:color="auto"/>
            <w:bottom w:val="none" w:sz="0" w:space="0" w:color="auto"/>
            <w:right w:val="none" w:sz="0" w:space="0" w:color="auto"/>
          </w:divBdr>
        </w:div>
        <w:div w:id="1158037491">
          <w:marLeft w:val="274"/>
          <w:marRight w:val="0"/>
          <w:marTop w:val="0"/>
          <w:marBottom w:val="0"/>
          <w:divBdr>
            <w:top w:val="none" w:sz="0" w:space="0" w:color="auto"/>
            <w:left w:val="none" w:sz="0" w:space="0" w:color="auto"/>
            <w:bottom w:val="none" w:sz="0" w:space="0" w:color="auto"/>
            <w:right w:val="none" w:sz="0" w:space="0" w:color="auto"/>
          </w:divBdr>
        </w:div>
        <w:div w:id="1950501816">
          <w:marLeft w:val="274"/>
          <w:marRight w:val="0"/>
          <w:marTop w:val="0"/>
          <w:marBottom w:val="0"/>
          <w:divBdr>
            <w:top w:val="none" w:sz="0" w:space="0" w:color="auto"/>
            <w:left w:val="none" w:sz="0" w:space="0" w:color="auto"/>
            <w:bottom w:val="none" w:sz="0" w:space="0" w:color="auto"/>
            <w:right w:val="none" w:sz="0" w:space="0" w:color="auto"/>
          </w:divBdr>
        </w:div>
        <w:div w:id="1458260043">
          <w:marLeft w:val="274"/>
          <w:marRight w:val="0"/>
          <w:marTop w:val="0"/>
          <w:marBottom w:val="0"/>
          <w:divBdr>
            <w:top w:val="none" w:sz="0" w:space="0" w:color="auto"/>
            <w:left w:val="none" w:sz="0" w:space="0" w:color="auto"/>
            <w:bottom w:val="none" w:sz="0" w:space="0" w:color="auto"/>
            <w:right w:val="none" w:sz="0" w:space="0" w:color="auto"/>
          </w:divBdr>
        </w:div>
        <w:div w:id="1798796916">
          <w:marLeft w:val="274"/>
          <w:marRight w:val="0"/>
          <w:marTop w:val="0"/>
          <w:marBottom w:val="0"/>
          <w:divBdr>
            <w:top w:val="none" w:sz="0" w:space="0" w:color="auto"/>
            <w:left w:val="none" w:sz="0" w:space="0" w:color="auto"/>
            <w:bottom w:val="none" w:sz="0" w:space="0" w:color="auto"/>
            <w:right w:val="none" w:sz="0" w:space="0" w:color="auto"/>
          </w:divBdr>
        </w:div>
        <w:div w:id="1420760737">
          <w:marLeft w:val="274"/>
          <w:marRight w:val="0"/>
          <w:marTop w:val="0"/>
          <w:marBottom w:val="0"/>
          <w:divBdr>
            <w:top w:val="none" w:sz="0" w:space="0" w:color="auto"/>
            <w:left w:val="none" w:sz="0" w:space="0" w:color="auto"/>
            <w:bottom w:val="none" w:sz="0" w:space="0" w:color="auto"/>
            <w:right w:val="none" w:sz="0" w:space="0" w:color="auto"/>
          </w:divBdr>
        </w:div>
      </w:divsChild>
    </w:div>
    <w:div w:id="1229072952">
      <w:bodyDiv w:val="1"/>
      <w:marLeft w:val="0"/>
      <w:marRight w:val="0"/>
      <w:marTop w:val="0"/>
      <w:marBottom w:val="0"/>
      <w:divBdr>
        <w:top w:val="none" w:sz="0" w:space="0" w:color="auto"/>
        <w:left w:val="none" w:sz="0" w:space="0" w:color="auto"/>
        <w:bottom w:val="none" w:sz="0" w:space="0" w:color="auto"/>
        <w:right w:val="none" w:sz="0" w:space="0" w:color="auto"/>
      </w:divBdr>
      <w:divsChild>
        <w:div w:id="1980108513">
          <w:marLeft w:val="547"/>
          <w:marRight w:val="0"/>
          <w:marTop w:val="0"/>
          <w:marBottom w:val="0"/>
          <w:divBdr>
            <w:top w:val="none" w:sz="0" w:space="0" w:color="auto"/>
            <w:left w:val="none" w:sz="0" w:space="0" w:color="auto"/>
            <w:bottom w:val="none" w:sz="0" w:space="0" w:color="auto"/>
            <w:right w:val="none" w:sz="0" w:space="0" w:color="auto"/>
          </w:divBdr>
        </w:div>
        <w:div w:id="1178539612">
          <w:marLeft w:val="1685"/>
          <w:marRight w:val="0"/>
          <w:marTop w:val="0"/>
          <w:marBottom w:val="0"/>
          <w:divBdr>
            <w:top w:val="none" w:sz="0" w:space="0" w:color="auto"/>
            <w:left w:val="none" w:sz="0" w:space="0" w:color="auto"/>
            <w:bottom w:val="none" w:sz="0" w:space="0" w:color="auto"/>
            <w:right w:val="none" w:sz="0" w:space="0" w:color="auto"/>
          </w:divBdr>
        </w:div>
        <w:div w:id="1645624276">
          <w:marLeft w:val="1685"/>
          <w:marRight w:val="0"/>
          <w:marTop w:val="0"/>
          <w:marBottom w:val="0"/>
          <w:divBdr>
            <w:top w:val="none" w:sz="0" w:space="0" w:color="auto"/>
            <w:left w:val="none" w:sz="0" w:space="0" w:color="auto"/>
            <w:bottom w:val="none" w:sz="0" w:space="0" w:color="auto"/>
            <w:right w:val="none" w:sz="0" w:space="0" w:color="auto"/>
          </w:divBdr>
        </w:div>
      </w:divsChild>
    </w:div>
    <w:div w:id="1231967324">
      <w:bodyDiv w:val="1"/>
      <w:marLeft w:val="0"/>
      <w:marRight w:val="0"/>
      <w:marTop w:val="0"/>
      <w:marBottom w:val="0"/>
      <w:divBdr>
        <w:top w:val="none" w:sz="0" w:space="0" w:color="auto"/>
        <w:left w:val="none" w:sz="0" w:space="0" w:color="auto"/>
        <w:bottom w:val="none" w:sz="0" w:space="0" w:color="auto"/>
        <w:right w:val="none" w:sz="0" w:space="0" w:color="auto"/>
      </w:divBdr>
      <w:divsChild>
        <w:div w:id="83690518">
          <w:marLeft w:val="547"/>
          <w:marRight w:val="0"/>
          <w:marTop w:val="0"/>
          <w:marBottom w:val="0"/>
          <w:divBdr>
            <w:top w:val="none" w:sz="0" w:space="0" w:color="auto"/>
            <w:left w:val="none" w:sz="0" w:space="0" w:color="auto"/>
            <w:bottom w:val="none" w:sz="0" w:space="0" w:color="auto"/>
            <w:right w:val="none" w:sz="0" w:space="0" w:color="auto"/>
          </w:divBdr>
        </w:div>
        <w:div w:id="452360476">
          <w:marLeft w:val="1685"/>
          <w:marRight w:val="0"/>
          <w:marTop w:val="0"/>
          <w:marBottom w:val="0"/>
          <w:divBdr>
            <w:top w:val="none" w:sz="0" w:space="0" w:color="auto"/>
            <w:left w:val="none" w:sz="0" w:space="0" w:color="auto"/>
            <w:bottom w:val="none" w:sz="0" w:space="0" w:color="auto"/>
            <w:right w:val="none" w:sz="0" w:space="0" w:color="auto"/>
          </w:divBdr>
        </w:div>
        <w:div w:id="176893804">
          <w:marLeft w:val="1685"/>
          <w:marRight w:val="0"/>
          <w:marTop w:val="0"/>
          <w:marBottom w:val="0"/>
          <w:divBdr>
            <w:top w:val="none" w:sz="0" w:space="0" w:color="auto"/>
            <w:left w:val="none" w:sz="0" w:space="0" w:color="auto"/>
            <w:bottom w:val="none" w:sz="0" w:space="0" w:color="auto"/>
            <w:right w:val="none" w:sz="0" w:space="0" w:color="auto"/>
          </w:divBdr>
        </w:div>
      </w:divsChild>
    </w:div>
    <w:div w:id="1831015673">
      <w:bodyDiv w:val="1"/>
      <w:marLeft w:val="0"/>
      <w:marRight w:val="0"/>
      <w:marTop w:val="0"/>
      <w:marBottom w:val="0"/>
      <w:divBdr>
        <w:top w:val="none" w:sz="0" w:space="0" w:color="auto"/>
        <w:left w:val="none" w:sz="0" w:space="0" w:color="auto"/>
        <w:bottom w:val="none" w:sz="0" w:space="0" w:color="auto"/>
        <w:right w:val="none" w:sz="0" w:space="0" w:color="auto"/>
      </w:divBdr>
    </w:div>
    <w:div w:id="1918828953">
      <w:bodyDiv w:val="1"/>
      <w:marLeft w:val="0"/>
      <w:marRight w:val="0"/>
      <w:marTop w:val="0"/>
      <w:marBottom w:val="0"/>
      <w:divBdr>
        <w:top w:val="none" w:sz="0" w:space="0" w:color="auto"/>
        <w:left w:val="none" w:sz="0" w:space="0" w:color="auto"/>
        <w:bottom w:val="none" w:sz="0" w:space="0" w:color="auto"/>
        <w:right w:val="none" w:sz="0" w:space="0" w:color="auto"/>
      </w:divBdr>
      <w:divsChild>
        <w:div w:id="172648138">
          <w:marLeft w:val="547"/>
          <w:marRight w:val="0"/>
          <w:marTop w:val="0"/>
          <w:marBottom w:val="0"/>
          <w:divBdr>
            <w:top w:val="none" w:sz="0" w:space="0" w:color="auto"/>
            <w:left w:val="none" w:sz="0" w:space="0" w:color="auto"/>
            <w:bottom w:val="none" w:sz="0" w:space="0" w:color="auto"/>
            <w:right w:val="none" w:sz="0" w:space="0" w:color="auto"/>
          </w:divBdr>
        </w:div>
        <w:div w:id="599144001">
          <w:marLeft w:val="547"/>
          <w:marRight w:val="0"/>
          <w:marTop w:val="0"/>
          <w:marBottom w:val="0"/>
          <w:divBdr>
            <w:top w:val="none" w:sz="0" w:space="0" w:color="auto"/>
            <w:left w:val="none" w:sz="0" w:space="0" w:color="auto"/>
            <w:bottom w:val="none" w:sz="0" w:space="0" w:color="auto"/>
            <w:right w:val="none" w:sz="0" w:space="0" w:color="auto"/>
          </w:divBdr>
        </w:div>
        <w:div w:id="842278657">
          <w:marLeft w:val="547"/>
          <w:marRight w:val="0"/>
          <w:marTop w:val="0"/>
          <w:marBottom w:val="0"/>
          <w:divBdr>
            <w:top w:val="none" w:sz="0" w:space="0" w:color="auto"/>
            <w:left w:val="none" w:sz="0" w:space="0" w:color="auto"/>
            <w:bottom w:val="none" w:sz="0" w:space="0" w:color="auto"/>
            <w:right w:val="none" w:sz="0" w:space="0" w:color="auto"/>
          </w:divBdr>
        </w:div>
        <w:div w:id="507448581">
          <w:marLeft w:val="547"/>
          <w:marRight w:val="0"/>
          <w:marTop w:val="0"/>
          <w:marBottom w:val="0"/>
          <w:divBdr>
            <w:top w:val="none" w:sz="0" w:space="0" w:color="auto"/>
            <w:left w:val="none" w:sz="0" w:space="0" w:color="auto"/>
            <w:bottom w:val="none" w:sz="0" w:space="0" w:color="auto"/>
            <w:right w:val="none" w:sz="0" w:space="0" w:color="auto"/>
          </w:divBdr>
        </w:div>
      </w:divsChild>
    </w:div>
    <w:div w:id="192626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Details/C2017C00346/Html/Volume_2" TargetMode="External"/><Relationship Id="rId7" Type="http://schemas.openxmlformats.org/officeDocument/2006/relationships/hyperlink" Target="http://www.comlaw.gov.au/Details/C2012C00584" TargetMode="External"/><Relationship Id="rId2" Type="http://schemas.openxmlformats.org/officeDocument/2006/relationships/hyperlink" Target="https://www.legislation.gov.au/Details/C2017C00187" TargetMode="External"/><Relationship Id="rId1" Type="http://schemas.openxmlformats.org/officeDocument/2006/relationships/hyperlink" Target="https://www.legislation.gov.au/Details/C2017C00187" TargetMode="External"/><Relationship Id="rId6" Type="http://schemas.openxmlformats.org/officeDocument/2006/relationships/hyperlink" Target="http://www.comlaw.gov.au/Details/C2005A00092" TargetMode="External"/><Relationship Id="rId5" Type="http://schemas.openxmlformats.org/officeDocument/2006/relationships/hyperlink" Target="http://www.comlaw.gov.au/Details/C2014C00002" TargetMode="External"/><Relationship Id="rId4" Type="http://schemas.openxmlformats.org/officeDocument/2006/relationships/hyperlink" Target="http://www.comlaw.gov.au/Details/C2014C00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06350-49E1-4FFB-A693-3D94F356ACB5}">
  <ds:schemaRefs>
    <ds:schemaRef ds:uri="http://schemas.microsoft.com/sharepoint/v3/contenttype/forms"/>
  </ds:schemaRefs>
</ds:datastoreItem>
</file>

<file path=customXml/itemProps2.xml><?xml version="1.0" encoding="utf-8"?>
<ds:datastoreItem xmlns:ds="http://schemas.openxmlformats.org/officeDocument/2006/customXml" ds:itemID="{77818977-9894-4F9F-9186-907F65733E4B}"/>
</file>

<file path=customXml/itemProps3.xml><?xml version="1.0" encoding="utf-8"?>
<ds:datastoreItem xmlns:ds="http://schemas.openxmlformats.org/officeDocument/2006/customXml" ds:itemID="{0C4D7A72-1031-4D78-BACB-FCACB1937E9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3633574-5454-4110-8D5F-DE259BFC1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3229</Words>
  <Characters>18406</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180226 Content Regulation in the Digital Age Draft</vt:lpstr>
    </vt:vector>
  </TitlesOfParts>
  <Company>Department of Communications</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180226 Content Regulation in the Digital Age Draft</dc:title>
  <dc:subject/>
  <dc:creator>Fisher, Sally</dc:creator>
  <cp:keywords/>
  <dc:description/>
  <cp:lastModifiedBy>Bernacki, Genevieve</cp:lastModifiedBy>
  <cp:revision>2</cp:revision>
  <cp:lastPrinted>2018-03-15T00:45:00Z</cp:lastPrinted>
  <dcterms:created xsi:type="dcterms:W3CDTF">2018-03-15T16:57:00Z</dcterms:created>
  <dcterms:modified xsi:type="dcterms:W3CDTF">2018-03-15T16:57:00Z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rimRevisionNumber">
    <vt:i4>66</vt:i4>
  </property>
  <property fmtid="{D5CDD505-2E9C-101B-9397-08002B2CF9AE}" pid="4" name="TitusGUID">
    <vt:lpwstr>13f9cc56-c64d-4c2c-aef7-51919402672a</vt:lpwstr>
  </property>
  <property fmtid="{D5CDD505-2E9C-101B-9397-08002B2CF9AE}" pid="5" name="SEC">
    <vt:lpwstr>UNCLASSIFIED</vt:lpwstr>
  </property>
  <property fmtid="{D5CDD505-2E9C-101B-9397-08002B2CF9AE}" pid="6" name="DLM">
    <vt:lpwstr>No DLM</vt:lpwstr>
  </property>
</Properties>
</file>