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8F" w:rsidRDefault="001D5B21" w:rsidP="00C62E91">
      <w:pPr>
        <w:jc w:val="center"/>
        <w:rPr>
          <w:rFonts w:ascii="Times New Roman" w:hAnsi="Times New Roman"/>
          <w:b/>
          <w:sz w:val="28"/>
          <w:szCs w:val="28"/>
          <w:u w:val="single"/>
        </w:rPr>
      </w:pPr>
      <w:r w:rsidRPr="00C62E91">
        <w:rPr>
          <w:rFonts w:ascii="Times New Roman" w:hAnsi="Times New Roman"/>
          <w:b/>
          <w:sz w:val="28"/>
          <w:szCs w:val="28"/>
          <w:u w:val="single"/>
        </w:rPr>
        <w:t xml:space="preserve">Response of the Croatian Authorities regarding the Letter </w:t>
      </w:r>
      <w:r w:rsidR="00C62E91" w:rsidRPr="00C62E91">
        <w:rPr>
          <w:rFonts w:ascii="Times New Roman" w:hAnsi="Times New Roman"/>
          <w:b/>
          <w:sz w:val="28"/>
          <w:szCs w:val="28"/>
          <w:u w:val="single"/>
        </w:rPr>
        <w:t>from the Special Rapporteur on the promotion of the right to freedom of opinion and expression</w:t>
      </w:r>
    </w:p>
    <w:p w:rsidR="00C62E91" w:rsidRPr="00C62E91" w:rsidRDefault="00C62E91" w:rsidP="00C62E91">
      <w:pPr>
        <w:jc w:val="center"/>
        <w:rPr>
          <w:rFonts w:ascii="Times New Roman" w:hAnsi="Times New Roman"/>
          <w:b/>
          <w:sz w:val="24"/>
          <w:szCs w:val="24"/>
          <w:u w:val="single"/>
        </w:rPr>
      </w:pPr>
    </w:p>
    <w:p w:rsidR="00371ABF" w:rsidRDefault="00371ABF" w:rsidP="00371ABF">
      <w:pPr>
        <w:jc w:val="both"/>
        <w:rPr>
          <w:rFonts w:ascii="Times New Roman" w:hAnsi="Times New Roman"/>
          <w:sz w:val="24"/>
          <w:szCs w:val="24"/>
          <w:lang w:val="en-GB"/>
        </w:rPr>
      </w:pPr>
      <w:bookmarkStart w:id="0" w:name="_GoBack"/>
      <w:bookmarkEnd w:id="0"/>
      <w:proofErr w:type="gramStart"/>
      <w:r w:rsidRPr="00C62E91">
        <w:rPr>
          <w:rFonts w:ascii="Times New Roman" w:hAnsi="Times New Roman"/>
          <w:sz w:val="24"/>
          <w:szCs w:val="24"/>
          <w:lang w:val="en-GB"/>
        </w:rPr>
        <w:t xml:space="preserve">Regarding the consistency of Croatian laws with the Article 19 of the International Covenant </w:t>
      </w:r>
      <w:proofErr w:type="spellStart"/>
      <w:r w:rsidRPr="00C62E91">
        <w:rPr>
          <w:rFonts w:ascii="Times New Roman" w:hAnsi="Times New Roman"/>
          <w:sz w:val="24"/>
          <w:szCs w:val="24"/>
          <w:lang w:val="en-GB"/>
        </w:rPr>
        <w:t>of</w:t>
      </w:r>
      <w:proofErr w:type="spellEnd"/>
      <w:r w:rsidRPr="00C62E91">
        <w:rPr>
          <w:rFonts w:ascii="Times New Roman" w:hAnsi="Times New Roman"/>
          <w:sz w:val="24"/>
          <w:szCs w:val="24"/>
          <w:lang w:val="en-GB"/>
        </w:rPr>
        <w:t xml:space="preserve"> Civil and Political Rights and Universal Declaration of Human Rights, we would like to emphasize that the criminal offense of violating freedom of thought and expressing thoughts (Article 127 of the Criminal Code) is committing the one who denies or restricts the freedom of speech or public appearance, freedom of the press or other means of communication or the free establishment of a public communications institution.</w:t>
      </w:r>
      <w:proofErr w:type="gramEnd"/>
      <w:r w:rsidRPr="00C62E91">
        <w:rPr>
          <w:rFonts w:ascii="Times New Roman" w:hAnsi="Times New Roman"/>
          <w:sz w:val="24"/>
          <w:szCs w:val="24"/>
          <w:lang w:val="en-GB"/>
        </w:rPr>
        <w:t xml:space="preserve"> A prison sentence of up to one year </w:t>
      </w:r>
      <w:proofErr w:type="gramStart"/>
      <w:r w:rsidRPr="00C62E91">
        <w:rPr>
          <w:rFonts w:ascii="Times New Roman" w:hAnsi="Times New Roman"/>
          <w:sz w:val="24"/>
          <w:szCs w:val="24"/>
          <w:lang w:val="en-GB"/>
        </w:rPr>
        <w:t>is prescribed</w:t>
      </w:r>
      <w:proofErr w:type="gramEnd"/>
      <w:r w:rsidRPr="00C62E91">
        <w:rPr>
          <w:rFonts w:ascii="Times New Roman" w:hAnsi="Times New Roman"/>
          <w:sz w:val="24"/>
          <w:szCs w:val="24"/>
          <w:lang w:val="en-GB"/>
        </w:rPr>
        <w:t xml:space="preserve">. </w:t>
      </w:r>
      <w:proofErr w:type="gramStart"/>
      <w:r w:rsidRPr="00C62E91">
        <w:rPr>
          <w:rFonts w:ascii="Times New Roman" w:hAnsi="Times New Roman"/>
          <w:sz w:val="24"/>
          <w:szCs w:val="24"/>
          <w:lang w:val="en-GB"/>
        </w:rPr>
        <w:t>The same punishment shall also be imposed on the person who orders or carries out censorship, unlawfully denounces or restricts the freedom of reporting to the journalist, or who unlawfully prevents the printing, sale or distribution of books, magazines, newspapers or other printed matter, or production and broadcasting of radio and television programs, news agency programs, or the release of o</w:t>
      </w:r>
      <w:r>
        <w:rPr>
          <w:rFonts w:ascii="Times New Roman" w:hAnsi="Times New Roman"/>
          <w:sz w:val="24"/>
          <w:szCs w:val="24"/>
          <w:lang w:val="en-GB"/>
        </w:rPr>
        <w:t>ther media content.</w:t>
      </w:r>
      <w:proofErr w:type="gramEnd"/>
      <w:r>
        <w:rPr>
          <w:rFonts w:ascii="Times New Roman" w:hAnsi="Times New Roman"/>
          <w:sz w:val="24"/>
          <w:szCs w:val="24"/>
          <w:lang w:val="en-GB"/>
        </w:rPr>
        <w:t xml:space="preserve"> </w:t>
      </w:r>
    </w:p>
    <w:p w:rsidR="00C62E91" w:rsidRPr="00C62E91" w:rsidRDefault="00C62E91" w:rsidP="00C62E91">
      <w:pPr>
        <w:jc w:val="both"/>
        <w:rPr>
          <w:rFonts w:ascii="Times New Roman" w:hAnsi="Times New Roman"/>
          <w:sz w:val="24"/>
          <w:szCs w:val="24"/>
          <w:lang w:val="en-GB"/>
        </w:rPr>
      </w:pPr>
      <w:r w:rsidRPr="00C62E91">
        <w:rPr>
          <w:rFonts w:ascii="Times New Roman" w:hAnsi="Times New Roman"/>
          <w:sz w:val="24"/>
          <w:szCs w:val="24"/>
          <w:lang w:val="en-GB"/>
        </w:rPr>
        <w:t xml:space="preserve">The </w:t>
      </w:r>
      <w:proofErr w:type="gramStart"/>
      <w:r w:rsidRPr="00C62E91">
        <w:rPr>
          <w:rFonts w:ascii="Times New Roman" w:hAnsi="Times New Roman"/>
          <w:sz w:val="24"/>
          <w:szCs w:val="24"/>
          <w:lang w:val="en-GB"/>
        </w:rPr>
        <w:t>offense of racism and xenophobia committed by computer systems is regulated by the Article 325 of the Criminal Code, which reads</w:t>
      </w:r>
      <w:proofErr w:type="gramEnd"/>
      <w:r w:rsidRPr="00C62E91">
        <w:rPr>
          <w:rFonts w:ascii="Times New Roman" w:hAnsi="Times New Roman"/>
          <w:sz w:val="24"/>
          <w:szCs w:val="24"/>
          <w:lang w:val="en-GB"/>
        </w:rPr>
        <w:t>:</w:t>
      </w:r>
    </w:p>
    <w:p w:rsidR="00C62E91" w:rsidRPr="00C62E91" w:rsidRDefault="00C62E91" w:rsidP="00C62E91">
      <w:pPr>
        <w:jc w:val="both"/>
        <w:rPr>
          <w:rFonts w:ascii="Times New Roman" w:hAnsi="Times New Roman"/>
          <w:sz w:val="24"/>
          <w:szCs w:val="24"/>
          <w:lang w:val="en-GB"/>
        </w:rPr>
      </w:pPr>
      <w:proofErr w:type="gramStart"/>
      <w:r w:rsidRPr="00C62E91">
        <w:rPr>
          <w:rFonts w:ascii="Times New Roman" w:hAnsi="Times New Roman"/>
          <w:sz w:val="24"/>
          <w:szCs w:val="24"/>
          <w:lang w:val="en-GB"/>
        </w:rPr>
        <w:t>(1) Whoever in print, through radio, television, computer system or network, at a public rally or in some other way publicly incites to or makes available to the public tracts, pictures or other material instigating violence or hatred directed against a group of persons or a member of such a group on account of their race, religion, national or ethnic origin, descent, colour, gender, sexual orientation, gender identity, disability or any other characteristics shall be sentenced to imprisonment for a term of up to three years.</w:t>
      </w:r>
      <w:proofErr w:type="gramEnd"/>
    </w:p>
    <w:p w:rsidR="00C62E91" w:rsidRPr="00C62E91" w:rsidRDefault="00C62E91" w:rsidP="00C62E91">
      <w:pPr>
        <w:jc w:val="both"/>
        <w:rPr>
          <w:rFonts w:ascii="Times New Roman" w:hAnsi="Times New Roman"/>
          <w:sz w:val="24"/>
          <w:szCs w:val="24"/>
          <w:lang w:val="en-GB"/>
        </w:rPr>
      </w:pPr>
      <w:r w:rsidRPr="00C62E91">
        <w:rPr>
          <w:rFonts w:ascii="Times New Roman" w:hAnsi="Times New Roman"/>
          <w:sz w:val="24"/>
          <w:szCs w:val="24"/>
          <w:lang w:val="en-GB"/>
        </w:rPr>
        <w:t xml:space="preserve">(2) Whoever organizes or leads a group of three or more persons </w:t>
      </w:r>
      <w:proofErr w:type="gramStart"/>
      <w:r w:rsidRPr="00C62E91">
        <w:rPr>
          <w:rFonts w:ascii="Times New Roman" w:hAnsi="Times New Roman"/>
          <w:sz w:val="24"/>
          <w:szCs w:val="24"/>
          <w:lang w:val="en-GB"/>
        </w:rPr>
        <w:t>for the purpose of</w:t>
      </w:r>
      <w:proofErr w:type="gramEnd"/>
      <w:r w:rsidRPr="00C62E91">
        <w:rPr>
          <w:rFonts w:ascii="Times New Roman" w:hAnsi="Times New Roman"/>
          <w:sz w:val="24"/>
          <w:szCs w:val="24"/>
          <w:lang w:val="en-GB"/>
        </w:rPr>
        <w:t xml:space="preserve"> committing the offense referred to in paragraph 1 of this Article, shall be punished by imprisonment for a term between six months and five years.</w:t>
      </w:r>
    </w:p>
    <w:p w:rsidR="00C62E91" w:rsidRPr="00C62E91" w:rsidRDefault="00C62E91" w:rsidP="00C62E91">
      <w:pPr>
        <w:jc w:val="both"/>
        <w:rPr>
          <w:rFonts w:ascii="Times New Roman" w:hAnsi="Times New Roman"/>
          <w:sz w:val="24"/>
          <w:szCs w:val="24"/>
          <w:lang w:val="en-GB"/>
        </w:rPr>
      </w:pPr>
      <w:r w:rsidRPr="00C62E91">
        <w:rPr>
          <w:rFonts w:ascii="Times New Roman" w:hAnsi="Times New Roman"/>
          <w:sz w:val="24"/>
          <w:szCs w:val="24"/>
          <w:lang w:val="en-GB"/>
        </w:rPr>
        <w:t xml:space="preserve">(3) Whoever takes part in the association referred to in paragraph 2 of this </w:t>
      </w:r>
      <w:proofErr w:type="gramStart"/>
      <w:r w:rsidRPr="00C62E91">
        <w:rPr>
          <w:rFonts w:ascii="Times New Roman" w:hAnsi="Times New Roman"/>
          <w:sz w:val="24"/>
          <w:szCs w:val="24"/>
          <w:lang w:val="en-GB"/>
        </w:rPr>
        <w:t>Article,</w:t>
      </w:r>
      <w:proofErr w:type="gramEnd"/>
      <w:r w:rsidRPr="00C62E91">
        <w:rPr>
          <w:rFonts w:ascii="Times New Roman" w:hAnsi="Times New Roman"/>
          <w:sz w:val="24"/>
          <w:szCs w:val="24"/>
          <w:lang w:val="en-GB"/>
        </w:rPr>
        <w:t xml:space="preserve"> one shall be punished by imprisonment for a term not exceeding year.</w:t>
      </w:r>
    </w:p>
    <w:p w:rsidR="00C62E91" w:rsidRPr="00C62E91" w:rsidRDefault="00C62E91" w:rsidP="00C62E91">
      <w:pPr>
        <w:jc w:val="both"/>
        <w:rPr>
          <w:rFonts w:ascii="Times New Roman" w:hAnsi="Times New Roman"/>
          <w:sz w:val="24"/>
          <w:szCs w:val="24"/>
          <w:lang w:val="en-GB"/>
        </w:rPr>
      </w:pPr>
      <w:proofErr w:type="gramStart"/>
      <w:r w:rsidRPr="00C62E91">
        <w:rPr>
          <w:rFonts w:ascii="Times New Roman" w:hAnsi="Times New Roman"/>
          <w:sz w:val="24"/>
          <w:szCs w:val="24"/>
          <w:lang w:val="en-GB"/>
        </w:rPr>
        <w:t>(4) The sentence referred to in paragraph 1 of this Article shall be imposed on whoever publicly approves of, denies or grossly trivialises the crimes of genocide, crimes of aggression, crimes against humanity or war crimes, directed against a group of persons or a member of such a group on account of their race, religion, national or ethnic origin, descent or colour in a manner likely to incite to violence or hatred against such a group or a member of such a group.</w:t>
      </w:r>
      <w:proofErr w:type="gramEnd"/>
    </w:p>
    <w:p w:rsidR="00C62E91" w:rsidRPr="00C62E91" w:rsidRDefault="00C62E91" w:rsidP="00C62E91">
      <w:pPr>
        <w:jc w:val="both"/>
        <w:rPr>
          <w:rFonts w:ascii="Times New Roman" w:hAnsi="Times New Roman"/>
          <w:sz w:val="24"/>
          <w:szCs w:val="24"/>
          <w:lang w:val="en-GB"/>
        </w:rPr>
      </w:pPr>
      <w:r w:rsidRPr="00C62E91">
        <w:rPr>
          <w:rFonts w:ascii="Times New Roman" w:hAnsi="Times New Roman"/>
          <w:sz w:val="24"/>
          <w:szCs w:val="24"/>
          <w:lang w:val="en-GB"/>
        </w:rPr>
        <w:t xml:space="preserve">(5) The perpetrator who attempts to commit the criminal offence referred to in paragraph 1 or 2 of this Article </w:t>
      </w:r>
      <w:proofErr w:type="gramStart"/>
      <w:r w:rsidRPr="00C62E91">
        <w:rPr>
          <w:rFonts w:ascii="Times New Roman" w:hAnsi="Times New Roman"/>
          <w:sz w:val="24"/>
          <w:szCs w:val="24"/>
          <w:lang w:val="en-GB"/>
        </w:rPr>
        <w:t>shall be punished</w:t>
      </w:r>
      <w:proofErr w:type="gramEnd"/>
      <w:r w:rsidRPr="00C62E91">
        <w:rPr>
          <w:rFonts w:ascii="Times New Roman" w:hAnsi="Times New Roman"/>
          <w:sz w:val="24"/>
          <w:szCs w:val="24"/>
          <w:lang w:val="en-GB"/>
        </w:rPr>
        <w:t>.</w:t>
      </w:r>
    </w:p>
    <w:p w:rsidR="00C62E91" w:rsidRDefault="00513B18" w:rsidP="00C62E91">
      <w:pPr>
        <w:jc w:val="both"/>
        <w:rPr>
          <w:rFonts w:ascii="Times New Roman" w:hAnsi="Times New Roman"/>
          <w:sz w:val="24"/>
          <w:szCs w:val="24"/>
          <w:lang w:val="en-GB"/>
        </w:rPr>
      </w:pPr>
      <w:r w:rsidRPr="00513B18">
        <w:rPr>
          <w:rFonts w:ascii="Times New Roman" w:hAnsi="Times New Roman"/>
          <w:sz w:val="24"/>
          <w:szCs w:val="24"/>
          <w:lang w:val="en-GB"/>
        </w:rPr>
        <w:t>The Electronic Media Council (Council) manages the Electronic Media Agency and carries out the duties of a regulatory body in the area of electronic media. The Council is not competent for implementing legislative measures, administrative regulation, judicial decisions and other public policies and measures that impose obligations on social media and search platforms and/or platform users in order to remove, restrict or other regulate on-line content.</w:t>
      </w:r>
      <w:r w:rsidR="00FB6D1D">
        <w:rPr>
          <w:rFonts w:ascii="Times New Roman" w:hAnsi="Times New Roman"/>
          <w:sz w:val="24"/>
          <w:szCs w:val="24"/>
          <w:lang w:val="en-GB"/>
        </w:rPr>
        <w:t xml:space="preserve"> </w:t>
      </w:r>
    </w:p>
    <w:p w:rsidR="00FB6D1D" w:rsidRDefault="00FB6D1D" w:rsidP="00C62E91">
      <w:pPr>
        <w:jc w:val="both"/>
        <w:rPr>
          <w:rFonts w:ascii="Times New Roman" w:hAnsi="Times New Roman"/>
          <w:sz w:val="24"/>
          <w:szCs w:val="24"/>
          <w:lang w:val="en-GB"/>
        </w:rPr>
      </w:pPr>
      <w:r w:rsidRPr="00FB6D1D">
        <w:rPr>
          <w:rFonts w:ascii="Times New Roman" w:hAnsi="Times New Roman"/>
          <w:sz w:val="24"/>
          <w:szCs w:val="24"/>
          <w:lang w:val="en-GB"/>
        </w:rPr>
        <w:t xml:space="preserve">The Council </w:t>
      </w:r>
      <w:proofErr w:type="gramStart"/>
      <w:r w:rsidRPr="00FB6D1D">
        <w:rPr>
          <w:rFonts w:ascii="Times New Roman" w:hAnsi="Times New Roman"/>
          <w:sz w:val="24"/>
          <w:szCs w:val="24"/>
          <w:lang w:val="en-GB"/>
        </w:rPr>
        <w:t>doesn’t</w:t>
      </w:r>
      <w:proofErr w:type="gramEnd"/>
      <w:r w:rsidRPr="00FB6D1D">
        <w:rPr>
          <w:rFonts w:ascii="Times New Roman" w:hAnsi="Times New Roman"/>
          <w:sz w:val="24"/>
          <w:szCs w:val="24"/>
          <w:lang w:val="en-GB"/>
        </w:rPr>
        <w:t xml:space="preserve"> handle on an ongoing basis requests or demands (weather formal or informal) to these platforms to voluntarily remove, restrict or otherwise regulate content.</w:t>
      </w:r>
    </w:p>
    <w:p w:rsidR="00513B18" w:rsidRPr="00513B18" w:rsidRDefault="00371ABF"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lastRenderedPageBreak/>
        <w:t xml:space="preserve"> </w:t>
      </w:r>
      <w:proofErr w:type="gramStart"/>
      <w:r w:rsidR="00513B18" w:rsidRPr="00513B18">
        <w:rPr>
          <w:rFonts w:ascii="Times New Roman" w:hAnsi="Times New Roman"/>
          <w:sz w:val="24"/>
          <w:szCs w:val="24"/>
          <w:lang w:val="en-GB"/>
        </w:rPr>
        <w:t xml:space="preserve">“The  Anti-Discrimination  Act (National Gazette, No. 85/08, 112/12), in  force  since  1  January  2009,  introduces  an  elaborated  anti-discrimination protection for a large scope of discrimination grounds (race or ethnicity or skin </w:t>
      </w:r>
      <w:proofErr w:type="spellStart"/>
      <w:r w:rsidR="00513B18" w:rsidRPr="00513B18">
        <w:rPr>
          <w:rFonts w:ascii="Times New Roman" w:hAnsi="Times New Roman"/>
          <w:sz w:val="24"/>
          <w:szCs w:val="24"/>
          <w:lang w:val="en-GB"/>
        </w:rPr>
        <w:t>color</w:t>
      </w:r>
      <w:proofErr w:type="spellEnd"/>
      <w:r w:rsidR="00513B18" w:rsidRPr="00513B18">
        <w:rPr>
          <w:rFonts w:ascii="Times New Roman" w:hAnsi="Times New Roman"/>
          <w:sz w:val="24"/>
          <w:szCs w:val="24"/>
          <w:lang w:val="en-GB"/>
        </w:rPr>
        <w:t>, sex, language, religion, political or other beliefs, national or social origins, economical status, trade union membership, education, social status, marital or family  status,  age,  health  condition,  disability,  genetic heritage, gender identity, expression or sexual orientation) and on a very wide field.</w:t>
      </w:r>
      <w:proofErr w:type="gramEnd"/>
      <w:r w:rsidR="00513B18" w:rsidRPr="00513B18">
        <w:rPr>
          <w:rFonts w:ascii="Times New Roman" w:hAnsi="Times New Roman"/>
          <w:sz w:val="24"/>
          <w:szCs w:val="24"/>
          <w:lang w:val="en-GB"/>
        </w:rPr>
        <w:t xml:space="preserve">  </w:t>
      </w: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 xml:space="preserve">According to Article </w:t>
      </w:r>
      <w:proofErr w:type="gramStart"/>
      <w:r w:rsidRPr="00513B18">
        <w:rPr>
          <w:rFonts w:ascii="Times New Roman" w:hAnsi="Times New Roman"/>
          <w:sz w:val="24"/>
          <w:szCs w:val="24"/>
          <w:lang w:val="en-GB"/>
        </w:rPr>
        <w:t>8.,</w:t>
      </w:r>
      <w:proofErr w:type="gramEnd"/>
      <w:r w:rsidRPr="00513B18">
        <w:rPr>
          <w:rFonts w:ascii="Times New Roman" w:hAnsi="Times New Roman"/>
          <w:sz w:val="24"/>
          <w:szCs w:val="24"/>
          <w:lang w:val="en-GB"/>
        </w:rPr>
        <w:t xml:space="preserve"> the Act applies to the conduct of all state bodies, bodies of local and regional self-government units, legal persons vested with public authority, and to the conduct of all legal and natural persons. Public informing and the media is among the emphasized areas to which the act applies. </w:t>
      </w: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On the policy level, in December 2017 the Government of the Republic of Croatia has adopted the National Plan to Combat Discrimination for period 2017-2022 and the accompanying Action Plan for implementation of the National Plan to Combat Discrimination for period 2017-2019. The Action Plan contains concrete measures with responsible authorities, deadlines, indicators and financial sources to implement objectives set in the National Plan for the first three years of implementation.</w:t>
      </w: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 xml:space="preserve">As the working group for drafting the National Plan has identified the importance of   continuous educations of public authorities and awareness raising in tackling hate speech, this issue </w:t>
      </w:r>
      <w:proofErr w:type="gramStart"/>
      <w:r w:rsidRPr="00513B18">
        <w:rPr>
          <w:rFonts w:ascii="Times New Roman" w:hAnsi="Times New Roman"/>
          <w:sz w:val="24"/>
          <w:szCs w:val="24"/>
          <w:lang w:val="en-GB"/>
        </w:rPr>
        <w:t>has been addressed</w:t>
      </w:r>
      <w:proofErr w:type="gramEnd"/>
      <w:r w:rsidRPr="00513B18">
        <w:rPr>
          <w:rFonts w:ascii="Times New Roman" w:hAnsi="Times New Roman"/>
          <w:sz w:val="24"/>
          <w:szCs w:val="24"/>
          <w:lang w:val="en-GB"/>
        </w:rPr>
        <w:t xml:space="preserve"> in two priority areas, judiciary and public information/media, with the following activities (measures):  </w:t>
      </w: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w:t>
      </w:r>
      <w:r w:rsidRPr="00513B18">
        <w:rPr>
          <w:rFonts w:ascii="Times New Roman" w:hAnsi="Times New Roman"/>
          <w:sz w:val="24"/>
          <w:szCs w:val="24"/>
          <w:lang w:val="en-GB"/>
        </w:rPr>
        <w:tab/>
        <w:t>Organizing professional seminars on provisions of Criminal Code regarding hate crimes and hate speech for judges, attorneys, state attorneys, police and representatives of civil society organizations, especially regarding the hate crime towards members of national minorities and because of sexual orientation</w:t>
      </w: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w:t>
      </w:r>
      <w:r w:rsidRPr="00513B18">
        <w:rPr>
          <w:rFonts w:ascii="Times New Roman" w:hAnsi="Times New Roman"/>
          <w:sz w:val="24"/>
          <w:szCs w:val="24"/>
          <w:lang w:val="en-GB"/>
        </w:rPr>
        <w:tab/>
        <w:t>Organization of round tables on subject of discrimination, hate crime and hate speech</w:t>
      </w: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w:t>
      </w:r>
      <w:r w:rsidRPr="00513B18">
        <w:rPr>
          <w:rFonts w:ascii="Times New Roman" w:hAnsi="Times New Roman"/>
          <w:sz w:val="24"/>
          <w:szCs w:val="24"/>
          <w:lang w:val="en-GB"/>
        </w:rPr>
        <w:tab/>
        <w:t xml:space="preserve">Monitoring the implementation of the Code of Conduct on countering illegal hate speech online </w:t>
      </w: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w:t>
      </w:r>
      <w:r w:rsidRPr="00513B18">
        <w:rPr>
          <w:rFonts w:ascii="Times New Roman" w:hAnsi="Times New Roman"/>
          <w:sz w:val="24"/>
          <w:szCs w:val="24"/>
          <w:lang w:val="en-GB"/>
        </w:rPr>
        <w:tab/>
        <w:t>Systematically educate the journalists and editors as well as other professional groups involved in production of media content on methods of fighting discrimination in media</w:t>
      </w:r>
    </w:p>
    <w:p w:rsidR="00513B18" w:rsidRPr="00513B18" w:rsidRDefault="00513B18" w:rsidP="00513B18">
      <w:pPr>
        <w:spacing w:before="120" w:after="120" w:line="280" w:lineRule="atLeast"/>
        <w:outlineLvl w:val="0"/>
        <w:rPr>
          <w:rFonts w:ascii="Times New Roman" w:hAnsi="Times New Roman"/>
          <w:sz w:val="24"/>
          <w:szCs w:val="24"/>
          <w:lang w:val="en-GB"/>
        </w:rPr>
      </w:pPr>
    </w:p>
    <w:p w:rsidR="00513B18" w:rsidRPr="00513B18" w:rsidRDefault="00513B18" w:rsidP="00513B18">
      <w:pPr>
        <w:spacing w:before="120" w:after="120" w:line="280" w:lineRule="atLeast"/>
        <w:outlineLvl w:val="0"/>
        <w:rPr>
          <w:rFonts w:ascii="Times New Roman" w:hAnsi="Times New Roman"/>
          <w:sz w:val="24"/>
          <w:szCs w:val="24"/>
          <w:lang w:val="en-GB"/>
        </w:rPr>
      </w:pPr>
      <w:r w:rsidRPr="00513B18">
        <w:rPr>
          <w:rFonts w:ascii="Times New Roman" w:hAnsi="Times New Roman"/>
          <w:sz w:val="24"/>
          <w:szCs w:val="24"/>
          <w:lang w:val="en-GB"/>
        </w:rPr>
        <w:t xml:space="preserve">Since social networks </w:t>
      </w:r>
      <w:proofErr w:type="gramStart"/>
      <w:r w:rsidRPr="00513B18">
        <w:rPr>
          <w:rFonts w:ascii="Times New Roman" w:hAnsi="Times New Roman"/>
          <w:sz w:val="24"/>
          <w:szCs w:val="24"/>
          <w:lang w:val="en-GB"/>
        </w:rPr>
        <w:t>have been recognized</w:t>
      </w:r>
      <w:proofErr w:type="gramEnd"/>
      <w:r w:rsidRPr="00513B18">
        <w:rPr>
          <w:rFonts w:ascii="Times New Roman" w:hAnsi="Times New Roman"/>
          <w:sz w:val="24"/>
          <w:szCs w:val="24"/>
          <w:lang w:val="en-GB"/>
        </w:rPr>
        <w:t xml:space="preserve"> as the most critical hate speech surroundings, the responsible authorities within this frame are expected to provide adequate response by training the key stakeholders and raising awareness about destructive effects of hate speech on the community. </w:t>
      </w:r>
    </w:p>
    <w:p w:rsidR="00C62E91" w:rsidRPr="00371ABF" w:rsidRDefault="00513B18" w:rsidP="00371ABF">
      <w:pPr>
        <w:spacing w:before="120" w:after="120" w:line="280" w:lineRule="atLeast"/>
        <w:outlineLvl w:val="0"/>
        <w:rPr>
          <w:i/>
          <w:sz w:val="20"/>
          <w:szCs w:val="20"/>
        </w:rPr>
      </w:pPr>
      <w:r w:rsidRPr="00513B18">
        <w:rPr>
          <w:rFonts w:ascii="Times New Roman" w:hAnsi="Times New Roman"/>
          <w:sz w:val="24"/>
          <w:szCs w:val="24"/>
          <w:lang w:val="en-GB"/>
        </w:rPr>
        <w:t xml:space="preserve">When it comes to the monitoring of the Code of conduct on countering illegal hate speech online, an agreement between the European Commission and IT companies (Facebook, Google, Twitter, Microsoft) on hate speech removal, although the EU initiative, by inclusion into the </w:t>
      </w:r>
      <w:proofErr w:type="spellStart"/>
      <w:r w:rsidRPr="00513B18">
        <w:rPr>
          <w:rFonts w:ascii="Times New Roman" w:hAnsi="Times New Roman"/>
          <w:sz w:val="24"/>
          <w:szCs w:val="24"/>
          <w:lang w:val="en-GB"/>
        </w:rPr>
        <w:t>the</w:t>
      </w:r>
      <w:proofErr w:type="spellEnd"/>
      <w:r w:rsidRPr="00513B18">
        <w:rPr>
          <w:rFonts w:ascii="Times New Roman" w:hAnsi="Times New Roman"/>
          <w:sz w:val="24"/>
          <w:szCs w:val="24"/>
          <w:lang w:val="en-GB"/>
        </w:rPr>
        <w:t xml:space="preserve"> National Plan it also became a part of the national policy in a certain way. Croatia has participated in the </w:t>
      </w:r>
      <w:proofErr w:type="gramStart"/>
      <w:r w:rsidRPr="00513B18">
        <w:rPr>
          <w:rFonts w:ascii="Times New Roman" w:hAnsi="Times New Roman"/>
          <w:sz w:val="24"/>
          <w:szCs w:val="24"/>
          <w:lang w:val="en-GB"/>
        </w:rPr>
        <w:t>2nd</w:t>
      </w:r>
      <w:proofErr w:type="gramEnd"/>
      <w:r w:rsidRPr="00513B18">
        <w:rPr>
          <w:rFonts w:ascii="Times New Roman" w:hAnsi="Times New Roman"/>
          <w:sz w:val="24"/>
          <w:szCs w:val="24"/>
          <w:lang w:val="en-GB"/>
        </w:rPr>
        <w:t xml:space="preserve"> and 3rd round of monitoring and the process is done through the cooperation of the European Commission, the Centre for Peace Studies (NGO) and the Office for Human Rights and Rights of National Minorities</w:t>
      </w:r>
      <w:r>
        <w:rPr>
          <w:rFonts w:ascii="Times New Roman" w:hAnsi="Times New Roman"/>
          <w:sz w:val="24"/>
          <w:szCs w:val="24"/>
          <w:lang w:val="en-GB"/>
        </w:rPr>
        <w:t>.</w:t>
      </w:r>
    </w:p>
    <w:sectPr w:rsidR="00C62E91" w:rsidRPr="00371ABF">
      <w:headerReference w:type="default" r:id="rId12"/>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BB7" w:rsidRDefault="008C5BB7">
      <w:pPr>
        <w:spacing w:after="0" w:line="240" w:lineRule="auto"/>
      </w:pPr>
      <w:r>
        <w:separator/>
      </w:r>
    </w:p>
  </w:endnote>
  <w:endnote w:type="continuationSeparator" w:id="0">
    <w:p w:rsidR="008C5BB7" w:rsidRDefault="008C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BB7" w:rsidRDefault="008C5BB7">
      <w:pPr>
        <w:spacing w:after="0" w:line="240" w:lineRule="auto"/>
      </w:pPr>
      <w:r>
        <w:separator/>
      </w:r>
    </w:p>
  </w:footnote>
  <w:footnote w:type="continuationSeparator" w:id="0">
    <w:p w:rsidR="008C5BB7" w:rsidRDefault="008C5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CA1" w:rsidRDefault="00514CA1">
    <w:pPr>
      <w:pStyle w:val="Header"/>
      <w:tabs>
        <w:tab w:val="clear" w:pos="4513"/>
        <w:tab w:val="clear" w:pos="9026"/>
        <w:tab w:val="left" w:pos="80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839"/>
    <w:multiLevelType w:val="hybridMultilevel"/>
    <w:tmpl w:val="2FB0B8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4531A2"/>
    <w:multiLevelType w:val="hybridMultilevel"/>
    <w:tmpl w:val="EE3C1DC2"/>
    <w:lvl w:ilvl="0" w:tplc="1F30B9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3EED4E3A"/>
    <w:multiLevelType w:val="hybridMultilevel"/>
    <w:tmpl w:val="AA1A3414"/>
    <w:lvl w:ilvl="0" w:tplc="F4C26ADC">
      <w:start w:val="1"/>
      <w:numFmt w:val="bullet"/>
      <w:lvlText w:val="-"/>
      <w:lvlJc w:val="left"/>
      <w:pPr>
        <w:ind w:left="1776" w:hanging="360"/>
      </w:pPr>
      <w:rPr>
        <w:rFonts w:ascii="Arial" w:eastAsia="Calibri" w:hAnsi="Arial" w:cs="Arial" w:hint="default"/>
        <w:b/>
      </w:rPr>
    </w:lvl>
    <w:lvl w:ilvl="1" w:tplc="FCACFDA2" w:tentative="1">
      <w:start w:val="1"/>
      <w:numFmt w:val="bullet"/>
      <w:lvlText w:val="o"/>
      <w:lvlJc w:val="left"/>
      <w:pPr>
        <w:ind w:left="2496" w:hanging="360"/>
      </w:pPr>
      <w:rPr>
        <w:rFonts w:ascii="Courier New" w:hAnsi="Courier New" w:cs="Courier New" w:hint="default"/>
      </w:rPr>
    </w:lvl>
    <w:lvl w:ilvl="2" w:tplc="EB68BAAE" w:tentative="1">
      <w:start w:val="1"/>
      <w:numFmt w:val="bullet"/>
      <w:lvlText w:val=""/>
      <w:lvlJc w:val="left"/>
      <w:pPr>
        <w:ind w:left="3216" w:hanging="360"/>
      </w:pPr>
      <w:rPr>
        <w:rFonts w:ascii="Wingdings" w:hAnsi="Wingdings" w:hint="default"/>
      </w:rPr>
    </w:lvl>
    <w:lvl w:ilvl="3" w:tplc="226033C8" w:tentative="1">
      <w:start w:val="1"/>
      <w:numFmt w:val="bullet"/>
      <w:lvlText w:val=""/>
      <w:lvlJc w:val="left"/>
      <w:pPr>
        <w:ind w:left="3936" w:hanging="360"/>
      </w:pPr>
      <w:rPr>
        <w:rFonts w:ascii="Symbol" w:hAnsi="Symbol" w:hint="default"/>
      </w:rPr>
    </w:lvl>
    <w:lvl w:ilvl="4" w:tplc="DC3C7F1C" w:tentative="1">
      <w:start w:val="1"/>
      <w:numFmt w:val="bullet"/>
      <w:lvlText w:val="o"/>
      <w:lvlJc w:val="left"/>
      <w:pPr>
        <w:ind w:left="4656" w:hanging="360"/>
      </w:pPr>
      <w:rPr>
        <w:rFonts w:ascii="Courier New" w:hAnsi="Courier New" w:cs="Courier New" w:hint="default"/>
      </w:rPr>
    </w:lvl>
    <w:lvl w:ilvl="5" w:tplc="C084114E" w:tentative="1">
      <w:start w:val="1"/>
      <w:numFmt w:val="bullet"/>
      <w:lvlText w:val=""/>
      <w:lvlJc w:val="left"/>
      <w:pPr>
        <w:ind w:left="5376" w:hanging="360"/>
      </w:pPr>
      <w:rPr>
        <w:rFonts w:ascii="Wingdings" w:hAnsi="Wingdings" w:hint="default"/>
      </w:rPr>
    </w:lvl>
    <w:lvl w:ilvl="6" w:tplc="4016EA8A" w:tentative="1">
      <w:start w:val="1"/>
      <w:numFmt w:val="bullet"/>
      <w:lvlText w:val=""/>
      <w:lvlJc w:val="left"/>
      <w:pPr>
        <w:ind w:left="6096" w:hanging="360"/>
      </w:pPr>
      <w:rPr>
        <w:rFonts w:ascii="Symbol" w:hAnsi="Symbol" w:hint="default"/>
      </w:rPr>
    </w:lvl>
    <w:lvl w:ilvl="7" w:tplc="77347572" w:tentative="1">
      <w:start w:val="1"/>
      <w:numFmt w:val="bullet"/>
      <w:lvlText w:val="o"/>
      <w:lvlJc w:val="left"/>
      <w:pPr>
        <w:ind w:left="6816" w:hanging="360"/>
      </w:pPr>
      <w:rPr>
        <w:rFonts w:ascii="Courier New" w:hAnsi="Courier New" w:cs="Courier New" w:hint="default"/>
      </w:rPr>
    </w:lvl>
    <w:lvl w:ilvl="8" w:tplc="062C3D02" w:tentative="1">
      <w:start w:val="1"/>
      <w:numFmt w:val="bullet"/>
      <w:lvlText w:val=""/>
      <w:lvlJc w:val="left"/>
      <w:pPr>
        <w:ind w:left="7536" w:hanging="360"/>
      </w:pPr>
      <w:rPr>
        <w:rFonts w:ascii="Wingdings" w:hAnsi="Wingdings" w:hint="default"/>
      </w:rPr>
    </w:lvl>
  </w:abstractNum>
  <w:abstractNum w:abstractNumId="3" w15:restartNumberingAfterBreak="0">
    <w:nsid w:val="4B511C36"/>
    <w:multiLevelType w:val="hybridMultilevel"/>
    <w:tmpl w:val="1F1CB9DC"/>
    <w:lvl w:ilvl="0" w:tplc="EA404C8C">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4" w15:restartNumberingAfterBreak="0">
    <w:nsid w:val="7A416A77"/>
    <w:multiLevelType w:val="hybridMultilevel"/>
    <w:tmpl w:val="0D2CCAB2"/>
    <w:lvl w:ilvl="0" w:tplc="3398C910">
      <w:numFmt w:val="bullet"/>
      <w:lvlText w:val="-"/>
      <w:lvlJc w:val="left"/>
      <w:pPr>
        <w:ind w:left="720" w:hanging="360"/>
      </w:pPr>
      <w:rPr>
        <w:rFonts w:ascii="Arial" w:eastAsia="Calibri" w:hAnsi="Arial" w:cs="Arial" w:hint="default"/>
      </w:rPr>
    </w:lvl>
    <w:lvl w:ilvl="1" w:tplc="099623A8" w:tentative="1">
      <w:start w:val="1"/>
      <w:numFmt w:val="bullet"/>
      <w:lvlText w:val="o"/>
      <w:lvlJc w:val="left"/>
      <w:pPr>
        <w:ind w:left="1440" w:hanging="360"/>
      </w:pPr>
      <w:rPr>
        <w:rFonts w:ascii="Courier New" w:hAnsi="Courier New" w:cs="Courier New" w:hint="default"/>
      </w:rPr>
    </w:lvl>
    <w:lvl w:ilvl="2" w:tplc="28D031B6" w:tentative="1">
      <w:start w:val="1"/>
      <w:numFmt w:val="bullet"/>
      <w:lvlText w:val=""/>
      <w:lvlJc w:val="left"/>
      <w:pPr>
        <w:ind w:left="2160" w:hanging="360"/>
      </w:pPr>
      <w:rPr>
        <w:rFonts w:ascii="Wingdings" w:hAnsi="Wingdings" w:hint="default"/>
      </w:rPr>
    </w:lvl>
    <w:lvl w:ilvl="3" w:tplc="9D5C7900" w:tentative="1">
      <w:start w:val="1"/>
      <w:numFmt w:val="bullet"/>
      <w:lvlText w:val=""/>
      <w:lvlJc w:val="left"/>
      <w:pPr>
        <w:ind w:left="2880" w:hanging="360"/>
      </w:pPr>
      <w:rPr>
        <w:rFonts w:ascii="Symbol" w:hAnsi="Symbol" w:hint="default"/>
      </w:rPr>
    </w:lvl>
    <w:lvl w:ilvl="4" w:tplc="807CA454" w:tentative="1">
      <w:start w:val="1"/>
      <w:numFmt w:val="bullet"/>
      <w:lvlText w:val="o"/>
      <w:lvlJc w:val="left"/>
      <w:pPr>
        <w:ind w:left="3600" w:hanging="360"/>
      </w:pPr>
      <w:rPr>
        <w:rFonts w:ascii="Courier New" w:hAnsi="Courier New" w:cs="Courier New" w:hint="default"/>
      </w:rPr>
    </w:lvl>
    <w:lvl w:ilvl="5" w:tplc="A9CA3546" w:tentative="1">
      <w:start w:val="1"/>
      <w:numFmt w:val="bullet"/>
      <w:lvlText w:val=""/>
      <w:lvlJc w:val="left"/>
      <w:pPr>
        <w:ind w:left="4320" w:hanging="360"/>
      </w:pPr>
      <w:rPr>
        <w:rFonts w:ascii="Wingdings" w:hAnsi="Wingdings" w:hint="default"/>
      </w:rPr>
    </w:lvl>
    <w:lvl w:ilvl="6" w:tplc="1D7201CC" w:tentative="1">
      <w:start w:val="1"/>
      <w:numFmt w:val="bullet"/>
      <w:lvlText w:val=""/>
      <w:lvlJc w:val="left"/>
      <w:pPr>
        <w:ind w:left="5040" w:hanging="360"/>
      </w:pPr>
      <w:rPr>
        <w:rFonts w:ascii="Symbol" w:hAnsi="Symbol" w:hint="default"/>
      </w:rPr>
    </w:lvl>
    <w:lvl w:ilvl="7" w:tplc="631823F0" w:tentative="1">
      <w:start w:val="1"/>
      <w:numFmt w:val="bullet"/>
      <w:lvlText w:val="o"/>
      <w:lvlJc w:val="left"/>
      <w:pPr>
        <w:ind w:left="5760" w:hanging="360"/>
      </w:pPr>
      <w:rPr>
        <w:rFonts w:ascii="Courier New" w:hAnsi="Courier New" w:cs="Courier New" w:hint="default"/>
      </w:rPr>
    </w:lvl>
    <w:lvl w:ilvl="8" w:tplc="2850EFDC"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66"/>
    <w:rsid w:val="000023F4"/>
    <w:rsid w:val="0001323C"/>
    <w:rsid w:val="00053AA0"/>
    <w:rsid w:val="00054488"/>
    <w:rsid w:val="00054AB2"/>
    <w:rsid w:val="00066522"/>
    <w:rsid w:val="00077420"/>
    <w:rsid w:val="000811E2"/>
    <w:rsid w:val="00081359"/>
    <w:rsid w:val="000A1B51"/>
    <w:rsid w:val="000A30E6"/>
    <w:rsid w:val="000A4B60"/>
    <w:rsid w:val="000C0922"/>
    <w:rsid w:val="000D1C27"/>
    <w:rsid w:val="000F4AF6"/>
    <w:rsid w:val="0014379B"/>
    <w:rsid w:val="00156109"/>
    <w:rsid w:val="00163522"/>
    <w:rsid w:val="00171142"/>
    <w:rsid w:val="00196E40"/>
    <w:rsid w:val="001B4D05"/>
    <w:rsid w:val="001C39D3"/>
    <w:rsid w:val="001D5B21"/>
    <w:rsid w:val="002122A4"/>
    <w:rsid w:val="00212FF7"/>
    <w:rsid w:val="002209B8"/>
    <w:rsid w:val="002276B5"/>
    <w:rsid w:val="002455B1"/>
    <w:rsid w:val="002533E5"/>
    <w:rsid w:val="00254C84"/>
    <w:rsid w:val="00264156"/>
    <w:rsid w:val="002711DD"/>
    <w:rsid w:val="00271280"/>
    <w:rsid w:val="00276306"/>
    <w:rsid w:val="00291669"/>
    <w:rsid w:val="00296FE8"/>
    <w:rsid w:val="002B19AD"/>
    <w:rsid w:val="002C2933"/>
    <w:rsid w:val="002D1FFD"/>
    <w:rsid w:val="002D226C"/>
    <w:rsid w:val="002D2D54"/>
    <w:rsid w:val="002E7DB6"/>
    <w:rsid w:val="002F648E"/>
    <w:rsid w:val="00302F3E"/>
    <w:rsid w:val="00311E06"/>
    <w:rsid w:val="00313109"/>
    <w:rsid w:val="00316475"/>
    <w:rsid w:val="00336E1D"/>
    <w:rsid w:val="00353342"/>
    <w:rsid w:val="00363EF5"/>
    <w:rsid w:val="00371ABF"/>
    <w:rsid w:val="00376390"/>
    <w:rsid w:val="0039579F"/>
    <w:rsid w:val="003A2813"/>
    <w:rsid w:val="003D19F4"/>
    <w:rsid w:val="003D35B2"/>
    <w:rsid w:val="003D451D"/>
    <w:rsid w:val="003F06FE"/>
    <w:rsid w:val="00420A4D"/>
    <w:rsid w:val="0042166C"/>
    <w:rsid w:val="00425A44"/>
    <w:rsid w:val="00433B34"/>
    <w:rsid w:val="00452CAF"/>
    <w:rsid w:val="004759E3"/>
    <w:rsid w:val="0047637E"/>
    <w:rsid w:val="0048194D"/>
    <w:rsid w:val="00490B29"/>
    <w:rsid w:val="00492A7E"/>
    <w:rsid w:val="00493096"/>
    <w:rsid w:val="004E458F"/>
    <w:rsid w:val="00502024"/>
    <w:rsid w:val="00513B18"/>
    <w:rsid w:val="00514CA1"/>
    <w:rsid w:val="00516649"/>
    <w:rsid w:val="00517C83"/>
    <w:rsid w:val="00520500"/>
    <w:rsid w:val="005233A1"/>
    <w:rsid w:val="00524219"/>
    <w:rsid w:val="00527F7E"/>
    <w:rsid w:val="00543302"/>
    <w:rsid w:val="0054344F"/>
    <w:rsid w:val="00543A6C"/>
    <w:rsid w:val="00571CE3"/>
    <w:rsid w:val="005904C0"/>
    <w:rsid w:val="00593469"/>
    <w:rsid w:val="005A1A92"/>
    <w:rsid w:val="005A2FC0"/>
    <w:rsid w:val="005A2FFA"/>
    <w:rsid w:val="005B31FA"/>
    <w:rsid w:val="005B32A8"/>
    <w:rsid w:val="005C722C"/>
    <w:rsid w:val="005E3241"/>
    <w:rsid w:val="005E545A"/>
    <w:rsid w:val="005E69AB"/>
    <w:rsid w:val="00600579"/>
    <w:rsid w:val="00600BEE"/>
    <w:rsid w:val="00625A2C"/>
    <w:rsid w:val="006433AA"/>
    <w:rsid w:val="00645FB1"/>
    <w:rsid w:val="00654EEF"/>
    <w:rsid w:val="00655A9E"/>
    <w:rsid w:val="00662160"/>
    <w:rsid w:val="00686B7C"/>
    <w:rsid w:val="006B272B"/>
    <w:rsid w:val="006B50BD"/>
    <w:rsid w:val="006C235C"/>
    <w:rsid w:val="006E270E"/>
    <w:rsid w:val="006F1319"/>
    <w:rsid w:val="006F3ABF"/>
    <w:rsid w:val="00706255"/>
    <w:rsid w:val="00734EC0"/>
    <w:rsid w:val="00737035"/>
    <w:rsid w:val="007517DA"/>
    <w:rsid w:val="00751A87"/>
    <w:rsid w:val="00765795"/>
    <w:rsid w:val="00775B2F"/>
    <w:rsid w:val="007A0C29"/>
    <w:rsid w:val="007B0B3F"/>
    <w:rsid w:val="007C2BC1"/>
    <w:rsid w:val="007C5C97"/>
    <w:rsid w:val="007C5FC3"/>
    <w:rsid w:val="007E37D0"/>
    <w:rsid w:val="007E74F1"/>
    <w:rsid w:val="007F384A"/>
    <w:rsid w:val="008021CF"/>
    <w:rsid w:val="008033DF"/>
    <w:rsid w:val="00822E94"/>
    <w:rsid w:val="0084110E"/>
    <w:rsid w:val="00860469"/>
    <w:rsid w:val="008705EA"/>
    <w:rsid w:val="00881D0C"/>
    <w:rsid w:val="00883D30"/>
    <w:rsid w:val="008C5BB7"/>
    <w:rsid w:val="008C67FA"/>
    <w:rsid w:val="008D355D"/>
    <w:rsid w:val="008E570E"/>
    <w:rsid w:val="008F0B60"/>
    <w:rsid w:val="008F1206"/>
    <w:rsid w:val="00910C3F"/>
    <w:rsid w:val="00915468"/>
    <w:rsid w:val="00921117"/>
    <w:rsid w:val="00935E58"/>
    <w:rsid w:val="00956229"/>
    <w:rsid w:val="00970897"/>
    <w:rsid w:val="0098482D"/>
    <w:rsid w:val="009869C8"/>
    <w:rsid w:val="009B4D85"/>
    <w:rsid w:val="009C316C"/>
    <w:rsid w:val="009F3071"/>
    <w:rsid w:val="009F54CE"/>
    <w:rsid w:val="00A04418"/>
    <w:rsid w:val="00A107CB"/>
    <w:rsid w:val="00A500B5"/>
    <w:rsid w:val="00A54BDF"/>
    <w:rsid w:val="00A734E3"/>
    <w:rsid w:val="00A80A6D"/>
    <w:rsid w:val="00A91640"/>
    <w:rsid w:val="00AA17F0"/>
    <w:rsid w:val="00AA4802"/>
    <w:rsid w:val="00AA5C61"/>
    <w:rsid w:val="00AC33B7"/>
    <w:rsid w:val="00AC5742"/>
    <w:rsid w:val="00AE052A"/>
    <w:rsid w:val="00AF58E1"/>
    <w:rsid w:val="00B16BBC"/>
    <w:rsid w:val="00B1772F"/>
    <w:rsid w:val="00B23EB6"/>
    <w:rsid w:val="00B43E92"/>
    <w:rsid w:val="00B62678"/>
    <w:rsid w:val="00B635EC"/>
    <w:rsid w:val="00B74F61"/>
    <w:rsid w:val="00B834B4"/>
    <w:rsid w:val="00B93FCE"/>
    <w:rsid w:val="00BB200E"/>
    <w:rsid w:val="00BD547F"/>
    <w:rsid w:val="00BE2F21"/>
    <w:rsid w:val="00BF550F"/>
    <w:rsid w:val="00C0550C"/>
    <w:rsid w:val="00C175A3"/>
    <w:rsid w:val="00C22F88"/>
    <w:rsid w:val="00C34CF2"/>
    <w:rsid w:val="00C45382"/>
    <w:rsid w:val="00C62E91"/>
    <w:rsid w:val="00C64654"/>
    <w:rsid w:val="00C90A21"/>
    <w:rsid w:val="00C932C5"/>
    <w:rsid w:val="00C96734"/>
    <w:rsid w:val="00CA0FA6"/>
    <w:rsid w:val="00CE4C7B"/>
    <w:rsid w:val="00CE5FE6"/>
    <w:rsid w:val="00D022BF"/>
    <w:rsid w:val="00D15D62"/>
    <w:rsid w:val="00D25658"/>
    <w:rsid w:val="00D26F6F"/>
    <w:rsid w:val="00D357FE"/>
    <w:rsid w:val="00D41F0B"/>
    <w:rsid w:val="00D428B4"/>
    <w:rsid w:val="00D43623"/>
    <w:rsid w:val="00D438E6"/>
    <w:rsid w:val="00D617B2"/>
    <w:rsid w:val="00D65F28"/>
    <w:rsid w:val="00D91F36"/>
    <w:rsid w:val="00DA5186"/>
    <w:rsid w:val="00DB7EB0"/>
    <w:rsid w:val="00DD2875"/>
    <w:rsid w:val="00DE2588"/>
    <w:rsid w:val="00DE7B10"/>
    <w:rsid w:val="00E05D87"/>
    <w:rsid w:val="00E23DF4"/>
    <w:rsid w:val="00E26CCE"/>
    <w:rsid w:val="00E307C7"/>
    <w:rsid w:val="00E41750"/>
    <w:rsid w:val="00E646A0"/>
    <w:rsid w:val="00E82D3D"/>
    <w:rsid w:val="00F0166B"/>
    <w:rsid w:val="00F0493A"/>
    <w:rsid w:val="00F06366"/>
    <w:rsid w:val="00F06ADB"/>
    <w:rsid w:val="00F0757A"/>
    <w:rsid w:val="00F13F9A"/>
    <w:rsid w:val="00F14708"/>
    <w:rsid w:val="00F17B80"/>
    <w:rsid w:val="00F21CFE"/>
    <w:rsid w:val="00F35CD7"/>
    <w:rsid w:val="00F56A4A"/>
    <w:rsid w:val="00F63B29"/>
    <w:rsid w:val="00F943EA"/>
    <w:rsid w:val="00FA3C7C"/>
    <w:rsid w:val="00FA628B"/>
    <w:rsid w:val="00FB1BF0"/>
    <w:rsid w:val="00FB4247"/>
    <w:rsid w:val="00FB6D1D"/>
    <w:rsid w:val="00FC107C"/>
    <w:rsid w:val="00FC2A34"/>
    <w:rsid w:val="00FC2B6D"/>
    <w:rsid w:val="00FD0B7B"/>
    <w:rsid w:val="00FE1ED2"/>
    <w:rsid w:val="00FE2D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A79C4-C2FB-4B0C-9E70-D338C0FE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0B7"/>
    <w:pPr>
      <w:ind w:left="720"/>
      <w:contextualSpacing/>
    </w:pPr>
  </w:style>
  <w:style w:type="table" w:styleId="TableGrid">
    <w:name w:val="Table Grid"/>
    <w:basedOn w:val="TableNormal"/>
    <w:uiPriority w:val="3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577"/>
    <w:pPr>
      <w:tabs>
        <w:tab w:val="center" w:pos="4513"/>
        <w:tab w:val="right" w:pos="9026"/>
      </w:tabs>
    </w:pPr>
  </w:style>
  <w:style w:type="character" w:customStyle="1" w:styleId="HeaderChar">
    <w:name w:val="Header Char"/>
    <w:link w:val="Header"/>
    <w:uiPriority w:val="99"/>
    <w:rsid w:val="00EA2577"/>
    <w:rPr>
      <w:sz w:val="22"/>
      <w:szCs w:val="22"/>
      <w:lang w:eastAsia="en-US"/>
    </w:rPr>
  </w:style>
  <w:style w:type="paragraph" w:styleId="Footer">
    <w:name w:val="footer"/>
    <w:basedOn w:val="Normal"/>
    <w:link w:val="FooterChar"/>
    <w:uiPriority w:val="99"/>
    <w:unhideWhenUsed/>
    <w:rsid w:val="00EA2577"/>
    <w:pPr>
      <w:tabs>
        <w:tab w:val="center" w:pos="4513"/>
        <w:tab w:val="right" w:pos="9026"/>
      </w:tabs>
    </w:pPr>
  </w:style>
  <w:style w:type="character" w:customStyle="1" w:styleId="FooterChar">
    <w:name w:val="Footer Char"/>
    <w:link w:val="Footer"/>
    <w:uiPriority w:val="99"/>
    <w:rsid w:val="00EA2577"/>
    <w:rPr>
      <w:sz w:val="22"/>
      <w:szCs w:val="22"/>
      <w:lang w:eastAsia="en-US"/>
    </w:rPr>
  </w:style>
  <w:style w:type="paragraph" w:styleId="BalloonText">
    <w:name w:val="Balloon Text"/>
    <w:basedOn w:val="Normal"/>
    <w:link w:val="BalloonTextChar"/>
    <w:uiPriority w:val="99"/>
    <w:semiHidden/>
    <w:unhideWhenUsed/>
    <w:rsid w:val="00A04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418"/>
    <w:rPr>
      <w:rFonts w:ascii="Tahoma" w:hAnsi="Tahoma" w:cs="Tahoma"/>
      <w:sz w:val="16"/>
      <w:szCs w:val="16"/>
      <w:lang w:eastAsia="en-US"/>
    </w:rPr>
  </w:style>
  <w:style w:type="paragraph" w:styleId="NoSpacing">
    <w:name w:val="No Spacing"/>
    <w:uiPriority w:val="1"/>
    <w:qFormat/>
    <w:rsid w:val="00513B18"/>
    <w:rPr>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358608">
      <w:bodyDiv w:val="1"/>
      <w:marLeft w:val="0"/>
      <w:marRight w:val="0"/>
      <w:marTop w:val="0"/>
      <w:marBottom w:val="0"/>
      <w:divBdr>
        <w:top w:val="none" w:sz="0" w:space="0" w:color="auto"/>
        <w:left w:val="none" w:sz="0" w:space="0" w:color="auto"/>
        <w:bottom w:val="none" w:sz="0" w:space="0" w:color="auto"/>
        <w:right w:val="none" w:sz="0" w:space="0" w:color="auto"/>
      </w:divBdr>
    </w:div>
    <w:div w:id="192062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254A-B9CD-45A0-A513-18AD6EF7B825}"/>
</file>

<file path=customXml/itemProps2.xml><?xml version="1.0" encoding="utf-8"?>
<ds:datastoreItem xmlns:ds="http://schemas.openxmlformats.org/officeDocument/2006/customXml" ds:itemID="{AEE1F5A7-8288-4077-AF45-C011541AA6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9229EE-7193-4C26-AAD7-020CC9072277}">
  <ds:schemaRefs>
    <ds:schemaRef ds:uri="http://schemas.microsoft.com/sharepoint/v3/contenttype/forms"/>
  </ds:schemaRefs>
</ds:datastoreItem>
</file>

<file path=customXml/itemProps4.xml><?xml version="1.0" encoding="utf-8"?>
<ds:datastoreItem xmlns:ds="http://schemas.openxmlformats.org/officeDocument/2006/customXml" ds:itemID="{AC10C136-A405-4F0D-964B-49522D84FCB9}">
  <ds:schemaRefs>
    <ds:schemaRef ds:uri="http://schemas.openxmlformats.org/officeDocument/2006/bibliography"/>
  </ds:schemaRefs>
</ds:datastoreItem>
</file>

<file path=customXml/itemProps5.xml><?xml version="1.0" encoding="utf-8"?>
<ds:datastoreItem xmlns:ds="http://schemas.openxmlformats.org/officeDocument/2006/customXml" ds:itemID="{FC917C14-E0A9-4BB9-98C0-66FFC6FD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5673</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Loborec</dc:creator>
  <cp:lastModifiedBy>Katarina Peročević</cp:lastModifiedBy>
  <cp:revision>2</cp:revision>
  <cp:lastPrinted>2018-03-02T08:37:00Z</cp:lastPrinted>
  <dcterms:created xsi:type="dcterms:W3CDTF">2018-03-14T11:15:00Z</dcterms:created>
  <dcterms:modified xsi:type="dcterms:W3CDTF">2018-03-14T11:15:00Z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