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428"/>
      </w:tblGrid>
      <w:tr w:rsidR="00B30675" w:rsidRPr="00F922B1" w:rsidTr="00DD0695">
        <w:trPr>
          <w:jc w:val="center"/>
        </w:trPr>
        <w:tc>
          <w:tcPr>
            <w:tcW w:w="4428" w:type="dxa"/>
            <w:tcBorders>
              <w:top w:val="single" w:sz="6" w:space="0" w:color="FFFFFF"/>
              <w:left w:val="single" w:sz="6" w:space="0" w:color="FFFFFF"/>
              <w:bottom w:val="single" w:sz="6" w:space="0" w:color="FFFFFF"/>
              <w:right w:val="single" w:sz="6" w:space="0" w:color="FFFFFF"/>
            </w:tcBorders>
          </w:tcPr>
          <w:p w:rsidR="00B30675" w:rsidRPr="00F922B1" w:rsidRDefault="00B30675" w:rsidP="00DD0695">
            <w:pPr>
              <w:widowControl w:val="0"/>
              <w:autoSpaceDE w:val="0"/>
              <w:autoSpaceDN w:val="0"/>
              <w:adjustRightInd w:val="0"/>
              <w:jc w:val="center"/>
              <w:rPr>
                <w:rFonts w:ascii="Arial" w:hAnsi="Arial" w:cs="Arial"/>
                <w:sz w:val="28"/>
                <w:szCs w:val="28"/>
                <w:lang w:val="es-ES_tradnl"/>
              </w:rPr>
            </w:pPr>
            <w:r>
              <w:rPr>
                <w:rFonts w:ascii="Arial" w:hAnsi="Arial" w:cs="Arial"/>
                <w:noProof/>
                <w:lang w:eastAsia="es-ES"/>
              </w:rPr>
              <w:drawing>
                <wp:inline distT="0" distB="0" distL="0" distR="0">
                  <wp:extent cx="603250" cy="679450"/>
                  <wp:effectExtent l="19050" t="0" r="635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srcRect/>
                          <a:stretch>
                            <a:fillRect/>
                          </a:stretch>
                        </pic:blipFill>
                        <pic:spPr bwMode="auto">
                          <a:xfrm>
                            <a:off x="0" y="0"/>
                            <a:ext cx="603250" cy="679450"/>
                          </a:xfrm>
                          <a:prstGeom prst="rect">
                            <a:avLst/>
                          </a:prstGeom>
                          <a:noFill/>
                          <a:ln w="9525">
                            <a:noFill/>
                            <a:miter lim="800000"/>
                            <a:headEnd/>
                            <a:tailEnd/>
                          </a:ln>
                        </pic:spPr>
                      </pic:pic>
                    </a:graphicData>
                  </a:graphic>
                </wp:inline>
              </w:drawing>
            </w:r>
          </w:p>
        </w:tc>
      </w:tr>
      <w:tr w:rsidR="00B30675" w:rsidRPr="00F922B1" w:rsidTr="00DD0695">
        <w:trPr>
          <w:jc w:val="center"/>
        </w:trPr>
        <w:tc>
          <w:tcPr>
            <w:tcW w:w="4428" w:type="dxa"/>
            <w:tcBorders>
              <w:top w:val="single" w:sz="6" w:space="0" w:color="FFFFFF"/>
              <w:left w:val="single" w:sz="6" w:space="0" w:color="FFFFFF"/>
              <w:bottom w:val="single" w:sz="6" w:space="0" w:color="FFFFFF"/>
              <w:right w:val="single" w:sz="6" w:space="0" w:color="FFFFFF"/>
            </w:tcBorders>
          </w:tcPr>
          <w:p w:rsidR="00B30675" w:rsidRPr="00F922B1" w:rsidRDefault="00B30675" w:rsidP="00297AA8">
            <w:pPr>
              <w:keepNext/>
              <w:widowControl w:val="0"/>
              <w:autoSpaceDE w:val="0"/>
              <w:autoSpaceDN w:val="0"/>
              <w:adjustRightInd w:val="0"/>
              <w:spacing w:after="0" w:line="240" w:lineRule="auto"/>
              <w:jc w:val="center"/>
              <w:rPr>
                <w:rFonts w:ascii="Arial Narrow" w:hAnsi="Arial Narrow" w:cs="Arial Narrow"/>
                <w:b/>
                <w:bCs/>
                <w:sz w:val="16"/>
                <w:szCs w:val="16"/>
                <w:lang w:val="es-ES_tradnl"/>
              </w:rPr>
            </w:pPr>
            <w:r w:rsidRPr="00F922B1">
              <w:rPr>
                <w:rFonts w:ascii="Arial Narrow" w:hAnsi="Arial Narrow" w:cs="Arial Narrow"/>
                <w:b/>
                <w:bCs/>
                <w:sz w:val="16"/>
                <w:szCs w:val="16"/>
                <w:lang w:val="es-ES_tradnl"/>
              </w:rPr>
              <w:t>REPUBLICA DE CUBA</w:t>
            </w:r>
          </w:p>
          <w:p w:rsidR="00B30675" w:rsidRPr="00F922B1" w:rsidRDefault="00B30675" w:rsidP="00297AA8">
            <w:pPr>
              <w:widowControl w:val="0"/>
              <w:autoSpaceDE w:val="0"/>
              <w:autoSpaceDN w:val="0"/>
              <w:adjustRightInd w:val="0"/>
              <w:spacing w:after="0" w:line="240" w:lineRule="auto"/>
              <w:jc w:val="center"/>
              <w:rPr>
                <w:rFonts w:ascii="Arial" w:hAnsi="Arial" w:cs="Arial"/>
                <w:sz w:val="16"/>
                <w:szCs w:val="16"/>
                <w:lang w:val="es-ES_tradnl"/>
              </w:rPr>
            </w:pPr>
            <w:r w:rsidRPr="00F922B1">
              <w:rPr>
                <w:rFonts w:ascii="Arial Narrow" w:hAnsi="Arial Narrow" w:cs="Arial Narrow"/>
                <w:b/>
                <w:bCs/>
                <w:sz w:val="16"/>
                <w:szCs w:val="16"/>
                <w:lang w:val="es-ES_tradnl"/>
              </w:rPr>
              <w:t>Misión Permanente ante la Oficina de las Naciones Unidas en Ginebra y los Organismos Internacionales con sede en Suiza</w:t>
            </w:r>
          </w:p>
        </w:tc>
      </w:tr>
    </w:tbl>
    <w:p w:rsidR="00B30675" w:rsidRDefault="00297AA8" w:rsidP="00B30675">
      <w:pPr>
        <w:spacing w:before="100" w:beforeAutospacing="1" w:after="100" w:afterAutospacing="1"/>
        <w:jc w:val="both"/>
        <w:rPr>
          <w:rFonts w:ascii="Arial" w:hAnsi="Arial" w:cs="Arial"/>
          <w:b/>
        </w:rPr>
      </w:pPr>
      <w:r>
        <w:rPr>
          <w:rFonts w:ascii="Arial" w:hAnsi="Arial" w:cs="Arial"/>
          <w:b/>
          <w:bCs/>
        </w:rPr>
        <w:t>Nota No. 75</w:t>
      </w:r>
      <w:r w:rsidR="00B30675" w:rsidRPr="00F922B1">
        <w:rPr>
          <w:rFonts w:ascii="Arial" w:hAnsi="Arial" w:cs="Arial"/>
          <w:b/>
        </w:rPr>
        <w:t>/201</w:t>
      </w:r>
      <w:r w:rsidR="00B30675">
        <w:rPr>
          <w:rFonts w:ascii="Arial" w:hAnsi="Arial" w:cs="Arial"/>
          <w:b/>
        </w:rPr>
        <w:t>8</w:t>
      </w:r>
    </w:p>
    <w:p w:rsidR="00D310A6" w:rsidRDefault="00D310A6" w:rsidP="00D310A6">
      <w:pPr>
        <w:spacing w:after="0" w:line="240" w:lineRule="auto"/>
        <w:ind w:right="-1"/>
        <w:jc w:val="both"/>
        <w:rPr>
          <w:rFonts w:ascii="Arial" w:eastAsia="Times New Roman" w:hAnsi="Arial" w:cs="Arial"/>
          <w:sz w:val="24"/>
          <w:szCs w:val="24"/>
          <w:lang w:val="es-ES_tradnl" w:eastAsia="es-ES"/>
        </w:rPr>
      </w:pPr>
    </w:p>
    <w:p w:rsidR="00D310A6" w:rsidRPr="00B30675" w:rsidRDefault="00B30675" w:rsidP="00B30675">
      <w:pPr>
        <w:spacing w:before="240" w:after="240" w:line="360" w:lineRule="auto"/>
        <w:ind w:firstLine="709"/>
        <w:jc w:val="both"/>
        <w:rPr>
          <w:rFonts w:ascii="Arial" w:hAnsi="Arial" w:cs="Arial"/>
          <w:color w:val="000000"/>
          <w:sz w:val="24"/>
          <w:szCs w:val="24"/>
          <w:lang w:eastAsia="es-ES"/>
        </w:rPr>
      </w:pPr>
      <w:r w:rsidRPr="00A3662E">
        <w:rPr>
          <w:rFonts w:ascii="Arial" w:hAnsi="Arial" w:cs="Arial"/>
          <w:color w:val="000000"/>
          <w:sz w:val="24"/>
          <w:szCs w:val="24"/>
          <w:lang w:eastAsia="es-ES"/>
        </w:rPr>
        <w:t>La Misión Permanente de la República de Cuba ante la Oficina de las Naciones Unidas en Ginebra y los Organismos Internacionales con sede en Suiza</w:t>
      </w:r>
      <w:r w:rsidR="00D310A6" w:rsidRPr="00B30675">
        <w:rPr>
          <w:rFonts w:ascii="Arial" w:hAnsi="Arial" w:cs="Arial"/>
          <w:color w:val="000000"/>
          <w:sz w:val="24"/>
          <w:szCs w:val="24"/>
          <w:lang w:eastAsia="es-ES"/>
        </w:rPr>
        <w:t xml:space="preserve">, saluda a la Oficina del Alto Comisionado de las Naciones Unidas para los Derechos Humanos y tiene a bien referirse a la solicitud de información del Relator Especial sobre el derecho a la libertad de opinión y expresión, sobre la regulación de los contenidos online </w:t>
      </w:r>
      <w:r>
        <w:rPr>
          <w:rFonts w:ascii="Arial" w:hAnsi="Arial" w:cs="Arial"/>
          <w:color w:val="000000"/>
          <w:sz w:val="24"/>
          <w:szCs w:val="24"/>
          <w:lang w:eastAsia="es-ES"/>
        </w:rPr>
        <w:t>y de las plataformas digitales.</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 xml:space="preserve">Al respecto, la Misión </w:t>
      </w:r>
      <w:r w:rsidR="006B164B" w:rsidRPr="00B30675">
        <w:rPr>
          <w:rFonts w:ascii="Arial" w:hAnsi="Arial" w:cs="Arial"/>
          <w:color w:val="000000"/>
          <w:sz w:val="24"/>
          <w:szCs w:val="24"/>
          <w:lang w:eastAsia="es-ES"/>
        </w:rPr>
        <w:t xml:space="preserve">Permanente </w:t>
      </w:r>
      <w:r w:rsidRPr="00B30675">
        <w:rPr>
          <w:rFonts w:ascii="Arial" w:hAnsi="Arial" w:cs="Arial"/>
          <w:color w:val="000000"/>
          <w:sz w:val="24"/>
          <w:szCs w:val="24"/>
          <w:lang w:eastAsia="es-ES"/>
        </w:rPr>
        <w:t>de Cuba desea trasladar los comentarios siguientes:</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 xml:space="preserve">En los últimos años, la incidencia de las plataformas digitales y los contenidos “on-line” y su utilización han crecido en el país, teniendo en cuenta </w:t>
      </w:r>
      <w:proofErr w:type="gramStart"/>
      <w:r w:rsidRPr="00B30675">
        <w:rPr>
          <w:rFonts w:ascii="Arial" w:hAnsi="Arial" w:cs="Arial"/>
          <w:color w:val="000000"/>
          <w:sz w:val="24"/>
          <w:szCs w:val="24"/>
          <w:lang w:eastAsia="es-ES"/>
        </w:rPr>
        <w:t>la</w:t>
      </w:r>
      <w:proofErr w:type="gramEnd"/>
      <w:r w:rsidRPr="00B30675">
        <w:rPr>
          <w:rFonts w:ascii="Arial" w:hAnsi="Arial" w:cs="Arial"/>
          <w:color w:val="000000"/>
          <w:sz w:val="24"/>
          <w:szCs w:val="24"/>
          <w:lang w:eastAsia="es-ES"/>
        </w:rPr>
        <w:t xml:space="preserve"> intensa labor desplegada por Cuba para mejorar y ampliar los servicios de Internet y la conectividad, como parte de los esfuerzos nacionales para garantizar el más amplio acceso a la educación, la información y la cultura.</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De acuerdo a datos de la UIT, Cuba es el país que más creció en el uso de las redes sociales a nivel global, con un 346% en un solo año, lo cual muestra la importancia que el Gobierno ha concedido a la expansión del uso de las redes sociales y de las tecnologías de la información y las comunicaciones.</w:t>
      </w:r>
    </w:p>
    <w:p w:rsidR="00D310A6" w:rsidRPr="00B30675" w:rsidRDefault="00C57739"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 xml:space="preserve">En la actualidad el país cuenta </w:t>
      </w:r>
      <w:r w:rsidR="00D310A6" w:rsidRPr="00B30675">
        <w:rPr>
          <w:rFonts w:ascii="Arial" w:hAnsi="Arial" w:cs="Arial"/>
          <w:color w:val="000000"/>
          <w:sz w:val="24"/>
          <w:szCs w:val="24"/>
          <w:lang w:eastAsia="es-ES"/>
        </w:rPr>
        <w:t xml:space="preserve">con 630 salas de navegación </w:t>
      </w:r>
      <w:r w:rsidR="00546E88" w:rsidRPr="00B30675">
        <w:rPr>
          <w:rFonts w:ascii="Arial" w:hAnsi="Arial" w:cs="Arial"/>
          <w:color w:val="000000"/>
          <w:sz w:val="24"/>
          <w:szCs w:val="24"/>
          <w:lang w:eastAsia="es-ES"/>
        </w:rPr>
        <w:t>a I</w:t>
      </w:r>
      <w:r w:rsidRPr="00B30675">
        <w:rPr>
          <w:rFonts w:ascii="Arial" w:hAnsi="Arial" w:cs="Arial"/>
          <w:color w:val="000000"/>
          <w:sz w:val="24"/>
          <w:szCs w:val="24"/>
          <w:lang w:eastAsia="es-ES"/>
        </w:rPr>
        <w:t xml:space="preserve">nternet </w:t>
      </w:r>
      <w:r w:rsidR="00D310A6" w:rsidRPr="00B30675">
        <w:rPr>
          <w:rFonts w:ascii="Arial" w:hAnsi="Arial" w:cs="Arial"/>
          <w:color w:val="000000"/>
          <w:sz w:val="24"/>
          <w:szCs w:val="24"/>
          <w:lang w:eastAsia="es-ES"/>
        </w:rPr>
        <w:t xml:space="preserve">y funcionan </w:t>
      </w:r>
      <w:r w:rsidRPr="00B30675">
        <w:rPr>
          <w:rFonts w:ascii="Arial" w:hAnsi="Arial" w:cs="Arial"/>
          <w:color w:val="000000"/>
          <w:sz w:val="24"/>
          <w:szCs w:val="24"/>
          <w:lang w:eastAsia="es-ES"/>
        </w:rPr>
        <w:t>458</w:t>
      </w:r>
      <w:r w:rsidR="00D310A6" w:rsidRPr="00B30675">
        <w:rPr>
          <w:rFonts w:ascii="Arial" w:hAnsi="Arial" w:cs="Arial"/>
          <w:color w:val="000000"/>
          <w:sz w:val="24"/>
          <w:szCs w:val="24"/>
          <w:lang w:eastAsia="es-ES"/>
        </w:rPr>
        <w:t xml:space="preserve"> sitios </w:t>
      </w:r>
      <w:r w:rsidRPr="00B30675">
        <w:rPr>
          <w:rFonts w:ascii="Arial" w:hAnsi="Arial" w:cs="Arial"/>
          <w:color w:val="000000"/>
          <w:sz w:val="24"/>
          <w:szCs w:val="24"/>
          <w:lang w:eastAsia="es-ES"/>
        </w:rPr>
        <w:t>públicos para el acceso a la red vía WIFI</w:t>
      </w:r>
      <w:r w:rsidR="00E32ED9" w:rsidRPr="00B30675">
        <w:rPr>
          <w:rFonts w:ascii="Arial" w:hAnsi="Arial" w:cs="Arial"/>
          <w:color w:val="000000"/>
          <w:sz w:val="24"/>
          <w:szCs w:val="24"/>
          <w:lang w:eastAsia="es-ES"/>
        </w:rPr>
        <w:t>,</w:t>
      </w:r>
      <w:r w:rsidRPr="00B30675">
        <w:rPr>
          <w:rFonts w:ascii="Arial" w:hAnsi="Arial" w:cs="Arial"/>
          <w:color w:val="000000"/>
          <w:sz w:val="24"/>
          <w:szCs w:val="24"/>
          <w:lang w:eastAsia="es-ES"/>
        </w:rPr>
        <w:t xml:space="preserve"> con presencia en todos los municipios del país. </w:t>
      </w:r>
      <w:r w:rsidR="00D310A6" w:rsidRPr="00B30675">
        <w:rPr>
          <w:rFonts w:ascii="Arial" w:hAnsi="Arial" w:cs="Arial"/>
          <w:color w:val="000000"/>
          <w:sz w:val="24"/>
          <w:szCs w:val="24"/>
          <w:lang w:eastAsia="es-ES"/>
        </w:rPr>
        <w:t>4 millones de usuarios tienen acceso a Internet.</w:t>
      </w:r>
    </w:p>
    <w:p w:rsidR="00297AA8" w:rsidRDefault="00297AA8" w:rsidP="00B30675">
      <w:pPr>
        <w:spacing w:after="0"/>
        <w:ind w:left="-425"/>
        <w:jc w:val="both"/>
        <w:rPr>
          <w:rFonts w:ascii="Arial" w:hAnsi="Arial" w:cs="Arial"/>
          <w:b/>
          <w:i/>
        </w:rPr>
      </w:pPr>
    </w:p>
    <w:p w:rsidR="00B30675" w:rsidRDefault="00B30675" w:rsidP="00B30675">
      <w:pPr>
        <w:spacing w:after="0"/>
        <w:ind w:left="-425"/>
        <w:jc w:val="both"/>
        <w:rPr>
          <w:rFonts w:ascii="Arial" w:hAnsi="Arial" w:cs="Arial"/>
          <w:b/>
          <w:i/>
        </w:rPr>
      </w:pPr>
      <w:r>
        <w:rPr>
          <w:rFonts w:ascii="Arial" w:hAnsi="Arial" w:cs="Arial"/>
          <w:b/>
          <w:i/>
        </w:rPr>
        <w:t>Oficina del Alto Comisionado de las Naciones Unidas</w:t>
      </w:r>
    </w:p>
    <w:p w:rsidR="00B30675" w:rsidRDefault="00B30675" w:rsidP="00B30675">
      <w:pPr>
        <w:spacing w:after="0"/>
        <w:ind w:left="-425"/>
        <w:jc w:val="both"/>
        <w:rPr>
          <w:rFonts w:ascii="Arial" w:hAnsi="Arial" w:cs="Arial"/>
          <w:b/>
          <w:i/>
        </w:rPr>
      </w:pPr>
      <w:proofErr w:type="gramStart"/>
      <w:r>
        <w:rPr>
          <w:rFonts w:ascii="Arial" w:hAnsi="Arial" w:cs="Arial"/>
          <w:b/>
          <w:i/>
        </w:rPr>
        <w:t>para</w:t>
      </w:r>
      <w:proofErr w:type="gramEnd"/>
      <w:r>
        <w:rPr>
          <w:rFonts w:ascii="Arial" w:hAnsi="Arial" w:cs="Arial"/>
          <w:b/>
          <w:i/>
        </w:rPr>
        <w:t xml:space="preserve"> los Derechos Humanos</w:t>
      </w:r>
    </w:p>
    <w:p w:rsidR="00D310A6" w:rsidRPr="00B30675" w:rsidRDefault="00B30675" w:rsidP="00B30675">
      <w:pPr>
        <w:spacing w:after="0"/>
        <w:ind w:left="-425"/>
        <w:jc w:val="both"/>
        <w:rPr>
          <w:rFonts w:ascii="Arial" w:hAnsi="Arial" w:cs="Arial"/>
          <w:color w:val="000000"/>
          <w:sz w:val="24"/>
          <w:szCs w:val="24"/>
          <w:lang w:eastAsia="es-ES"/>
        </w:rPr>
      </w:pPr>
      <w:r>
        <w:rPr>
          <w:rFonts w:ascii="Arial" w:hAnsi="Arial" w:cs="Arial"/>
          <w:b/>
          <w:i/>
        </w:rPr>
        <w:t>Ginebra</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lastRenderedPageBreak/>
        <w:t>En este contexto, se promueve un uso responsable de estas plataformas, sobre la base del respeto a los derechos y libertades de los demás. Se cumple el precepto d</w:t>
      </w:r>
      <w:bookmarkStart w:id="0" w:name="_GoBack"/>
      <w:bookmarkEnd w:id="0"/>
      <w:r w:rsidRPr="00B30675">
        <w:rPr>
          <w:rFonts w:ascii="Arial" w:hAnsi="Arial" w:cs="Arial"/>
          <w:color w:val="000000"/>
          <w:sz w:val="24"/>
          <w:szCs w:val="24"/>
          <w:lang w:eastAsia="es-ES"/>
        </w:rPr>
        <w:t>e que estas libertades no son ilimitadas, según lo dispuesto en los instrumentos internacionales de derechos humanos, incluido el Pacto Internacional sobre los Derechos Civiles y Políticos.</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 xml:space="preserve">La promoción y protección </w:t>
      </w:r>
      <w:r w:rsidR="00C57739" w:rsidRPr="00B30675">
        <w:rPr>
          <w:rFonts w:ascii="Arial" w:hAnsi="Arial" w:cs="Arial"/>
          <w:color w:val="000000"/>
          <w:sz w:val="24"/>
          <w:szCs w:val="24"/>
          <w:lang w:eastAsia="es-ES"/>
        </w:rPr>
        <w:t>de todos los derechos humanos</w:t>
      </w:r>
      <w:r w:rsidRPr="00B30675">
        <w:rPr>
          <w:rFonts w:ascii="Arial" w:hAnsi="Arial" w:cs="Arial"/>
          <w:color w:val="000000"/>
          <w:sz w:val="24"/>
          <w:szCs w:val="24"/>
          <w:lang w:eastAsia="es-ES"/>
        </w:rPr>
        <w:t xml:space="preserve"> es una prioridad, incluyendo los derechos civiles y políticos y su ejercicio en el ámbito digital. La forma en que se ejercen estos derechos queda determinada por la ley, como ocurre en los países en los que prima el Estado de Derecho.</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El artículo 53 de la Constitución de la República consagra el derecho de todos a la libertad de palabra y prensa; y la obra de la Revolución ha permitido niveles de educación e instrucción suficientes para que toda la población pueda ejercerlo adecuadamente.</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El ejercicio de este derecho cuenta con garantías jurídicas suficientes para su protección. Entre ellas, se destaca el artículo 291 del Código Penal,  que prevé el “delito contra la libre emisión del pensamiento”, para sancionar a quien intente conculcar ilícitamente el derecho a la libertad de palabra y prensa. Esta figura penal se agrava si los responsables del delito son funcionarios públicos o agentes del orden.</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Por otro lado, las condiciones materiales para la realización de este derecho, se facilitan por el hecho de que la prensa, la radio, la televisión, el cine y otros medios de difusión masiva son propiedad de todo el pueblo; y por mandato constitucional, en ningún caso pueden ser objeto de propiedad privada. Esta prohibición, que asegura su uso al servicio exclusivo del pueblo y en interés de la sociedad, incluye a aquellos medios de prensa y de comunicación que cuentan con ediciones digitales y plataformas “on-line”.</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 xml:space="preserve">A diferencia de Io que ocurre en </w:t>
      </w:r>
      <w:r w:rsidR="00114FC1" w:rsidRPr="00B30675">
        <w:rPr>
          <w:rFonts w:ascii="Arial" w:hAnsi="Arial" w:cs="Arial"/>
          <w:color w:val="000000"/>
          <w:sz w:val="24"/>
          <w:szCs w:val="24"/>
          <w:lang w:eastAsia="es-ES"/>
        </w:rPr>
        <w:t>otros</w:t>
      </w:r>
      <w:r w:rsidRPr="00B30675">
        <w:rPr>
          <w:rFonts w:ascii="Arial" w:hAnsi="Arial" w:cs="Arial"/>
          <w:color w:val="000000"/>
          <w:sz w:val="24"/>
          <w:szCs w:val="24"/>
          <w:lang w:eastAsia="es-ES"/>
        </w:rPr>
        <w:t xml:space="preserve"> países, los medios de comunicación cubanos no están sujetos al control de los grandes monopolios de la información, que deciden la mayoría de los contenidos que se difunden, y censuran aquellos que no se corresponden con sus intereses o líneas políticas. Nuestros medios tampoco comparten la naturaleza sensacionalista ni alarmista de los medios de otros países. Nuestra prensa se esfuerza por ofrecer </w:t>
      </w:r>
      <w:r w:rsidRPr="00B30675">
        <w:rPr>
          <w:rFonts w:ascii="Arial" w:hAnsi="Arial" w:cs="Arial"/>
          <w:color w:val="000000"/>
          <w:sz w:val="24"/>
          <w:szCs w:val="24"/>
          <w:lang w:eastAsia="es-ES"/>
        </w:rPr>
        <w:lastRenderedPageBreak/>
        <w:t xml:space="preserve">información veraz, objetiva y oportuna a nuestro pueblo sobre el acontecer nacional e internacional. </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Por otro lado, el Código Penal, en su artículo 295, prevé el “delito contra el derecho de igualdad”, para sancionar a quien discrimine a otra persona, o promueva o incite a la discriminación con motivo del sexo, raza, color u origen nacional; así como para sancionar a quien difunda ideas basadas en la superioridad u odio racial. Esta figura delictiva adquiere particular importancia en el contexto digital, para evitar que se viole el derecho de todos a la igualdad y a no ser discriminados.</w:t>
      </w:r>
    </w:p>
    <w:p w:rsidR="00D310A6" w:rsidRPr="00B30675" w:rsidRDefault="00D310A6" w:rsidP="00B30675">
      <w:pPr>
        <w:spacing w:before="240" w:after="240" w:line="360" w:lineRule="auto"/>
        <w:ind w:firstLine="709"/>
        <w:jc w:val="both"/>
        <w:rPr>
          <w:rFonts w:ascii="Arial" w:hAnsi="Arial" w:cs="Arial"/>
          <w:color w:val="000000"/>
          <w:sz w:val="24"/>
          <w:szCs w:val="24"/>
          <w:lang w:eastAsia="es-ES"/>
        </w:rPr>
      </w:pPr>
      <w:r w:rsidRPr="00B30675">
        <w:rPr>
          <w:rFonts w:ascii="Arial" w:hAnsi="Arial" w:cs="Arial"/>
          <w:color w:val="000000"/>
          <w:sz w:val="24"/>
          <w:szCs w:val="24"/>
          <w:lang w:eastAsia="es-ES"/>
        </w:rPr>
        <w:t>Nuestra realidad contrasta con la de otros países, incluyendo algunos altamente desarrollados. En estos países, amparados en un uso excesivo e ilegítimo de la libertad de expresión tanto en los medios tradicionales como en las plataformas digitales, se permite el discurso del odio y la difusión de ideas racistas, discriminatorias, xenófobas y supremacistas, tanto por los usuarios como por figuras políticas y actores relevantes. Esta realidad constituye una violación de los derechos humanos de millones de personas en el mundo, y un elemento de preocupación para quienes estamos verdaderamente comprometidos con la promoción y protección de los derechos humanos para</w:t>
      </w:r>
      <w:r w:rsidR="00B821F6" w:rsidRPr="00B30675">
        <w:rPr>
          <w:rFonts w:ascii="Arial" w:hAnsi="Arial" w:cs="Arial"/>
          <w:color w:val="000000"/>
          <w:sz w:val="24"/>
          <w:szCs w:val="24"/>
          <w:lang w:eastAsia="es-ES"/>
        </w:rPr>
        <w:t xml:space="preserve"> todos</w:t>
      </w:r>
      <w:r w:rsidRPr="00B30675">
        <w:rPr>
          <w:rFonts w:ascii="Arial" w:hAnsi="Arial" w:cs="Arial"/>
          <w:color w:val="000000"/>
          <w:sz w:val="24"/>
          <w:szCs w:val="24"/>
          <w:lang w:eastAsia="es-ES"/>
        </w:rPr>
        <w:t>.</w:t>
      </w:r>
    </w:p>
    <w:p w:rsidR="00D310A6" w:rsidRPr="00B30675" w:rsidRDefault="00B30675" w:rsidP="00B30675">
      <w:pPr>
        <w:spacing w:before="240" w:after="240" w:line="360" w:lineRule="auto"/>
        <w:ind w:firstLine="709"/>
        <w:jc w:val="both"/>
        <w:rPr>
          <w:rFonts w:ascii="Arial" w:hAnsi="Arial" w:cs="Arial"/>
          <w:color w:val="000000"/>
          <w:sz w:val="24"/>
          <w:szCs w:val="24"/>
          <w:lang w:eastAsia="es-ES"/>
        </w:rPr>
      </w:pPr>
      <w:r w:rsidRPr="00A3662E">
        <w:rPr>
          <w:rFonts w:ascii="Arial" w:hAnsi="Arial" w:cs="Arial"/>
          <w:color w:val="000000"/>
          <w:sz w:val="24"/>
          <w:szCs w:val="24"/>
          <w:lang w:eastAsia="es-ES"/>
        </w:rPr>
        <w:t>La Misión Permanente de la República de Cuba ante la Oficina de las Naciones Unidas en Ginebra y los Organismos Internacionales con sede en Suiza</w:t>
      </w:r>
      <w:r w:rsidRPr="00B4368F">
        <w:rPr>
          <w:rFonts w:ascii="Arial" w:hAnsi="Arial" w:cs="Arial"/>
          <w:color w:val="000000"/>
          <w:sz w:val="24"/>
          <w:szCs w:val="24"/>
          <w:lang w:eastAsia="es-ES"/>
        </w:rPr>
        <w:t xml:space="preserve">, aprovecha la ocasión para reiterar a la Oficina del Alto Comisionado de las Naciones Unidas para los Derechos Humanos el </w:t>
      </w:r>
      <w:r>
        <w:rPr>
          <w:rFonts w:ascii="Arial" w:hAnsi="Arial" w:cs="Arial"/>
          <w:color w:val="000000"/>
          <w:sz w:val="24"/>
          <w:szCs w:val="24"/>
          <w:lang w:eastAsia="es-ES"/>
        </w:rPr>
        <w:t>testimonio de su consideración.</w:t>
      </w:r>
      <w:r w:rsidR="00D310A6" w:rsidRPr="00B30675">
        <w:rPr>
          <w:rFonts w:ascii="Arial" w:hAnsi="Arial" w:cs="Arial"/>
          <w:color w:val="000000"/>
          <w:sz w:val="24"/>
          <w:szCs w:val="24"/>
          <w:lang w:eastAsia="es-ES"/>
        </w:rPr>
        <w:t xml:space="preserve"> </w:t>
      </w:r>
    </w:p>
    <w:p w:rsidR="00D310A6" w:rsidRDefault="00D310A6" w:rsidP="00D310A6">
      <w:pPr>
        <w:spacing w:after="0" w:line="240" w:lineRule="auto"/>
        <w:jc w:val="both"/>
        <w:rPr>
          <w:rFonts w:ascii="Arial" w:eastAsia="Times New Roman" w:hAnsi="Arial" w:cs="Arial"/>
          <w:sz w:val="24"/>
          <w:szCs w:val="24"/>
          <w:lang w:eastAsia="es-ES"/>
        </w:rPr>
      </w:pPr>
    </w:p>
    <w:p w:rsidR="00D310A6" w:rsidRDefault="00D310A6" w:rsidP="00D310A6">
      <w:pPr>
        <w:spacing w:after="0" w:line="240" w:lineRule="auto"/>
        <w:jc w:val="right"/>
        <w:rPr>
          <w:rFonts w:ascii="Arial" w:eastAsia="Times New Roman" w:hAnsi="Arial" w:cs="Arial"/>
          <w:sz w:val="24"/>
          <w:szCs w:val="24"/>
          <w:lang w:eastAsia="es-ES"/>
        </w:rPr>
      </w:pPr>
    </w:p>
    <w:p w:rsidR="009334D5" w:rsidRDefault="00D310A6" w:rsidP="00B30675">
      <w:pPr>
        <w:spacing w:after="0" w:line="240" w:lineRule="auto"/>
        <w:jc w:val="right"/>
      </w:pPr>
      <w:r>
        <w:rPr>
          <w:rFonts w:ascii="Arial" w:eastAsia="Times New Roman" w:hAnsi="Arial" w:cs="Arial"/>
          <w:sz w:val="24"/>
          <w:szCs w:val="24"/>
          <w:lang w:eastAsia="es-ES"/>
        </w:rPr>
        <w:t xml:space="preserve">Ginebra, </w:t>
      </w:r>
      <w:r w:rsidR="00DB6C6C">
        <w:rPr>
          <w:rFonts w:ascii="Arial" w:eastAsia="Times New Roman" w:hAnsi="Arial" w:cs="Arial"/>
          <w:sz w:val="24"/>
          <w:szCs w:val="24"/>
          <w:lang w:eastAsia="es-ES"/>
        </w:rPr>
        <w:t>2</w:t>
      </w:r>
      <w:r w:rsidR="000E54BB">
        <w:rPr>
          <w:rFonts w:ascii="Arial" w:eastAsia="Times New Roman" w:hAnsi="Arial" w:cs="Arial"/>
          <w:sz w:val="24"/>
          <w:szCs w:val="24"/>
          <w:lang w:eastAsia="es-ES"/>
        </w:rPr>
        <w:t>6</w:t>
      </w:r>
      <w:r>
        <w:rPr>
          <w:rFonts w:ascii="Arial" w:eastAsia="Times New Roman" w:hAnsi="Arial" w:cs="Arial"/>
          <w:sz w:val="24"/>
          <w:szCs w:val="24"/>
          <w:lang w:eastAsia="es-ES"/>
        </w:rPr>
        <w:t xml:space="preserve"> de febrero de 2018</w:t>
      </w:r>
    </w:p>
    <w:sectPr w:rsidR="009334D5" w:rsidSect="00B30675">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310A6"/>
    <w:rsid w:val="000219CD"/>
    <w:rsid w:val="000E54BB"/>
    <w:rsid w:val="00114FC1"/>
    <w:rsid w:val="002417CE"/>
    <w:rsid w:val="00297AA8"/>
    <w:rsid w:val="00546E88"/>
    <w:rsid w:val="005904AC"/>
    <w:rsid w:val="006B164B"/>
    <w:rsid w:val="007143C5"/>
    <w:rsid w:val="008863C7"/>
    <w:rsid w:val="009201A7"/>
    <w:rsid w:val="009334D5"/>
    <w:rsid w:val="00B30675"/>
    <w:rsid w:val="00B821F6"/>
    <w:rsid w:val="00C57739"/>
    <w:rsid w:val="00D310A6"/>
    <w:rsid w:val="00DB6C6C"/>
    <w:rsid w:val="00E32ED9"/>
    <w:rsid w:val="00FF3F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0A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10A6"/>
    <w:pPr>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B306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067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0A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10A6"/>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5367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ED2FC4-3DE2-45E3-84DD-6C4A4274028F}">
  <ds:schemaRefs>
    <ds:schemaRef ds:uri="http://schemas.openxmlformats.org/officeDocument/2006/bibliography"/>
  </ds:schemaRefs>
</ds:datastoreItem>
</file>

<file path=customXml/itemProps2.xml><?xml version="1.0" encoding="utf-8"?>
<ds:datastoreItem xmlns:ds="http://schemas.openxmlformats.org/officeDocument/2006/customXml" ds:itemID="{8FFE6CFF-F6CA-4EE7-9182-FC9F741EC3BC}"/>
</file>

<file path=customXml/itemProps3.xml><?xml version="1.0" encoding="utf-8"?>
<ds:datastoreItem xmlns:ds="http://schemas.openxmlformats.org/officeDocument/2006/customXml" ds:itemID="{C1E74464-7573-4C0D-B4D9-CE3385B0F4C1}"/>
</file>

<file path=customXml/itemProps4.xml><?xml version="1.0" encoding="utf-8"?>
<ds:datastoreItem xmlns:ds="http://schemas.openxmlformats.org/officeDocument/2006/customXml" ds:itemID="{95448870-4052-4BC6-8C52-F6D4E0C02848}"/>
</file>

<file path=docProps/app.xml><?xml version="1.0" encoding="utf-8"?>
<Properties xmlns="http://schemas.openxmlformats.org/officeDocument/2006/extended-properties" xmlns:vt="http://schemas.openxmlformats.org/officeDocument/2006/docPropsVTypes">
  <Template>Normal</Template>
  <TotalTime>10</TotalTime>
  <Pages>3</Pages>
  <Words>859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Gonzalez Behmaras</dc:creator>
  <cp:lastModifiedBy>m_permanente</cp:lastModifiedBy>
  <cp:revision>6</cp:revision>
  <cp:lastPrinted>2018-02-26T11:37:00Z</cp:lastPrinted>
  <dcterms:created xsi:type="dcterms:W3CDTF">2018-02-22T11:20:00Z</dcterms:created>
  <dcterms:modified xsi:type="dcterms:W3CDTF">2018-02-26T11:38:00Z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