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99288" w14:textId="19B54BDF" w:rsidR="00297A56" w:rsidRPr="00240B7F" w:rsidRDefault="00297A56" w:rsidP="00297A56">
      <w:pPr>
        <w:spacing w:before="100" w:beforeAutospacing="1" w:after="100" w:afterAutospacing="1"/>
        <w:contextualSpacing/>
        <w:jc w:val="both"/>
        <w:outlineLvl w:val="1"/>
        <w:rPr>
          <w:rFonts w:eastAsia="Times New Roman" w:cstheme="minorHAnsi"/>
          <w:b/>
          <w:bCs/>
          <w:color w:val="0072C6"/>
          <w:sz w:val="28"/>
          <w:szCs w:val="28"/>
          <w:lang w:eastAsia="en-GB"/>
        </w:rPr>
      </w:pPr>
      <w:bookmarkStart w:id="0" w:name="_GoBack"/>
      <w:bookmarkEnd w:id="0"/>
      <w:r w:rsidRPr="00240B7F">
        <w:rPr>
          <w:rFonts w:eastAsia="Times New Roman" w:cstheme="minorHAnsi"/>
          <w:b/>
          <w:bCs/>
          <w:color w:val="0072C6"/>
          <w:sz w:val="28"/>
          <w:szCs w:val="28"/>
          <w:lang w:eastAsia="en-GB"/>
        </w:rPr>
        <w:t>Matthew Hedges</w:t>
      </w:r>
    </w:p>
    <w:p w14:paraId="06DE0A59" w14:textId="6E25D16E" w:rsidR="000D5CA2" w:rsidRPr="003F0762" w:rsidRDefault="00297A56" w:rsidP="00297A56">
      <w:pPr>
        <w:spacing w:before="100" w:beforeAutospacing="1" w:after="100" w:afterAutospacing="1"/>
        <w:contextualSpacing/>
        <w:jc w:val="both"/>
        <w:outlineLvl w:val="1"/>
        <w:rPr>
          <w:rFonts w:eastAsia="Times New Roman" w:cstheme="minorHAnsi"/>
          <w:color w:val="0072C6"/>
          <w:lang w:eastAsia="en-GB"/>
        </w:rPr>
      </w:pPr>
      <w:r w:rsidRPr="003F0762">
        <w:rPr>
          <w:rFonts w:eastAsia="Times New Roman" w:cstheme="minorHAnsi"/>
          <w:color w:val="0072C6"/>
          <w:lang w:eastAsia="en-GB"/>
        </w:rPr>
        <w:t>Academic Freedom and Freedom of Opinion and Expression</w:t>
      </w:r>
      <w:r w:rsidR="000D5CA2" w:rsidRPr="003F0762">
        <w:rPr>
          <w:rFonts w:eastAsia="Times New Roman" w:cstheme="minorHAnsi"/>
          <w:color w:val="0072C6"/>
          <w:lang w:eastAsia="en-GB"/>
        </w:rPr>
        <w:t xml:space="preserve"> </w:t>
      </w:r>
    </w:p>
    <w:p w14:paraId="3EBBFFC2" w14:textId="4D4F94C9" w:rsidR="00493169" w:rsidRPr="003F0762" w:rsidRDefault="000D5CA2" w:rsidP="00297A56">
      <w:pPr>
        <w:spacing w:before="100" w:beforeAutospacing="1" w:after="100" w:afterAutospacing="1"/>
        <w:contextualSpacing/>
        <w:jc w:val="both"/>
        <w:outlineLvl w:val="1"/>
        <w:rPr>
          <w:rFonts w:eastAsia="Times New Roman" w:cstheme="minorHAnsi"/>
          <w:color w:val="0072C6"/>
          <w:lang w:eastAsia="en-GB"/>
        </w:rPr>
      </w:pPr>
      <w:r w:rsidRPr="003F0762">
        <w:rPr>
          <w:rFonts w:eastAsia="Times New Roman" w:cstheme="minorHAnsi"/>
          <w:color w:val="0072C6"/>
          <w:lang w:eastAsia="en-GB"/>
        </w:rPr>
        <w:t xml:space="preserve">Submission </w:t>
      </w:r>
      <w:r w:rsidR="00493169" w:rsidRPr="003F0762">
        <w:rPr>
          <w:rFonts w:eastAsia="Times New Roman" w:cstheme="minorHAnsi"/>
          <w:color w:val="0072C6"/>
          <w:lang w:eastAsia="en-GB"/>
        </w:rPr>
        <w:t xml:space="preserve">for academic freedom study </w:t>
      </w:r>
    </w:p>
    <w:p w14:paraId="517E3092" w14:textId="711A2867" w:rsidR="0046233B" w:rsidRDefault="0046233B" w:rsidP="00297A56">
      <w:pPr>
        <w:spacing w:before="100" w:beforeAutospacing="1" w:after="100" w:afterAutospacing="1"/>
        <w:contextualSpacing/>
        <w:jc w:val="both"/>
        <w:outlineLvl w:val="1"/>
        <w:rPr>
          <w:rFonts w:eastAsia="Times New Roman" w:cstheme="minorHAnsi"/>
          <w:color w:val="0072C6"/>
          <w:lang w:eastAsia="en-GB"/>
        </w:rPr>
      </w:pPr>
    </w:p>
    <w:p w14:paraId="138CEFAE" w14:textId="4A1B0051" w:rsidR="0046233B" w:rsidRDefault="00FC79E8" w:rsidP="00E424D9">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My name is Matthew Hedges and I am a PhD </w:t>
      </w:r>
      <w:r w:rsidR="008830DF">
        <w:rPr>
          <w:rFonts w:eastAsia="Times New Roman" w:cstheme="minorHAnsi"/>
          <w:color w:val="0072C6"/>
          <w:lang w:eastAsia="en-GB"/>
        </w:rPr>
        <w:t xml:space="preserve">Candidate </w:t>
      </w:r>
      <w:r>
        <w:rPr>
          <w:rFonts w:eastAsia="Times New Roman" w:cstheme="minorHAnsi"/>
          <w:color w:val="0072C6"/>
          <w:lang w:eastAsia="en-GB"/>
        </w:rPr>
        <w:t xml:space="preserve">at Durham University in the UK. I am also a Postgraduate Teaching Assistant (PTA) at Durham University and the University of Exeter. </w:t>
      </w:r>
      <w:r w:rsidR="00E424D9">
        <w:rPr>
          <w:rFonts w:eastAsia="Times New Roman" w:cstheme="minorHAnsi"/>
          <w:color w:val="0072C6"/>
          <w:lang w:eastAsia="en-GB"/>
        </w:rPr>
        <w:t xml:space="preserve">My research examines the </w:t>
      </w:r>
      <w:r w:rsidR="008830DF">
        <w:rPr>
          <w:rFonts w:eastAsia="Times New Roman" w:cstheme="minorHAnsi"/>
          <w:color w:val="0072C6"/>
          <w:lang w:eastAsia="en-GB"/>
        </w:rPr>
        <w:t>United Arab Emirates’ (UAE) security strategy following the Arab Spring</w:t>
      </w:r>
      <w:r w:rsidR="00E424D9">
        <w:rPr>
          <w:rFonts w:eastAsia="Times New Roman" w:cstheme="minorHAnsi"/>
          <w:color w:val="0072C6"/>
          <w:lang w:eastAsia="en-GB"/>
        </w:rPr>
        <w:t xml:space="preserve">. </w:t>
      </w:r>
      <w:r w:rsidR="00493169">
        <w:rPr>
          <w:rFonts w:eastAsia="Times New Roman" w:cstheme="minorHAnsi"/>
          <w:color w:val="0072C6"/>
          <w:lang w:eastAsia="en-GB"/>
        </w:rPr>
        <w:t>I have been undertaking my research since September 2015.</w:t>
      </w:r>
    </w:p>
    <w:p w14:paraId="2225F28E" w14:textId="76F9C5ED" w:rsidR="00CE47C5" w:rsidRDefault="008830DF" w:rsidP="00E424D9">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Following a </w:t>
      </w:r>
      <w:r w:rsidR="00E424D9">
        <w:rPr>
          <w:rFonts w:eastAsia="Times New Roman" w:cstheme="minorHAnsi"/>
          <w:color w:val="0072C6"/>
          <w:lang w:eastAsia="en-GB"/>
        </w:rPr>
        <w:t xml:space="preserve">fieldwork research </w:t>
      </w:r>
      <w:r>
        <w:rPr>
          <w:rFonts w:eastAsia="Times New Roman" w:cstheme="minorHAnsi"/>
          <w:color w:val="0072C6"/>
          <w:lang w:eastAsia="en-GB"/>
        </w:rPr>
        <w:t xml:space="preserve">trip to the UAE </w:t>
      </w:r>
      <w:r w:rsidR="00E424D9">
        <w:rPr>
          <w:rFonts w:eastAsia="Times New Roman" w:cstheme="minorHAnsi"/>
          <w:color w:val="0072C6"/>
          <w:lang w:eastAsia="en-GB"/>
        </w:rPr>
        <w:t xml:space="preserve">in 2018 I was </w:t>
      </w:r>
      <w:r>
        <w:rPr>
          <w:rFonts w:eastAsia="Times New Roman" w:cstheme="minorHAnsi"/>
          <w:color w:val="0072C6"/>
          <w:lang w:eastAsia="en-GB"/>
        </w:rPr>
        <w:t xml:space="preserve">forcefully </w:t>
      </w:r>
      <w:r w:rsidR="00E424D9">
        <w:rPr>
          <w:rFonts w:eastAsia="Times New Roman" w:cstheme="minorHAnsi"/>
          <w:color w:val="0072C6"/>
          <w:lang w:eastAsia="en-GB"/>
        </w:rPr>
        <w:t>detained</w:t>
      </w:r>
      <w:r>
        <w:rPr>
          <w:rFonts w:eastAsia="Times New Roman" w:cstheme="minorHAnsi"/>
          <w:color w:val="0072C6"/>
          <w:lang w:eastAsia="en-GB"/>
        </w:rPr>
        <w:t xml:space="preserve"> at Dubai airport. I was</w:t>
      </w:r>
      <w:r w:rsidR="00E424D9">
        <w:rPr>
          <w:rFonts w:eastAsia="Times New Roman" w:cstheme="minorHAnsi"/>
          <w:color w:val="0072C6"/>
          <w:lang w:eastAsia="en-GB"/>
        </w:rPr>
        <w:t xml:space="preserve"> held for </w:t>
      </w:r>
      <w:r>
        <w:rPr>
          <w:rFonts w:eastAsia="Times New Roman" w:cstheme="minorHAnsi"/>
          <w:color w:val="0072C6"/>
          <w:lang w:eastAsia="en-GB"/>
        </w:rPr>
        <w:t xml:space="preserve">almost </w:t>
      </w:r>
      <w:r w:rsidR="00E424D9">
        <w:rPr>
          <w:rFonts w:eastAsia="Times New Roman" w:cstheme="minorHAnsi"/>
          <w:color w:val="0072C6"/>
          <w:lang w:eastAsia="en-GB"/>
        </w:rPr>
        <w:t xml:space="preserve">7 months in solitary confinement, </w:t>
      </w:r>
      <w:r w:rsidR="00493169">
        <w:rPr>
          <w:rFonts w:eastAsia="Times New Roman" w:cstheme="minorHAnsi"/>
          <w:color w:val="0072C6"/>
          <w:lang w:eastAsia="en-GB"/>
        </w:rPr>
        <w:t xml:space="preserve">tortured and </w:t>
      </w:r>
      <w:r w:rsidR="00E424D9">
        <w:rPr>
          <w:rFonts w:eastAsia="Times New Roman" w:cstheme="minorHAnsi"/>
          <w:color w:val="0072C6"/>
          <w:lang w:eastAsia="en-GB"/>
        </w:rPr>
        <w:t>coerced into falsely admitting charges of espionage</w:t>
      </w:r>
      <w:r>
        <w:rPr>
          <w:rFonts w:eastAsia="Times New Roman" w:cstheme="minorHAnsi"/>
          <w:color w:val="0072C6"/>
          <w:lang w:eastAsia="en-GB"/>
        </w:rPr>
        <w:t>.</w:t>
      </w:r>
      <w:r w:rsidR="00E424D9">
        <w:rPr>
          <w:rFonts w:eastAsia="Times New Roman" w:cstheme="minorHAnsi"/>
          <w:color w:val="0072C6"/>
          <w:lang w:eastAsia="en-GB"/>
        </w:rPr>
        <w:t xml:space="preserve"> </w:t>
      </w:r>
      <w:r>
        <w:rPr>
          <w:rFonts w:eastAsia="Times New Roman" w:cstheme="minorHAnsi"/>
          <w:color w:val="0072C6"/>
          <w:lang w:eastAsia="en-GB"/>
        </w:rPr>
        <w:t>As a result I was</w:t>
      </w:r>
      <w:r w:rsidR="00E424D9">
        <w:rPr>
          <w:rFonts w:eastAsia="Times New Roman" w:cstheme="minorHAnsi"/>
          <w:color w:val="0072C6"/>
          <w:lang w:eastAsia="en-GB"/>
        </w:rPr>
        <w:t xml:space="preserve"> sentenced to life imprisonment. </w:t>
      </w:r>
      <w:r>
        <w:rPr>
          <w:rFonts w:eastAsia="Times New Roman" w:cstheme="minorHAnsi"/>
          <w:color w:val="0072C6"/>
          <w:lang w:eastAsia="en-GB"/>
        </w:rPr>
        <w:t>Following</w:t>
      </w:r>
      <w:r w:rsidR="00493169">
        <w:rPr>
          <w:rFonts w:eastAsia="Times New Roman" w:cstheme="minorHAnsi"/>
          <w:color w:val="0072C6"/>
          <w:lang w:eastAsia="en-GB"/>
        </w:rPr>
        <w:t xml:space="preserve"> a public campaign led by my wife, the United Kingdom’s Foreign and Commonwealth Office (FCO) applied </w:t>
      </w:r>
      <w:r>
        <w:rPr>
          <w:rFonts w:eastAsia="Times New Roman" w:cstheme="minorHAnsi"/>
          <w:color w:val="0072C6"/>
          <w:lang w:eastAsia="en-GB"/>
        </w:rPr>
        <w:t xml:space="preserve">pressure on the UAE </w:t>
      </w:r>
      <w:r w:rsidR="00493169">
        <w:rPr>
          <w:rFonts w:eastAsia="Times New Roman" w:cstheme="minorHAnsi"/>
          <w:color w:val="0072C6"/>
          <w:lang w:eastAsia="en-GB"/>
        </w:rPr>
        <w:t xml:space="preserve">to </w:t>
      </w:r>
      <w:r w:rsidR="0031596F">
        <w:rPr>
          <w:rFonts w:eastAsia="Times New Roman" w:cstheme="minorHAnsi"/>
          <w:color w:val="0072C6"/>
          <w:lang w:eastAsia="en-GB"/>
        </w:rPr>
        <w:t>secure</w:t>
      </w:r>
      <w:r w:rsidR="00493169">
        <w:rPr>
          <w:rFonts w:eastAsia="Times New Roman" w:cstheme="minorHAnsi"/>
          <w:color w:val="0072C6"/>
          <w:lang w:eastAsia="en-GB"/>
        </w:rPr>
        <w:t xml:space="preserve"> my safe release. </w:t>
      </w:r>
    </w:p>
    <w:p w14:paraId="2E8C59C3" w14:textId="69C3B9B6" w:rsidR="00D67FF9" w:rsidRPr="0031596F" w:rsidRDefault="00CE47C5" w:rsidP="0031596F">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The case manufactured against me was built around my </w:t>
      </w:r>
      <w:r w:rsidR="00493169">
        <w:rPr>
          <w:rFonts w:eastAsia="Times New Roman" w:cstheme="minorHAnsi"/>
          <w:color w:val="0072C6"/>
          <w:lang w:eastAsia="en-GB"/>
        </w:rPr>
        <w:t xml:space="preserve">doctoral </w:t>
      </w:r>
      <w:r>
        <w:rPr>
          <w:rFonts w:eastAsia="Times New Roman" w:cstheme="minorHAnsi"/>
          <w:color w:val="0072C6"/>
          <w:lang w:eastAsia="en-GB"/>
        </w:rPr>
        <w:t xml:space="preserve">research, which had been entirely undertaken outside </w:t>
      </w:r>
      <w:r w:rsidR="008830DF">
        <w:rPr>
          <w:rFonts w:eastAsia="Times New Roman" w:cstheme="minorHAnsi"/>
          <w:color w:val="0072C6"/>
          <w:lang w:eastAsia="en-GB"/>
        </w:rPr>
        <w:t>o</w:t>
      </w:r>
      <w:r>
        <w:rPr>
          <w:rFonts w:eastAsia="Times New Roman" w:cstheme="minorHAnsi"/>
          <w:color w:val="0072C6"/>
          <w:lang w:eastAsia="en-GB"/>
        </w:rPr>
        <w:t>f the UAE</w:t>
      </w:r>
      <w:r w:rsidR="008830DF">
        <w:rPr>
          <w:rFonts w:eastAsia="Times New Roman" w:cstheme="minorHAnsi"/>
          <w:color w:val="0072C6"/>
          <w:lang w:eastAsia="en-GB"/>
        </w:rPr>
        <w:t xml:space="preserve"> until that research trip.</w:t>
      </w:r>
      <w:r>
        <w:rPr>
          <w:rFonts w:eastAsia="Times New Roman" w:cstheme="minorHAnsi"/>
          <w:color w:val="0072C6"/>
          <w:lang w:eastAsia="en-GB"/>
        </w:rPr>
        <w:t xml:space="preserve"> </w:t>
      </w:r>
      <w:r w:rsidR="008830DF">
        <w:rPr>
          <w:rFonts w:eastAsia="Times New Roman" w:cstheme="minorHAnsi"/>
          <w:color w:val="0072C6"/>
          <w:lang w:eastAsia="en-GB"/>
        </w:rPr>
        <w:t>It was</w:t>
      </w:r>
      <w:r>
        <w:rPr>
          <w:rFonts w:eastAsia="Times New Roman" w:cstheme="minorHAnsi"/>
          <w:color w:val="0072C6"/>
          <w:lang w:eastAsia="en-GB"/>
        </w:rPr>
        <w:t xml:space="preserve"> built upon publicly available sources. </w:t>
      </w:r>
      <w:r w:rsidR="008830DF">
        <w:rPr>
          <w:rFonts w:eastAsia="Times New Roman" w:cstheme="minorHAnsi"/>
          <w:color w:val="0072C6"/>
          <w:lang w:eastAsia="en-GB"/>
        </w:rPr>
        <w:t>However, t</w:t>
      </w:r>
      <w:r>
        <w:rPr>
          <w:rFonts w:eastAsia="Times New Roman" w:cstheme="minorHAnsi"/>
          <w:color w:val="0072C6"/>
          <w:lang w:eastAsia="en-GB"/>
        </w:rPr>
        <w:t>he concept of open source information (OSINT) was unclear</w:t>
      </w:r>
      <w:r w:rsidR="00E424D9">
        <w:rPr>
          <w:rFonts w:eastAsia="Times New Roman" w:cstheme="minorHAnsi"/>
          <w:color w:val="0072C6"/>
          <w:lang w:eastAsia="en-GB"/>
        </w:rPr>
        <w:t xml:space="preserve"> </w:t>
      </w:r>
      <w:r>
        <w:rPr>
          <w:rFonts w:eastAsia="Times New Roman" w:cstheme="minorHAnsi"/>
          <w:color w:val="0072C6"/>
          <w:lang w:eastAsia="en-GB"/>
        </w:rPr>
        <w:t xml:space="preserve">to the UAE authorities. </w:t>
      </w:r>
      <w:r w:rsidR="0031596F">
        <w:rPr>
          <w:rFonts w:eastAsia="Times New Roman" w:cstheme="minorHAnsi"/>
          <w:color w:val="0072C6"/>
          <w:lang w:eastAsia="en-GB"/>
        </w:rPr>
        <w:t xml:space="preserve">High ranking judicial figures and intelligence officers struggled to understand </w:t>
      </w:r>
      <w:r w:rsidR="008830DF">
        <w:rPr>
          <w:rFonts w:eastAsia="Times New Roman" w:cstheme="minorHAnsi"/>
          <w:color w:val="0072C6"/>
          <w:lang w:eastAsia="en-GB"/>
        </w:rPr>
        <w:t>how I had carried out my research</w:t>
      </w:r>
      <w:r w:rsidR="0031596F">
        <w:rPr>
          <w:rFonts w:eastAsia="Times New Roman" w:cstheme="minorHAnsi"/>
          <w:color w:val="0072C6"/>
          <w:lang w:eastAsia="en-GB"/>
        </w:rPr>
        <w:t xml:space="preserve"> and misinterpreted the information that was in my emai</w:t>
      </w:r>
      <w:r w:rsidR="008830DF">
        <w:rPr>
          <w:rFonts w:eastAsia="Times New Roman" w:cstheme="minorHAnsi"/>
          <w:color w:val="0072C6"/>
          <w:lang w:eastAsia="en-GB"/>
        </w:rPr>
        <w:t>l -</w:t>
      </w:r>
      <w:r w:rsidR="0031596F">
        <w:rPr>
          <w:rFonts w:eastAsia="Times New Roman" w:cstheme="minorHAnsi"/>
          <w:color w:val="0072C6"/>
          <w:lang w:eastAsia="en-GB"/>
        </w:rPr>
        <w:t xml:space="preserve"> not even in my physical possession</w:t>
      </w:r>
      <w:r w:rsidR="008830DF">
        <w:rPr>
          <w:rFonts w:eastAsia="Times New Roman" w:cstheme="minorHAnsi"/>
          <w:color w:val="0072C6"/>
          <w:lang w:eastAsia="en-GB"/>
        </w:rPr>
        <w:t xml:space="preserve"> -</w:t>
      </w:r>
      <w:r w:rsidR="0031596F">
        <w:rPr>
          <w:rFonts w:eastAsia="Times New Roman" w:cstheme="minorHAnsi"/>
          <w:color w:val="0072C6"/>
          <w:lang w:eastAsia="en-GB"/>
        </w:rPr>
        <w:t xml:space="preserve"> and was prepared outside of the country. While the information may have been deemed sensitive to them, I was </w:t>
      </w:r>
      <w:r w:rsidR="008830DF">
        <w:rPr>
          <w:rFonts w:eastAsia="Times New Roman" w:cstheme="minorHAnsi"/>
          <w:color w:val="0072C6"/>
          <w:lang w:eastAsia="en-GB"/>
        </w:rPr>
        <w:t>not</w:t>
      </w:r>
      <w:r w:rsidR="0031596F">
        <w:rPr>
          <w:rFonts w:eastAsia="Times New Roman" w:cstheme="minorHAnsi"/>
          <w:color w:val="0072C6"/>
          <w:lang w:eastAsia="en-GB"/>
        </w:rPr>
        <w:t xml:space="preserve"> in possession of any secret information.</w:t>
      </w:r>
    </w:p>
    <w:p w14:paraId="3D6F6A8F" w14:textId="012C8A39" w:rsidR="00E424D9" w:rsidRDefault="00D67FF9" w:rsidP="00E424D9">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While coercion</w:t>
      </w:r>
      <w:r w:rsidR="0031596F">
        <w:rPr>
          <w:rFonts w:eastAsia="Times New Roman" w:cstheme="minorHAnsi"/>
          <w:color w:val="0072C6"/>
          <w:lang w:eastAsia="en-GB"/>
        </w:rPr>
        <w:t>, psychological torture, and threat of physical torture</w:t>
      </w:r>
      <w:r>
        <w:rPr>
          <w:rFonts w:eastAsia="Times New Roman" w:cstheme="minorHAnsi"/>
          <w:color w:val="0072C6"/>
          <w:lang w:eastAsia="en-GB"/>
        </w:rPr>
        <w:t xml:space="preserve"> forced me to falsely admit to working on behalf of the British government, I maintained my position of innocence in regard to the information in my </w:t>
      </w:r>
      <w:r w:rsidR="008830DF">
        <w:rPr>
          <w:rFonts w:eastAsia="Times New Roman" w:cstheme="minorHAnsi"/>
          <w:color w:val="0072C6"/>
          <w:lang w:eastAsia="en-GB"/>
        </w:rPr>
        <w:t>possession</w:t>
      </w:r>
      <w:r>
        <w:rPr>
          <w:rFonts w:eastAsia="Times New Roman" w:cstheme="minorHAnsi"/>
          <w:color w:val="0072C6"/>
          <w:lang w:eastAsia="en-GB"/>
        </w:rPr>
        <w:t>. I was appointed a defence lawyer by the Higher National State Security Department</w:t>
      </w:r>
      <w:r w:rsidR="008830DF">
        <w:rPr>
          <w:rFonts w:eastAsia="Times New Roman" w:cstheme="minorHAnsi"/>
          <w:color w:val="0072C6"/>
          <w:lang w:eastAsia="en-GB"/>
        </w:rPr>
        <w:t xml:space="preserve"> as</w:t>
      </w:r>
      <w:r>
        <w:rPr>
          <w:rFonts w:eastAsia="Times New Roman" w:cstheme="minorHAnsi"/>
          <w:color w:val="0072C6"/>
          <w:lang w:eastAsia="en-GB"/>
        </w:rPr>
        <w:t xml:space="preserve"> I could </w:t>
      </w:r>
      <w:r w:rsidR="008830DF">
        <w:rPr>
          <w:rFonts w:eastAsia="Times New Roman" w:cstheme="minorHAnsi"/>
          <w:color w:val="0072C6"/>
          <w:lang w:eastAsia="en-GB"/>
        </w:rPr>
        <w:t xml:space="preserve">not </w:t>
      </w:r>
      <w:r>
        <w:rPr>
          <w:rFonts w:eastAsia="Times New Roman" w:cstheme="minorHAnsi"/>
          <w:color w:val="0072C6"/>
          <w:lang w:eastAsia="en-GB"/>
        </w:rPr>
        <w:t>afford a lawyer</w:t>
      </w:r>
      <w:r w:rsidR="008830DF">
        <w:rPr>
          <w:rFonts w:eastAsia="Times New Roman" w:cstheme="minorHAnsi"/>
          <w:color w:val="0072C6"/>
          <w:lang w:eastAsia="en-GB"/>
        </w:rPr>
        <w:t>. Furthermore</w:t>
      </w:r>
      <w:r w:rsidR="00051FD3">
        <w:rPr>
          <w:rFonts w:eastAsia="Times New Roman" w:cstheme="minorHAnsi"/>
          <w:color w:val="0072C6"/>
          <w:lang w:eastAsia="en-GB"/>
        </w:rPr>
        <w:t>,</w:t>
      </w:r>
      <w:r w:rsidR="008830DF">
        <w:rPr>
          <w:rFonts w:eastAsia="Times New Roman" w:cstheme="minorHAnsi"/>
          <w:color w:val="0072C6"/>
          <w:lang w:eastAsia="en-GB"/>
        </w:rPr>
        <w:t xml:space="preserve"> no</w:t>
      </w:r>
      <w:r>
        <w:rPr>
          <w:rFonts w:eastAsia="Times New Roman" w:cstheme="minorHAnsi"/>
          <w:color w:val="0072C6"/>
          <w:lang w:eastAsia="en-GB"/>
        </w:rPr>
        <w:t xml:space="preserve"> legal firm</w:t>
      </w:r>
      <w:r w:rsidR="008830DF">
        <w:rPr>
          <w:rFonts w:eastAsia="Times New Roman" w:cstheme="minorHAnsi"/>
          <w:color w:val="0072C6"/>
          <w:lang w:eastAsia="en-GB"/>
        </w:rPr>
        <w:t xml:space="preserve"> in the UAE was</w:t>
      </w:r>
      <w:r>
        <w:rPr>
          <w:rFonts w:eastAsia="Times New Roman" w:cstheme="minorHAnsi"/>
          <w:color w:val="0072C6"/>
          <w:lang w:eastAsia="en-GB"/>
        </w:rPr>
        <w:t xml:space="preserve"> willing to take my case</w:t>
      </w:r>
      <w:r w:rsidR="008830DF">
        <w:rPr>
          <w:rFonts w:eastAsia="Times New Roman" w:cstheme="minorHAnsi"/>
          <w:color w:val="0072C6"/>
          <w:lang w:eastAsia="en-GB"/>
        </w:rPr>
        <w:t xml:space="preserve"> as</w:t>
      </w:r>
      <w:r>
        <w:rPr>
          <w:rFonts w:eastAsia="Times New Roman" w:cstheme="minorHAnsi"/>
          <w:color w:val="0072C6"/>
          <w:lang w:eastAsia="en-GB"/>
        </w:rPr>
        <w:t xml:space="preserve"> </w:t>
      </w:r>
      <w:r w:rsidR="008830DF">
        <w:rPr>
          <w:rFonts w:eastAsia="Times New Roman" w:cstheme="minorHAnsi"/>
          <w:color w:val="0072C6"/>
          <w:lang w:eastAsia="en-GB"/>
        </w:rPr>
        <w:t>there was no official</w:t>
      </w:r>
      <w:r>
        <w:rPr>
          <w:rFonts w:eastAsia="Times New Roman" w:cstheme="minorHAnsi"/>
          <w:color w:val="0072C6"/>
          <w:lang w:eastAsia="en-GB"/>
        </w:rPr>
        <w:t xml:space="preserve"> case number</w:t>
      </w:r>
      <w:r w:rsidR="008830DF">
        <w:rPr>
          <w:rFonts w:eastAsia="Times New Roman" w:cstheme="minorHAnsi"/>
          <w:color w:val="0072C6"/>
          <w:lang w:eastAsia="en-GB"/>
        </w:rPr>
        <w:t xml:space="preserve"> assigned to me</w:t>
      </w:r>
      <w:r>
        <w:rPr>
          <w:rFonts w:eastAsia="Times New Roman" w:cstheme="minorHAnsi"/>
          <w:color w:val="0072C6"/>
          <w:lang w:eastAsia="en-GB"/>
        </w:rPr>
        <w:t xml:space="preserve"> </w:t>
      </w:r>
      <w:r w:rsidR="008830DF">
        <w:rPr>
          <w:rFonts w:eastAsia="Times New Roman" w:cstheme="minorHAnsi"/>
          <w:color w:val="0072C6"/>
          <w:lang w:eastAsia="en-GB"/>
        </w:rPr>
        <w:t>and</w:t>
      </w:r>
      <w:r>
        <w:rPr>
          <w:rFonts w:eastAsia="Times New Roman" w:cstheme="minorHAnsi"/>
          <w:color w:val="0072C6"/>
          <w:lang w:eastAsia="en-GB"/>
        </w:rPr>
        <w:t xml:space="preserve"> the UAE has a track record of intimidating lawyers. In my defence hearing the court appointed lawyer successfully illustrated to the court that I had not had any secretive information but </w:t>
      </w:r>
      <w:r w:rsidR="00294853">
        <w:rPr>
          <w:rFonts w:eastAsia="Times New Roman" w:cstheme="minorHAnsi"/>
          <w:color w:val="0072C6"/>
          <w:lang w:eastAsia="en-GB"/>
        </w:rPr>
        <w:t>only</w:t>
      </w:r>
      <w:r>
        <w:rPr>
          <w:rFonts w:eastAsia="Times New Roman" w:cstheme="minorHAnsi"/>
          <w:color w:val="0072C6"/>
          <w:lang w:eastAsia="en-GB"/>
        </w:rPr>
        <w:t xml:space="preserve"> information</w:t>
      </w:r>
      <w:r w:rsidR="00294853">
        <w:rPr>
          <w:rFonts w:eastAsia="Times New Roman" w:cstheme="minorHAnsi"/>
          <w:color w:val="0072C6"/>
          <w:lang w:eastAsia="en-GB"/>
        </w:rPr>
        <w:t xml:space="preserve"> which had been deemed sensitive</w:t>
      </w:r>
      <w:r>
        <w:rPr>
          <w:rFonts w:eastAsia="Times New Roman" w:cstheme="minorHAnsi"/>
          <w:color w:val="0072C6"/>
          <w:lang w:eastAsia="en-GB"/>
        </w:rPr>
        <w:t xml:space="preserve">. </w:t>
      </w:r>
      <w:r w:rsidR="00DF0FA9">
        <w:rPr>
          <w:rFonts w:eastAsia="Times New Roman" w:cstheme="minorHAnsi"/>
          <w:color w:val="0072C6"/>
          <w:lang w:eastAsia="en-GB"/>
        </w:rPr>
        <w:t xml:space="preserve">As a result, the entire case held against me was based on a coerced confession. </w:t>
      </w:r>
      <w:r w:rsidR="00294853">
        <w:rPr>
          <w:rFonts w:eastAsia="Times New Roman" w:cstheme="minorHAnsi"/>
          <w:color w:val="0072C6"/>
          <w:lang w:eastAsia="en-GB"/>
        </w:rPr>
        <w:t>It is therefore clear that a</w:t>
      </w:r>
      <w:r w:rsidR="00DF0FA9">
        <w:rPr>
          <w:rFonts w:eastAsia="Times New Roman" w:cstheme="minorHAnsi"/>
          <w:color w:val="0072C6"/>
          <w:lang w:eastAsia="en-GB"/>
        </w:rPr>
        <w:t xml:space="preserve"> lack of understanding </w:t>
      </w:r>
      <w:r w:rsidR="00294853">
        <w:rPr>
          <w:rFonts w:eastAsia="Times New Roman" w:cstheme="minorHAnsi"/>
          <w:color w:val="0072C6"/>
          <w:lang w:eastAsia="en-GB"/>
        </w:rPr>
        <w:t xml:space="preserve">around </w:t>
      </w:r>
      <w:r w:rsidR="00DF0FA9">
        <w:rPr>
          <w:rFonts w:eastAsia="Times New Roman" w:cstheme="minorHAnsi"/>
          <w:color w:val="0072C6"/>
          <w:lang w:eastAsia="en-GB"/>
        </w:rPr>
        <w:t xml:space="preserve">academic research was fundamental to the handling of my case. </w:t>
      </w:r>
    </w:p>
    <w:p w14:paraId="61B62494" w14:textId="7A7D402B" w:rsidR="00C0427A" w:rsidRDefault="003F0762" w:rsidP="00C0427A">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Shortly after my release</w:t>
      </w:r>
      <w:r w:rsidR="00C0427A">
        <w:rPr>
          <w:rFonts w:eastAsia="Times New Roman" w:cstheme="minorHAnsi"/>
          <w:color w:val="0072C6"/>
          <w:lang w:eastAsia="en-GB"/>
        </w:rPr>
        <w:t>, the UAE announced amendments to Article 170 of the Penal Code,</w:t>
      </w:r>
      <w:r w:rsidR="00B5259A">
        <w:rPr>
          <w:rFonts w:eastAsia="Times New Roman" w:cstheme="minorHAnsi"/>
          <w:color w:val="0072C6"/>
          <w:lang w:eastAsia="en-GB"/>
        </w:rPr>
        <w:t xml:space="preserve"> as a result </w:t>
      </w:r>
      <w:r w:rsidR="00C0427A">
        <w:rPr>
          <w:rFonts w:eastAsia="Times New Roman" w:cstheme="minorHAnsi"/>
          <w:color w:val="0072C6"/>
          <w:lang w:eastAsia="en-GB"/>
        </w:rPr>
        <w:t>any of the following shall be considered secrets of the nation’s defence:</w:t>
      </w:r>
    </w:p>
    <w:p w14:paraId="364CFD2E" w14:textId="651E1C1F" w:rsidR="00C0427A" w:rsidRDefault="00C0427A" w:rsidP="00C0427A">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Military, political, economic, industrial, scientific or social security-related information or other information, which are unknown except to persons who have such a capacity by virtue of one’s position or status, and which the interest of the country’s defence requires that it remain undisclosed to others.</w:t>
      </w:r>
    </w:p>
    <w:p w14:paraId="0B82F88A" w14:textId="329CC50E" w:rsidR="00C0427A" w:rsidRDefault="00C0427A" w:rsidP="00C0427A">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Correspondence, written instruments, documents, drawings, maps, designs, pictures, coordinates, and other things whose disclosure might lead to divulging information such as those referred to in the preceding clause, and which the interest of the country’s defence requires that they shall remain </w:t>
      </w:r>
      <w:r>
        <w:rPr>
          <w:rFonts w:eastAsia="Times New Roman" w:cstheme="minorHAnsi"/>
          <w:color w:val="0072C6"/>
          <w:lang w:eastAsia="en-GB"/>
        </w:rPr>
        <w:lastRenderedPageBreak/>
        <w:t xml:space="preserve">classified to persons other than those who are assigned to preserve or use them. </w:t>
      </w:r>
    </w:p>
    <w:p w14:paraId="3E0B0765" w14:textId="7E113F4D" w:rsidR="00C0427A" w:rsidRDefault="00C0427A" w:rsidP="00C0427A">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News and information related to the armed forces, the Ministry of Interior and security services as well as their formations, manoeuvres, ammunition, supplies, personnel and other things affecting military affairs, and war and security plans, unless written permission to publish and announce such things has been issued by competent authorities. </w:t>
      </w:r>
    </w:p>
    <w:p w14:paraId="76B65EDC" w14:textId="6A35231B" w:rsidR="00C0427A" w:rsidRDefault="00C0427A" w:rsidP="00C0427A">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News and information related to measures and procedures which are adopted to detect crimes provided for in this chapter, and arrest of culprits as well as news and information related to the investigation and trial proceedings, if the announcement thereof, is prohibited by the investigation authority or the competent court. </w:t>
      </w:r>
      <w:r>
        <w:rPr>
          <w:rStyle w:val="EndnoteReference"/>
          <w:rFonts w:eastAsia="Times New Roman" w:cstheme="minorHAnsi"/>
          <w:color w:val="0072C6"/>
          <w:lang w:eastAsia="en-GB"/>
        </w:rPr>
        <w:endnoteReference w:id="1"/>
      </w:r>
    </w:p>
    <w:p w14:paraId="1390C2B7" w14:textId="788EBEF2" w:rsidR="002F7352" w:rsidRDefault="002F7352" w:rsidP="002F735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It is clear from the subsequent amendment to the UAE’s penal code that the authorities perceived understanding of confidential or sensitive information </w:t>
      </w:r>
      <w:r w:rsidR="00520784">
        <w:rPr>
          <w:rFonts w:eastAsia="Times New Roman" w:cstheme="minorHAnsi"/>
          <w:color w:val="0072C6"/>
          <w:lang w:eastAsia="en-GB"/>
        </w:rPr>
        <w:t xml:space="preserve">was insufficient, </w:t>
      </w:r>
      <w:r>
        <w:rPr>
          <w:rFonts w:eastAsia="Times New Roman" w:cstheme="minorHAnsi"/>
          <w:color w:val="0072C6"/>
          <w:lang w:eastAsia="en-GB"/>
        </w:rPr>
        <w:t xml:space="preserve">and thus they significantly expanded their </w:t>
      </w:r>
      <w:r w:rsidR="00520784">
        <w:rPr>
          <w:rFonts w:eastAsia="Times New Roman" w:cstheme="minorHAnsi"/>
          <w:color w:val="0072C6"/>
          <w:lang w:eastAsia="en-GB"/>
        </w:rPr>
        <w:t xml:space="preserve">restriction of such information. </w:t>
      </w:r>
      <w:r w:rsidR="00732662">
        <w:rPr>
          <w:rFonts w:eastAsia="Times New Roman" w:cstheme="minorHAnsi"/>
          <w:color w:val="0072C6"/>
          <w:lang w:eastAsia="en-GB"/>
        </w:rPr>
        <w:t>Each point is thus explained:</w:t>
      </w:r>
    </w:p>
    <w:p w14:paraId="6C7BCBA2" w14:textId="38ECA678" w:rsidR="00732662" w:rsidRDefault="00732662" w:rsidP="00732662">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Point 5.1. While not only is the scope mentioned extremely broad, to include specific information listed or </w:t>
      </w:r>
      <w:r>
        <w:rPr>
          <w:rFonts w:eastAsia="Times New Roman" w:cstheme="minorHAnsi"/>
          <w:i/>
          <w:iCs/>
          <w:color w:val="0072C6"/>
          <w:lang w:eastAsia="en-GB"/>
        </w:rPr>
        <w:t>other information</w:t>
      </w:r>
      <w:r>
        <w:rPr>
          <w:rFonts w:eastAsia="Times New Roman" w:cstheme="minorHAnsi"/>
          <w:color w:val="0072C6"/>
          <w:lang w:eastAsia="en-GB"/>
        </w:rPr>
        <w:t xml:space="preserve">, the flexibility of possessing this information could be through any number of mediums. It could be undisclosed to some persons, but openly available to others. In essence, this refers to persons residing or transiting through the state as this access to information is relative. </w:t>
      </w:r>
    </w:p>
    <w:p w14:paraId="69BB2022" w14:textId="18AB16F5" w:rsidR="00CF7EA8" w:rsidRDefault="00CF7EA8" w:rsidP="00CF7EA8">
      <w:pPr>
        <w:pStyle w:val="ListParagraph"/>
        <w:numPr>
          <w:ilvl w:val="2"/>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This point was a direct reference to my case as my four contextual chapters</w:t>
      </w:r>
      <w:r w:rsidR="000A555D">
        <w:rPr>
          <w:rFonts w:eastAsia="Times New Roman" w:cstheme="minorHAnsi"/>
          <w:color w:val="0072C6"/>
          <w:lang w:eastAsia="en-GB"/>
        </w:rPr>
        <w:t xml:space="preserve"> of my thesis</w:t>
      </w:r>
      <w:r>
        <w:rPr>
          <w:rFonts w:eastAsia="Times New Roman" w:cstheme="minorHAnsi"/>
          <w:color w:val="0072C6"/>
          <w:lang w:eastAsia="en-GB"/>
        </w:rPr>
        <w:t xml:space="preserve"> are titled; military, surveillance, economy, and industry</w:t>
      </w:r>
      <w:r w:rsidR="00481197">
        <w:rPr>
          <w:rFonts w:eastAsia="Times New Roman" w:cstheme="minorHAnsi"/>
          <w:color w:val="0072C6"/>
          <w:lang w:eastAsia="en-GB"/>
        </w:rPr>
        <w:t>.</w:t>
      </w:r>
    </w:p>
    <w:p w14:paraId="00A72029" w14:textId="6E6203B7" w:rsidR="00233B75" w:rsidRDefault="00233B75" w:rsidP="00CF7EA8">
      <w:pPr>
        <w:pStyle w:val="ListParagraph"/>
        <w:numPr>
          <w:ilvl w:val="2"/>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Human sources of mine who had been in contact </w:t>
      </w:r>
      <w:r w:rsidR="00B5259A">
        <w:rPr>
          <w:rFonts w:eastAsia="Times New Roman" w:cstheme="minorHAnsi"/>
          <w:color w:val="0072C6"/>
          <w:lang w:eastAsia="en-GB"/>
        </w:rPr>
        <w:t xml:space="preserve">with </w:t>
      </w:r>
      <w:r>
        <w:rPr>
          <w:rFonts w:eastAsia="Times New Roman" w:cstheme="minorHAnsi"/>
          <w:color w:val="0072C6"/>
          <w:lang w:eastAsia="en-GB"/>
        </w:rPr>
        <w:t>me were all directions of enquiry for the Emirati intelligence services. Every person I knew had become an additional target for the UAE authorities, and subsequently, sources of mine in 3</w:t>
      </w:r>
      <w:r w:rsidRPr="00233B75">
        <w:rPr>
          <w:rFonts w:eastAsia="Times New Roman" w:cstheme="minorHAnsi"/>
          <w:color w:val="0072C6"/>
          <w:vertAlign w:val="superscript"/>
          <w:lang w:eastAsia="en-GB"/>
        </w:rPr>
        <w:t>rd</w:t>
      </w:r>
      <w:r>
        <w:rPr>
          <w:rFonts w:eastAsia="Times New Roman" w:cstheme="minorHAnsi"/>
          <w:color w:val="0072C6"/>
          <w:lang w:eastAsia="en-GB"/>
        </w:rPr>
        <w:t xml:space="preserve"> party countries were interrogated by their local intelligence services over their interaction with me. Not only does this highlight the immediate danger to academi</w:t>
      </w:r>
      <w:r w:rsidR="000E01E1">
        <w:rPr>
          <w:rFonts w:eastAsia="Times New Roman" w:cstheme="minorHAnsi"/>
          <w:color w:val="0072C6"/>
          <w:lang w:eastAsia="en-GB"/>
        </w:rPr>
        <w:t>cs</w:t>
      </w:r>
      <w:r>
        <w:rPr>
          <w:rFonts w:eastAsia="Times New Roman" w:cstheme="minorHAnsi"/>
          <w:color w:val="0072C6"/>
          <w:lang w:eastAsia="en-GB"/>
        </w:rPr>
        <w:t xml:space="preserve"> within the UAE, but also, the extent to which they are willing to go to disrupt this abroad. </w:t>
      </w:r>
    </w:p>
    <w:p w14:paraId="413572E6" w14:textId="7348ADC6" w:rsidR="00BF753D" w:rsidRDefault="00BF753D" w:rsidP="00CF7EA8">
      <w:pPr>
        <w:pStyle w:val="ListParagraph"/>
        <w:numPr>
          <w:ilvl w:val="2"/>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When combined with additional legislation such as the </w:t>
      </w:r>
      <w:r w:rsidRPr="00CE139D">
        <w:rPr>
          <w:rFonts w:eastAsia="Times New Roman" w:cstheme="minorHAnsi"/>
          <w:color w:val="0072C6"/>
          <w:lang w:eastAsia="en-GB"/>
        </w:rPr>
        <w:t>Federal Decree Law No.5 of 2012</w:t>
      </w:r>
      <w:r>
        <w:rPr>
          <w:rFonts w:eastAsia="Times New Roman" w:cstheme="minorHAnsi"/>
          <w:color w:val="0072C6"/>
          <w:lang w:eastAsia="en-GB"/>
        </w:rPr>
        <w:t xml:space="preserve">, it is extremely risky for human sources and thus academic research to be conducted, physically or virtually within the UAE. </w:t>
      </w:r>
    </w:p>
    <w:p w14:paraId="24F4ACBE" w14:textId="7FBB21CD" w:rsidR="00732662" w:rsidRDefault="00732662" w:rsidP="00732662">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Point 5.2 It is not only difficult to know what </w:t>
      </w:r>
      <w:r>
        <w:rPr>
          <w:rFonts w:eastAsia="Times New Roman" w:cstheme="minorHAnsi"/>
          <w:i/>
          <w:iCs/>
          <w:color w:val="0072C6"/>
          <w:lang w:eastAsia="en-GB"/>
        </w:rPr>
        <w:t>might lead to divulging information</w:t>
      </w:r>
      <w:r>
        <w:rPr>
          <w:rFonts w:eastAsia="Times New Roman" w:cstheme="minorHAnsi"/>
          <w:color w:val="0072C6"/>
          <w:lang w:eastAsia="en-GB"/>
        </w:rPr>
        <w:t>, but again, based upon my own experience</w:t>
      </w:r>
      <w:r w:rsidR="009172BF">
        <w:rPr>
          <w:rFonts w:eastAsia="Times New Roman" w:cstheme="minorHAnsi"/>
          <w:color w:val="0072C6"/>
          <w:lang w:eastAsia="en-GB"/>
        </w:rPr>
        <w:t>,</w:t>
      </w:r>
      <w:r>
        <w:rPr>
          <w:rFonts w:eastAsia="Times New Roman" w:cstheme="minorHAnsi"/>
          <w:color w:val="0072C6"/>
          <w:lang w:eastAsia="en-GB"/>
        </w:rPr>
        <w:t xml:space="preserve"> publicly available information fits within the scope of this limit. </w:t>
      </w:r>
    </w:p>
    <w:p w14:paraId="558ADABA" w14:textId="3F0E0A3A" w:rsidR="00CF7EA8" w:rsidRDefault="00CF7EA8" w:rsidP="00CF7EA8">
      <w:pPr>
        <w:pStyle w:val="ListParagraph"/>
        <w:numPr>
          <w:ilvl w:val="2"/>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This point was a direct reference to my case as I designed a map of Abu Dhabi, the UAE’s capital, and highlighted the location of key strategic institutions. For reference, all sites </w:t>
      </w:r>
      <w:r w:rsidR="000E01E1">
        <w:rPr>
          <w:rFonts w:eastAsia="Times New Roman" w:cstheme="minorHAnsi"/>
          <w:color w:val="0072C6"/>
          <w:lang w:eastAsia="en-GB"/>
        </w:rPr>
        <w:t xml:space="preserve">included </w:t>
      </w:r>
      <w:r>
        <w:rPr>
          <w:rFonts w:eastAsia="Times New Roman" w:cstheme="minorHAnsi"/>
          <w:color w:val="0072C6"/>
          <w:lang w:eastAsia="en-GB"/>
        </w:rPr>
        <w:t xml:space="preserve">are publicly signposted and highlighted by the cities’ municipality. Furthermore, </w:t>
      </w:r>
      <w:r w:rsidR="00246A5A">
        <w:rPr>
          <w:rFonts w:eastAsia="Times New Roman" w:cstheme="minorHAnsi"/>
          <w:color w:val="0072C6"/>
          <w:lang w:eastAsia="en-GB"/>
        </w:rPr>
        <w:t>through common websites such as googlemaps, applemaps, wikimapia</w:t>
      </w:r>
      <w:r>
        <w:rPr>
          <w:rFonts w:eastAsia="Times New Roman" w:cstheme="minorHAnsi"/>
          <w:color w:val="0072C6"/>
          <w:lang w:eastAsia="en-GB"/>
        </w:rPr>
        <w:t xml:space="preserve"> </w:t>
      </w:r>
      <w:r w:rsidR="00246A5A">
        <w:rPr>
          <w:rFonts w:eastAsia="Times New Roman" w:cstheme="minorHAnsi"/>
          <w:color w:val="0072C6"/>
          <w:lang w:eastAsia="en-GB"/>
        </w:rPr>
        <w:t>or even through travel guides and books, there is common reference to the organisations</w:t>
      </w:r>
      <w:r w:rsidR="00233B75">
        <w:rPr>
          <w:rFonts w:eastAsia="Times New Roman" w:cstheme="minorHAnsi"/>
          <w:color w:val="0072C6"/>
          <w:lang w:eastAsia="en-GB"/>
        </w:rPr>
        <w:t xml:space="preserve"> and logistic infrastructure</w:t>
      </w:r>
      <w:r w:rsidR="00246A5A">
        <w:rPr>
          <w:rFonts w:eastAsia="Times New Roman" w:cstheme="minorHAnsi"/>
          <w:color w:val="0072C6"/>
          <w:lang w:eastAsia="en-GB"/>
        </w:rPr>
        <w:t xml:space="preserve"> I highlighted</w:t>
      </w:r>
      <w:r w:rsidR="00481197">
        <w:rPr>
          <w:rFonts w:eastAsia="Times New Roman" w:cstheme="minorHAnsi"/>
          <w:color w:val="0072C6"/>
          <w:lang w:eastAsia="en-GB"/>
        </w:rPr>
        <w:t>.</w:t>
      </w:r>
    </w:p>
    <w:p w14:paraId="6B4A3EEF" w14:textId="1695DDF7" w:rsidR="00732662" w:rsidRDefault="00732662" w:rsidP="00732662">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lastRenderedPageBreak/>
        <w:t>Point 5.3 News and information is in essence</w:t>
      </w:r>
      <w:r w:rsidR="009172BF">
        <w:rPr>
          <w:rFonts w:eastAsia="Times New Roman" w:cstheme="minorHAnsi"/>
          <w:color w:val="0072C6"/>
          <w:lang w:eastAsia="en-GB"/>
        </w:rPr>
        <w:t xml:space="preserve"> again,</w:t>
      </w:r>
      <w:r>
        <w:rPr>
          <w:rFonts w:eastAsia="Times New Roman" w:cstheme="minorHAnsi"/>
          <w:color w:val="0072C6"/>
          <w:lang w:eastAsia="en-GB"/>
        </w:rPr>
        <w:t xml:space="preserve"> public information. This can be accessed through UAE outlets or partner outlets. </w:t>
      </w:r>
    </w:p>
    <w:p w14:paraId="0E710874" w14:textId="55C699FB" w:rsidR="00246A5A" w:rsidRDefault="007F6EA7" w:rsidP="00246A5A">
      <w:pPr>
        <w:pStyle w:val="ListParagraph"/>
        <w:numPr>
          <w:ilvl w:val="2"/>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It</w:t>
      </w:r>
      <w:r w:rsidR="00246A5A">
        <w:rPr>
          <w:rFonts w:eastAsia="Times New Roman" w:cstheme="minorHAnsi"/>
          <w:color w:val="0072C6"/>
          <w:lang w:eastAsia="en-GB"/>
        </w:rPr>
        <w:t xml:space="preserve"> is </w:t>
      </w:r>
      <w:r>
        <w:rPr>
          <w:rFonts w:eastAsia="Times New Roman" w:cstheme="minorHAnsi"/>
          <w:color w:val="0072C6"/>
          <w:lang w:eastAsia="en-GB"/>
        </w:rPr>
        <w:t xml:space="preserve">a </w:t>
      </w:r>
      <w:r w:rsidR="00246A5A">
        <w:rPr>
          <w:rFonts w:eastAsia="Times New Roman" w:cstheme="minorHAnsi"/>
          <w:color w:val="0072C6"/>
          <w:lang w:eastAsia="en-GB"/>
        </w:rPr>
        <w:t xml:space="preserve">common </w:t>
      </w:r>
      <w:r>
        <w:rPr>
          <w:rFonts w:eastAsia="Times New Roman" w:cstheme="minorHAnsi"/>
          <w:color w:val="0072C6"/>
          <w:lang w:eastAsia="en-GB"/>
        </w:rPr>
        <w:t>strategy of deterrence for states</w:t>
      </w:r>
      <w:r w:rsidR="00246A5A">
        <w:rPr>
          <w:rFonts w:eastAsia="Times New Roman" w:cstheme="minorHAnsi"/>
          <w:color w:val="0072C6"/>
          <w:lang w:eastAsia="en-GB"/>
        </w:rPr>
        <w:t xml:space="preserve"> to publicise </w:t>
      </w:r>
      <w:r>
        <w:rPr>
          <w:rFonts w:eastAsia="Times New Roman" w:cstheme="minorHAnsi"/>
          <w:color w:val="0072C6"/>
          <w:lang w:eastAsia="en-GB"/>
        </w:rPr>
        <w:t>their repressive capabilities</w:t>
      </w:r>
      <w:r w:rsidR="00246A5A">
        <w:rPr>
          <w:rFonts w:eastAsia="Times New Roman" w:cstheme="minorHAnsi"/>
          <w:color w:val="0072C6"/>
          <w:lang w:eastAsia="en-GB"/>
        </w:rPr>
        <w:t xml:space="preserve">. Furthermore, </w:t>
      </w:r>
      <w:r w:rsidR="00481197">
        <w:rPr>
          <w:rFonts w:eastAsia="Times New Roman" w:cstheme="minorHAnsi"/>
          <w:color w:val="0072C6"/>
          <w:lang w:eastAsia="en-GB"/>
        </w:rPr>
        <w:t>due to the subjectivity of the perceived classification of information across the</w:t>
      </w:r>
      <w:r w:rsidR="00246A5A">
        <w:rPr>
          <w:rFonts w:eastAsia="Times New Roman" w:cstheme="minorHAnsi"/>
          <w:color w:val="0072C6"/>
          <w:lang w:eastAsia="en-GB"/>
        </w:rPr>
        <w:t xml:space="preserve"> UAE </w:t>
      </w:r>
      <w:r w:rsidR="00481197">
        <w:rPr>
          <w:rFonts w:eastAsia="Times New Roman" w:cstheme="minorHAnsi"/>
          <w:color w:val="0072C6"/>
          <w:lang w:eastAsia="en-GB"/>
        </w:rPr>
        <w:t xml:space="preserve">government, </w:t>
      </w:r>
      <w:r w:rsidR="00246A5A">
        <w:rPr>
          <w:rFonts w:eastAsia="Times New Roman" w:cstheme="minorHAnsi"/>
          <w:color w:val="0072C6"/>
          <w:lang w:eastAsia="en-GB"/>
        </w:rPr>
        <w:t xml:space="preserve"> information</w:t>
      </w:r>
      <w:r w:rsidR="00481197">
        <w:rPr>
          <w:rFonts w:eastAsia="Times New Roman" w:cstheme="minorHAnsi"/>
          <w:color w:val="0072C6"/>
          <w:lang w:eastAsia="en-GB"/>
        </w:rPr>
        <w:t xml:space="preserve"> they may think is classified is often public</w:t>
      </w:r>
      <w:r w:rsidR="00246A5A">
        <w:rPr>
          <w:rFonts w:eastAsia="Times New Roman" w:cstheme="minorHAnsi"/>
          <w:color w:val="0072C6"/>
          <w:lang w:eastAsia="en-GB"/>
        </w:rPr>
        <w:t xml:space="preserve">. My frustrating experience with the State Security prosecutor and State Security Department Intelligence agents showed a </w:t>
      </w:r>
      <w:r w:rsidR="00051FD3">
        <w:rPr>
          <w:rFonts w:eastAsia="Times New Roman" w:cstheme="minorHAnsi"/>
          <w:color w:val="0072C6"/>
          <w:lang w:eastAsia="en-GB"/>
        </w:rPr>
        <w:t>wilful</w:t>
      </w:r>
      <w:r w:rsidR="000E01E1">
        <w:rPr>
          <w:rFonts w:eastAsia="Times New Roman" w:cstheme="minorHAnsi"/>
          <w:color w:val="0072C6"/>
          <w:lang w:eastAsia="en-GB"/>
        </w:rPr>
        <w:t xml:space="preserve"> </w:t>
      </w:r>
      <w:r w:rsidR="00246A5A">
        <w:rPr>
          <w:rFonts w:eastAsia="Times New Roman" w:cstheme="minorHAnsi"/>
          <w:color w:val="0072C6"/>
          <w:lang w:eastAsia="en-GB"/>
        </w:rPr>
        <w:t>ignorance with the modern world and its capabilities</w:t>
      </w:r>
      <w:r w:rsidR="00481197">
        <w:rPr>
          <w:rFonts w:eastAsia="Times New Roman" w:cstheme="minorHAnsi"/>
          <w:color w:val="0072C6"/>
          <w:lang w:eastAsia="en-GB"/>
        </w:rPr>
        <w:t>.</w:t>
      </w:r>
    </w:p>
    <w:p w14:paraId="683970A7" w14:textId="2BE8C8B8" w:rsidR="00732662" w:rsidRDefault="00732662" w:rsidP="00732662">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Point 5.4 Likewise </w:t>
      </w:r>
      <w:r w:rsidR="000E01E1">
        <w:rPr>
          <w:rFonts w:eastAsia="Times New Roman" w:cstheme="minorHAnsi"/>
          <w:color w:val="0072C6"/>
          <w:lang w:eastAsia="en-GB"/>
        </w:rPr>
        <w:t>with</w:t>
      </w:r>
      <w:r>
        <w:rPr>
          <w:rFonts w:eastAsia="Times New Roman" w:cstheme="minorHAnsi"/>
          <w:color w:val="0072C6"/>
          <w:lang w:eastAsia="en-GB"/>
        </w:rPr>
        <w:t xml:space="preserve"> point 5.3, news and information is public information.</w:t>
      </w:r>
      <w:r w:rsidR="009172BF">
        <w:rPr>
          <w:rFonts w:eastAsia="Times New Roman" w:cstheme="minorHAnsi"/>
          <w:color w:val="0072C6"/>
          <w:lang w:eastAsia="en-GB"/>
        </w:rPr>
        <w:t xml:space="preserve"> Within my dissertation, I had referenced multiple UAE outlets illustrating technological </w:t>
      </w:r>
      <w:r w:rsidR="00B276BD">
        <w:rPr>
          <w:rFonts w:eastAsia="Times New Roman" w:cstheme="minorHAnsi"/>
          <w:color w:val="0072C6"/>
          <w:lang w:eastAsia="en-GB"/>
        </w:rPr>
        <w:t xml:space="preserve">developments. While these would be under the auspices of the National Media Council (NMC), there is clearly a dislocation between the different state entities. </w:t>
      </w:r>
    </w:p>
    <w:p w14:paraId="7E42EF26" w14:textId="75CC7DC1" w:rsidR="00732662" w:rsidRDefault="00246A5A"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In addition to the amendment that subsequently followed my pardon, there are several other prominent acts of legislation that restrict academic freedom within the UAE</w:t>
      </w:r>
      <w:r w:rsidR="005B48D0">
        <w:rPr>
          <w:rFonts w:eastAsia="Times New Roman" w:cstheme="minorHAnsi"/>
          <w:color w:val="0072C6"/>
          <w:lang w:eastAsia="en-GB"/>
        </w:rPr>
        <w:t xml:space="preserve">. </w:t>
      </w:r>
      <w:r w:rsidR="00051FD3">
        <w:rPr>
          <w:rFonts w:eastAsia="Times New Roman" w:cstheme="minorHAnsi"/>
          <w:color w:val="0072C6"/>
          <w:lang w:eastAsia="en-GB"/>
        </w:rPr>
        <w:t xml:space="preserve">When observed individually they make the undertaking of academic research highly difficult, but when seen in their entirety, they ensure the practice of academic freedom is virtually impossible. </w:t>
      </w:r>
      <w:r w:rsidR="005B48D0">
        <w:rPr>
          <w:rFonts w:eastAsia="Times New Roman" w:cstheme="minorHAnsi"/>
          <w:color w:val="0072C6"/>
          <w:lang w:eastAsia="en-GB"/>
        </w:rPr>
        <w:t>See</w:t>
      </w:r>
      <w:r w:rsidR="00A12E08">
        <w:rPr>
          <w:rFonts w:eastAsia="Times New Roman" w:cstheme="minorHAnsi"/>
          <w:color w:val="0072C6"/>
          <w:lang w:eastAsia="en-GB"/>
        </w:rPr>
        <w:t xml:space="preserve"> Appendix A. </w:t>
      </w:r>
    </w:p>
    <w:p w14:paraId="31EA9673" w14:textId="77777777" w:rsidR="00643FCC" w:rsidRDefault="00643FCC" w:rsidP="00643FCC">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While my own case was at the most extreme extent, there are several other high profile cases of the UAE’s repression of academic freedom</w:t>
      </w:r>
    </w:p>
    <w:p w14:paraId="0F9A7679" w14:textId="77777777" w:rsidR="00643FCC" w:rsidRPr="00E46BAD" w:rsidRDefault="00643FCC" w:rsidP="00643FCC">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Kristian Ulrichsen. At the time Kristian was a lecturer at the London School of Economics (LSE) and travelled to the UAE to attend a conference that LSE was co-hosting with the American University of Sharjah (AUS). The UAE government directly intervened, stating that no discussion of Bahrain would be permitted. LSE withdrew from the conference citing ‘</w:t>
      </w:r>
      <w:r w:rsidRPr="00A12E08">
        <w:rPr>
          <w:rFonts w:eastAsia="Times New Roman" w:cstheme="minorHAnsi"/>
          <w:color w:val="0072C6"/>
          <w:lang w:eastAsia="en-GB"/>
        </w:rPr>
        <w:t>restrictions imposed on the intellectual control of the event that threatened academic freedom</w:t>
      </w:r>
      <w:r>
        <w:rPr>
          <w:rFonts w:eastAsia="Times New Roman" w:cstheme="minorHAnsi"/>
          <w:color w:val="0072C6"/>
          <w:lang w:eastAsia="en-GB"/>
        </w:rPr>
        <w:t>’. Kristian had however started his journey to the UAE and upon arrival, he was stopped at immigration and denied entry due to his planned participation in the conference.</w:t>
      </w:r>
      <w:r>
        <w:rPr>
          <w:rStyle w:val="EndnoteReference"/>
          <w:rFonts w:eastAsia="Times New Roman" w:cstheme="minorHAnsi"/>
          <w:color w:val="0072C6"/>
          <w:lang w:eastAsia="en-GB"/>
        </w:rPr>
        <w:endnoteReference w:id="2"/>
      </w:r>
      <w:r>
        <w:rPr>
          <w:rFonts w:eastAsia="Times New Roman" w:cstheme="minorHAnsi"/>
          <w:color w:val="0072C6"/>
          <w:lang w:eastAsia="en-GB"/>
        </w:rPr>
        <w:t xml:space="preserve"> </w:t>
      </w:r>
    </w:p>
    <w:p w14:paraId="33BFB861" w14:textId="77777777" w:rsidR="00643FCC" w:rsidRDefault="00643FCC" w:rsidP="00643FCC">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Matt J. Duffy. He was a professor at Zayed University where he taught journalism. Having continued to teach his course to international standards, the Emirati authorities arranged his dismissal from the university forcing him and his family to leave the country.</w:t>
      </w:r>
      <w:r>
        <w:rPr>
          <w:rStyle w:val="EndnoteReference"/>
          <w:rFonts w:eastAsia="Times New Roman" w:cstheme="minorHAnsi"/>
          <w:color w:val="0072C6"/>
          <w:lang w:eastAsia="en-GB"/>
        </w:rPr>
        <w:endnoteReference w:id="3"/>
      </w:r>
    </w:p>
    <w:p w14:paraId="5D113276" w14:textId="77777777" w:rsidR="00643FCC" w:rsidRDefault="00643FCC" w:rsidP="00643FCC">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New York University (NYU) Journalism Department. The UAE wields significant influence within the US higher education sector, and nowhere more so than at NYU, where political elites from within the UAE’s regime are board members of NYU. From this relationship, NYU has a branch campus in Abu Dhabi. After two of NYU’s journalism department lecturers were denied visas for the UAE (with no clarification, but based upon the assumption of their sectarian identity), an institution decision was made to sever ties between NYU’s journalism department and NYU Abu Dhabi.</w:t>
      </w:r>
      <w:r>
        <w:rPr>
          <w:rStyle w:val="EndnoteReference"/>
          <w:rFonts w:eastAsia="Times New Roman" w:cstheme="minorHAnsi"/>
          <w:color w:val="0072C6"/>
          <w:lang w:eastAsia="en-GB"/>
        </w:rPr>
        <w:endnoteReference w:id="4"/>
      </w:r>
    </w:p>
    <w:p w14:paraId="77C9AECF" w14:textId="77F2B856" w:rsidR="00643FCC" w:rsidRPr="00051FD3" w:rsidRDefault="0008453D" w:rsidP="00643FCC">
      <w:pPr>
        <w:pStyle w:val="ListParagraph"/>
        <w:numPr>
          <w:ilvl w:val="1"/>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Professor Lauren Minsky of NYU Abu Dhabi was subjected to systemic harassment within the UAE and was forced off a road whilst driving having dropped a colleague off at the airport. She continued to face harassment through her tenure at NYUAD, and thus escaped was forced to leave the country.</w:t>
      </w:r>
      <w:r>
        <w:rPr>
          <w:rStyle w:val="EndnoteReference"/>
          <w:rFonts w:eastAsia="Times New Roman" w:cstheme="minorHAnsi"/>
          <w:color w:val="0072C6"/>
          <w:lang w:eastAsia="en-GB"/>
        </w:rPr>
        <w:endnoteReference w:id="5"/>
      </w:r>
    </w:p>
    <w:p w14:paraId="00433449" w14:textId="348EB10C" w:rsidR="00643FCC" w:rsidRDefault="008216EA"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Due to financial pressures within academia and sophisticated lobbying campaigns, the UAE’s influence within this sector has successfully been able to disrupt academic research that disputes its own interpretation of events and ideology. </w:t>
      </w:r>
      <w:r w:rsidR="005950AB">
        <w:rPr>
          <w:rFonts w:eastAsia="Times New Roman" w:cstheme="minorHAnsi"/>
          <w:color w:val="0072C6"/>
          <w:lang w:eastAsia="en-GB"/>
        </w:rPr>
        <w:t>To illustrate the level of interference by the UAE authorities within the academic sector; there are currently two members of the Executive Affairs Authority of Abu Dhabi</w:t>
      </w:r>
      <w:r>
        <w:rPr>
          <w:rFonts w:eastAsia="Times New Roman" w:cstheme="minorHAnsi"/>
          <w:color w:val="0072C6"/>
          <w:lang w:eastAsia="en-GB"/>
        </w:rPr>
        <w:t xml:space="preserve"> </w:t>
      </w:r>
      <w:r w:rsidR="005950AB">
        <w:rPr>
          <w:rFonts w:eastAsia="Times New Roman" w:cstheme="minorHAnsi"/>
          <w:color w:val="0072C6"/>
          <w:lang w:eastAsia="en-GB"/>
        </w:rPr>
        <w:t>on the NYU Board of Directors – Rima al Mokarreb and Khaldoon al Mubarak -,</w:t>
      </w:r>
      <w:r w:rsidR="005950AB">
        <w:rPr>
          <w:rStyle w:val="EndnoteReference"/>
          <w:rFonts w:eastAsia="Times New Roman" w:cstheme="minorHAnsi"/>
          <w:color w:val="0072C6"/>
          <w:lang w:eastAsia="en-GB"/>
        </w:rPr>
        <w:endnoteReference w:id="6"/>
      </w:r>
      <w:r w:rsidR="00021E38">
        <w:rPr>
          <w:rFonts w:eastAsia="Times New Roman" w:cstheme="minorHAnsi"/>
          <w:color w:val="0072C6"/>
          <w:lang w:eastAsia="en-GB"/>
        </w:rPr>
        <w:t xml:space="preserve"> meanwhile</w:t>
      </w:r>
      <w:r w:rsidR="005950AB">
        <w:rPr>
          <w:rFonts w:eastAsia="Times New Roman" w:cstheme="minorHAnsi"/>
          <w:color w:val="0072C6"/>
          <w:lang w:eastAsia="en-GB"/>
        </w:rPr>
        <w:t xml:space="preserve"> </w:t>
      </w:r>
      <w:r w:rsidR="00F855D2">
        <w:rPr>
          <w:rFonts w:eastAsia="Times New Roman" w:cstheme="minorHAnsi"/>
          <w:color w:val="0072C6"/>
          <w:lang w:eastAsia="en-GB"/>
        </w:rPr>
        <w:t xml:space="preserve">the UAE has gifted and contracted at least $213m to US educational </w:t>
      </w:r>
      <w:r w:rsidR="00021E38">
        <w:rPr>
          <w:rFonts w:eastAsia="Times New Roman" w:cstheme="minorHAnsi"/>
          <w:color w:val="0072C6"/>
          <w:lang w:eastAsia="en-GB"/>
        </w:rPr>
        <w:t>institutions</w:t>
      </w:r>
      <w:r w:rsidR="00F855D2">
        <w:rPr>
          <w:rStyle w:val="EndnoteReference"/>
          <w:rFonts w:eastAsia="Times New Roman" w:cstheme="minorHAnsi"/>
          <w:color w:val="0072C6"/>
          <w:lang w:eastAsia="en-GB"/>
        </w:rPr>
        <w:endnoteReference w:id="7"/>
      </w:r>
      <w:r w:rsidR="00021E38">
        <w:rPr>
          <w:rFonts w:eastAsia="Times New Roman" w:cstheme="minorHAnsi"/>
          <w:color w:val="0072C6"/>
          <w:lang w:eastAsia="en-GB"/>
        </w:rPr>
        <w:t xml:space="preserve">. </w:t>
      </w:r>
    </w:p>
    <w:p w14:paraId="612AEBDB" w14:textId="5FF81586" w:rsidR="00021E38" w:rsidRDefault="00021E38"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The UAE has also been able to successfully attract foreign universities to establish branch campuses within the UAE with NYU Abu Dhabi the most prominent institution. Due however to the position of UAE political elites upon its board, it is highly unlikely action would be taken to critique what the relationship entails and to what degree of academic freedom and personal safety is permitted to students within the UAE.</w:t>
      </w:r>
    </w:p>
    <w:p w14:paraId="4B5EAB04" w14:textId="1F3503C4" w:rsidR="00021E38" w:rsidRDefault="00021E38"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By comparison, University and College Union staff Birmingham and Exeter University from the UK, both of whom have branch campuses in the UAE, voted to suspend relations with the UAE over my own sentencing to life imprisonment</w:t>
      </w:r>
      <w:r w:rsidR="0067799B">
        <w:rPr>
          <w:rFonts w:eastAsia="Times New Roman" w:cstheme="minorHAnsi"/>
          <w:color w:val="0072C6"/>
          <w:lang w:eastAsia="en-GB"/>
        </w:rPr>
        <w:t xml:space="preserve"> in the country.</w:t>
      </w:r>
      <w:r w:rsidR="0067799B">
        <w:rPr>
          <w:rStyle w:val="EndnoteReference"/>
          <w:rFonts w:eastAsia="Times New Roman" w:cstheme="minorHAnsi"/>
          <w:color w:val="0072C6"/>
          <w:lang w:eastAsia="en-GB"/>
        </w:rPr>
        <w:endnoteReference w:id="8"/>
      </w:r>
      <w:r>
        <w:rPr>
          <w:rFonts w:eastAsia="Times New Roman" w:cstheme="minorHAnsi"/>
          <w:color w:val="0072C6"/>
          <w:lang w:eastAsia="en-GB"/>
        </w:rPr>
        <w:t xml:space="preserve"> </w:t>
      </w:r>
    </w:p>
    <w:p w14:paraId="35191237" w14:textId="77777777" w:rsidR="00724E88" w:rsidRDefault="007525C1"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As a result of my own experience, and many others before me, there </w:t>
      </w:r>
      <w:r w:rsidR="00724E88">
        <w:rPr>
          <w:rFonts w:eastAsia="Times New Roman" w:cstheme="minorHAnsi"/>
          <w:color w:val="0072C6"/>
          <w:lang w:eastAsia="en-GB"/>
        </w:rPr>
        <w:t>is a need for transparent</w:t>
      </w:r>
      <w:r>
        <w:rPr>
          <w:rFonts w:eastAsia="Times New Roman" w:cstheme="minorHAnsi"/>
          <w:color w:val="0072C6"/>
          <w:lang w:eastAsia="en-GB"/>
        </w:rPr>
        <w:t xml:space="preserve"> assessment</w:t>
      </w:r>
      <w:r w:rsidR="00724E88">
        <w:rPr>
          <w:rFonts w:eastAsia="Times New Roman" w:cstheme="minorHAnsi"/>
          <w:color w:val="0072C6"/>
          <w:lang w:eastAsia="en-GB"/>
        </w:rPr>
        <w:t>s</w:t>
      </w:r>
      <w:r>
        <w:rPr>
          <w:rFonts w:eastAsia="Times New Roman" w:cstheme="minorHAnsi"/>
          <w:color w:val="0072C6"/>
          <w:lang w:eastAsia="en-GB"/>
        </w:rPr>
        <w:t xml:space="preserve"> of how possible it is to conduct academic work in the UAE and if </w:t>
      </w:r>
      <w:r w:rsidR="00724E88">
        <w:rPr>
          <w:rFonts w:eastAsia="Times New Roman" w:cstheme="minorHAnsi"/>
          <w:color w:val="0072C6"/>
          <w:lang w:eastAsia="en-GB"/>
        </w:rPr>
        <w:t xml:space="preserve">educational </w:t>
      </w:r>
      <w:r>
        <w:rPr>
          <w:rFonts w:eastAsia="Times New Roman" w:cstheme="minorHAnsi"/>
          <w:color w:val="0072C6"/>
          <w:lang w:eastAsia="en-GB"/>
        </w:rPr>
        <w:t>partnerships</w:t>
      </w:r>
      <w:r w:rsidR="00724E88">
        <w:rPr>
          <w:rFonts w:eastAsia="Times New Roman" w:cstheme="minorHAnsi"/>
          <w:color w:val="0072C6"/>
          <w:lang w:eastAsia="en-GB"/>
        </w:rPr>
        <w:t xml:space="preserve"> and donations by this</w:t>
      </w:r>
      <w:r>
        <w:rPr>
          <w:rFonts w:eastAsia="Times New Roman" w:cstheme="minorHAnsi"/>
          <w:color w:val="0072C6"/>
          <w:lang w:eastAsia="en-GB"/>
        </w:rPr>
        <w:t xml:space="preserve"> country derail this</w:t>
      </w:r>
      <w:r w:rsidR="00724E88">
        <w:rPr>
          <w:rFonts w:eastAsia="Times New Roman" w:cstheme="minorHAnsi"/>
          <w:color w:val="0072C6"/>
          <w:lang w:eastAsia="en-GB"/>
        </w:rPr>
        <w:t xml:space="preserve"> capability. </w:t>
      </w:r>
    </w:p>
    <w:p w14:paraId="4FDE43AE" w14:textId="6E8BF2E7" w:rsidR="007525C1" w:rsidRDefault="00CE424E" w:rsidP="00732662">
      <w:pPr>
        <w:pStyle w:val="ListParagraph"/>
        <w:numPr>
          <w:ilvl w:val="0"/>
          <w:numId w:val="7"/>
        </w:num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Due to my own government’s reluctance to protect me and clear my name and my reputation, I have had to file a complaint against the Foreign and Commonwealth Office (FCO).  My actions illustrate the</w:t>
      </w:r>
      <w:r w:rsidR="007525C1">
        <w:rPr>
          <w:rFonts w:eastAsia="Times New Roman" w:cstheme="minorHAnsi"/>
          <w:color w:val="0072C6"/>
          <w:lang w:eastAsia="en-GB"/>
        </w:rPr>
        <w:t xml:space="preserve"> </w:t>
      </w:r>
      <w:r>
        <w:rPr>
          <w:rFonts w:eastAsia="Times New Roman" w:cstheme="minorHAnsi"/>
          <w:color w:val="0072C6"/>
          <w:lang w:eastAsia="en-GB"/>
        </w:rPr>
        <w:t xml:space="preserve">institutional difficulty in defending academic freedom when a liberal democratic state isn’t even willing to support this on behalf of one of her citizens. </w:t>
      </w:r>
    </w:p>
    <w:p w14:paraId="4B748C56" w14:textId="65FA1EE8" w:rsidR="00A12E08" w:rsidRDefault="00A12E08" w:rsidP="00051FD3">
      <w:pPr>
        <w:pStyle w:val="ListParagraph"/>
        <w:rPr>
          <w:lang w:eastAsia="en-GB"/>
        </w:rPr>
      </w:pPr>
    </w:p>
    <w:p w14:paraId="6CA2A2D9" w14:textId="7439476A" w:rsidR="00481197" w:rsidRDefault="00481197" w:rsidP="00A12E08">
      <w:pPr>
        <w:spacing w:before="100" w:beforeAutospacing="1" w:after="100" w:afterAutospacing="1"/>
        <w:jc w:val="both"/>
        <w:outlineLvl w:val="1"/>
        <w:rPr>
          <w:rFonts w:eastAsia="Times New Roman" w:cstheme="minorHAnsi"/>
          <w:color w:val="0072C6"/>
          <w:lang w:eastAsia="en-GB"/>
        </w:rPr>
      </w:pPr>
    </w:p>
    <w:p w14:paraId="5475AF82" w14:textId="41DAEDC3" w:rsidR="00CE424E" w:rsidRDefault="00CE424E" w:rsidP="00A12E08">
      <w:pPr>
        <w:spacing w:before="100" w:beforeAutospacing="1" w:after="100" w:afterAutospacing="1"/>
        <w:jc w:val="both"/>
        <w:outlineLvl w:val="1"/>
        <w:rPr>
          <w:rFonts w:eastAsia="Times New Roman" w:cstheme="minorHAnsi"/>
          <w:color w:val="0072C6"/>
          <w:lang w:eastAsia="en-GB"/>
        </w:rPr>
      </w:pPr>
    </w:p>
    <w:p w14:paraId="06E01C06" w14:textId="5E9FBEE9" w:rsidR="00CE424E" w:rsidRDefault="00CE424E" w:rsidP="00A12E08">
      <w:pPr>
        <w:spacing w:before="100" w:beforeAutospacing="1" w:after="100" w:afterAutospacing="1"/>
        <w:jc w:val="both"/>
        <w:outlineLvl w:val="1"/>
        <w:rPr>
          <w:rFonts w:eastAsia="Times New Roman" w:cstheme="minorHAnsi"/>
          <w:color w:val="0072C6"/>
          <w:lang w:eastAsia="en-GB"/>
        </w:rPr>
      </w:pPr>
    </w:p>
    <w:p w14:paraId="316BDB58" w14:textId="70E8B97B" w:rsidR="00CE424E" w:rsidRDefault="00CE424E" w:rsidP="00A12E08">
      <w:pPr>
        <w:spacing w:before="100" w:beforeAutospacing="1" w:after="100" w:afterAutospacing="1"/>
        <w:jc w:val="both"/>
        <w:outlineLvl w:val="1"/>
        <w:rPr>
          <w:rFonts w:eastAsia="Times New Roman" w:cstheme="minorHAnsi"/>
          <w:color w:val="0072C6"/>
          <w:lang w:eastAsia="en-GB"/>
        </w:rPr>
      </w:pPr>
    </w:p>
    <w:p w14:paraId="2B2094C1" w14:textId="1BF76757" w:rsidR="00CE424E" w:rsidRDefault="00CE424E" w:rsidP="00A12E08">
      <w:pPr>
        <w:spacing w:before="100" w:beforeAutospacing="1" w:after="100" w:afterAutospacing="1"/>
        <w:jc w:val="both"/>
        <w:outlineLvl w:val="1"/>
        <w:rPr>
          <w:rFonts w:eastAsia="Times New Roman" w:cstheme="minorHAnsi"/>
          <w:color w:val="0072C6"/>
          <w:lang w:eastAsia="en-GB"/>
        </w:rPr>
      </w:pPr>
    </w:p>
    <w:p w14:paraId="7D44230F" w14:textId="3A01E7F7" w:rsidR="00CE424E" w:rsidRDefault="00CE424E" w:rsidP="00A12E08">
      <w:pPr>
        <w:spacing w:before="100" w:beforeAutospacing="1" w:after="100" w:afterAutospacing="1"/>
        <w:jc w:val="both"/>
        <w:outlineLvl w:val="1"/>
        <w:rPr>
          <w:rFonts w:eastAsia="Times New Roman" w:cstheme="minorHAnsi"/>
          <w:color w:val="0072C6"/>
          <w:lang w:eastAsia="en-GB"/>
        </w:rPr>
      </w:pPr>
    </w:p>
    <w:p w14:paraId="762CCFC2" w14:textId="302B4E4C" w:rsidR="00CE424E" w:rsidRDefault="00CE424E" w:rsidP="00A12E08">
      <w:pPr>
        <w:spacing w:before="100" w:beforeAutospacing="1" w:after="100" w:afterAutospacing="1"/>
        <w:jc w:val="both"/>
        <w:outlineLvl w:val="1"/>
        <w:rPr>
          <w:rFonts w:eastAsia="Times New Roman" w:cstheme="minorHAnsi"/>
          <w:color w:val="0072C6"/>
          <w:lang w:eastAsia="en-GB"/>
        </w:rPr>
      </w:pPr>
    </w:p>
    <w:p w14:paraId="0867872A" w14:textId="06B909AA" w:rsidR="00CE424E" w:rsidRDefault="00CE424E" w:rsidP="00A12E08">
      <w:pPr>
        <w:spacing w:before="100" w:beforeAutospacing="1" w:after="100" w:afterAutospacing="1"/>
        <w:jc w:val="both"/>
        <w:outlineLvl w:val="1"/>
        <w:rPr>
          <w:rFonts w:eastAsia="Times New Roman" w:cstheme="minorHAnsi"/>
          <w:color w:val="0072C6"/>
          <w:lang w:eastAsia="en-GB"/>
        </w:rPr>
      </w:pPr>
    </w:p>
    <w:p w14:paraId="03B4631A" w14:textId="3A4A9398" w:rsidR="00CE424E" w:rsidRDefault="00CE424E" w:rsidP="00A12E08">
      <w:pPr>
        <w:spacing w:before="100" w:beforeAutospacing="1" w:after="100" w:afterAutospacing="1"/>
        <w:jc w:val="both"/>
        <w:outlineLvl w:val="1"/>
        <w:rPr>
          <w:rFonts w:eastAsia="Times New Roman" w:cstheme="minorHAnsi"/>
          <w:color w:val="0072C6"/>
          <w:lang w:eastAsia="en-GB"/>
        </w:rPr>
      </w:pPr>
    </w:p>
    <w:p w14:paraId="5A0CFC11" w14:textId="3F2F0DD0" w:rsidR="00CE424E" w:rsidRDefault="00CE424E" w:rsidP="00A12E08">
      <w:pPr>
        <w:spacing w:before="100" w:beforeAutospacing="1" w:after="100" w:afterAutospacing="1"/>
        <w:jc w:val="both"/>
        <w:outlineLvl w:val="1"/>
        <w:rPr>
          <w:rFonts w:eastAsia="Times New Roman" w:cstheme="minorHAnsi"/>
          <w:color w:val="0072C6"/>
          <w:lang w:eastAsia="en-GB"/>
        </w:rPr>
      </w:pPr>
    </w:p>
    <w:p w14:paraId="4477E8FF" w14:textId="09F2679B" w:rsidR="00CE424E" w:rsidRDefault="00CE424E" w:rsidP="00A12E08">
      <w:pPr>
        <w:spacing w:before="100" w:beforeAutospacing="1" w:after="100" w:afterAutospacing="1"/>
        <w:jc w:val="both"/>
        <w:outlineLvl w:val="1"/>
        <w:rPr>
          <w:rFonts w:eastAsia="Times New Roman" w:cstheme="minorHAnsi"/>
          <w:color w:val="0072C6"/>
          <w:lang w:eastAsia="en-GB"/>
        </w:rPr>
      </w:pPr>
    </w:p>
    <w:p w14:paraId="337D5723" w14:textId="77777777" w:rsidR="00CE424E" w:rsidRDefault="00CE424E" w:rsidP="00A12E08">
      <w:pPr>
        <w:spacing w:before="100" w:beforeAutospacing="1" w:after="100" w:afterAutospacing="1"/>
        <w:jc w:val="both"/>
        <w:outlineLvl w:val="1"/>
        <w:rPr>
          <w:rFonts w:eastAsia="Times New Roman" w:cstheme="minorHAnsi"/>
          <w:color w:val="0072C6"/>
          <w:lang w:eastAsia="en-GB"/>
        </w:rPr>
      </w:pPr>
    </w:p>
    <w:p w14:paraId="44FB58BB" w14:textId="222C1BEA" w:rsidR="00A12E08" w:rsidRPr="00A12E08" w:rsidRDefault="00A12E08" w:rsidP="00A12E08">
      <w:pPr>
        <w:spacing w:before="100" w:beforeAutospacing="1" w:after="100" w:afterAutospacing="1"/>
        <w:jc w:val="both"/>
        <w:outlineLvl w:val="1"/>
        <w:rPr>
          <w:rFonts w:eastAsia="Times New Roman" w:cstheme="minorHAnsi"/>
          <w:color w:val="0072C6"/>
          <w:lang w:eastAsia="en-GB"/>
        </w:rPr>
      </w:pPr>
      <w:r>
        <w:rPr>
          <w:rFonts w:eastAsia="Times New Roman" w:cstheme="minorHAnsi"/>
          <w:color w:val="0072C6"/>
          <w:lang w:eastAsia="en-GB"/>
        </w:rPr>
        <w:t xml:space="preserve">Appendix A. Legislation in the UAE that Impacts Academic Freedom </w:t>
      </w:r>
    </w:p>
    <w:tbl>
      <w:tblPr>
        <w:tblStyle w:val="TableGrid"/>
        <w:tblW w:w="0" w:type="auto"/>
        <w:tblLayout w:type="fixed"/>
        <w:tblLook w:val="04A0" w:firstRow="1" w:lastRow="0" w:firstColumn="1" w:lastColumn="0" w:noHBand="0" w:noVBand="1"/>
      </w:tblPr>
      <w:tblGrid>
        <w:gridCol w:w="2965"/>
        <w:gridCol w:w="1440"/>
        <w:gridCol w:w="4605"/>
      </w:tblGrid>
      <w:tr w:rsidR="00CE139D" w:rsidRPr="00CE139D" w14:paraId="0E1DA3E7" w14:textId="77777777" w:rsidTr="00CE139D">
        <w:tc>
          <w:tcPr>
            <w:tcW w:w="2965" w:type="dxa"/>
          </w:tcPr>
          <w:p w14:paraId="62759A2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Law </w:t>
            </w:r>
          </w:p>
        </w:tc>
        <w:tc>
          <w:tcPr>
            <w:tcW w:w="1440" w:type="dxa"/>
          </w:tcPr>
          <w:p w14:paraId="54A76C2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Date </w:t>
            </w:r>
          </w:p>
        </w:tc>
        <w:tc>
          <w:tcPr>
            <w:tcW w:w="4605" w:type="dxa"/>
          </w:tcPr>
          <w:p w14:paraId="35EE32B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Description </w:t>
            </w:r>
          </w:p>
        </w:tc>
      </w:tr>
      <w:tr w:rsidR="00CE139D" w:rsidRPr="00CE139D" w14:paraId="431A795F" w14:textId="77777777" w:rsidTr="00CE139D">
        <w:tc>
          <w:tcPr>
            <w:tcW w:w="2965" w:type="dxa"/>
          </w:tcPr>
          <w:p w14:paraId="2225989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Article 30 of 1971 Constitution </w:t>
            </w:r>
          </w:p>
        </w:tc>
        <w:tc>
          <w:tcPr>
            <w:tcW w:w="1440" w:type="dxa"/>
          </w:tcPr>
          <w:p w14:paraId="175B406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w:t>
            </w:r>
            <w:r w:rsidRPr="00CE139D">
              <w:rPr>
                <w:rFonts w:asciiTheme="minorHAnsi" w:eastAsia="Times New Roman" w:hAnsiTheme="minorHAnsi" w:cstheme="minorHAnsi"/>
                <w:color w:val="0072C6"/>
                <w:kern w:val="0"/>
                <w:szCs w:val="24"/>
                <w:vertAlign w:val="superscript"/>
                <w:lang w:eastAsia="en-GB"/>
              </w:rPr>
              <w:t>nd</w:t>
            </w:r>
            <w:r w:rsidRPr="00CE139D">
              <w:rPr>
                <w:rFonts w:asciiTheme="minorHAnsi" w:eastAsia="Times New Roman" w:hAnsiTheme="minorHAnsi" w:cstheme="minorHAnsi"/>
                <w:color w:val="0072C6"/>
                <w:kern w:val="0"/>
                <w:szCs w:val="24"/>
                <w:lang w:eastAsia="en-GB"/>
              </w:rPr>
              <w:t xml:space="preserve"> December 1971 </w:t>
            </w:r>
          </w:p>
        </w:tc>
        <w:tc>
          <w:tcPr>
            <w:tcW w:w="4605" w:type="dxa"/>
          </w:tcPr>
          <w:p w14:paraId="22C38D8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r w:rsidRPr="00CE139D">
              <w:rPr>
                <w:rFonts w:asciiTheme="minorHAnsi" w:eastAsia="Times New Roman" w:hAnsiTheme="minorHAnsi" w:cstheme="minorHAnsi"/>
                <w:i/>
                <w:color w:val="0072C6"/>
                <w:kern w:val="0"/>
                <w:szCs w:val="24"/>
                <w:lang w:eastAsia="en-GB"/>
              </w:rPr>
              <w:t>‘Freedom to hold expressions and express them orally, in writing or by other means of expression shall be guaranteed within the limits of the law’</w:t>
            </w:r>
            <w:r w:rsidRPr="00CE139D">
              <w:rPr>
                <w:rFonts w:asciiTheme="minorHAnsi" w:eastAsia="Times New Roman" w:hAnsiTheme="minorHAnsi" w:cstheme="minorHAnsi"/>
                <w:i/>
                <w:color w:val="0072C6"/>
                <w:kern w:val="0"/>
                <w:szCs w:val="24"/>
                <w:vertAlign w:val="superscript"/>
                <w:lang w:eastAsia="en-GB"/>
              </w:rPr>
              <w:footnoteReference w:id="1"/>
            </w:r>
          </w:p>
        </w:tc>
      </w:tr>
      <w:tr w:rsidR="00CE139D" w:rsidRPr="00CE139D" w14:paraId="441784CB" w14:textId="77777777" w:rsidTr="00CE139D">
        <w:trPr>
          <w:trHeight w:val="692"/>
        </w:trPr>
        <w:tc>
          <w:tcPr>
            <w:tcW w:w="2965" w:type="dxa"/>
          </w:tcPr>
          <w:p w14:paraId="69AF03DB"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Law No.15 of 1980</w:t>
            </w:r>
          </w:p>
          <w:p w14:paraId="7A33DA4C"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i/>
                <w:color w:val="0072C6"/>
                <w:kern w:val="0"/>
                <w:szCs w:val="24"/>
                <w:lang w:eastAsia="en-GB"/>
              </w:rPr>
              <w:t>Concerning Press and Publications</w:t>
            </w:r>
            <w:r w:rsidRPr="00CE139D">
              <w:rPr>
                <w:rFonts w:asciiTheme="minorHAnsi" w:eastAsia="Times New Roman" w:hAnsiTheme="minorHAnsi" w:cstheme="minorHAnsi"/>
                <w:color w:val="0072C6"/>
                <w:kern w:val="0"/>
                <w:szCs w:val="24"/>
                <w:lang w:eastAsia="en-GB"/>
              </w:rPr>
              <w:t xml:space="preserve"> </w:t>
            </w:r>
            <w:r w:rsidRPr="00CE139D">
              <w:rPr>
                <w:rFonts w:asciiTheme="minorHAnsi" w:eastAsia="Times New Roman" w:hAnsiTheme="minorHAnsi" w:cstheme="minorHAnsi"/>
                <w:color w:val="0072C6"/>
                <w:kern w:val="0"/>
                <w:szCs w:val="24"/>
                <w:vertAlign w:val="superscript"/>
                <w:lang w:eastAsia="en-GB"/>
              </w:rPr>
              <w:footnoteReference w:id="2"/>
            </w:r>
          </w:p>
        </w:tc>
        <w:tc>
          <w:tcPr>
            <w:tcW w:w="1440" w:type="dxa"/>
          </w:tcPr>
          <w:p w14:paraId="324A8B79"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16</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November 1980</w:t>
            </w:r>
          </w:p>
        </w:tc>
        <w:tc>
          <w:tcPr>
            <w:tcW w:w="4605" w:type="dxa"/>
          </w:tcPr>
          <w:p w14:paraId="70D5702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r w:rsidRPr="00CE139D">
              <w:rPr>
                <w:rFonts w:asciiTheme="minorHAnsi" w:eastAsia="Times New Roman" w:hAnsiTheme="minorHAnsi" w:cstheme="minorHAnsi"/>
                <w:i/>
                <w:color w:val="0072C6"/>
                <w:kern w:val="0"/>
                <w:szCs w:val="24"/>
                <w:lang w:eastAsia="en-GB"/>
              </w:rPr>
              <w:t>‘Federal Law No.15 for 1980 Concerning Press and Publications regulates printing and publishing licensing and activities in the UAE and it applies to traditional media content such as newspapers, magazines and television broadcasting, as well as digital media content. The law sets outs guidelines on materials which are prohibited from publication and penalties imposed on the publishing company and associated staff if found in violation of the Publications Law’.</w:t>
            </w:r>
            <w:r w:rsidRPr="00CE139D">
              <w:rPr>
                <w:rFonts w:asciiTheme="minorHAnsi" w:eastAsia="Times New Roman" w:hAnsiTheme="minorHAnsi" w:cstheme="minorHAnsi"/>
                <w:i/>
                <w:color w:val="0072C6"/>
                <w:kern w:val="0"/>
                <w:szCs w:val="24"/>
                <w:vertAlign w:val="superscript"/>
                <w:lang w:eastAsia="en-GB"/>
              </w:rPr>
              <w:footnoteReference w:id="3"/>
            </w:r>
            <w:r w:rsidRPr="00CE139D">
              <w:rPr>
                <w:rFonts w:asciiTheme="minorHAnsi" w:eastAsia="Times New Roman" w:hAnsiTheme="minorHAnsi" w:cstheme="minorHAnsi"/>
                <w:i/>
                <w:color w:val="0072C6"/>
                <w:kern w:val="0"/>
                <w:szCs w:val="24"/>
                <w:lang w:eastAsia="en-GB"/>
              </w:rPr>
              <w:t xml:space="preserve"> </w:t>
            </w:r>
          </w:p>
          <w:p w14:paraId="473C882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p>
          <w:p w14:paraId="783FD69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r w:rsidRPr="00CE139D">
              <w:rPr>
                <w:rFonts w:asciiTheme="minorHAnsi" w:eastAsia="Times New Roman" w:hAnsiTheme="minorHAnsi" w:cstheme="minorHAnsi"/>
                <w:i/>
                <w:color w:val="0072C6"/>
                <w:kern w:val="0"/>
                <w:szCs w:val="24"/>
                <w:lang w:eastAsia="en-GB"/>
              </w:rPr>
              <w:t>‘The Publications Law covers all forms of content, whether published digitally or via traditional media, and is arguably broad enough to cover art and films. The Publications Law sets out matters that should not be published, which include matters relating to religion and public morals’</w:t>
            </w:r>
            <w:r w:rsidRPr="00CE139D">
              <w:rPr>
                <w:rFonts w:asciiTheme="minorHAnsi" w:eastAsia="Times New Roman" w:hAnsiTheme="minorHAnsi" w:cstheme="minorHAnsi"/>
                <w:i/>
                <w:color w:val="0072C6"/>
                <w:kern w:val="0"/>
                <w:szCs w:val="24"/>
                <w:vertAlign w:val="superscript"/>
                <w:lang w:eastAsia="en-GB"/>
              </w:rPr>
              <w:footnoteReference w:id="4"/>
            </w:r>
          </w:p>
        </w:tc>
      </w:tr>
      <w:tr w:rsidR="00CE139D" w:rsidRPr="00CE139D" w14:paraId="728F562A" w14:textId="77777777" w:rsidTr="00CE139D">
        <w:trPr>
          <w:trHeight w:val="692"/>
        </w:trPr>
        <w:tc>
          <w:tcPr>
            <w:tcW w:w="2965" w:type="dxa"/>
          </w:tcPr>
          <w:p w14:paraId="554E2CF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Federal Decree No.3 of 1987 </w:t>
            </w:r>
          </w:p>
          <w:p w14:paraId="332116E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Penal Code </w:t>
            </w:r>
          </w:p>
        </w:tc>
        <w:tc>
          <w:tcPr>
            <w:tcW w:w="1440" w:type="dxa"/>
          </w:tcPr>
          <w:p w14:paraId="1778040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8</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December 1987 </w:t>
            </w:r>
          </w:p>
        </w:tc>
        <w:tc>
          <w:tcPr>
            <w:tcW w:w="4605" w:type="dxa"/>
          </w:tcPr>
          <w:p w14:paraId="723EE97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Issuance of UAE Penal Code </w:t>
            </w:r>
          </w:p>
        </w:tc>
      </w:tr>
      <w:tr w:rsidR="00CE139D" w:rsidRPr="00CE139D" w14:paraId="420338F1" w14:textId="77777777" w:rsidTr="00CE139D">
        <w:trPr>
          <w:trHeight w:val="584"/>
        </w:trPr>
        <w:tc>
          <w:tcPr>
            <w:tcW w:w="2965" w:type="dxa"/>
          </w:tcPr>
          <w:p w14:paraId="7FE984A9"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Law by Decree No.3 of 2003</w:t>
            </w:r>
          </w:p>
          <w:p w14:paraId="3C934DE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Regarding the Organization of Telecommunications Sector</w:t>
            </w:r>
            <w:r w:rsidRPr="00CE139D">
              <w:rPr>
                <w:rFonts w:asciiTheme="minorHAnsi" w:eastAsia="Times New Roman" w:hAnsiTheme="minorHAnsi" w:cstheme="minorHAnsi"/>
                <w:color w:val="0072C6"/>
                <w:kern w:val="0"/>
                <w:szCs w:val="24"/>
                <w:vertAlign w:val="superscript"/>
                <w:lang w:eastAsia="en-GB"/>
              </w:rPr>
              <w:footnoteReference w:id="5"/>
            </w:r>
            <w:r w:rsidRPr="00CE139D">
              <w:rPr>
                <w:rFonts w:asciiTheme="minorHAnsi" w:eastAsia="Times New Roman" w:hAnsiTheme="minorHAnsi" w:cstheme="minorHAnsi"/>
                <w:color w:val="0072C6"/>
                <w:kern w:val="0"/>
                <w:szCs w:val="24"/>
                <w:lang w:eastAsia="en-GB"/>
              </w:rPr>
              <w:t xml:space="preserve"> </w:t>
            </w:r>
          </w:p>
        </w:tc>
        <w:tc>
          <w:tcPr>
            <w:tcW w:w="1440" w:type="dxa"/>
          </w:tcPr>
          <w:p w14:paraId="7A1FFF7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15</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November 2003 </w:t>
            </w:r>
          </w:p>
        </w:tc>
        <w:tc>
          <w:tcPr>
            <w:tcW w:w="4605" w:type="dxa"/>
          </w:tcPr>
          <w:p w14:paraId="389857B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The TRA regulates the UAE’s Information and telecommunications sector (ICT)</w:t>
            </w:r>
          </w:p>
          <w:p w14:paraId="4768E4A9"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p w14:paraId="1E190C8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tc>
      </w:tr>
      <w:tr w:rsidR="00CE139D" w:rsidRPr="00CE139D" w14:paraId="099DCAB8" w14:textId="77777777" w:rsidTr="00CE139D">
        <w:trPr>
          <w:trHeight w:val="998"/>
        </w:trPr>
        <w:tc>
          <w:tcPr>
            <w:tcW w:w="2965" w:type="dxa"/>
          </w:tcPr>
          <w:p w14:paraId="10AC467A"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Federal Law No.2 of 2004 </w:t>
            </w:r>
          </w:p>
          <w:p w14:paraId="3C18706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Popular Register and Emirates Identity Card Program </w:t>
            </w:r>
          </w:p>
        </w:tc>
        <w:tc>
          <w:tcPr>
            <w:tcW w:w="1440" w:type="dxa"/>
          </w:tcPr>
          <w:p w14:paraId="109C7D6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29</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September 2004</w:t>
            </w:r>
          </w:p>
        </w:tc>
        <w:tc>
          <w:tcPr>
            <w:tcW w:w="4605" w:type="dxa"/>
          </w:tcPr>
          <w:p w14:paraId="5E83A06C"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Creation of the Emirates ID program which ‘</w:t>
            </w:r>
            <w:r w:rsidRPr="00CE139D">
              <w:rPr>
                <w:rFonts w:asciiTheme="minorHAnsi" w:eastAsia="Times New Roman" w:hAnsiTheme="minorHAnsi" w:cstheme="minorHAnsi"/>
                <w:i/>
                <w:color w:val="0072C6"/>
                <w:kern w:val="0"/>
                <w:szCs w:val="24"/>
                <w:lang w:eastAsia="en-GB"/>
              </w:rPr>
              <w:t>included recording personal and vital data for all population in the state and keeping them in electronic databases in coordination with the competent authorities, and issuing the Emirates ID Card for each individual to be registered and to contain the Emirates ID number, readable data and data stored on an electronic chip, which can be used in all entities’</w:t>
            </w:r>
            <w:r w:rsidRPr="00CE139D">
              <w:rPr>
                <w:rFonts w:asciiTheme="minorHAnsi" w:eastAsia="Times New Roman" w:hAnsiTheme="minorHAnsi" w:cstheme="minorHAnsi"/>
                <w:i/>
                <w:color w:val="0072C6"/>
                <w:kern w:val="0"/>
                <w:szCs w:val="24"/>
                <w:vertAlign w:val="superscript"/>
                <w:lang w:eastAsia="en-GB"/>
              </w:rPr>
              <w:footnoteReference w:id="6"/>
            </w:r>
            <w:r w:rsidRPr="00CE139D">
              <w:rPr>
                <w:rFonts w:asciiTheme="minorHAnsi" w:eastAsia="Times New Roman" w:hAnsiTheme="minorHAnsi" w:cstheme="minorHAnsi"/>
                <w:color w:val="0072C6"/>
                <w:kern w:val="0"/>
                <w:szCs w:val="24"/>
                <w:lang w:eastAsia="en-GB"/>
              </w:rPr>
              <w:t>.</w:t>
            </w:r>
          </w:p>
          <w:p w14:paraId="7AAE3E6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tc>
      </w:tr>
      <w:tr w:rsidR="00CE139D" w:rsidRPr="00CE139D" w14:paraId="2FCE3E7E" w14:textId="77777777" w:rsidTr="00CE139D">
        <w:trPr>
          <w:trHeight w:val="998"/>
        </w:trPr>
        <w:tc>
          <w:tcPr>
            <w:tcW w:w="2965" w:type="dxa"/>
          </w:tcPr>
          <w:p w14:paraId="0576B6B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No.1 of 2006</w:t>
            </w:r>
          </w:p>
          <w:p w14:paraId="364C0AA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Cyber Crimes Law</w:t>
            </w:r>
            <w:r w:rsidRPr="00CE139D">
              <w:rPr>
                <w:rFonts w:asciiTheme="minorHAnsi" w:eastAsia="Times New Roman" w:hAnsiTheme="minorHAnsi" w:cstheme="minorHAnsi"/>
                <w:color w:val="0072C6"/>
                <w:kern w:val="0"/>
                <w:szCs w:val="24"/>
                <w:vertAlign w:val="superscript"/>
                <w:lang w:eastAsia="en-GB"/>
              </w:rPr>
              <w:footnoteReference w:id="7"/>
            </w:r>
            <w:r w:rsidRPr="00CE139D">
              <w:rPr>
                <w:rFonts w:asciiTheme="minorHAnsi" w:eastAsia="Times New Roman" w:hAnsiTheme="minorHAnsi" w:cstheme="minorHAnsi"/>
                <w:color w:val="0072C6"/>
                <w:kern w:val="0"/>
                <w:szCs w:val="24"/>
                <w:lang w:eastAsia="en-GB"/>
              </w:rPr>
              <w:t xml:space="preserve"> </w:t>
            </w:r>
          </w:p>
        </w:tc>
        <w:tc>
          <w:tcPr>
            <w:tcW w:w="1440" w:type="dxa"/>
          </w:tcPr>
          <w:p w14:paraId="1E40AA4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30</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June 2006</w:t>
            </w:r>
          </w:p>
        </w:tc>
        <w:tc>
          <w:tcPr>
            <w:tcW w:w="4605" w:type="dxa"/>
          </w:tcPr>
          <w:p w14:paraId="31D0BC2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Was introduced, however due to its inability to disrupt cybercrimes, it was replaced by Federal Law no.5 of 2012  </w:t>
            </w:r>
          </w:p>
        </w:tc>
      </w:tr>
      <w:tr w:rsidR="00CE139D" w:rsidRPr="00CE139D" w14:paraId="6CDE8FFE" w14:textId="77777777" w:rsidTr="00CE139D">
        <w:trPr>
          <w:trHeight w:val="998"/>
        </w:trPr>
        <w:tc>
          <w:tcPr>
            <w:tcW w:w="2965" w:type="dxa"/>
          </w:tcPr>
          <w:p w14:paraId="16402EF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Law by Decree No.5 of 2008</w:t>
            </w:r>
          </w:p>
          <w:p w14:paraId="375635E9"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Amending the Provisions of the Federal Law by Decree No.3 of 2003</w:t>
            </w:r>
            <w:r w:rsidRPr="00CE139D">
              <w:rPr>
                <w:rFonts w:asciiTheme="minorHAnsi" w:eastAsia="Times New Roman" w:hAnsiTheme="minorHAnsi" w:cstheme="minorHAnsi"/>
                <w:color w:val="0072C6"/>
                <w:kern w:val="0"/>
                <w:szCs w:val="24"/>
                <w:vertAlign w:val="superscript"/>
                <w:lang w:eastAsia="en-GB"/>
              </w:rPr>
              <w:footnoteReference w:id="8"/>
            </w:r>
            <w:r w:rsidRPr="00CE139D">
              <w:rPr>
                <w:rFonts w:asciiTheme="minorHAnsi" w:eastAsia="Times New Roman" w:hAnsiTheme="minorHAnsi" w:cstheme="minorHAnsi"/>
                <w:color w:val="0072C6"/>
                <w:kern w:val="0"/>
                <w:szCs w:val="24"/>
                <w:lang w:eastAsia="en-GB"/>
              </w:rPr>
              <w:t xml:space="preserve"> </w:t>
            </w:r>
          </w:p>
        </w:tc>
        <w:tc>
          <w:tcPr>
            <w:tcW w:w="1440" w:type="dxa"/>
          </w:tcPr>
          <w:p w14:paraId="015EFB5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2008 </w:t>
            </w:r>
          </w:p>
        </w:tc>
        <w:tc>
          <w:tcPr>
            <w:tcW w:w="4605" w:type="dxa"/>
          </w:tcPr>
          <w:p w14:paraId="33DE292E"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Update of Federal Law by Decree No.3 of 2003 </w:t>
            </w:r>
          </w:p>
        </w:tc>
      </w:tr>
      <w:tr w:rsidR="00CE139D" w:rsidRPr="00CE139D" w14:paraId="0C8C4F68" w14:textId="77777777" w:rsidTr="00CE139D">
        <w:trPr>
          <w:trHeight w:val="998"/>
        </w:trPr>
        <w:tc>
          <w:tcPr>
            <w:tcW w:w="2965" w:type="dxa"/>
          </w:tcPr>
          <w:p w14:paraId="3146F72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Cabinet Resolution No. (42/23) of 2008 Session No.3</w:t>
            </w:r>
            <w:r w:rsidRPr="00CE139D">
              <w:rPr>
                <w:rFonts w:asciiTheme="minorHAnsi" w:eastAsia="Times New Roman" w:hAnsiTheme="minorHAnsi" w:cstheme="minorHAnsi"/>
                <w:color w:val="0072C6"/>
                <w:kern w:val="0"/>
                <w:szCs w:val="24"/>
                <w:vertAlign w:val="superscript"/>
                <w:lang w:eastAsia="en-GB"/>
              </w:rPr>
              <w:footnoteReference w:id="9"/>
            </w:r>
          </w:p>
          <w:p w14:paraId="0A84566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Regarding the Abolition of the Supreme Committee for the Supervision of the Telecommunication Sector and delegating its function to the Board of Directors of the TRA</w:t>
            </w:r>
          </w:p>
        </w:tc>
        <w:tc>
          <w:tcPr>
            <w:tcW w:w="1440" w:type="dxa"/>
          </w:tcPr>
          <w:p w14:paraId="11F29E75"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2008 </w:t>
            </w:r>
          </w:p>
        </w:tc>
        <w:tc>
          <w:tcPr>
            <w:tcW w:w="4605" w:type="dxa"/>
          </w:tcPr>
          <w:p w14:paraId="23B5B27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Empowerment of the TRA</w:t>
            </w:r>
          </w:p>
        </w:tc>
      </w:tr>
      <w:tr w:rsidR="00CE139D" w:rsidRPr="00CE139D" w14:paraId="06CB8715" w14:textId="77777777" w:rsidTr="00CE139D">
        <w:tc>
          <w:tcPr>
            <w:tcW w:w="2965" w:type="dxa"/>
          </w:tcPr>
          <w:p w14:paraId="7DCF09E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National Media Council Resolution No.20 of 2010</w:t>
            </w:r>
          </w:p>
        </w:tc>
        <w:tc>
          <w:tcPr>
            <w:tcW w:w="1440" w:type="dxa"/>
          </w:tcPr>
          <w:p w14:paraId="0ABB6A1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2010</w:t>
            </w:r>
          </w:p>
        </w:tc>
        <w:tc>
          <w:tcPr>
            <w:tcW w:w="4605" w:type="dxa"/>
          </w:tcPr>
          <w:p w14:paraId="5AF2BDCB" w14:textId="7EBEE5F4"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The NMC Content Guidelines require all media companies to comply with specific criteria including respect for the principles of Islamic beliefs and the cultural heritage of the UAE’</w:t>
            </w:r>
            <w:r w:rsidRPr="00CE139D">
              <w:rPr>
                <w:rFonts w:asciiTheme="minorHAnsi" w:eastAsia="Times New Roman" w:hAnsiTheme="minorHAnsi" w:cstheme="minorHAnsi"/>
                <w:i/>
                <w:color w:val="0072C6"/>
                <w:kern w:val="0"/>
                <w:szCs w:val="24"/>
                <w:vertAlign w:val="superscript"/>
                <w:lang w:eastAsia="en-GB"/>
              </w:rPr>
              <w:footnoteReference w:id="10"/>
            </w:r>
          </w:p>
          <w:p w14:paraId="2D67EBB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i/>
                <w:color w:val="0072C6"/>
                <w:kern w:val="0"/>
                <w:szCs w:val="24"/>
                <w:lang w:eastAsia="en-GB"/>
              </w:rPr>
            </w:pPr>
            <w:r w:rsidRPr="00CE139D">
              <w:rPr>
                <w:rFonts w:asciiTheme="minorHAnsi" w:eastAsia="Times New Roman" w:hAnsiTheme="minorHAnsi" w:cstheme="minorHAnsi"/>
                <w:i/>
                <w:color w:val="0072C6"/>
                <w:kern w:val="0"/>
                <w:szCs w:val="24"/>
                <w:lang w:eastAsia="en-GB"/>
              </w:rPr>
              <w:t>‘According to Decision No. 20 of 2010, all the audio, visual, print and digital media institutions in the UAE should adhere to media content standards contained in the Federal Law No.15 for 1980 Concerning Press and Publications and other media regulations in force. The Chairman’s decision emphasises national standards for prohibited media content as set out in the Press and Publications Law. The decision requires all media institutions to keep a record or archives of all media material which were produced, printed, distributed or broadcast in the last three consecutive months. They must also provide the council with monthly reports showing compliance to these standards’.</w:t>
            </w:r>
            <w:r w:rsidRPr="00CE139D">
              <w:rPr>
                <w:rFonts w:asciiTheme="minorHAnsi" w:eastAsia="Times New Roman" w:hAnsiTheme="minorHAnsi" w:cstheme="minorHAnsi"/>
                <w:i/>
                <w:color w:val="0072C6"/>
                <w:kern w:val="0"/>
                <w:szCs w:val="24"/>
                <w:vertAlign w:val="superscript"/>
                <w:lang w:eastAsia="en-GB"/>
              </w:rPr>
              <w:footnoteReference w:id="11"/>
            </w:r>
          </w:p>
        </w:tc>
      </w:tr>
      <w:tr w:rsidR="00CE139D" w:rsidRPr="00CE139D" w14:paraId="43ACAF06" w14:textId="77777777" w:rsidTr="00CE139D">
        <w:tc>
          <w:tcPr>
            <w:tcW w:w="2965" w:type="dxa"/>
          </w:tcPr>
          <w:p w14:paraId="4909E6C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Law No.3 of 2012</w:t>
            </w:r>
            <w:r w:rsidRPr="00CE139D">
              <w:rPr>
                <w:rFonts w:asciiTheme="minorHAnsi" w:eastAsia="Times New Roman" w:hAnsiTheme="minorHAnsi" w:cstheme="minorHAnsi"/>
                <w:color w:val="0072C6"/>
                <w:kern w:val="0"/>
                <w:szCs w:val="24"/>
                <w:vertAlign w:val="superscript"/>
                <w:lang w:eastAsia="en-GB"/>
              </w:rPr>
              <w:footnoteReference w:id="12"/>
            </w:r>
          </w:p>
          <w:p w14:paraId="1BE82CD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Establishment of National Electronic Security Authority (NESA)  </w:t>
            </w:r>
          </w:p>
        </w:tc>
        <w:tc>
          <w:tcPr>
            <w:tcW w:w="1440" w:type="dxa"/>
          </w:tcPr>
          <w:p w14:paraId="350C7923"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13</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August 2012 </w:t>
            </w:r>
          </w:p>
        </w:tc>
        <w:tc>
          <w:tcPr>
            <w:tcW w:w="4605" w:type="dxa"/>
          </w:tcPr>
          <w:p w14:paraId="3A900F6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Creation of NESA, and the definition of its structure, capability, and ability to engage in matters of security </w:t>
            </w:r>
          </w:p>
        </w:tc>
      </w:tr>
      <w:tr w:rsidR="00CE139D" w:rsidRPr="00CE139D" w14:paraId="17838BAD" w14:textId="77777777" w:rsidTr="00CE139D">
        <w:trPr>
          <w:trHeight w:val="773"/>
        </w:trPr>
        <w:tc>
          <w:tcPr>
            <w:tcW w:w="2965" w:type="dxa"/>
          </w:tcPr>
          <w:p w14:paraId="52C35EA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Law No.5 of 2012</w:t>
            </w:r>
            <w:r w:rsidRPr="00CE139D">
              <w:rPr>
                <w:rFonts w:asciiTheme="minorHAnsi" w:eastAsia="Times New Roman" w:hAnsiTheme="minorHAnsi" w:cstheme="minorHAnsi"/>
                <w:color w:val="0072C6"/>
                <w:kern w:val="0"/>
                <w:szCs w:val="24"/>
                <w:vertAlign w:val="superscript"/>
                <w:lang w:eastAsia="en-GB"/>
              </w:rPr>
              <w:footnoteReference w:id="13"/>
            </w:r>
          </w:p>
          <w:p w14:paraId="2C12447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Combatting Cybercrimes </w:t>
            </w:r>
          </w:p>
        </w:tc>
        <w:tc>
          <w:tcPr>
            <w:tcW w:w="1440" w:type="dxa"/>
          </w:tcPr>
          <w:p w14:paraId="53D889DA"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13</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August 2012</w:t>
            </w:r>
          </w:p>
        </w:tc>
        <w:tc>
          <w:tcPr>
            <w:tcW w:w="4605" w:type="dxa"/>
          </w:tcPr>
          <w:p w14:paraId="352D522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Laws for the protection of privacy and reputation, defamation apply while using social media’</w:t>
            </w:r>
            <w:r w:rsidRPr="00CE139D">
              <w:rPr>
                <w:rFonts w:asciiTheme="minorHAnsi" w:eastAsia="Times New Roman" w:hAnsiTheme="minorHAnsi" w:cstheme="minorHAnsi"/>
                <w:color w:val="0072C6"/>
                <w:kern w:val="0"/>
                <w:szCs w:val="24"/>
                <w:vertAlign w:val="superscript"/>
                <w:lang w:eastAsia="en-GB"/>
              </w:rPr>
              <w:footnoteReference w:id="14"/>
            </w:r>
            <w:r w:rsidRPr="00CE139D">
              <w:rPr>
                <w:rFonts w:asciiTheme="minorHAnsi" w:eastAsia="Times New Roman" w:hAnsiTheme="minorHAnsi" w:cstheme="minorHAnsi"/>
                <w:color w:val="0072C6"/>
                <w:kern w:val="0"/>
                <w:szCs w:val="24"/>
                <w:lang w:eastAsia="en-GB"/>
              </w:rPr>
              <w:t>.</w:t>
            </w:r>
          </w:p>
          <w:p w14:paraId="26B47EFA"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p w14:paraId="7577FF2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amendment to the Federal Law No.5/2012 has made the use of fraudulent computer network protocol address (IP address) by any means to commit a crime, punishable</w:t>
            </w: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color w:val="0072C6"/>
                <w:kern w:val="0"/>
                <w:szCs w:val="24"/>
                <w:vertAlign w:val="superscript"/>
                <w:lang w:eastAsia="en-GB"/>
              </w:rPr>
              <w:footnoteReference w:id="15"/>
            </w:r>
          </w:p>
        </w:tc>
      </w:tr>
      <w:tr w:rsidR="00CE139D" w:rsidRPr="00CE139D" w14:paraId="314FE9B7" w14:textId="77777777" w:rsidTr="00CE139D">
        <w:trPr>
          <w:trHeight w:val="692"/>
        </w:trPr>
        <w:tc>
          <w:tcPr>
            <w:tcW w:w="2965" w:type="dxa"/>
          </w:tcPr>
          <w:p w14:paraId="2C923AE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National Media Council Chairman’s Decision No.35 of 2013</w:t>
            </w:r>
          </w:p>
          <w:p w14:paraId="00EA553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Advertising Content</w:t>
            </w:r>
            <w:r w:rsidRPr="00CE139D">
              <w:rPr>
                <w:rFonts w:asciiTheme="minorHAnsi" w:eastAsia="Times New Roman" w:hAnsiTheme="minorHAnsi" w:cstheme="minorHAnsi"/>
                <w:color w:val="0072C6"/>
                <w:kern w:val="0"/>
                <w:szCs w:val="24"/>
                <w:vertAlign w:val="superscript"/>
                <w:lang w:eastAsia="en-GB"/>
              </w:rPr>
              <w:footnoteReference w:id="16"/>
            </w:r>
            <w:r w:rsidRPr="00CE139D">
              <w:rPr>
                <w:rFonts w:asciiTheme="minorHAnsi" w:eastAsia="Times New Roman" w:hAnsiTheme="minorHAnsi" w:cstheme="minorHAnsi"/>
                <w:color w:val="0072C6"/>
                <w:kern w:val="0"/>
                <w:szCs w:val="24"/>
                <w:lang w:eastAsia="en-GB"/>
              </w:rPr>
              <w:t xml:space="preserve"> </w:t>
            </w:r>
          </w:p>
        </w:tc>
        <w:tc>
          <w:tcPr>
            <w:tcW w:w="1440" w:type="dxa"/>
          </w:tcPr>
          <w:p w14:paraId="38D4A3CE"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2013 </w:t>
            </w:r>
          </w:p>
        </w:tc>
        <w:tc>
          <w:tcPr>
            <w:tcW w:w="4605" w:type="dxa"/>
          </w:tcPr>
          <w:p w14:paraId="509CFAD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According to the decision, all advertisements that are produced, placed or distributed within the UAE or imported into the UAE must abide by the national standards for media content and the Federal Law No. 15 of 1980 Concerning the Press and Publications. All specialised advertising such as that related to medicine, drugs, food, promotional campaigns, special offers, real estate or universities and educational institutions must obtain prior approvals from the competent authorities’</w:t>
            </w:r>
            <w:r w:rsidRPr="00CE139D">
              <w:rPr>
                <w:rFonts w:asciiTheme="minorHAnsi" w:eastAsia="Times New Roman" w:hAnsiTheme="minorHAnsi" w:cstheme="minorHAnsi"/>
                <w:i/>
                <w:color w:val="0072C6"/>
                <w:kern w:val="0"/>
                <w:szCs w:val="24"/>
                <w:vertAlign w:val="superscript"/>
                <w:lang w:eastAsia="en-GB"/>
              </w:rPr>
              <w:footnoteReference w:id="17"/>
            </w:r>
            <w:r w:rsidRPr="00CE139D">
              <w:rPr>
                <w:rFonts w:asciiTheme="minorHAnsi" w:eastAsia="Times New Roman" w:hAnsiTheme="minorHAnsi" w:cstheme="minorHAnsi"/>
                <w:color w:val="0072C6"/>
                <w:kern w:val="0"/>
                <w:szCs w:val="24"/>
                <w:lang w:eastAsia="en-GB"/>
              </w:rPr>
              <w:t>.</w:t>
            </w:r>
          </w:p>
        </w:tc>
      </w:tr>
      <w:tr w:rsidR="00CE139D" w:rsidRPr="00CE139D" w14:paraId="4D1F4B6E" w14:textId="77777777" w:rsidTr="00CE139D">
        <w:trPr>
          <w:trHeight w:val="1979"/>
        </w:trPr>
        <w:tc>
          <w:tcPr>
            <w:tcW w:w="2965" w:type="dxa"/>
          </w:tcPr>
          <w:p w14:paraId="61C5E2A0"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Law No.7 of 2014</w:t>
            </w:r>
            <w:r w:rsidRPr="00CE139D">
              <w:rPr>
                <w:rFonts w:asciiTheme="minorHAnsi" w:eastAsia="Times New Roman" w:hAnsiTheme="minorHAnsi" w:cstheme="minorHAnsi"/>
                <w:color w:val="0072C6"/>
                <w:kern w:val="0"/>
                <w:szCs w:val="24"/>
                <w:vertAlign w:val="superscript"/>
                <w:lang w:eastAsia="en-GB"/>
              </w:rPr>
              <w:footnoteReference w:id="18"/>
            </w:r>
          </w:p>
          <w:p w14:paraId="7F94097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Combatting Terrorism Offences </w:t>
            </w:r>
          </w:p>
        </w:tc>
        <w:tc>
          <w:tcPr>
            <w:tcW w:w="1440" w:type="dxa"/>
          </w:tcPr>
          <w:p w14:paraId="6D3BDEF0"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20</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August 2014</w:t>
            </w:r>
          </w:p>
        </w:tc>
        <w:tc>
          <w:tcPr>
            <w:tcW w:w="4605" w:type="dxa"/>
          </w:tcPr>
          <w:p w14:paraId="56F8B3C9" w14:textId="0DDD52D1"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Combatting terrorism law designates what constitutes terrorism activity, and the penalties for such involvement</w:t>
            </w:r>
          </w:p>
          <w:p w14:paraId="1E160089"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The law provides ample space for enhanced surveillance capabilities upon subjects</w:t>
            </w:r>
          </w:p>
        </w:tc>
      </w:tr>
      <w:tr w:rsidR="00CE139D" w:rsidRPr="00CE139D" w14:paraId="0CE28620" w14:textId="77777777" w:rsidTr="00CE139D">
        <w:trPr>
          <w:trHeight w:val="287"/>
        </w:trPr>
        <w:tc>
          <w:tcPr>
            <w:tcW w:w="2965" w:type="dxa"/>
          </w:tcPr>
          <w:p w14:paraId="449D95A0"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Law No.2 of 2015</w:t>
            </w:r>
            <w:r w:rsidRPr="00CE139D">
              <w:rPr>
                <w:rFonts w:asciiTheme="minorHAnsi" w:eastAsia="Times New Roman" w:hAnsiTheme="minorHAnsi" w:cstheme="minorHAnsi"/>
                <w:color w:val="0072C6"/>
                <w:kern w:val="0"/>
                <w:szCs w:val="24"/>
                <w:vertAlign w:val="superscript"/>
                <w:lang w:eastAsia="en-GB"/>
              </w:rPr>
              <w:footnoteReference w:id="19"/>
            </w:r>
          </w:p>
          <w:p w14:paraId="6C81ECB8"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Combatting Discrimination and Hatred  </w:t>
            </w:r>
          </w:p>
        </w:tc>
        <w:tc>
          <w:tcPr>
            <w:tcW w:w="1440" w:type="dxa"/>
          </w:tcPr>
          <w:p w14:paraId="4F6347A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15</w:t>
            </w:r>
            <w:r w:rsidRPr="00CE139D">
              <w:rPr>
                <w:rFonts w:asciiTheme="minorHAnsi" w:eastAsia="Times New Roman" w:hAnsiTheme="minorHAnsi" w:cstheme="minorHAnsi"/>
                <w:color w:val="0072C6"/>
                <w:kern w:val="0"/>
                <w:szCs w:val="24"/>
                <w:vertAlign w:val="superscript"/>
                <w:lang w:eastAsia="en-GB"/>
              </w:rPr>
              <w:t>th</w:t>
            </w:r>
            <w:r w:rsidRPr="00CE139D">
              <w:rPr>
                <w:rFonts w:asciiTheme="minorHAnsi" w:eastAsia="Times New Roman" w:hAnsiTheme="minorHAnsi" w:cstheme="minorHAnsi"/>
                <w:color w:val="0072C6"/>
                <w:kern w:val="0"/>
                <w:szCs w:val="24"/>
                <w:lang w:eastAsia="en-GB"/>
              </w:rPr>
              <w:t xml:space="preserve"> July 2015 </w:t>
            </w:r>
          </w:p>
        </w:tc>
        <w:tc>
          <w:tcPr>
            <w:tcW w:w="4605" w:type="dxa"/>
          </w:tcPr>
          <w:p w14:paraId="2EBFBDD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criminalises any act that triggers religious hatred and/or insults religion through any form of expression, which covers speech and the written word, books, pamphlets or online media. The law prohibits any act that would be considered as insulting God, his prophets or apostles or holy books or houses of worship or graveyards’</w:t>
            </w:r>
            <w:r w:rsidRPr="00CE139D">
              <w:rPr>
                <w:rFonts w:asciiTheme="minorHAnsi" w:eastAsia="Times New Roman" w:hAnsiTheme="minorHAnsi" w:cstheme="minorHAnsi"/>
                <w:i/>
                <w:color w:val="0072C6"/>
                <w:kern w:val="0"/>
                <w:szCs w:val="24"/>
                <w:vertAlign w:val="superscript"/>
                <w:lang w:eastAsia="en-GB"/>
              </w:rPr>
              <w:footnoteReference w:id="20"/>
            </w:r>
            <w:r w:rsidRPr="00CE139D">
              <w:rPr>
                <w:rFonts w:asciiTheme="minorHAnsi" w:eastAsia="Times New Roman" w:hAnsiTheme="minorHAnsi" w:cstheme="minorHAnsi"/>
                <w:color w:val="0072C6"/>
                <w:kern w:val="0"/>
                <w:szCs w:val="24"/>
                <w:lang w:eastAsia="en-GB"/>
              </w:rPr>
              <w:t>.</w:t>
            </w:r>
          </w:p>
        </w:tc>
      </w:tr>
      <w:tr w:rsidR="00CE139D" w:rsidRPr="00CE139D" w14:paraId="6D6A7E00" w14:textId="77777777" w:rsidTr="00CE139D">
        <w:trPr>
          <w:trHeight w:val="287"/>
        </w:trPr>
        <w:tc>
          <w:tcPr>
            <w:tcW w:w="2965" w:type="dxa"/>
          </w:tcPr>
          <w:p w14:paraId="694022C2"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Law No.11 of 2016</w:t>
            </w:r>
            <w:r w:rsidRPr="00CE139D">
              <w:rPr>
                <w:rFonts w:asciiTheme="minorHAnsi" w:eastAsia="Times New Roman" w:hAnsiTheme="minorHAnsi" w:cstheme="minorHAnsi"/>
                <w:color w:val="0072C6"/>
                <w:kern w:val="0"/>
                <w:szCs w:val="24"/>
                <w:vertAlign w:val="superscript"/>
                <w:lang w:eastAsia="en-GB"/>
              </w:rPr>
              <w:footnoteReference w:id="21"/>
            </w:r>
          </w:p>
          <w:p w14:paraId="5C8261F6"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Competencies of the National Media Council</w:t>
            </w:r>
          </w:p>
        </w:tc>
        <w:tc>
          <w:tcPr>
            <w:tcW w:w="1440" w:type="dxa"/>
          </w:tcPr>
          <w:p w14:paraId="10F5136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21</w:t>
            </w:r>
            <w:r w:rsidRPr="00CE139D">
              <w:rPr>
                <w:rFonts w:asciiTheme="minorHAnsi" w:eastAsia="Times New Roman" w:hAnsiTheme="minorHAnsi" w:cstheme="minorHAnsi"/>
                <w:color w:val="0072C6"/>
                <w:kern w:val="0"/>
                <w:szCs w:val="24"/>
                <w:vertAlign w:val="superscript"/>
                <w:lang w:eastAsia="en-GB"/>
              </w:rPr>
              <w:t>st</w:t>
            </w:r>
            <w:r w:rsidRPr="00CE139D">
              <w:rPr>
                <w:rFonts w:asciiTheme="minorHAnsi" w:eastAsia="Times New Roman" w:hAnsiTheme="minorHAnsi" w:cstheme="minorHAnsi"/>
                <w:color w:val="0072C6"/>
                <w:kern w:val="0"/>
                <w:szCs w:val="24"/>
                <w:lang w:eastAsia="en-GB"/>
              </w:rPr>
              <w:t xml:space="preserve"> July 2016 </w:t>
            </w:r>
          </w:p>
        </w:tc>
        <w:tc>
          <w:tcPr>
            <w:tcW w:w="4605" w:type="dxa"/>
          </w:tcPr>
          <w:p w14:paraId="24F5312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Law updated the scope of the NMC and empowered the organisation following a corporate rebranding</w:t>
            </w:r>
            <w:r w:rsidRPr="00CE139D">
              <w:rPr>
                <w:rFonts w:asciiTheme="minorHAnsi" w:eastAsia="Times New Roman" w:hAnsiTheme="minorHAnsi" w:cstheme="minorHAnsi"/>
                <w:color w:val="0072C6"/>
                <w:kern w:val="0"/>
                <w:szCs w:val="24"/>
                <w:vertAlign w:val="superscript"/>
                <w:lang w:eastAsia="en-GB"/>
              </w:rPr>
              <w:footnoteReference w:id="22"/>
            </w:r>
            <w:r w:rsidRPr="00CE139D">
              <w:rPr>
                <w:rFonts w:asciiTheme="minorHAnsi" w:eastAsia="Times New Roman" w:hAnsiTheme="minorHAnsi" w:cstheme="minorHAnsi"/>
                <w:color w:val="0072C6"/>
                <w:kern w:val="0"/>
                <w:szCs w:val="24"/>
                <w:lang w:eastAsia="en-GB"/>
              </w:rPr>
              <w:t xml:space="preserve"> </w:t>
            </w:r>
          </w:p>
        </w:tc>
      </w:tr>
      <w:tr w:rsidR="00CE139D" w:rsidRPr="00CE139D" w14:paraId="2E877DA8" w14:textId="77777777" w:rsidTr="00CE139D">
        <w:trPr>
          <w:trHeight w:val="3932"/>
        </w:trPr>
        <w:tc>
          <w:tcPr>
            <w:tcW w:w="2965" w:type="dxa"/>
          </w:tcPr>
          <w:p w14:paraId="2970BCFD"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Federal Decree Law No.12 of 2016</w:t>
            </w:r>
            <w:r w:rsidRPr="00CE139D">
              <w:rPr>
                <w:rFonts w:asciiTheme="minorHAnsi" w:eastAsia="Times New Roman" w:hAnsiTheme="minorHAnsi" w:cstheme="minorHAnsi"/>
                <w:color w:val="0072C6"/>
                <w:kern w:val="0"/>
                <w:szCs w:val="24"/>
                <w:vertAlign w:val="superscript"/>
                <w:lang w:eastAsia="en-GB"/>
              </w:rPr>
              <w:footnoteReference w:id="23"/>
            </w:r>
          </w:p>
        </w:tc>
        <w:tc>
          <w:tcPr>
            <w:tcW w:w="1440" w:type="dxa"/>
          </w:tcPr>
          <w:p w14:paraId="650EFA78"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21</w:t>
            </w:r>
            <w:r w:rsidRPr="00CE139D">
              <w:rPr>
                <w:rFonts w:asciiTheme="minorHAnsi" w:eastAsia="Times New Roman" w:hAnsiTheme="minorHAnsi" w:cstheme="minorHAnsi"/>
                <w:color w:val="0072C6"/>
                <w:kern w:val="0"/>
                <w:szCs w:val="24"/>
                <w:vertAlign w:val="superscript"/>
                <w:lang w:eastAsia="en-GB"/>
              </w:rPr>
              <w:t>st</w:t>
            </w:r>
            <w:r w:rsidRPr="00CE139D">
              <w:rPr>
                <w:rFonts w:asciiTheme="minorHAnsi" w:eastAsia="Times New Roman" w:hAnsiTheme="minorHAnsi" w:cstheme="minorHAnsi"/>
                <w:color w:val="0072C6"/>
                <w:kern w:val="0"/>
                <w:szCs w:val="24"/>
                <w:lang w:eastAsia="en-GB"/>
              </w:rPr>
              <w:t xml:space="preserve"> July 2016</w:t>
            </w:r>
          </w:p>
        </w:tc>
        <w:tc>
          <w:tcPr>
            <w:tcW w:w="4605" w:type="dxa"/>
          </w:tcPr>
          <w:p w14:paraId="0AABAF2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Amendment to Federal Decree Law No.5 of 2012</w:t>
            </w:r>
          </w:p>
          <w:p w14:paraId="776B31AC"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p w14:paraId="665D90C3"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w:t>
            </w:r>
            <w:r w:rsidRPr="00CE139D">
              <w:rPr>
                <w:rFonts w:asciiTheme="minorHAnsi" w:eastAsia="Times New Roman" w:hAnsiTheme="minorHAnsi" w:cstheme="minorHAnsi"/>
                <w:i/>
                <w:color w:val="0072C6"/>
                <w:kern w:val="0"/>
                <w:szCs w:val="24"/>
                <w:lang w:eastAsia="en-GB"/>
              </w:rPr>
              <w:t>Article 1 provides for replacing the text of Article 9 of Federal Law No. 9/2012 as follows: Whoever uses a fraudulent computer network protocol address (IP address) by using a false address or a third-party address by any other means for the purpose of committing a crime or preventing its discovery, shall be punished by temporary imprisonment and a fine of no less than AED500,000 and not exceeding AED2,000,000, or either of these two penalties’</w:t>
            </w:r>
            <w:r w:rsidRPr="00CE139D">
              <w:rPr>
                <w:rFonts w:asciiTheme="minorHAnsi" w:eastAsia="Times New Roman" w:hAnsiTheme="minorHAnsi" w:cstheme="minorHAnsi"/>
                <w:i/>
                <w:color w:val="0072C6"/>
                <w:kern w:val="0"/>
                <w:szCs w:val="24"/>
                <w:vertAlign w:val="superscript"/>
                <w:lang w:eastAsia="en-GB"/>
              </w:rPr>
              <w:footnoteReference w:id="24"/>
            </w:r>
            <w:r w:rsidRPr="00CE139D">
              <w:rPr>
                <w:rFonts w:asciiTheme="minorHAnsi" w:eastAsia="Times New Roman" w:hAnsiTheme="minorHAnsi" w:cstheme="minorHAnsi"/>
                <w:color w:val="0072C6"/>
                <w:kern w:val="0"/>
                <w:szCs w:val="24"/>
                <w:lang w:eastAsia="en-GB"/>
              </w:rPr>
              <w:t>.</w:t>
            </w:r>
          </w:p>
        </w:tc>
      </w:tr>
      <w:tr w:rsidR="00CE139D" w:rsidRPr="00CE139D" w14:paraId="358A2413" w14:textId="77777777" w:rsidTr="00CE139D">
        <w:trPr>
          <w:trHeight w:val="287"/>
        </w:trPr>
        <w:tc>
          <w:tcPr>
            <w:tcW w:w="2965" w:type="dxa"/>
          </w:tcPr>
          <w:p w14:paraId="1EEC5054"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Council of Ministers Decree No.23 of 2017</w:t>
            </w:r>
            <w:r w:rsidRPr="00CE139D">
              <w:rPr>
                <w:rFonts w:asciiTheme="minorHAnsi" w:eastAsia="Times New Roman" w:hAnsiTheme="minorHAnsi" w:cstheme="minorHAnsi"/>
                <w:color w:val="0072C6"/>
                <w:kern w:val="0"/>
                <w:szCs w:val="24"/>
                <w:vertAlign w:val="superscript"/>
                <w:lang w:eastAsia="en-GB"/>
              </w:rPr>
              <w:footnoteReference w:id="25"/>
            </w:r>
            <w:r w:rsidRPr="00CE139D">
              <w:rPr>
                <w:rFonts w:asciiTheme="minorHAnsi" w:eastAsia="Times New Roman" w:hAnsiTheme="minorHAnsi" w:cstheme="minorHAnsi"/>
                <w:color w:val="0072C6"/>
                <w:kern w:val="0"/>
                <w:szCs w:val="24"/>
                <w:lang w:eastAsia="en-GB"/>
              </w:rPr>
              <w:t xml:space="preserve"> </w:t>
            </w:r>
          </w:p>
          <w:p w14:paraId="6AD26621"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 xml:space="preserve">Concerning Media Content </w:t>
            </w:r>
          </w:p>
        </w:tc>
        <w:tc>
          <w:tcPr>
            <w:tcW w:w="1440" w:type="dxa"/>
          </w:tcPr>
          <w:p w14:paraId="24A4E1FF"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2017</w:t>
            </w:r>
          </w:p>
        </w:tc>
        <w:tc>
          <w:tcPr>
            <w:tcW w:w="4605" w:type="dxa"/>
          </w:tcPr>
          <w:p w14:paraId="647EBD97"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Specific Regulation of Digital Media, and a clearer definition of the role of NESA</w:t>
            </w:r>
          </w:p>
          <w:p w14:paraId="6D3C2E68"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p>
          <w:p w14:paraId="38CD42D8" w14:textId="77777777" w:rsidR="00CE139D" w:rsidRPr="00CE139D" w:rsidRDefault="00CE139D" w:rsidP="00CE139D">
            <w:pPr>
              <w:spacing w:before="100" w:beforeAutospacing="1" w:after="100" w:afterAutospacing="1"/>
              <w:jc w:val="both"/>
              <w:outlineLvl w:val="1"/>
              <w:rPr>
                <w:rFonts w:asciiTheme="minorHAnsi" w:eastAsia="Times New Roman" w:hAnsiTheme="minorHAnsi" w:cstheme="minorHAnsi"/>
                <w:color w:val="0072C6"/>
                <w:kern w:val="0"/>
                <w:szCs w:val="24"/>
                <w:lang w:eastAsia="en-GB"/>
              </w:rPr>
            </w:pPr>
            <w:r w:rsidRPr="00CE139D">
              <w:rPr>
                <w:rFonts w:asciiTheme="minorHAnsi" w:eastAsia="Times New Roman" w:hAnsiTheme="minorHAnsi" w:cstheme="minorHAnsi"/>
                <w:color w:val="0072C6"/>
                <w:kern w:val="0"/>
                <w:szCs w:val="24"/>
                <w:lang w:eastAsia="en-GB"/>
              </w:rPr>
              <w:t>There is also a new requirement to gain approval from the NMC before publishing documentation within the UAE</w:t>
            </w:r>
            <w:r w:rsidRPr="00CE139D">
              <w:rPr>
                <w:rFonts w:asciiTheme="minorHAnsi" w:eastAsia="Times New Roman" w:hAnsiTheme="minorHAnsi" w:cstheme="minorHAnsi"/>
                <w:color w:val="0072C6"/>
                <w:kern w:val="0"/>
                <w:szCs w:val="24"/>
                <w:vertAlign w:val="superscript"/>
                <w:lang w:eastAsia="en-GB"/>
              </w:rPr>
              <w:footnoteReference w:id="26"/>
            </w:r>
          </w:p>
        </w:tc>
      </w:tr>
    </w:tbl>
    <w:p w14:paraId="643814B5" w14:textId="4B03401F" w:rsidR="00C0427A" w:rsidRPr="00C0427A" w:rsidRDefault="00C0427A" w:rsidP="00C0427A">
      <w:pPr>
        <w:spacing w:before="100" w:beforeAutospacing="1" w:after="100" w:afterAutospacing="1"/>
        <w:jc w:val="both"/>
        <w:outlineLvl w:val="1"/>
        <w:rPr>
          <w:rFonts w:eastAsia="Times New Roman" w:cstheme="minorHAnsi"/>
          <w:color w:val="0072C6"/>
          <w:lang w:eastAsia="en-GB"/>
        </w:rPr>
      </w:pPr>
    </w:p>
    <w:p w14:paraId="63DB4B12" w14:textId="77777777" w:rsidR="005F5E36" w:rsidRDefault="005F5E36" w:rsidP="007C11AE">
      <w:pPr>
        <w:jc w:val="center"/>
      </w:pPr>
    </w:p>
    <w:sectPr w:rsidR="005F5E36" w:rsidSect="00654DA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2353" w14:textId="77777777" w:rsidR="0009030F" w:rsidRDefault="0009030F" w:rsidP="00C0427A">
      <w:r>
        <w:separator/>
      </w:r>
    </w:p>
  </w:endnote>
  <w:endnote w:type="continuationSeparator" w:id="0">
    <w:p w14:paraId="54D551DA" w14:textId="77777777" w:rsidR="0009030F" w:rsidRDefault="0009030F" w:rsidP="00C0427A">
      <w:r>
        <w:continuationSeparator/>
      </w:r>
    </w:p>
  </w:endnote>
  <w:endnote w:id="1">
    <w:p w14:paraId="4006C8CB" w14:textId="7D21B6CC" w:rsidR="00C0427A" w:rsidRPr="00C0427A" w:rsidRDefault="00C0427A" w:rsidP="009E60BF">
      <w:pPr>
        <w:pStyle w:val="EndnoteText"/>
        <w:jc w:val="both"/>
      </w:pPr>
      <w:r>
        <w:rPr>
          <w:rStyle w:val="EndnoteReference"/>
        </w:rPr>
        <w:endnoteRef/>
      </w:r>
      <w:r>
        <w:t xml:space="preserve"> Salama, Samir, ‘UAE widens scope of penal code to fight corruption’, </w:t>
      </w:r>
      <w:r>
        <w:rPr>
          <w:i/>
          <w:iCs/>
        </w:rPr>
        <w:t>Gulf News</w:t>
      </w:r>
      <w:r>
        <w:t xml:space="preserve">, 05/12/2018, </w:t>
      </w:r>
      <w:hyperlink r:id="rId1" w:history="1">
        <w:r w:rsidRPr="00F82AE0">
          <w:rPr>
            <w:rStyle w:val="Hyperlink"/>
          </w:rPr>
          <w:t>https://gulfnews.com/uae/uae-widens-scope-of-penal-code-to-fight-corruption-1.60767814</w:t>
        </w:r>
      </w:hyperlink>
      <w:r>
        <w:t>, [accessed 14/04/2020]</w:t>
      </w:r>
    </w:p>
  </w:endnote>
  <w:endnote w:id="2">
    <w:p w14:paraId="0F442227" w14:textId="77777777" w:rsidR="00643FCC" w:rsidRPr="00A12E08" w:rsidRDefault="00643FCC" w:rsidP="009E60BF">
      <w:pPr>
        <w:pStyle w:val="EndnoteText"/>
        <w:jc w:val="both"/>
      </w:pPr>
      <w:r>
        <w:rPr>
          <w:rStyle w:val="EndnoteReference"/>
        </w:rPr>
        <w:endnoteRef/>
      </w:r>
      <w:r>
        <w:t xml:space="preserve"> Ulrichsen, Kristian C, ‘Academic Freedom and UAE Funding’, </w:t>
      </w:r>
      <w:r>
        <w:rPr>
          <w:i/>
          <w:iCs/>
        </w:rPr>
        <w:t>Foreign Policy</w:t>
      </w:r>
      <w:r>
        <w:t xml:space="preserve">, 25/02/2013, </w:t>
      </w:r>
      <w:hyperlink r:id="rId2" w:history="1">
        <w:r w:rsidRPr="00F82AE0">
          <w:rPr>
            <w:rStyle w:val="Hyperlink"/>
          </w:rPr>
          <w:t>https://foreignpolicy.com/2013/02/25/academic-freedom-and-uae-funding/</w:t>
        </w:r>
      </w:hyperlink>
      <w:r>
        <w:t>, [accessed 14/04/2020]</w:t>
      </w:r>
    </w:p>
  </w:endnote>
  <w:endnote w:id="3">
    <w:p w14:paraId="43DEFBD3" w14:textId="77777777" w:rsidR="00643FCC" w:rsidRPr="00E46BAD" w:rsidRDefault="00643FCC" w:rsidP="009E60BF">
      <w:pPr>
        <w:pStyle w:val="EndnoteText"/>
        <w:jc w:val="both"/>
      </w:pPr>
      <w:r>
        <w:rPr>
          <w:rStyle w:val="EndnoteReference"/>
        </w:rPr>
        <w:endnoteRef/>
      </w:r>
      <w:r>
        <w:t xml:space="preserve"> Hunt, Naomi, ‘Journalism Professor and Columnist Speaks out on Press Freedom in the UAE and How he Lost his Job’, </w:t>
      </w:r>
      <w:r>
        <w:rPr>
          <w:i/>
          <w:iCs/>
        </w:rPr>
        <w:t>International Press Institute (IPI)</w:t>
      </w:r>
      <w:r>
        <w:t xml:space="preserve">, 03/09/2012, </w:t>
      </w:r>
      <w:hyperlink r:id="rId3" w:history="1">
        <w:r w:rsidRPr="00F82AE0">
          <w:rPr>
            <w:rStyle w:val="Hyperlink"/>
          </w:rPr>
          <w:t>https://ipi.media/journalism-professor-and-columnist-speaks-out-on-press-freedom-in-the-u-a-e-and-how-he-lost-his-job/</w:t>
        </w:r>
      </w:hyperlink>
      <w:r>
        <w:t>, [accessed 14/04/2020]</w:t>
      </w:r>
    </w:p>
  </w:endnote>
  <w:endnote w:id="4">
    <w:p w14:paraId="5C6F9655" w14:textId="77777777" w:rsidR="00643FCC" w:rsidRPr="006F3F12" w:rsidRDefault="00643FCC" w:rsidP="009E60BF">
      <w:pPr>
        <w:pStyle w:val="EndnoteText"/>
        <w:jc w:val="both"/>
      </w:pPr>
      <w:r>
        <w:rPr>
          <w:rStyle w:val="EndnoteReference"/>
        </w:rPr>
        <w:endnoteRef/>
      </w:r>
      <w:r>
        <w:t xml:space="preserve"> Zamuido-Sanchez, Fernanda, ‘NYU Faculty Members Shun Abu Dhabi Campus Over Academic-Freedom Issues’, </w:t>
      </w:r>
      <w:r>
        <w:rPr>
          <w:i/>
          <w:iCs/>
        </w:rPr>
        <w:t>The Chronicle of Higher Education</w:t>
      </w:r>
      <w:r>
        <w:t xml:space="preserve">, 06/11/2017, </w:t>
      </w:r>
      <w:hyperlink r:id="rId4" w:history="1">
        <w:r w:rsidRPr="00F82AE0">
          <w:rPr>
            <w:rStyle w:val="Hyperlink"/>
          </w:rPr>
          <w:t>https://www.chronicle.com/article/NYU-Faculty-Members-Shun-Abu/241685</w:t>
        </w:r>
      </w:hyperlink>
      <w:r>
        <w:t>, [accessed 14/04/2020]</w:t>
      </w:r>
    </w:p>
  </w:endnote>
  <w:endnote w:id="5">
    <w:p w14:paraId="3596A292" w14:textId="4A9CBB29" w:rsidR="0008453D" w:rsidRPr="0008453D" w:rsidRDefault="0008453D" w:rsidP="0067799B">
      <w:pPr>
        <w:pStyle w:val="EndnoteText"/>
        <w:jc w:val="both"/>
      </w:pPr>
      <w:r>
        <w:rPr>
          <w:rStyle w:val="EndnoteReference"/>
        </w:rPr>
        <w:endnoteRef/>
      </w:r>
      <w:r>
        <w:t xml:space="preserve"> Maharishi, Meghna, ‘Faculty Discuss NYU’s Ties to Abu Dhabi’, </w:t>
      </w:r>
      <w:r>
        <w:rPr>
          <w:i/>
          <w:iCs/>
        </w:rPr>
        <w:t>Washington Square News</w:t>
      </w:r>
      <w:r>
        <w:t xml:space="preserve">, 04/12/18, </w:t>
      </w:r>
      <w:hyperlink r:id="rId5" w:history="1">
        <w:r w:rsidRPr="00167A82">
          <w:rPr>
            <w:rStyle w:val="Hyperlink"/>
          </w:rPr>
          <w:t>https://nyunews.com/2018/12/03/faculty-forum-uae-academic-freedom/</w:t>
        </w:r>
      </w:hyperlink>
      <w:r>
        <w:t xml:space="preserve"> , [accessed 29/04/2020]</w:t>
      </w:r>
    </w:p>
  </w:endnote>
  <w:endnote w:id="6">
    <w:p w14:paraId="1EC795AB" w14:textId="090C1297" w:rsidR="005950AB" w:rsidRPr="005950AB" w:rsidRDefault="005950AB" w:rsidP="0067799B">
      <w:pPr>
        <w:pStyle w:val="EndnoteText"/>
        <w:jc w:val="both"/>
      </w:pPr>
      <w:r>
        <w:rPr>
          <w:rStyle w:val="EndnoteReference"/>
        </w:rPr>
        <w:endnoteRef/>
      </w:r>
      <w:r>
        <w:t xml:space="preserve"> ‘Current Board Members’, </w:t>
      </w:r>
      <w:r>
        <w:rPr>
          <w:i/>
          <w:iCs/>
        </w:rPr>
        <w:t>Trustees, New York University (NYU)</w:t>
      </w:r>
      <w:r>
        <w:t xml:space="preserve">, </w:t>
      </w:r>
      <w:hyperlink r:id="rId6" w:history="1">
        <w:r w:rsidRPr="00167A82">
          <w:rPr>
            <w:rStyle w:val="Hyperlink"/>
          </w:rPr>
          <w:t>https://www.nyu.edu/about/leadership-university-administration/board-of-trustees/trustees-m-r.html</w:t>
        </w:r>
      </w:hyperlink>
      <w:r>
        <w:t xml:space="preserve"> [accessed 29/04/2020]</w:t>
      </w:r>
    </w:p>
  </w:endnote>
  <w:endnote w:id="7">
    <w:p w14:paraId="4418F9EA" w14:textId="010D1134" w:rsidR="00F855D2" w:rsidRPr="00F855D2" w:rsidRDefault="00F855D2" w:rsidP="0067799B">
      <w:pPr>
        <w:pStyle w:val="EndnoteText"/>
        <w:jc w:val="both"/>
      </w:pPr>
      <w:r>
        <w:rPr>
          <w:rStyle w:val="EndnoteReference"/>
        </w:rPr>
        <w:endnoteRef/>
      </w:r>
      <w:r>
        <w:t xml:space="preserve"> England, Andrew and Kerr, Simeon, ‘Universities Challenged: scrutiny over Gulf money’, </w:t>
      </w:r>
      <w:r>
        <w:rPr>
          <w:i/>
          <w:iCs/>
        </w:rPr>
        <w:t>Financial Times</w:t>
      </w:r>
      <w:r>
        <w:t xml:space="preserve">, 13/12/2018, </w:t>
      </w:r>
      <w:hyperlink r:id="rId7" w:history="1">
        <w:r w:rsidRPr="00167A82">
          <w:rPr>
            <w:rStyle w:val="Hyperlink"/>
          </w:rPr>
          <w:t>https://www.ft.com/content/fa6d15a4-f6ed-11e8-af46-2022a0b02a6c</w:t>
        </w:r>
      </w:hyperlink>
      <w:r>
        <w:t>, [accessed 29/04/2020]</w:t>
      </w:r>
    </w:p>
  </w:endnote>
  <w:endnote w:id="8">
    <w:p w14:paraId="718D797E" w14:textId="77777777" w:rsidR="0067799B" w:rsidRPr="00F855D2" w:rsidRDefault="0067799B" w:rsidP="0067799B">
      <w:pPr>
        <w:pStyle w:val="EndnoteText"/>
        <w:jc w:val="both"/>
      </w:pPr>
      <w:r>
        <w:rPr>
          <w:rStyle w:val="EndnoteReference"/>
        </w:rPr>
        <w:endnoteRef/>
      </w:r>
      <w:r>
        <w:t xml:space="preserve"> ‘Matthew Hedges: University Staff’s Dubai campus boycott’, </w:t>
      </w:r>
      <w:r>
        <w:rPr>
          <w:i/>
          <w:iCs/>
        </w:rPr>
        <w:t>BBC</w:t>
      </w:r>
      <w:r>
        <w:t xml:space="preserve">, 23/11/2018, </w:t>
      </w:r>
      <w:hyperlink r:id="rId8" w:history="1">
        <w:r w:rsidRPr="00167A82">
          <w:rPr>
            <w:rStyle w:val="Hyperlink"/>
          </w:rPr>
          <w:t>https://www.bbc.co.uk/news/uk-england-birmingham-46304911</w:t>
        </w:r>
      </w:hyperlink>
      <w:r>
        <w:t>, [accessed 29/04/2020]</w:t>
      </w:r>
    </w:p>
    <w:p w14:paraId="00D63CA5" w14:textId="5B7AC00C" w:rsidR="0067799B" w:rsidRPr="0067799B" w:rsidRDefault="006779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FD9EF" w14:textId="77777777" w:rsidR="0009030F" w:rsidRDefault="0009030F" w:rsidP="00C0427A">
      <w:r>
        <w:separator/>
      </w:r>
    </w:p>
  </w:footnote>
  <w:footnote w:type="continuationSeparator" w:id="0">
    <w:p w14:paraId="1FB7CF23" w14:textId="77777777" w:rsidR="0009030F" w:rsidRDefault="0009030F" w:rsidP="00C0427A">
      <w:r>
        <w:continuationSeparator/>
      </w:r>
    </w:p>
  </w:footnote>
  <w:footnote w:id="1">
    <w:p w14:paraId="0F96AAF2" w14:textId="77777777" w:rsidR="00CE139D" w:rsidRPr="00AE17FF" w:rsidRDefault="00CE139D" w:rsidP="00CE139D">
      <w:pPr>
        <w:pStyle w:val="FootnoteText"/>
        <w:jc w:val="both"/>
      </w:pPr>
      <w:r>
        <w:rPr>
          <w:rStyle w:val="FootnoteReference"/>
        </w:rPr>
        <w:footnoteRef/>
      </w:r>
      <w:r>
        <w:t xml:space="preserve"> Article 30, </w:t>
      </w:r>
      <w:r>
        <w:rPr>
          <w:i/>
        </w:rPr>
        <w:t>United Arab Emirates Constitution of 1971 with Amendments through 2004</w:t>
      </w:r>
      <w:r>
        <w:t xml:space="preserve">, Abu Dhabi, Constitute Project, 1971, available online, </w:t>
      </w:r>
      <w:hyperlink r:id="rId1" w:history="1">
        <w:r w:rsidRPr="00D25DF4">
          <w:rPr>
            <w:rStyle w:val="Hyperlink"/>
          </w:rPr>
          <w:t>https://www.constituteproject.org/constitution/United_Arab_Emirates_2004.pdf</w:t>
        </w:r>
      </w:hyperlink>
      <w:r>
        <w:t>, date accessed, 26</w:t>
      </w:r>
      <w:r w:rsidRPr="00AE17FF">
        <w:rPr>
          <w:vertAlign w:val="superscript"/>
        </w:rPr>
        <w:t>th</w:t>
      </w:r>
      <w:r>
        <w:t xml:space="preserve"> January 2018 </w:t>
      </w:r>
    </w:p>
  </w:footnote>
  <w:footnote w:id="2">
    <w:p w14:paraId="2228C8AD" w14:textId="77777777" w:rsidR="00CE139D" w:rsidRDefault="00CE139D" w:rsidP="00CE139D">
      <w:pPr>
        <w:pStyle w:val="FootnoteText"/>
        <w:jc w:val="both"/>
      </w:pPr>
      <w:r>
        <w:rPr>
          <w:rStyle w:val="FootnoteReference"/>
        </w:rPr>
        <w:footnoteRef/>
      </w:r>
      <w:r>
        <w:t xml:space="preserve"> Federal Law No.15 of 1980, available online, </w:t>
      </w:r>
      <w:hyperlink r:id="rId2" w:history="1">
        <w:r w:rsidRPr="00D25DF4">
          <w:rPr>
            <w:rStyle w:val="Hyperlink"/>
          </w:rPr>
          <w:t>http://nmc.gov.ae/en-us/NMC/Lists/LawsandLegislationsList/Attachments/55/</w:t>
        </w:r>
        <w:r w:rsidRPr="00D25DF4">
          <w:rPr>
            <w:rStyle w:val="Hyperlink"/>
            <w:rFonts w:ascii="Tahoma" w:eastAsia="Tahoma" w:hAnsi="Tahoma" w:cs="Tahoma" w:hint="cs"/>
          </w:rPr>
          <w:t>قانوم</w:t>
        </w:r>
        <w:r w:rsidRPr="00D25DF4">
          <w:rPr>
            <w:rStyle w:val="Hyperlink"/>
          </w:rPr>
          <w:t>%20</w:t>
        </w:r>
        <w:r w:rsidRPr="00D25DF4">
          <w:rPr>
            <w:rStyle w:val="Hyperlink"/>
            <w:rFonts w:ascii="Tahoma" w:eastAsia="Tahoma" w:hAnsi="Tahoma" w:cs="Tahoma" w:hint="cs"/>
          </w:rPr>
          <w:t>المطبوعات</w:t>
        </w:r>
        <w:r w:rsidRPr="00D25DF4">
          <w:rPr>
            <w:rStyle w:val="Hyperlink"/>
          </w:rPr>
          <w:t>%20</w:t>
        </w:r>
        <w:r w:rsidRPr="00D25DF4">
          <w:rPr>
            <w:rStyle w:val="Hyperlink"/>
            <w:rFonts w:ascii="Tahoma" w:eastAsia="Tahoma" w:hAnsi="Tahoma" w:cs="Tahoma" w:hint="cs"/>
          </w:rPr>
          <w:t>والنشر</w:t>
        </w:r>
        <w:r w:rsidRPr="00D25DF4">
          <w:rPr>
            <w:rStyle w:val="Hyperlink"/>
          </w:rPr>
          <w:t>.pdf</w:t>
        </w:r>
      </w:hyperlink>
      <w:r>
        <w:t xml:space="preserve"> , date accessed, 26</w:t>
      </w:r>
      <w:r w:rsidRPr="00C553CE">
        <w:rPr>
          <w:vertAlign w:val="superscript"/>
        </w:rPr>
        <w:t>th</w:t>
      </w:r>
      <w:r>
        <w:t xml:space="preserve"> January 1980 </w:t>
      </w:r>
    </w:p>
  </w:footnote>
  <w:footnote w:id="3">
    <w:p w14:paraId="11A7689F" w14:textId="77777777" w:rsidR="00CE139D"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3" w:history="1">
        <w:r w:rsidRPr="00D25DF4">
          <w:rPr>
            <w:rStyle w:val="Hyperlink"/>
          </w:rPr>
          <w:t>https://government.ae/en/media/media</w:t>
        </w:r>
      </w:hyperlink>
      <w:r>
        <w:t>, date accessed, 26</w:t>
      </w:r>
      <w:r w:rsidRPr="003916DE">
        <w:rPr>
          <w:vertAlign w:val="superscript"/>
        </w:rPr>
        <w:t>th</w:t>
      </w:r>
      <w:r>
        <w:t xml:space="preserve"> January 2018</w:t>
      </w:r>
    </w:p>
  </w:footnote>
  <w:footnote w:id="4">
    <w:p w14:paraId="5E655215" w14:textId="77777777" w:rsidR="00CE139D" w:rsidRDefault="00CE139D" w:rsidP="00CE139D">
      <w:pPr>
        <w:pStyle w:val="FootnoteText"/>
        <w:jc w:val="both"/>
      </w:pPr>
      <w:r>
        <w:rPr>
          <w:rStyle w:val="FootnoteReference"/>
        </w:rPr>
        <w:footnoteRef/>
      </w:r>
      <w:r>
        <w:t xml:space="preserve"> S Saleem, ‘Content Regulation in the UAE: “The Wold of Wolf Street”’, </w:t>
      </w:r>
      <w:r>
        <w:rPr>
          <w:i/>
        </w:rPr>
        <w:t>Al Tammimi &amp; Co</w:t>
      </w:r>
      <w:r>
        <w:t xml:space="preserve">, February 2014, available online, </w:t>
      </w:r>
      <w:hyperlink r:id="rId4" w:history="1">
        <w:r w:rsidRPr="00D25DF4">
          <w:rPr>
            <w:rStyle w:val="Hyperlink"/>
          </w:rPr>
          <w:t>http://www.tamimi.com/law-update-articles/content-regulation-in-the-uae-the-wolf-of-wall-street/</w:t>
        </w:r>
      </w:hyperlink>
      <w:r>
        <w:t>, date accessed 26</w:t>
      </w:r>
      <w:r w:rsidRPr="001D2CB5">
        <w:rPr>
          <w:vertAlign w:val="superscript"/>
        </w:rPr>
        <w:t>th</w:t>
      </w:r>
      <w:r>
        <w:t xml:space="preserve"> January 2018</w:t>
      </w:r>
    </w:p>
  </w:footnote>
  <w:footnote w:id="5">
    <w:p w14:paraId="700AE3EA" w14:textId="77777777" w:rsidR="00CE139D" w:rsidRPr="00E9749F" w:rsidRDefault="00CE139D" w:rsidP="00CE139D">
      <w:pPr>
        <w:pStyle w:val="FootnoteText"/>
        <w:jc w:val="both"/>
      </w:pPr>
      <w:r>
        <w:rPr>
          <w:rStyle w:val="FootnoteReference"/>
        </w:rPr>
        <w:footnoteRef/>
      </w:r>
      <w:r>
        <w:t xml:space="preserve"> Federal Law by Decree No.3 of 2003, Regarding the Organization of Telecommunications Sector, </w:t>
      </w:r>
      <w:r>
        <w:rPr>
          <w:i/>
        </w:rPr>
        <w:t>Telecommunications Regulatory Authority</w:t>
      </w:r>
      <w:r>
        <w:t xml:space="preserve">, Abu Dhabi, Official Gazette, Edition 411, April 2004, online, </w:t>
      </w:r>
      <w:hyperlink r:id="rId5" w:history="1">
        <w:r w:rsidRPr="00D25DF4">
          <w:rPr>
            <w:rStyle w:val="Hyperlink"/>
          </w:rPr>
          <w:t>https://www.tra.gov.ae/en/about-tra/legal-references/law.aspx</w:t>
        </w:r>
      </w:hyperlink>
      <w:r>
        <w:t xml:space="preserve"> , date accessed, 26th January 2018</w:t>
      </w:r>
    </w:p>
  </w:footnote>
  <w:footnote w:id="6">
    <w:p w14:paraId="6CD6849C" w14:textId="77777777" w:rsidR="00CE139D" w:rsidRPr="00B64FB4" w:rsidRDefault="00CE139D" w:rsidP="00CE139D">
      <w:pPr>
        <w:pStyle w:val="FootnoteText"/>
        <w:jc w:val="both"/>
      </w:pPr>
      <w:r>
        <w:rPr>
          <w:rStyle w:val="FootnoteReference"/>
        </w:rPr>
        <w:footnoteRef/>
      </w:r>
      <w:r>
        <w:t xml:space="preserve"> ‘About ICA’, </w:t>
      </w:r>
      <w:r w:rsidRPr="00B64FB4">
        <w:rPr>
          <w:i/>
        </w:rPr>
        <w:t>Federal Authority for Identity and Citizenship</w:t>
      </w:r>
      <w:r>
        <w:t xml:space="preserve">, available online, </w:t>
      </w:r>
      <w:hyperlink r:id="rId6" w:history="1">
        <w:r w:rsidRPr="00D25DF4">
          <w:rPr>
            <w:rStyle w:val="Hyperlink"/>
          </w:rPr>
          <w:t>https://www.id.gov.ae/en/emirates-id/about-emirates-id.aspx</w:t>
        </w:r>
      </w:hyperlink>
      <w:r>
        <w:t>, date accessed, 26</w:t>
      </w:r>
      <w:r w:rsidRPr="00B64FB4">
        <w:rPr>
          <w:vertAlign w:val="superscript"/>
        </w:rPr>
        <w:t>th</w:t>
      </w:r>
      <w:r>
        <w:t xml:space="preserve"> January 2018 </w:t>
      </w:r>
    </w:p>
  </w:footnote>
  <w:footnote w:id="7">
    <w:p w14:paraId="7CAA5791" w14:textId="77777777" w:rsidR="00CE139D" w:rsidRDefault="00CE139D" w:rsidP="00CE139D">
      <w:pPr>
        <w:pStyle w:val="FootnoteText"/>
        <w:jc w:val="both"/>
      </w:pPr>
      <w:r>
        <w:rPr>
          <w:rStyle w:val="FootnoteReference"/>
        </w:rPr>
        <w:footnoteRef/>
      </w:r>
      <w:r>
        <w:t xml:space="preserve"> Federal Law No. (1) of 2006, Electronic Commerce and Transactions, available online, </w:t>
      </w:r>
      <w:hyperlink r:id="rId7" w:history="1">
        <w:r w:rsidRPr="00D25DF4">
          <w:rPr>
            <w:rStyle w:val="Hyperlink"/>
          </w:rPr>
          <w:t>https://www.tra.gov.ae/en/about-tra/legal-references/law.aspx</w:t>
        </w:r>
      </w:hyperlink>
      <w:r>
        <w:t xml:space="preserve"> , date accessed, 26th January 2018 </w:t>
      </w:r>
    </w:p>
  </w:footnote>
  <w:footnote w:id="8">
    <w:p w14:paraId="2DEE6278" w14:textId="77777777" w:rsidR="00CE139D" w:rsidRDefault="00CE139D" w:rsidP="00CE139D">
      <w:pPr>
        <w:pStyle w:val="FootnoteText"/>
        <w:jc w:val="both"/>
      </w:pPr>
      <w:r>
        <w:rPr>
          <w:rStyle w:val="FootnoteReference"/>
        </w:rPr>
        <w:footnoteRef/>
      </w:r>
      <w:r>
        <w:t xml:space="preserve"> Official Gazette, Edition 485, October 2008 </w:t>
      </w:r>
    </w:p>
  </w:footnote>
  <w:footnote w:id="9">
    <w:p w14:paraId="2D4454C3" w14:textId="77777777" w:rsidR="00CE139D" w:rsidRPr="00EB686B" w:rsidRDefault="00CE139D" w:rsidP="00CE139D">
      <w:pPr>
        <w:pStyle w:val="FootnoteText"/>
        <w:jc w:val="both"/>
      </w:pPr>
      <w:r>
        <w:rPr>
          <w:rStyle w:val="FootnoteReference"/>
        </w:rPr>
        <w:footnoteRef/>
      </w:r>
      <w:r>
        <w:t xml:space="preserve"> ‘Legal References’, </w:t>
      </w:r>
      <w:r>
        <w:rPr>
          <w:i/>
        </w:rPr>
        <w:t>Telecommunications Regulatory Authority (TRA)</w:t>
      </w:r>
      <w:r>
        <w:t xml:space="preserve">, available online, </w:t>
      </w:r>
      <w:hyperlink r:id="rId8" w:history="1">
        <w:r w:rsidRPr="00D25DF4">
          <w:rPr>
            <w:rStyle w:val="Hyperlink"/>
          </w:rPr>
          <w:t>https://www.tra.gov.ae/en/legal-references.aspx</w:t>
        </w:r>
      </w:hyperlink>
      <w:r>
        <w:t>, date accessed, 26</w:t>
      </w:r>
      <w:r w:rsidRPr="00EB686B">
        <w:rPr>
          <w:vertAlign w:val="superscript"/>
        </w:rPr>
        <w:t>th</w:t>
      </w:r>
      <w:r>
        <w:t xml:space="preserve"> January 2018</w:t>
      </w:r>
    </w:p>
  </w:footnote>
  <w:footnote w:id="10">
    <w:p w14:paraId="3174750A" w14:textId="77777777" w:rsidR="00CE139D" w:rsidRPr="001D2CB5" w:rsidRDefault="00CE139D" w:rsidP="00CE139D">
      <w:pPr>
        <w:pStyle w:val="FootnoteText"/>
        <w:jc w:val="both"/>
      </w:pPr>
      <w:r>
        <w:rPr>
          <w:rStyle w:val="FootnoteReference"/>
        </w:rPr>
        <w:footnoteRef/>
      </w:r>
      <w:r>
        <w:t xml:space="preserve"> S Saleem, ‘Content Regulation in the UAE: “The Wold of Wolf Street”’, </w:t>
      </w:r>
      <w:r>
        <w:rPr>
          <w:i/>
        </w:rPr>
        <w:t>Al Tammimi &amp; Co</w:t>
      </w:r>
      <w:r>
        <w:t xml:space="preserve">, February 2014, available online, </w:t>
      </w:r>
      <w:hyperlink r:id="rId9" w:history="1">
        <w:r w:rsidRPr="00D25DF4">
          <w:rPr>
            <w:rStyle w:val="Hyperlink"/>
          </w:rPr>
          <w:t>http://www.tamimi.com/law-update-articles/content-regulation-in-the-uae-the-wolf-of-wall-street/</w:t>
        </w:r>
      </w:hyperlink>
      <w:r>
        <w:t>, date accessed 26</w:t>
      </w:r>
      <w:r w:rsidRPr="001D2CB5">
        <w:rPr>
          <w:vertAlign w:val="superscript"/>
        </w:rPr>
        <w:t>th</w:t>
      </w:r>
      <w:r>
        <w:t xml:space="preserve"> January 2018 </w:t>
      </w:r>
    </w:p>
  </w:footnote>
  <w:footnote w:id="11">
    <w:p w14:paraId="5BBABCF3" w14:textId="77777777" w:rsidR="00CE139D" w:rsidRPr="003916DE"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10" w:history="1">
        <w:r w:rsidRPr="00D25DF4">
          <w:rPr>
            <w:rStyle w:val="Hyperlink"/>
          </w:rPr>
          <w:t>https://government.ae/en/media/media</w:t>
        </w:r>
      </w:hyperlink>
      <w:r>
        <w:t>, date accessed, 26</w:t>
      </w:r>
      <w:r w:rsidRPr="003916DE">
        <w:rPr>
          <w:vertAlign w:val="superscript"/>
        </w:rPr>
        <w:t>th</w:t>
      </w:r>
      <w:r>
        <w:t xml:space="preserve"> January 2018 </w:t>
      </w:r>
    </w:p>
  </w:footnote>
  <w:footnote w:id="12">
    <w:p w14:paraId="25EF9896" w14:textId="77777777" w:rsidR="00CE139D" w:rsidRDefault="00CE139D" w:rsidP="00CE139D">
      <w:pPr>
        <w:pStyle w:val="FootnoteText"/>
        <w:jc w:val="both"/>
      </w:pPr>
      <w:r>
        <w:rPr>
          <w:rStyle w:val="FootnoteReference"/>
        </w:rPr>
        <w:footnoteRef/>
      </w:r>
      <w:r>
        <w:t xml:space="preserve"> Federal Decree Law No.3 of 2012, On The Establishment of the National Electronic Security Authority, Khalifa bin Zayed Al Nahyan, Abu Dhabi, available online, </w:t>
      </w:r>
      <w:hyperlink r:id="rId11" w:history="1">
        <w:r w:rsidRPr="00D25DF4">
          <w:rPr>
            <w:rStyle w:val="Hyperlink"/>
          </w:rPr>
          <w:t>http://ejustice.gov.ae/downloads/latest_laws/federal_decree_law_3_2012_en.pdf</w:t>
        </w:r>
      </w:hyperlink>
      <w:r>
        <w:t>, date accessed, 20</w:t>
      </w:r>
      <w:r w:rsidRPr="0079680E">
        <w:rPr>
          <w:vertAlign w:val="superscript"/>
        </w:rPr>
        <w:t>th</w:t>
      </w:r>
      <w:r>
        <w:t xml:space="preserve"> January 2018</w:t>
      </w:r>
    </w:p>
  </w:footnote>
  <w:footnote w:id="13">
    <w:p w14:paraId="73BD71F4" w14:textId="77777777" w:rsidR="00CE139D" w:rsidRDefault="00CE139D" w:rsidP="00CE139D">
      <w:pPr>
        <w:pStyle w:val="FootnoteText"/>
        <w:jc w:val="both"/>
      </w:pPr>
      <w:r>
        <w:rPr>
          <w:rStyle w:val="FootnoteReference"/>
        </w:rPr>
        <w:footnoteRef/>
      </w:r>
      <w:r>
        <w:t xml:space="preserve"> Federal Decree Law No.5 of 2012, Ministry of Justice, 13</w:t>
      </w:r>
      <w:r w:rsidRPr="00B0269F">
        <w:rPr>
          <w:vertAlign w:val="superscript"/>
        </w:rPr>
        <w:t>th</w:t>
      </w:r>
      <w:r>
        <w:t xml:space="preserve"> August 2012, available online, </w:t>
      </w:r>
      <w:hyperlink r:id="rId12" w:history="1">
        <w:r w:rsidRPr="00D25DF4">
          <w:rPr>
            <w:rStyle w:val="Hyperlink"/>
          </w:rPr>
          <w:t>http://ejustice.gov.ae/downloads/latest_laws/cybercrimes_5_2012_en.pdf</w:t>
        </w:r>
      </w:hyperlink>
      <w:r>
        <w:t>, date accessed, 26</w:t>
      </w:r>
      <w:r w:rsidRPr="00B0269F">
        <w:rPr>
          <w:vertAlign w:val="superscript"/>
        </w:rPr>
        <w:t>th</w:t>
      </w:r>
      <w:r>
        <w:t xml:space="preserve"> January 2018  </w:t>
      </w:r>
    </w:p>
  </w:footnote>
  <w:footnote w:id="14">
    <w:p w14:paraId="45C99813" w14:textId="77777777" w:rsidR="00CE139D"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13" w:history="1">
        <w:r w:rsidRPr="00D25DF4">
          <w:rPr>
            <w:rStyle w:val="Hyperlink"/>
          </w:rPr>
          <w:t>https://government.ae/en/media/media</w:t>
        </w:r>
      </w:hyperlink>
      <w:r>
        <w:t>, date accessed, 26</w:t>
      </w:r>
      <w:r w:rsidRPr="003916DE">
        <w:rPr>
          <w:vertAlign w:val="superscript"/>
        </w:rPr>
        <w:t>th</w:t>
      </w:r>
      <w:r>
        <w:t xml:space="preserve"> January 2018</w:t>
      </w:r>
    </w:p>
  </w:footnote>
  <w:footnote w:id="15">
    <w:p w14:paraId="61DBE33F" w14:textId="77777777" w:rsidR="00CE139D" w:rsidRDefault="00CE139D" w:rsidP="00CE139D">
      <w:pPr>
        <w:pStyle w:val="FootnoteText"/>
        <w:jc w:val="both"/>
      </w:pPr>
      <w:r>
        <w:rPr>
          <w:rStyle w:val="FootnoteReference"/>
        </w:rPr>
        <w:footnoteRef/>
      </w:r>
      <w:r>
        <w:t xml:space="preserve"> AV Rajan, R Ravikumar, and M Al Shaer, ‘UAE cybercrime Law and Cybercrimes – An Analysis’ </w:t>
      </w:r>
    </w:p>
  </w:footnote>
  <w:footnote w:id="16">
    <w:p w14:paraId="4BA9D9A1" w14:textId="77777777" w:rsidR="00CE139D"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14" w:history="1">
        <w:r w:rsidRPr="00D25DF4">
          <w:rPr>
            <w:rStyle w:val="Hyperlink"/>
          </w:rPr>
          <w:t>https://government.ae/en/media/media</w:t>
        </w:r>
      </w:hyperlink>
      <w:r>
        <w:t>, date accessed, 26</w:t>
      </w:r>
      <w:r w:rsidRPr="003916DE">
        <w:rPr>
          <w:vertAlign w:val="superscript"/>
        </w:rPr>
        <w:t>th</w:t>
      </w:r>
      <w:r>
        <w:t xml:space="preserve"> January 2018</w:t>
      </w:r>
    </w:p>
  </w:footnote>
  <w:footnote w:id="17">
    <w:p w14:paraId="4E0EC4FD" w14:textId="77777777" w:rsidR="00CE139D"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15" w:history="1">
        <w:r w:rsidRPr="00D25DF4">
          <w:rPr>
            <w:rStyle w:val="Hyperlink"/>
          </w:rPr>
          <w:t>https://government.ae/en/media/media</w:t>
        </w:r>
      </w:hyperlink>
      <w:r>
        <w:t>, date accessed, 26</w:t>
      </w:r>
      <w:r w:rsidRPr="003916DE">
        <w:rPr>
          <w:vertAlign w:val="superscript"/>
        </w:rPr>
        <w:t>th</w:t>
      </w:r>
      <w:r>
        <w:t xml:space="preserve"> January 2018</w:t>
      </w:r>
    </w:p>
  </w:footnote>
  <w:footnote w:id="18">
    <w:p w14:paraId="27A7ED09" w14:textId="77777777" w:rsidR="00CE139D" w:rsidRDefault="00CE139D" w:rsidP="00CE139D">
      <w:pPr>
        <w:pStyle w:val="FootnoteText"/>
        <w:jc w:val="both"/>
      </w:pPr>
      <w:r>
        <w:rPr>
          <w:rStyle w:val="FootnoteReference"/>
        </w:rPr>
        <w:footnoteRef/>
      </w:r>
      <w:r>
        <w:t xml:space="preserve"> Federal Decree Law No.7 of 2014, Ministry of Justice, 20</w:t>
      </w:r>
      <w:r w:rsidRPr="002327C5">
        <w:rPr>
          <w:vertAlign w:val="superscript"/>
        </w:rPr>
        <w:t>th</w:t>
      </w:r>
      <w:r>
        <w:t xml:space="preserve"> August 2014, available online, </w:t>
      </w:r>
      <w:hyperlink r:id="rId16" w:history="1">
        <w:r w:rsidRPr="00D25DF4">
          <w:rPr>
            <w:rStyle w:val="Hyperlink"/>
          </w:rPr>
          <w:t>https://moj.gov.ae/documents/21128/86231/Federal%20Law%20No%207%20of%202014%20On%20Combating%20Terrorism%20Offences.pdf/d8e6e696-e44b-45eb-8c30-ca2cb2ff6ce5</w:t>
        </w:r>
      </w:hyperlink>
      <w:r>
        <w:t>, date accessed, 26</w:t>
      </w:r>
      <w:r w:rsidRPr="002327C5">
        <w:rPr>
          <w:vertAlign w:val="superscript"/>
        </w:rPr>
        <w:t>th</w:t>
      </w:r>
      <w:r>
        <w:t xml:space="preserve"> January 2018 </w:t>
      </w:r>
    </w:p>
  </w:footnote>
  <w:footnote w:id="19">
    <w:p w14:paraId="703D44EA" w14:textId="77777777" w:rsidR="00CE139D" w:rsidRDefault="00CE139D" w:rsidP="00CE139D">
      <w:pPr>
        <w:pStyle w:val="FootnoteText"/>
        <w:jc w:val="both"/>
      </w:pPr>
      <w:r>
        <w:rPr>
          <w:rStyle w:val="FootnoteReference"/>
        </w:rPr>
        <w:footnoteRef/>
      </w:r>
      <w:r>
        <w:t xml:space="preserve"> Federal Decree Law No.2 of 2015, Ministry of Justice, 15</w:t>
      </w:r>
      <w:r w:rsidRPr="001419A3">
        <w:rPr>
          <w:vertAlign w:val="superscript"/>
        </w:rPr>
        <w:t>th</w:t>
      </w:r>
      <w:r>
        <w:t xml:space="preserve"> July 2015, available online, </w:t>
      </w:r>
      <w:hyperlink r:id="rId17" w:history="1">
        <w:r w:rsidRPr="00D25DF4">
          <w:rPr>
            <w:rStyle w:val="Hyperlink"/>
          </w:rPr>
          <w:t>http://ejustice.gov.ae/downloads/latest_laws2015/FDL_2_2015_discrimination_hate_en.pdf</w:t>
        </w:r>
      </w:hyperlink>
      <w:r>
        <w:t>, date accessed, 26</w:t>
      </w:r>
      <w:r w:rsidRPr="001419A3">
        <w:rPr>
          <w:vertAlign w:val="superscript"/>
        </w:rPr>
        <w:t>th</w:t>
      </w:r>
      <w:r>
        <w:t xml:space="preserve"> January 2018 </w:t>
      </w:r>
    </w:p>
  </w:footnote>
  <w:footnote w:id="20">
    <w:p w14:paraId="7989AC41" w14:textId="77777777" w:rsidR="00CE139D" w:rsidRDefault="00CE139D" w:rsidP="00CE139D">
      <w:pPr>
        <w:pStyle w:val="FootnoteText"/>
        <w:jc w:val="both"/>
      </w:pPr>
      <w:r>
        <w:rPr>
          <w:rStyle w:val="FootnoteReference"/>
        </w:rPr>
        <w:footnoteRef/>
      </w:r>
      <w:r>
        <w:t xml:space="preserve"> ‘Media in the UAE’, </w:t>
      </w:r>
      <w:r>
        <w:rPr>
          <w:i/>
        </w:rPr>
        <w:t>UAE Government</w:t>
      </w:r>
      <w:r>
        <w:t xml:space="preserve">, available online, </w:t>
      </w:r>
      <w:hyperlink r:id="rId18" w:history="1">
        <w:r w:rsidRPr="00D25DF4">
          <w:rPr>
            <w:rStyle w:val="Hyperlink"/>
          </w:rPr>
          <w:t>https://government.ae/en/media/media</w:t>
        </w:r>
      </w:hyperlink>
      <w:r>
        <w:t>, date accessed, 26</w:t>
      </w:r>
      <w:r w:rsidRPr="003916DE">
        <w:rPr>
          <w:vertAlign w:val="superscript"/>
        </w:rPr>
        <w:t>th</w:t>
      </w:r>
      <w:r>
        <w:t xml:space="preserve"> January 2018</w:t>
      </w:r>
    </w:p>
  </w:footnote>
  <w:footnote w:id="21">
    <w:p w14:paraId="31A24581" w14:textId="77777777" w:rsidR="00CE139D" w:rsidRDefault="00CE139D" w:rsidP="00CE139D">
      <w:pPr>
        <w:pStyle w:val="FootnoteText"/>
        <w:jc w:val="both"/>
      </w:pPr>
      <w:r>
        <w:rPr>
          <w:rStyle w:val="FootnoteReference"/>
        </w:rPr>
        <w:footnoteRef/>
      </w:r>
      <w:r>
        <w:t xml:space="preserve"> Federal Law No.11 of 2016, available online, </w:t>
      </w:r>
      <w:hyperlink r:id="rId19" w:history="1">
        <w:r w:rsidRPr="00D25DF4">
          <w:rPr>
            <w:rStyle w:val="Hyperlink"/>
          </w:rPr>
          <w:t>http://nmc.gov.ae/en-us/NMC/Lists/LawsandLegislationsList/Attachments/56/</w:t>
        </w:r>
        <w:r w:rsidRPr="00D25DF4">
          <w:rPr>
            <w:rStyle w:val="Hyperlink"/>
            <w:rFonts w:ascii="Tahoma" w:eastAsia="Tahoma" w:hAnsi="Tahoma" w:cs="Tahoma" w:hint="cs"/>
          </w:rPr>
          <w:t>شان</w:t>
        </w:r>
        <w:r w:rsidRPr="00D25DF4">
          <w:rPr>
            <w:rStyle w:val="Hyperlink"/>
          </w:rPr>
          <w:t>%20</w:t>
        </w:r>
        <w:r w:rsidRPr="00D25DF4">
          <w:rPr>
            <w:rStyle w:val="Hyperlink"/>
            <w:rFonts w:ascii="Tahoma" w:eastAsia="Tahoma" w:hAnsi="Tahoma" w:cs="Tahoma" w:hint="cs"/>
          </w:rPr>
          <w:t>تنظيم</w:t>
        </w:r>
        <w:r w:rsidRPr="00D25DF4">
          <w:rPr>
            <w:rStyle w:val="Hyperlink"/>
          </w:rPr>
          <w:t>%20</w:t>
        </w:r>
        <w:r w:rsidRPr="00D25DF4">
          <w:rPr>
            <w:rStyle w:val="Hyperlink"/>
            <w:rFonts w:ascii="Tahoma" w:eastAsia="Tahoma" w:hAnsi="Tahoma" w:cs="Tahoma" w:hint="cs"/>
          </w:rPr>
          <w:t>واختصاصات</w:t>
        </w:r>
        <w:r w:rsidRPr="00D25DF4">
          <w:rPr>
            <w:rStyle w:val="Hyperlink"/>
          </w:rPr>
          <w:t>%20</w:t>
        </w:r>
        <w:r w:rsidRPr="00D25DF4">
          <w:rPr>
            <w:rStyle w:val="Hyperlink"/>
            <w:rFonts w:ascii="Tahoma" w:eastAsia="Tahoma" w:hAnsi="Tahoma" w:cs="Tahoma" w:hint="cs"/>
          </w:rPr>
          <w:t>المجلس</w:t>
        </w:r>
        <w:r w:rsidRPr="00D25DF4">
          <w:rPr>
            <w:rStyle w:val="Hyperlink"/>
          </w:rPr>
          <w:t>%20</w:t>
        </w:r>
        <w:r w:rsidRPr="00D25DF4">
          <w:rPr>
            <w:rStyle w:val="Hyperlink"/>
            <w:rFonts w:ascii="Tahoma" w:eastAsia="Tahoma" w:hAnsi="Tahoma" w:cs="Tahoma" w:hint="cs"/>
          </w:rPr>
          <w:t>واختصاصاته</w:t>
        </w:r>
        <w:r w:rsidRPr="00D25DF4">
          <w:rPr>
            <w:rStyle w:val="Hyperlink"/>
          </w:rPr>
          <w:t>.pdf</w:t>
        </w:r>
      </w:hyperlink>
      <w:r>
        <w:t>, date accessed, 26</w:t>
      </w:r>
      <w:r w:rsidRPr="00E45C39">
        <w:rPr>
          <w:vertAlign w:val="superscript"/>
        </w:rPr>
        <w:t>th</w:t>
      </w:r>
      <w:r>
        <w:t xml:space="preserve"> January 2018 </w:t>
      </w:r>
    </w:p>
  </w:footnote>
  <w:footnote w:id="22">
    <w:p w14:paraId="39514480" w14:textId="77777777" w:rsidR="00CE139D" w:rsidRDefault="00CE139D" w:rsidP="00CE139D">
      <w:pPr>
        <w:pStyle w:val="FootnoteText"/>
        <w:jc w:val="both"/>
      </w:pPr>
      <w:r>
        <w:rPr>
          <w:rStyle w:val="FootnoteReference"/>
        </w:rPr>
        <w:footnoteRef/>
      </w:r>
      <w:r>
        <w:t xml:space="preserve"> ‘Smart Media: National Media Council to “digitise” sector with new applications’, </w:t>
      </w:r>
      <w:r>
        <w:rPr>
          <w:i/>
        </w:rPr>
        <w:t>National Media Council</w:t>
      </w:r>
      <w:r>
        <w:t>, 4</w:t>
      </w:r>
      <w:r w:rsidRPr="007F7D8F">
        <w:rPr>
          <w:vertAlign w:val="superscript"/>
        </w:rPr>
        <w:t>th</w:t>
      </w:r>
      <w:r>
        <w:t xml:space="preserve"> February 2017, available online, </w:t>
      </w:r>
      <w:hyperlink r:id="rId20" w:history="1">
        <w:r w:rsidRPr="00D25DF4">
          <w:rPr>
            <w:rStyle w:val="Hyperlink"/>
          </w:rPr>
          <w:t>http://nmc.gov.ae/en-us/Media-Center/news/Pages/Smart-Media-National-Media-Council-to-‘Digitise’-Sector-with-New-Applications.aspx</w:t>
        </w:r>
      </w:hyperlink>
      <w:r>
        <w:t>, date accessed, 26</w:t>
      </w:r>
      <w:r w:rsidRPr="007F7D8F">
        <w:rPr>
          <w:vertAlign w:val="superscript"/>
        </w:rPr>
        <w:t>th</w:t>
      </w:r>
      <w:r>
        <w:t xml:space="preserve"> January 2018 </w:t>
      </w:r>
    </w:p>
    <w:p w14:paraId="7DBDA5C8" w14:textId="77777777" w:rsidR="00CE139D" w:rsidRPr="007F7D8F" w:rsidRDefault="00CE139D" w:rsidP="00CE139D">
      <w:pPr>
        <w:pStyle w:val="FootnoteText"/>
        <w:jc w:val="both"/>
      </w:pPr>
      <w:r>
        <w:t xml:space="preserve">‘UAE President Issues Federal Laws’, </w:t>
      </w:r>
      <w:r>
        <w:rPr>
          <w:i/>
        </w:rPr>
        <w:t>United Arab Emirates, The Cabinet</w:t>
      </w:r>
      <w:r>
        <w:t xml:space="preserve">, available online, </w:t>
      </w:r>
      <w:hyperlink r:id="rId21" w:history="1">
        <w:r w:rsidRPr="00D25DF4">
          <w:rPr>
            <w:rStyle w:val="Hyperlink"/>
          </w:rPr>
          <w:t>https://uaecabinet.ae/en/details/news/uae-president-issues-federal-laws</w:t>
        </w:r>
      </w:hyperlink>
      <w:r>
        <w:t>, date accessed, 26</w:t>
      </w:r>
      <w:r w:rsidRPr="007F7D8F">
        <w:rPr>
          <w:vertAlign w:val="superscript"/>
        </w:rPr>
        <w:t>th</w:t>
      </w:r>
      <w:r>
        <w:t xml:space="preserve"> January 2018 </w:t>
      </w:r>
    </w:p>
  </w:footnote>
  <w:footnote w:id="23">
    <w:p w14:paraId="6F8DEE34" w14:textId="77777777" w:rsidR="00CE139D" w:rsidRPr="00E8657A" w:rsidRDefault="00CE139D" w:rsidP="00CE139D">
      <w:pPr>
        <w:pStyle w:val="FootnoteText"/>
        <w:jc w:val="both"/>
      </w:pPr>
      <w:r>
        <w:rPr>
          <w:rStyle w:val="FootnoteReference"/>
        </w:rPr>
        <w:footnoteRef/>
      </w:r>
      <w:r>
        <w:t xml:space="preserve"> ‘UAE President Issues Federal Laws’, </w:t>
      </w:r>
      <w:r>
        <w:rPr>
          <w:i/>
        </w:rPr>
        <w:t>WAM</w:t>
      </w:r>
      <w:r>
        <w:t>, 22</w:t>
      </w:r>
      <w:r w:rsidRPr="00E8657A">
        <w:rPr>
          <w:vertAlign w:val="superscript"/>
        </w:rPr>
        <w:t>nd</w:t>
      </w:r>
      <w:r>
        <w:t xml:space="preserve"> July 2017, available online, </w:t>
      </w:r>
      <w:hyperlink r:id="rId22" w:history="1">
        <w:r w:rsidRPr="00D25DF4">
          <w:rPr>
            <w:rStyle w:val="Hyperlink"/>
          </w:rPr>
          <w:t>http://wam.ae/en/details/1395298018406</w:t>
        </w:r>
      </w:hyperlink>
      <w:r>
        <w:t>, date accessed, 26</w:t>
      </w:r>
      <w:r w:rsidRPr="00E8657A">
        <w:rPr>
          <w:vertAlign w:val="superscript"/>
        </w:rPr>
        <w:t>th</w:t>
      </w:r>
      <w:r>
        <w:t xml:space="preserve"> January 2018 </w:t>
      </w:r>
    </w:p>
  </w:footnote>
  <w:footnote w:id="24">
    <w:p w14:paraId="32F8272B" w14:textId="77777777" w:rsidR="00CE139D" w:rsidRDefault="00CE139D" w:rsidP="00CE139D">
      <w:pPr>
        <w:pStyle w:val="FootnoteText"/>
        <w:jc w:val="both"/>
      </w:pPr>
      <w:r>
        <w:rPr>
          <w:rStyle w:val="FootnoteReference"/>
        </w:rPr>
        <w:footnoteRef/>
      </w:r>
      <w:r>
        <w:t xml:space="preserve"> ‘UAE President Issues Federal Laws’, </w:t>
      </w:r>
      <w:r>
        <w:rPr>
          <w:i/>
        </w:rPr>
        <w:t>United Arab Emirates, The Cabinet</w:t>
      </w:r>
      <w:r>
        <w:t xml:space="preserve">, available online, </w:t>
      </w:r>
      <w:hyperlink r:id="rId23" w:history="1">
        <w:r w:rsidRPr="00D25DF4">
          <w:rPr>
            <w:rStyle w:val="Hyperlink"/>
          </w:rPr>
          <w:t>https://uaecabinet.ae/en/details/news/uae-president-issues-federal-laws</w:t>
        </w:r>
      </w:hyperlink>
      <w:r>
        <w:t>, date accessed, 26</w:t>
      </w:r>
      <w:r w:rsidRPr="007F7D8F">
        <w:rPr>
          <w:vertAlign w:val="superscript"/>
        </w:rPr>
        <w:t>th</w:t>
      </w:r>
      <w:r>
        <w:t xml:space="preserve"> January 2018</w:t>
      </w:r>
    </w:p>
  </w:footnote>
  <w:footnote w:id="25">
    <w:p w14:paraId="75037436" w14:textId="77777777" w:rsidR="00CE139D" w:rsidRPr="001B331B" w:rsidRDefault="00CE139D" w:rsidP="00CE139D">
      <w:pPr>
        <w:pStyle w:val="FootnoteText"/>
        <w:jc w:val="both"/>
      </w:pPr>
      <w:r>
        <w:rPr>
          <w:rStyle w:val="FootnoteReference"/>
        </w:rPr>
        <w:footnoteRef/>
      </w:r>
      <w:r>
        <w:t xml:space="preserve"> ‘Mohammed bin Rashid Issues Decision Organising Media Content’, </w:t>
      </w:r>
      <w:r>
        <w:rPr>
          <w:i/>
        </w:rPr>
        <w:t>UAE, The Cabinet</w:t>
      </w:r>
      <w:r>
        <w:t xml:space="preserve">, available online, </w:t>
      </w:r>
      <w:hyperlink r:id="rId24" w:history="1">
        <w:r w:rsidRPr="00D25DF4">
          <w:rPr>
            <w:rStyle w:val="Hyperlink"/>
          </w:rPr>
          <w:t>https://www.uaecabinet.ae/en/details/news/mohammed-bin-rashid-issues-decision-organizing-media-content</w:t>
        </w:r>
      </w:hyperlink>
      <w:r>
        <w:t>, date accessed, 26</w:t>
      </w:r>
      <w:r w:rsidRPr="001B331B">
        <w:rPr>
          <w:vertAlign w:val="superscript"/>
        </w:rPr>
        <w:t>th</w:t>
      </w:r>
      <w:r>
        <w:t xml:space="preserve"> January 2018 </w:t>
      </w:r>
    </w:p>
  </w:footnote>
  <w:footnote w:id="26">
    <w:p w14:paraId="208E226C" w14:textId="77777777" w:rsidR="00CE139D" w:rsidRPr="00B91247" w:rsidRDefault="00CE139D" w:rsidP="00CE139D">
      <w:pPr>
        <w:pStyle w:val="FootnoteText"/>
        <w:jc w:val="both"/>
      </w:pPr>
      <w:r>
        <w:rPr>
          <w:rStyle w:val="FootnoteReference"/>
        </w:rPr>
        <w:footnoteRef/>
      </w:r>
      <w:r>
        <w:t xml:space="preserve"> ‘Digital Media Now Firmly Within the UAE’s Regulatory Scope’, </w:t>
      </w:r>
      <w:r>
        <w:rPr>
          <w:i/>
        </w:rPr>
        <w:t>Baker McKenzie</w:t>
      </w:r>
      <w:r>
        <w:t>, 31</w:t>
      </w:r>
      <w:r w:rsidRPr="00B91247">
        <w:rPr>
          <w:vertAlign w:val="superscript"/>
        </w:rPr>
        <w:t>st</w:t>
      </w:r>
      <w:r>
        <w:t xml:space="preserve"> October 2017, available online, </w:t>
      </w:r>
      <w:hyperlink r:id="rId25" w:history="1">
        <w:r w:rsidRPr="00D25DF4">
          <w:rPr>
            <w:rStyle w:val="Hyperlink"/>
          </w:rPr>
          <w:t>https://www.bakermckenzie.com/en/insight/publications/2017/10/digital-media-uae-regulatory-scope/</w:t>
        </w:r>
      </w:hyperlink>
      <w:r>
        <w:t>, date accessed, 26</w:t>
      </w:r>
      <w:r w:rsidRPr="00B91247">
        <w:rPr>
          <w:vertAlign w:val="superscript"/>
        </w:rPr>
        <w:t>th</w:t>
      </w:r>
      <w:r>
        <w:t xml:space="preserve"> January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5F9"/>
    <w:multiLevelType w:val="multilevel"/>
    <w:tmpl w:val="BA76C9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3BB1B7C"/>
    <w:multiLevelType w:val="multilevel"/>
    <w:tmpl w:val="4844E740"/>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6010289"/>
    <w:multiLevelType w:val="multilevel"/>
    <w:tmpl w:val="58C4CB3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CC45353"/>
    <w:multiLevelType w:val="multilevel"/>
    <w:tmpl w:val="999ECB5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C0C1538"/>
    <w:multiLevelType w:val="multilevel"/>
    <w:tmpl w:val="79682A1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F0F10EC"/>
    <w:multiLevelType w:val="multilevel"/>
    <w:tmpl w:val="CF047D8A"/>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C456587"/>
    <w:multiLevelType w:val="multilevel"/>
    <w:tmpl w:val="58C4CB3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3972C11"/>
    <w:multiLevelType w:val="multilevel"/>
    <w:tmpl w:val="685AC0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61B3E1E"/>
    <w:multiLevelType w:val="multilevel"/>
    <w:tmpl w:val="58C4CB3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E2C2373"/>
    <w:multiLevelType w:val="multilevel"/>
    <w:tmpl w:val="58C4CB3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8"/>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AE"/>
    <w:rsid w:val="00021E38"/>
    <w:rsid w:val="00051FD3"/>
    <w:rsid w:val="00075D68"/>
    <w:rsid w:val="0008453D"/>
    <w:rsid w:val="0009030F"/>
    <w:rsid w:val="000A555D"/>
    <w:rsid w:val="000D5CA2"/>
    <w:rsid w:val="000E01E1"/>
    <w:rsid w:val="001D6147"/>
    <w:rsid w:val="00204F5F"/>
    <w:rsid w:val="00233B75"/>
    <w:rsid w:val="00240B7F"/>
    <w:rsid w:val="00246A5A"/>
    <w:rsid w:val="00294853"/>
    <w:rsid w:val="00297A56"/>
    <w:rsid w:val="002B4E6E"/>
    <w:rsid w:val="002F7352"/>
    <w:rsid w:val="0031596F"/>
    <w:rsid w:val="00325AC9"/>
    <w:rsid w:val="003E769A"/>
    <w:rsid w:val="003F0762"/>
    <w:rsid w:val="0046233B"/>
    <w:rsid w:val="00481197"/>
    <w:rsid w:val="00493169"/>
    <w:rsid w:val="004D5202"/>
    <w:rsid w:val="00520784"/>
    <w:rsid w:val="00560739"/>
    <w:rsid w:val="005950AB"/>
    <w:rsid w:val="005A2E52"/>
    <w:rsid w:val="005B48D0"/>
    <w:rsid w:val="005F5E36"/>
    <w:rsid w:val="00643FCC"/>
    <w:rsid w:val="00654DAE"/>
    <w:rsid w:val="0067799B"/>
    <w:rsid w:val="006D575D"/>
    <w:rsid w:val="006F3F12"/>
    <w:rsid w:val="00720DC6"/>
    <w:rsid w:val="00724E88"/>
    <w:rsid w:val="00732662"/>
    <w:rsid w:val="007525C1"/>
    <w:rsid w:val="007C11AE"/>
    <w:rsid w:val="007F6EA7"/>
    <w:rsid w:val="007F7571"/>
    <w:rsid w:val="008141A8"/>
    <w:rsid w:val="008216EA"/>
    <w:rsid w:val="00863C45"/>
    <w:rsid w:val="008830DF"/>
    <w:rsid w:val="009172BF"/>
    <w:rsid w:val="009E60BF"/>
    <w:rsid w:val="00A12E08"/>
    <w:rsid w:val="00B276BD"/>
    <w:rsid w:val="00B52468"/>
    <w:rsid w:val="00B5259A"/>
    <w:rsid w:val="00BF753D"/>
    <w:rsid w:val="00C0427A"/>
    <w:rsid w:val="00CE139D"/>
    <w:rsid w:val="00CE424E"/>
    <w:rsid w:val="00CE47C5"/>
    <w:rsid w:val="00CF7EA8"/>
    <w:rsid w:val="00D67FF9"/>
    <w:rsid w:val="00DF0FA9"/>
    <w:rsid w:val="00E410D7"/>
    <w:rsid w:val="00E424D9"/>
    <w:rsid w:val="00E46BAD"/>
    <w:rsid w:val="00F855D2"/>
    <w:rsid w:val="00FC79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CA83BA"/>
  <w15:chartTrackingRefBased/>
  <w15:docId w15:val="{4F12FB6E-7B29-B644-8405-EF918DB0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C11A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autoRedefine/>
    <w:uiPriority w:val="9"/>
    <w:unhideWhenUsed/>
    <w:qFormat/>
    <w:rsid w:val="003E769A"/>
    <w:pPr>
      <w:spacing w:line="480" w:lineRule="auto"/>
      <w:jc w:val="both"/>
      <w:outlineLvl w:val="3"/>
    </w:pPr>
    <w:rPr>
      <w:rFonts w:ascii="Palatino Linotype" w:eastAsiaTheme="minorEastAsia" w:hAnsi="Palatino Linotype"/>
      <w:b/>
      <w:bCs/>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769A"/>
    <w:rPr>
      <w:rFonts w:ascii="Palatino Linotype" w:eastAsiaTheme="minorEastAsia" w:hAnsi="Palatino Linotype"/>
      <w:b/>
      <w:bCs/>
      <w:iCs/>
      <w:lang w:eastAsia="en-GB"/>
    </w:rPr>
  </w:style>
  <w:style w:type="character" w:customStyle="1" w:styleId="Heading2Char">
    <w:name w:val="Heading 2 Char"/>
    <w:basedOn w:val="DefaultParagraphFont"/>
    <w:link w:val="Heading2"/>
    <w:uiPriority w:val="9"/>
    <w:rsid w:val="007C11A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C11A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C11AE"/>
    <w:rPr>
      <w:color w:val="0000FF"/>
      <w:u w:val="single"/>
    </w:rPr>
  </w:style>
  <w:style w:type="character" w:customStyle="1" w:styleId="apple-converted-space">
    <w:name w:val="apple-converted-space"/>
    <w:basedOn w:val="DefaultParagraphFont"/>
    <w:rsid w:val="007C11AE"/>
  </w:style>
  <w:style w:type="character" w:styleId="Strong">
    <w:name w:val="Strong"/>
    <w:basedOn w:val="DefaultParagraphFont"/>
    <w:uiPriority w:val="22"/>
    <w:qFormat/>
    <w:rsid w:val="007C11AE"/>
    <w:rPr>
      <w:b/>
      <w:bCs/>
    </w:rPr>
  </w:style>
  <w:style w:type="paragraph" w:styleId="ListParagraph">
    <w:name w:val="List Paragraph"/>
    <w:basedOn w:val="Normal"/>
    <w:uiPriority w:val="34"/>
    <w:qFormat/>
    <w:rsid w:val="00297A56"/>
    <w:pPr>
      <w:ind w:left="720"/>
      <w:contextualSpacing/>
    </w:pPr>
  </w:style>
  <w:style w:type="paragraph" w:styleId="BalloonText">
    <w:name w:val="Balloon Text"/>
    <w:basedOn w:val="Normal"/>
    <w:link w:val="BalloonTextChar"/>
    <w:uiPriority w:val="99"/>
    <w:semiHidden/>
    <w:unhideWhenUsed/>
    <w:rsid w:val="00CE47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47C5"/>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C0427A"/>
    <w:rPr>
      <w:sz w:val="20"/>
      <w:szCs w:val="20"/>
    </w:rPr>
  </w:style>
  <w:style w:type="character" w:customStyle="1" w:styleId="EndnoteTextChar">
    <w:name w:val="Endnote Text Char"/>
    <w:basedOn w:val="DefaultParagraphFont"/>
    <w:link w:val="EndnoteText"/>
    <w:uiPriority w:val="99"/>
    <w:semiHidden/>
    <w:rsid w:val="00C0427A"/>
    <w:rPr>
      <w:sz w:val="20"/>
      <w:szCs w:val="20"/>
    </w:rPr>
  </w:style>
  <w:style w:type="character" w:styleId="EndnoteReference">
    <w:name w:val="endnote reference"/>
    <w:basedOn w:val="DefaultParagraphFont"/>
    <w:uiPriority w:val="99"/>
    <w:semiHidden/>
    <w:unhideWhenUsed/>
    <w:rsid w:val="00C0427A"/>
    <w:rPr>
      <w:vertAlign w:val="superscript"/>
    </w:rPr>
  </w:style>
  <w:style w:type="character" w:customStyle="1" w:styleId="UnresolvedMention">
    <w:name w:val="Unresolved Mention"/>
    <w:basedOn w:val="DefaultParagraphFont"/>
    <w:uiPriority w:val="99"/>
    <w:semiHidden/>
    <w:unhideWhenUsed/>
    <w:rsid w:val="00C0427A"/>
    <w:rPr>
      <w:color w:val="605E5C"/>
      <w:shd w:val="clear" w:color="auto" w:fill="E1DFDD"/>
    </w:rPr>
  </w:style>
  <w:style w:type="paragraph" w:styleId="FootnoteText">
    <w:name w:val="footnote text"/>
    <w:basedOn w:val="Normal"/>
    <w:link w:val="FootnoteTextChar"/>
    <w:uiPriority w:val="99"/>
    <w:semiHidden/>
    <w:unhideWhenUsed/>
    <w:rsid w:val="00CE139D"/>
    <w:rPr>
      <w:sz w:val="20"/>
      <w:szCs w:val="20"/>
    </w:rPr>
  </w:style>
  <w:style w:type="character" w:customStyle="1" w:styleId="FootnoteTextChar">
    <w:name w:val="Footnote Text Char"/>
    <w:basedOn w:val="DefaultParagraphFont"/>
    <w:link w:val="FootnoteText"/>
    <w:uiPriority w:val="99"/>
    <w:semiHidden/>
    <w:rsid w:val="00CE139D"/>
    <w:rPr>
      <w:sz w:val="20"/>
      <w:szCs w:val="20"/>
    </w:rPr>
  </w:style>
  <w:style w:type="character" w:styleId="FootnoteReference">
    <w:name w:val="footnote reference"/>
    <w:basedOn w:val="DefaultParagraphFont"/>
    <w:uiPriority w:val="99"/>
    <w:unhideWhenUsed/>
    <w:rsid w:val="00CE139D"/>
    <w:rPr>
      <w:vertAlign w:val="superscript"/>
    </w:rPr>
  </w:style>
  <w:style w:type="table" w:styleId="TableGrid">
    <w:name w:val="Table Grid"/>
    <w:basedOn w:val="TableNormal"/>
    <w:uiPriority w:val="39"/>
    <w:rsid w:val="00CE139D"/>
    <w:rPr>
      <w:rFonts w:ascii="Palatino Linotype" w:hAnsi="Palatino Linotype" w:cs="Times New Roman"/>
      <w:bCs/>
      <w:kern w:val="3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1E1"/>
    <w:rPr>
      <w:sz w:val="16"/>
      <w:szCs w:val="16"/>
    </w:rPr>
  </w:style>
  <w:style w:type="paragraph" w:styleId="CommentText">
    <w:name w:val="annotation text"/>
    <w:basedOn w:val="Normal"/>
    <w:link w:val="CommentTextChar"/>
    <w:uiPriority w:val="99"/>
    <w:semiHidden/>
    <w:unhideWhenUsed/>
    <w:rsid w:val="000E01E1"/>
    <w:rPr>
      <w:sz w:val="20"/>
      <w:szCs w:val="20"/>
    </w:rPr>
  </w:style>
  <w:style w:type="character" w:customStyle="1" w:styleId="CommentTextChar">
    <w:name w:val="Comment Text Char"/>
    <w:basedOn w:val="DefaultParagraphFont"/>
    <w:link w:val="CommentText"/>
    <w:uiPriority w:val="99"/>
    <w:semiHidden/>
    <w:rsid w:val="000E01E1"/>
    <w:rPr>
      <w:sz w:val="20"/>
      <w:szCs w:val="20"/>
    </w:rPr>
  </w:style>
  <w:style w:type="paragraph" w:styleId="CommentSubject">
    <w:name w:val="annotation subject"/>
    <w:basedOn w:val="CommentText"/>
    <w:next w:val="CommentText"/>
    <w:link w:val="CommentSubjectChar"/>
    <w:uiPriority w:val="99"/>
    <w:semiHidden/>
    <w:unhideWhenUsed/>
    <w:rsid w:val="000E01E1"/>
    <w:rPr>
      <w:b/>
      <w:bCs/>
    </w:rPr>
  </w:style>
  <w:style w:type="character" w:customStyle="1" w:styleId="CommentSubjectChar">
    <w:name w:val="Comment Subject Char"/>
    <w:basedOn w:val="CommentTextChar"/>
    <w:link w:val="CommentSubject"/>
    <w:uiPriority w:val="99"/>
    <w:semiHidden/>
    <w:rsid w:val="000E01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659">
      <w:bodyDiv w:val="1"/>
      <w:marLeft w:val="0"/>
      <w:marRight w:val="0"/>
      <w:marTop w:val="0"/>
      <w:marBottom w:val="0"/>
      <w:divBdr>
        <w:top w:val="none" w:sz="0" w:space="0" w:color="auto"/>
        <w:left w:val="none" w:sz="0" w:space="0" w:color="auto"/>
        <w:bottom w:val="none" w:sz="0" w:space="0" w:color="auto"/>
        <w:right w:val="none" w:sz="0" w:space="0" w:color="auto"/>
      </w:divBdr>
    </w:div>
    <w:div w:id="59056713">
      <w:bodyDiv w:val="1"/>
      <w:marLeft w:val="0"/>
      <w:marRight w:val="0"/>
      <w:marTop w:val="0"/>
      <w:marBottom w:val="0"/>
      <w:divBdr>
        <w:top w:val="none" w:sz="0" w:space="0" w:color="auto"/>
        <w:left w:val="none" w:sz="0" w:space="0" w:color="auto"/>
        <w:bottom w:val="none" w:sz="0" w:space="0" w:color="auto"/>
        <w:right w:val="none" w:sz="0" w:space="0" w:color="auto"/>
      </w:divBdr>
    </w:div>
    <w:div w:id="1440029840">
      <w:bodyDiv w:val="1"/>
      <w:marLeft w:val="0"/>
      <w:marRight w:val="0"/>
      <w:marTop w:val="0"/>
      <w:marBottom w:val="0"/>
      <w:divBdr>
        <w:top w:val="none" w:sz="0" w:space="0" w:color="auto"/>
        <w:left w:val="none" w:sz="0" w:space="0" w:color="auto"/>
        <w:bottom w:val="none" w:sz="0" w:space="0" w:color="auto"/>
        <w:right w:val="none" w:sz="0" w:space="0" w:color="auto"/>
      </w:divBdr>
    </w:div>
    <w:div w:id="15252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bbc.co.uk/news/uk-england-birmingham-46304911" TargetMode="External"/><Relationship Id="rId3" Type="http://schemas.openxmlformats.org/officeDocument/2006/relationships/hyperlink" Target="https://ipi.media/journalism-professor-and-columnist-speaks-out-on-press-freedom-in-the-u-a-e-and-how-he-lost-his-job/" TargetMode="External"/><Relationship Id="rId7" Type="http://schemas.openxmlformats.org/officeDocument/2006/relationships/hyperlink" Target="https://www.ft.com/content/fa6d15a4-f6ed-11e8-af46-2022a0b02a6c" TargetMode="External"/><Relationship Id="rId2" Type="http://schemas.openxmlformats.org/officeDocument/2006/relationships/hyperlink" Target="https://foreignpolicy.com/2013/02/25/academic-freedom-and-uae-funding/" TargetMode="External"/><Relationship Id="rId1" Type="http://schemas.openxmlformats.org/officeDocument/2006/relationships/hyperlink" Target="https://gulfnews.com/uae/uae-widens-scope-of-penal-code-to-fight-corruption-1.60767814" TargetMode="External"/><Relationship Id="rId6" Type="http://schemas.openxmlformats.org/officeDocument/2006/relationships/hyperlink" Target="https://www.nyu.edu/about/leadership-university-administration/board-of-trustees/trustees-m-r.html" TargetMode="External"/><Relationship Id="rId5" Type="http://schemas.openxmlformats.org/officeDocument/2006/relationships/hyperlink" Target="https://nyunews.com/2018/12/03/faculty-forum-uae-academic-freedom/" TargetMode="External"/><Relationship Id="rId4" Type="http://schemas.openxmlformats.org/officeDocument/2006/relationships/hyperlink" Target="https://www.chronicle.com/article/NYU-Faculty-Members-Shun-Abu/24168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a.gov.ae/en/legal-references.aspx" TargetMode="External"/><Relationship Id="rId13" Type="http://schemas.openxmlformats.org/officeDocument/2006/relationships/hyperlink" Target="https://government.ae/en/media/media" TargetMode="External"/><Relationship Id="rId18" Type="http://schemas.openxmlformats.org/officeDocument/2006/relationships/hyperlink" Target="https://government.ae/en/media/media" TargetMode="External"/><Relationship Id="rId3" Type="http://schemas.openxmlformats.org/officeDocument/2006/relationships/hyperlink" Target="https://government.ae/en/media/media" TargetMode="External"/><Relationship Id="rId21" Type="http://schemas.openxmlformats.org/officeDocument/2006/relationships/hyperlink" Target="https://uaecabinet.ae/en/details/news/uae-president-issues-federal-laws" TargetMode="External"/><Relationship Id="rId7" Type="http://schemas.openxmlformats.org/officeDocument/2006/relationships/hyperlink" Target="https://www.tra.gov.ae/en/about-tra/legal-references/law.aspx" TargetMode="External"/><Relationship Id="rId12" Type="http://schemas.openxmlformats.org/officeDocument/2006/relationships/hyperlink" Target="http://ejustice.gov.ae/downloads/latest_laws/cybercrimes_5_2012_en.pdf" TargetMode="External"/><Relationship Id="rId17" Type="http://schemas.openxmlformats.org/officeDocument/2006/relationships/hyperlink" Target="http://ejustice.gov.ae/downloads/latest_laws2015/FDL_2_2015_discrimination_hate_en.pdf" TargetMode="External"/><Relationship Id="rId25" Type="http://schemas.openxmlformats.org/officeDocument/2006/relationships/hyperlink" Target="https://www.bakermckenzie.com/en/insight/publications/2017/10/digital-media-uae-regulatory-scope/" TargetMode="External"/><Relationship Id="rId2" Type="http://schemas.openxmlformats.org/officeDocument/2006/relationships/hyperlink" Target="http://nmc.gov.ae/en-us/NMC/Lists/LawsandLegislationsList/Attachments/55/&#1602;&#1575;&#1606;&#1608;&#1605;%20&#1575;&#1604;&#1605;&#1591;&#1576;&#1608;&#1593;&#1575;&#1578;%20&#1608;&#1575;&#1604;&#1606;&#1588;&#1585;.pdf" TargetMode="External"/><Relationship Id="rId16" Type="http://schemas.openxmlformats.org/officeDocument/2006/relationships/hyperlink" Target="https://moj.gov.ae/documents/21128/86231/Federal%20Law%20No%207%20of%202014%20On%20Combating%20Terrorism%20Offences.pdf/d8e6e696-e44b-45eb-8c30-ca2cb2ff6ce5" TargetMode="External"/><Relationship Id="rId20" Type="http://schemas.openxmlformats.org/officeDocument/2006/relationships/hyperlink" Target="http://nmc.gov.ae/en-us/Media-Center/news/Pages/Smart-Media-National-Media-Council-to-'Digitise'-Sector-with-New-Applications.aspx" TargetMode="External"/><Relationship Id="rId1" Type="http://schemas.openxmlformats.org/officeDocument/2006/relationships/hyperlink" Target="https://www.constituteproject.org/constitution/United_Arab_Emirates_2004.pdf" TargetMode="External"/><Relationship Id="rId6" Type="http://schemas.openxmlformats.org/officeDocument/2006/relationships/hyperlink" Target="https://www.id.gov.ae/en/emirates-id/about-emirates-id.aspx" TargetMode="External"/><Relationship Id="rId11" Type="http://schemas.openxmlformats.org/officeDocument/2006/relationships/hyperlink" Target="http://ejustice.gov.ae/downloads/latest_laws/federal_decree_law_3_2012_en.pdf" TargetMode="External"/><Relationship Id="rId24" Type="http://schemas.openxmlformats.org/officeDocument/2006/relationships/hyperlink" Target="https://www.uaecabinet.ae/en/details/news/mohammed-bin-rashid-issues-decision-organizing-media-content" TargetMode="External"/><Relationship Id="rId5" Type="http://schemas.openxmlformats.org/officeDocument/2006/relationships/hyperlink" Target="https://www.tra.gov.ae/en/about-tra/legal-references/law.aspx" TargetMode="External"/><Relationship Id="rId15" Type="http://schemas.openxmlformats.org/officeDocument/2006/relationships/hyperlink" Target="https://government.ae/en/media/media" TargetMode="External"/><Relationship Id="rId23" Type="http://schemas.openxmlformats.org/officeDocument/2006/relationships/hyperlink" Target="https://uaecabinet.ae/en/details/news/uae-president-issues-federal-laws" TargetMode="External"/><Relationship Id="rId10" Type="http://schemas.openxmlformats.org/officeDocument/2006/relationships/hyperlink" Target="https://government.ae/en/media/media" TargetMode="External"/><Relationship Id="rId19" Type="http://schemas.openxmlformats.org/officeDocument/2006/relationships/hyperlink" Target="http://nmc.gov.ae/en-us/NMC/Lists/LawsandLegislationsList/Attachments/56/&#1588;&#1575;&#1606;%20&#1578;&#1606;&#1592;&#1610;&#1605;%20&#1608;&#1575;&#1582;&#1578;&#1589;&#1575;&#1589;&#1575;&#1578;%20&#1575;&#1604;&#1605;&#1580;&#1604;&#1587;%20&#1608;&#1575;&#1582;&#1578;&#1589;&#1575;&#1589;&#1575;&#1578;&#1607;.pdf" TargetMode="External"/><Relationship Id="rId4" Type="http://schemas.openxmlformats.org/officeDocument/2006/relationships/hyperlink" Target="http://www.tamimi.com/law-update-articles/content-regulation-in-the-uae-the-wolf-of-wall-street/" TargetMode="External"/><Relationship Id="rId9" Type="http://schemas.openxmlformats.org/officeDocument/2006/relationships/hyperlink" Target="http://www.tamimi.com/law-update-articles/content-regulation-in-the-uae-the-wolf-of-wall-street/" TargetMode="External"/><Relationship Id="rId14" Type="http://schemas.openxmlformats.org/officeDocument/2006/relationships/hyperlink" Target="https://government.ae/en/media/media" TargetMode="External"/><Relationship Id="rId22" Type="http://schemas.openxmlformats.org/officeDocument/2006/relationships/hyperlink" Target="http://wam.ae/en/details/1395298018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4BA745-5516-4028-A1EE-6482760B7404}">
  <ds:schemaRefs>
    <ds:schemaRef ds:uri="http://schemas.openxmlformats.org/officeDocument/2006/bibliography"/>
  </ds:schemaRefs>
</ds:datastoreItem>
</file>

<file path=customXml/itemProps2.xml><?xml version="1.0" encoding="utf-8"?>
<ds:datastoreItem xmlns:ds="http://schemas.openxmlformats.org/officeDocument/2006/customXml" ds:itemID="{613AE49B-9A91-405C-B12D-EAB879B66A34}"/>
</file>

<file path=customXml/itemProps3.xml><?xml version="1.0" encoding="utf-8"?>
<ds:datastoreItem xmlns:ds="http://schemas.openxmlformats.org/officeDocument/2006/customXml" ds:itemID="{A3849C48-34F0-42CE-929F-AB0EECEE9D47}"/>
</file>

<file path=customXml/itemProps4.xml><?xml version="1.0" encoding="utf-8"?>
<ds:datastoreItem xmlns:ds="http://schemas.openxmlformats.org/officeDocument/2006/customXml" ds:itemID="{6485DC4F-8AC1-4E38-8368-F36713EF7452}"/>
</file>

<file path=docProps/app.xml><?xml version="1.0" encoding="utf-8"?>
<Properties xmlns="http://schemas.openxmlformats.org/officeDocument/2006/extended-properties" xmlns:vt="http://schemas.openxmlformats.org/officeDocument/2006/docPropsVTypes">
  <Template>Normal.dotm</Template>
  <TotalTime>0</TotalTime>
  <Pages>15</Pages>
  <Words>2610</Words>
  <Characters>14878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HEDGES, MATTHEW J.</dc:creator>
  <cp:keywords/>
  <dc:description/>
  <cp:lastModifiedBy>MOGSTER Daniel</cp:lastModifiedBy>
  <cp:revision>2</cp:revision>
  <dcterms:created xsi:type="dcterms:W3CDTF">2020-08-14T12:28:00Z</dcterms:created>
  <dcterms:modified xsi:type="dcterms:W3CDTF">2020-08-14T12:28:00Z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