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C9C3B" w14:textId="679BB447" w:rsidR="00C51AE3" w:rsidRPr="00167E4B" w:rsidRDefault="00C51AE3" w:rsidP="00C51AE3">
      <w:pPr>
        <w:rPr>
          <w:rFonts w:ascii="Arial" w:hAnsi="Arial" w:cs="Arial"/>
          <w:sz w:val="24"/>
          <w:szCs w:val="24"/>
        </w:rPr>
      </w:pPr>
      <w:r w:rsidRPr="00167E4B">
        <w:rPr>
          <w:rFonts w:ascii="Arial" w:hAnsi="Arial" w:cs="Arial"/>
          <w:sz w:val="24"/>
          <w:szCs w:val="24"/>
        </w:rPr>
        <w:t>1</w:t>
      </w:r>
      <w:r w:rsidR="007E1A4F">
        <w:rPr>
          <w:rFonts w:ascii="Arial" w:hAnsi="Arial" w:cs="Arial"/>
          <w:sz w:val="24"/>
          <w:szCs w:val="24"/>
        </w:rPr>
        <w:t>7</w:t>
      </w:r>
      <w:r w:rsidRPr="00167E4B">
        <w:rPr>
          <w:rFonts w:ascii="Arial" w:hAnsi="Arial" w:cs="Arial"/>
          <w:sz w:val="24"/>
          <w:szCs w:val="24"/>
        </w:rPr>
        <w:t xml:space="preserve"> May 2019</w:t>
      </w:r>
    </w:p>
    <w:p w14:paraId="40D15808" w14:textId="7C7B16F6" w:rsidR="00C51AE3" w:rsidRPr="00167E4B" w:rsidRDefault="007B5C98" w:rsidP="00C51AE3">
      <w:pPr>
        <w:rPr>
          <w:rFonts w:ascii="Arial" w:hAnsi="Arial" w:cs="Arial"/>
          <w:sz w:val="24"/>
          <w:szCs w:val="24"/>
        </w:rPr>
      </w:pPr>
      <w:r w:rsidRPr="00167E4B">
        <w:rPr>
          <w:rFonts w:ascii="Arial" w:eastAsia="Times New Roman" w:hAnsi="Arial" w:cs="Arial"/>
          <w:color w:val="000000"/>
          <w:sz w:val="24"/>
          <w:szCs w:val="24"/>
          <w:lang w:eastAsia="en-AU"/>
        </w:rPr>
        <w:t>United Nations Special Rapporteur on Extreme Poverty and Human Rights</w:t>
      </w:r>
    </w:p>
    <w:p w14:paraId="190DBA7B" w14:textId="20F58904" w:rsidR="00C51AE3" w:rsidRPr="00167E4B" w:rsidRDefault="00C51AE3" w:rsidP="00C51AE3">
      <w:pPr>
        <w:pStyle w:val="NormalWeb"/>
        <w:shd w:val="clear" w:color="auto" w:fill="FFFFFF"/>
        <w:spacing w:before="0" w:beforeAutospacing="0" w:after="360" w:afterAutospacing="0"/>
        <w:jc w:val="both"/>
        <w:rPr>
          <w:rFonts w:ascii="Arial" w:eastAsiaTheme="minorHAnsi" w:hAnsi="Arial" w:cs="Arial"/>
          <w:b/>
          <w:lang w:eastAsia="en-US"/>
        </w:rPr>
      </w:pPr>
      <w:r w:rsidRPr="00167E4B">
        <w:rPr>
          <w:rFonts w:ascii="Arial" w:hAnsi="Arial" w:cs="Arial"/>
          <w:lang w:val="en"/>
        </w:rPr>
        <w:t xml:space="preserve">By email: </w:t>
      </w:r>
      <w:hyperlink r:id="rId8" w:history="1">
        <w:r w:rsidR="00167E4B" w:rsidRPr="004C6D85">
          <w:rPr>
            <w:rStyle w:val="Hyperlink"/>
            <w:rFonts w:ascii="Arial" w:hAnsi="Arial" w:cs="Arial"/>
            <w:bCs/>
          </w:rPr>
          <w:t>srextremepoverty@ohchr.org</w:t>
        </w:r>
      </w:hyperlink>
      <w:r w:rsidR="00167E4B">
        <w:rPr>
          <w:rFonts w:ascii="Arial" w:eastAsiaTheme="minorHAnsi" w:hAnsi="Arial" w:cs="Arial"/>
          <w:b/>
          <w:lang w:eastAsia="en-US"/>
        </w:rPr>
        <w:t xml:space="preserve"> </w:t>
      </w:r>
      <w:r w:rsidR="00167E4B" w:rsidRPr="00167E4B">
        <w:rPr>
          <w:rFonts w:ascii="Arial" w:eastAsiaTheme="minorHAnsi" w:hAnsi="Arial" w:cs="Arial"/>
          <w:b/>
          <w:lang w:eastAsia="en-US"/>
        </w:rPr>
        <w:t xml:space="preserve"> </w:t>
      </w:r>
    </w:p>
    <w:p w14:paraId="2947F1E7" w14:textId="08676BC7" w:rsidR="00C51AE3" w:rsidRPr="007B5C98" w:rsidRDefault="00C51AE3" w:rsidP="00C51AE3">
      <w:pPr>
        <w:jc w:val="center"/>
        <w:rPr>
          <w:rFonts w:ascii="Arial" w:hAnsi="Arial" w:cs="Arial"/>
          <w:b/>
          <w:sz w:val="24"/>
          <w:szCs w:val="24"/>
        </w:rPr>
      </w:pPr>
      <w:r w:rsidRPr="007B5C98">
        <w:rPr>
          <w:rFonts w:ascii="Arial" w:hAnsi="Arial" w:cs="Arial"/>
          <w:b/>
          <w:sz w:val="24"/>
          <w:szCs w:val="24"/>
        </w:rPr>
        <w:t xml:space="preserve">Re: </w:t>
      </w:r>
      <w:r w:rsidR="007B5C98" w:rsidRPr="007B5C98">
        <w:rPr>
          <w:rFonts w:ascii="Arial" w:eastAsia="Times New Roman" w:hAnsi="Arial" w:cs="Arial"/>
          <w:b/>
          <w:bCs/>
          <w:sz w:val="24"/>
          <w:szCs w:val="24"/>
          <w:lang w:eastAsia="en-AU"/>
        </w:rPr>
        <w:t>Thematic report to the UN General Assembly on digital technology, social protection and human rights</w:t>
      </w:r>
    </w:p>
    <w:p w14:paraId="2C501CCA" w14:textId="2868A021" w:rsidR="00167E4B" w:rsidRDefault="00C51AE3" w:rsidP="00167E4B">
      <w:pPr>
        <w:autoSpaceDE w:val="0"/>
        <w:autoSpaceDN w:val="0"/>
        <w:adjustRightInd w:val="0"/>
        <w:spacing w:after="0"/>
        <w:jc w:val="both"/>
        <w:rPr>
          <w:rFonts w:ascii="Arial" w:hAnsi="Arial" w:cs="Arial"/>
          <w:sz w:val="24"/>
          <w:szCs w:val="24"/>
        </w:rPr>
      </w:pPr>
      <w:r w:rsidRPr="005C2C48">
        <w:rPr>
          <w:rFonts w:ascii="Arial" w:hAnsi="Arial" w:cs="Arial"/>
          <w:sz w:val="24"/>
          <w:szCs w:val="24"/>
          <w:lang w:val="en-US"/>
        </w:rPr>
        <w:t xml:space="preserve">I welcome the opportunity to make </w:t>
      </w:r>
      <w:r w:rsidR="007E1A4F">
        <w:rPr>
          <w:rFonts w:ascii="Arial" w:hAnsi="Arial" w:cs="Arial"/>
          <w:sz w:val="24"/>
          <w:szCs w:val="24"/>
          <w:lang w:val="en-US"/>
        </w:rPr>
        <w:t xml:space="preserve">this </w:t>
      </w:r>
      <w:r w:rsidRPr="005C2C48">
        <w:rPr>
          <w:rFonts w:ascii="Arial" w:hAnsi="Arial" w:cs="Arial"/>
          <w:sz w:val="24"/>
          <w:szCs w:val="24"/>
          <w:lang w:val="en-US"/>
        </w:rPr>
        <w:t xml:space="preserve">submission </w:t>
      </w:r>
      <w:r w:rsidRPr="005C2C48">
        <w:rPr>
          <w:rFonts w:ascii="Arial" w:hAnsi="Arial" w:cs="Arial"/>
          <w:sz w:val="24"/>
          <w:szCs w:val="24"/>
        </w:rPr>
        <w:t xml:space="preserve">as an academic with a disciplinary background in law whose research focuses on issues of </w:t>
      </w:r>
      <w:r w:rsidR="003C15B7">
        <w:rPr>
          <w:rFonts w:ascii="Arial" w:hAnsi="Arial" w:cs="Arial"/>
          <w:sz w:val="24"/>
          <w:szCs w:val="24"/>
        </w:rPr>
        <w:t xml:space="preserve">welfare law and policy, </w:t>
      </w:r>
      <w:r w:rsidRPr="005C2C48">
        <w:rPr>
          <w:rFonts w:ascii="Arial" w:hAnsi="Arial" w:cs="Arial"/>
          <w:sz w:val="24"/>
          <w:szCs w:val="24"/>
        </w:rPr>
        <w:t xml:space="preserve">social justice, human rights and Indigenous peoples. </w:t>
      </w:r>
      <w:r w:rsidR="00167E4B">
        <w:rPr>
          <w:rFonts w:ascii="Arial" w:hAnsi="Arial" w:cs="Arial"/>
          <w:sz w:val="24"/>
          <w:szCs w:val="24"/>
        </w:rPr>
        <w:t xml:space="preserve">The points raised in this submission arise from my current </w:t>
      </w:r>
      <w:r w:rsidR="009A1478">
        <w:rPr>
          <w:rFonts w:ascii="Arial" w:hAnsi="Arial" w:cs="Arial"/>
          <w:sz w:val="24"/>
          <w:szCs w:val="24"/>
        </w:rPr>
        <w:t xml:space="preserve">ARC </w:t>
      </w:r>
      <w:r w:rsidR="00167E4B">
        <w:rPr>
          <w:rFonts w:ascii="Arial" w:hAnsi="Arial" w:cs="Arial"/>
          <w:sz w:val="24"/>
          <w:szCs w:val="24"/>
        </w:rPr>
        <w:t>research projects</w:t>
      </w:r>
      <w:r w:rsidR="009A1478">
        <w:rPr>
          <w:rFonts w:ascii="Arial" w:hAnsi="Arial" w:cs="Arial"/>
          <w:sz w:val="24"/>
          <w:szCs w:val="24"/>
        </w:rPr>
        <w:t>.</w:t>
      </w:r>
      <w:r w:rsidR="009A1478">
        <w:rPr>
          <w:rStyle w:val="FootnoteReference"/>
          <w:rFonts w:ascii="Arial" w:hAnsi="Arial" w:cs="Arial"/>
          <w:sz w:val="24"/>
          <w:szCs w:val="24"/>
        </w:rPr>
        <w:footnoteReference w:id="1"/>
      </w:r>
      <w:r w:rsidR="00167E4B">
        <w:rPr>
          <w:rFonts w:ascii="Arial" w:hAnsi="Arial" w:cs="Arial"/>
          <w:sz w:val="24"/>
          <w:szCs w:val="24"/>
        </w:rPr>
        <w:t xml:space="preserve"> </w:t>
      </w:r>
    </w:p>
    <w:p w14:paraId="621DC348" w14:textId="77777777" w:rsidR="00167E4B" w:rsidRPr="00167E4B" w:rsidRDefault="00167E4B" w:rsidP="00167E4B">
      <w:pPr>
        <w:autoSpaceDE w:val="0"/>
        <w:autoSpaceDN w:val="0"/>
        <w:adjustRightInd w:val="0"/>
        <w:spacing w:after="0"/>
        <w:jc w:val="both"/>
        <w:rPr>
          <w:rFonts w:ascii="Arial" w:hAnsi="Arial" w:cs="Arial"/>
          <w:sz w:val="24"/>
          <w:szCs w:val="24"/>
        </w:rPr>
      </w:pPr>
    </w:p>
    <w:p w14:paraId="35D66B58" w14:textId="6868E4FB" w:rsidR="003C15B7" w:rsidRDefault="00F50801" w:rsidP="00C51AE3">
      <w:pPr>
        <w:autoSpaceDE w:val="0"/>
        <w:autoSpaceDN w:val="0"/>
        <w:adjustRightInd w:val="0"/>
        <w:spacing w:after="0"/>
        <w:jc w:val="both"/>
        <w:rPr>
          <w:rFonts w:ascii="Arial" w:hAnsi="Arial" w:cs="Arial"/>
          <w:sz w:val="24"/>
          <w:szCs w:val="24"/>
        </w:rPr>
      </w:pPr>
      <w:r>
        <w:rPr>
          <w:rFonts w:ascii="Arial" w:hAnsi="Arial" w:cs="Arial"/>
          <w:sz w:val="24"/>
          <w:szCs w:val="24"/>
        </w:rPr>
        <w:t xml:space="preserve">The </w:t>
      </w:r>
      <w:r w:rsidR="00167E4B">
        <w:rPr>
          <w:rFonts w:ascii="Arial" w:hAnsi="Arial" w:cs="Arial"/>
          <w:sz w:val="24"/>
          <w:szCs w:val="24"/>
        </w:rPr>
        <w:t>Australia</w:t>
      </w:r>
      <w:r>
        <w:rPr>
          <w:rFonts w:ascii="Arial" w:hAnsi="Arial" w:cs="Arial"/>
          <w:sz w:val="24"/>
          <w:szCs w:val="24"/>
        </w:rPr>
        <w:t>n</w:t>
      </w:r>
      <w:r w:rsidR="003C15B7">
        <w:rPr>
          <w:rFonts w:ascii="Arial" w:hAnsi="Arial" w:cs="Arial"/>
          <w:sz w:val="24"/>
          <w:szCs w:val="24"/>
        </w:rPr>
        <w:t xml:space="preserve"> Federal G</w:t>
      </w:r>
      <w:r w:rsidR="00167E4B">
        <w:rPr>
          <w:rFonts w:ascii="Arial" w:hAnsi="Arial" w:cs="Arial"/>
          <w:sz w:val="24"/>
          <w:szCs w:val="24"/>
        </w:rPr>
        <w:t>overnment ha</w:t>
      </w:r>
      <w:r>
        <w:rPr>
          <w:rFonts w:ascii="Arial" w:hAnsi="Arial" w:cs="Arial"/>
          <w:sz w:val="24"/>
          <w:szCs w:val="24"/>
        </w:rPr>
        <w:t>s</w:t>
      </w:r>
      <w:r w:rsidR="00167E4B">
        <w:rPr>
          <w:rFonts w:ascii="Arial" w:hAnsi="Arial" w:cs="Arial"/>
          <w:sz w:val="24"/>
          <w:szCs w:val="24"/>
        </w:rPr>
        <w:t xml:space="preserve"> </w:t>
      </w:r>
      <w:r w:rsidR="003C15B7">
        <w:rPr>
          <w:rFonts w:ascii="Arial" w:hAnsi="Arial" w:cs="Arial"/>
          <w:sz w:val="24"/>
          <w:szCs w:val="24"/>
        </w:rPr>
        <w:t>implement</w:t>
      </w:r>
      <w:r w:rsidR="00167E4B">
        <w:rPr>
          <w:rFonts w:ascii="Arial" w:hAnsi="Arial" w:cs="Arial"/>
          <w:sz w:val="24"/>
          <w:szCs w:val="24"/>
        </w:rPr>
        <w:t>ed numerous technological changes to the social security system</w:t>
      </w:r>
      <w:r w:rsidR="003C15B7">
        <w:rPr>
          <w:rFonts w:ascii="Arial" w:hAnsi="Arial" w:cs="Arial"/>
          <w:sz w:val="24"/>
          <w:szCs w:val="24"/>
        </w:rPr>
        <w:t xml:space="preserve"> in recent years. As this submission and</w:t>
      </w:r>
      <w:r w:rsidR="007B4E17">
        <w:rPr>
          <w:rFonts w:ascii="Arial" w:hAnsi="Arial" w:cs="Arial"/>
          <w:sz w:val="24"/>
          <w:szCs w:val="24"/>
        </w:rPr>
        <w:t xml:space="preserve"> </w:t>
      </w:r>
      <w:r w:rsidR="003C15B7">
        <w:rPr>
          <w:rFonts w:ascii="Arial" w:hAnsi="Arial" w:cs="Arial"/>
          <w:sz w:val="24"/>
          <w:szCs w:val="24"/>
        </w:rPr>
        <w:t xml:space="preserve">Appendices make clear, these changes have resulted in additional burdens of poverty surveillance, control and punishment falling heavily on </w:t>
      </w:r>
      <w:r w:rsidR="00B739EC">
        <w:rPr>
          <w:rFonts w:ascii="Arial" w:hAnsi="Arial" w:cs="Arial"/>
          <w:sz w:val="24"/>
          <w:szCs w:val="24"/>
        </w:rPr>
        <w:t>welfare recipients</w:t>
      </w:r>
      <w:r w:rsidR="003C15B7">
        <w:rPr>
          <w:rFonts w:ascii="Arial" w:hAnsi="Arial" w:cs="Arial"/>
          <w:sz w:val="24"/>
          <w:szCs w:val="24"/>
        </w:rPr>
        <w:t xml:space="preserve">. These technological developments have been framed by government as ‘innovations’, mechanisms of modernization to bring the social security system up to date. </w:t>
      </w:r>
      <w:r w:rsidR="008F1449">
        <w:rPr>
          <w:rFonts w:ascii="Arial" w:hAnsi="Arial" w:cs="Arial"/>
          <w:sz w:val="24"/>
          <w:szCs w:val="24"/>
        </w:rPr>
        <w:t>However, t</w:t>
      </w:r>
      <w:r w:rsidR="003C15B7">
        <w:rPr>
          <w:rFonts w:ascii="Arial" w:hAnsi="Arial" w:cs="Arial"/>
          <w:sz w:val="24"/>
          <w:szCs w:val="24"/>
        </w:rPr>
        <w:t xml:space="preserve">hese changes are also linked to </w:t>
      </w:r>
      <w:r>
        <w:rPr>
          <w:rFonts w:ascii="Arial" w:hAnsi="Arial" w:cs="Arial"/>
          <w:sz w:val="24"/>
          <w:szCs w:val="24"/>
        </w:rPr>
        <w:t xml:space="preserve">imposing </w:t>
      </w:r>
      <w:r w:rsidR="008F1449">
        <w:rPr>
          <w:rFonts w:ascii="Arial" w:hAnsi="Arial" w:cs="Arial"/>
          <w:sz w:val="24"/>
          <w:szCs w:val="24"/>
        </w:rPr>
        <w:t xml:space="preserve">onerous </w:t>
      </w:r>
      <w:r w:rsidR="003C15B7">
        <w:rPr>
          <w:rFonts w:ascii="Arial" w:hAnsi="Arial" w:cs="Arial"/>
          <w:sz w:val="24"/>
          <w:szCs w:val="24"/>
        </w:rPr>
        <w:t>neoliberal expectations o</w:t>
      </w:r>
      <w:r w:rsidR="008F1449">
        <w:rPr>
          <w:rFonts w:ascii="Arial" w:hAnsi="Arial" w:cs="Arial"/>
          <w:sz w:val="24"/>
          <w:szCs w:val="24"/>
        </w:rPr>
        <w:t>n</w:t>
      </w:r>
      <w:r w:rsidR="003C15B7">
        <w:rPr>
          <w:rFonts w:ascii="Arial" w:hAnsi="Arial" w:cs="Arial"/>
          <w:sz w:val="24"/>
          <w:szCs w:val="24"/>
        </w:rPr>
        <w:t xml:space="preserve"> the poor and the creation of new poverty profiteer industries (see further Appendi</w:t>
      </w:r>
      <w:r w:rsidR="008031E3">
        <w:rPr>
          <w:rFonts w:ascii="Arial" w:hAnsi="Arial" w:cs="Arial"/>
          <w:sz w:val="24"/>
          <w:szCs w:val="24"/>
        </w:rPr>
        <w:t>ces</w:t>
      </w:r>
      <w:r w:rsidR="003C15B7">
        <w:rPr>
          <w:rFonts w:ascii="Arial" w:hAnsi="Arial" w:cs="Arial"/>
          <w:sz w:val="24"/>
          <w:szCs w:val="24"/>
        </w:rPr>
        <w:t xml:space="preserve"> B</w:t>
      </w:r>
      <w:r w:rsidR="008031E3">
        <w:rPr>
          <w:rFonts w:ascii="Arial" w:hAnsi="Arial" w:cs="Arial"/>
          <w:sz w:val="24"/>
          <w:szCs w:val="24"/>
        </w:rPr>
        <w:t xml:space="preserve"> and D</w:t>
      </w:r>
      <w:r w:rsidR="003C15B7">
        <w:rPr>
          <w:rFonts w:ascii="Arial" w:hAnsi="Arial" w:cs="Arial"/>
          <w:sz w:val="24"/>
          <w:szCs w:val="24"/>
        </w:rPr>
        <w:t xml:space="preserve">). </w:t>
      </w:r>
    </w:p>
    <w:p w14:paraId="2E5B83CD" w14:textId="07DC2A24" w:rsidR="008F1449" w:rsidRDefault="008F1449" w:rsidP="00C51AE3">
      <w:pPr>
        <w:autoSpaceDE w:val="0"/>
        <w:autoSpaceDN w:val="0"/>
        <w:adjustRightInd w:val="0"/>
        <w:spacing w:after="0"/>
        <w:jc w:val="both"/>
        <w:rPr>
          <w:rFonts w:ascii="Arial" w:hAnsi="Arial" w:cs="Arial"/>
          <w:sz w:val="24"/>
          <w:szCs w:val="24"/>
        </w:rPr>
      </w:pPr>
    </w:p>
    <w:p w14:paraId="7F6F3CEE" w14:textId="4FFC9151" w:rsidR="00C51AE3" w:rsidRPr="005C2C48" w:rsidRDefault="008F1449" w:rsidP="00C51AE3">
      <w:pPr>
        <w:autoSpaceDE w:val="0"/>
        <w:autoSpaceDN w:val="0"/>
        <w:adjustRightInd w:val="0"/>
        <w:spacing w:after="0"/>
        <w:jc w:val="both"/>
        <w:rPr>
          <w:rFonts w:ascii="Arial" w:hAnsi="Arial" w:cs="Arial"/>
          <w:sz w:val="24"/>
          <w:szCs w:val="24"/>
        </w:rPr>
      </w:pPr>
      <w:r w:rsidRPr="005C2C48">
        <w:rPr>
          <w:rFonts w:ascii="Arial" w:hAnsi="Arial" w:cs="Arial"/>
          <w:sz w:val="24"/>
          <w:szCs w:val="24"/>
        </w:rPr>
        <w:t>This submission centres on ways in which technology is increasingly being used to hyper-regulate the lives of social security recipients</w:t>
      </w:r>
      <w:r w:rsidR="003707A4">
        <w:rPr>
          <w:rFonts w:ascii="Arial" w:hAnsi="Arial" w:cs="Arial"/>
          <w:sz w:val="24"/>
          <w:szCs w:val="24"/>
        </w:rPr>
        <w:t xml:space="preserve"> in Australia</w:t>
      </w:r>
      <w:r w:rsidRPr="005C2C48">
        <w:rPr>
          <w:rFonts w:ascii="Arial" w:hAnsi="Arial" w:cs="Arial"/>
          <w:sz w:val="24"/>
          <w:szCs w:val="24"/>
        </w:rPr>
        <w:t xml:space="preserve">, with adverse effects for numerous </w:t>
      </w:r>
      <w:r>
        <w:rPr>
          <w:rFonts w:ascii="Arial" w:hAnsi="Arial" w:cs="Arial"/>
          <w:sz w:val="24"/>
          <w:szCs w:val="24"/>
        </w:rPr>
        <w:t xml:space="preserve">people, including </w:t>
      </w:r>
      <w:r w:rsidRPr="005C2C48">
        <w:rPr>
          <w:rFonts w:ascii="Arial" w:hAnsi="Arial" w:cs="Arial"/>
          <w:sz w:val="24"/>
          <w:szCs w:val="24"/>
        </w:rPr>
        <w:t>Indigenous peoples</w:t>
      </w:r>
      <w:r>
        <w:rPr>
          <w:rFonts w:ascii="Arial" w:hAnsi="Arial" w:cs="Arial"/>
          <w:sz w:val="24"/>
          <w:szCs w:val="24"/>
        </w:rPr>
        <w:t xml:space="preserve"> and people with disabilities</w:t>
      </w:r>
      <w:r w:rsidRPr="005C2C48">
        <w:rPr>
          <w:rFonts w:ascii="Arial" w:hAnsi="Arial" w:cs="Arial"/>
          <w:sz w:val="24"/>
          <w:szCs w:val="24"/>
        </w:rPr>
        <w:t>.</w:t>
      </w:r>
      <w:r>
        <w:rPr>
          <w:rFonts w:ascii="Arial" w:hAnsi="Arial" w:cs="Arial"/>
          <w:sz w:val="24"/>
          <w:szCs w:val="24"/>
        </w:rPr>
        <w:t xml:space="preserve"> This submission will briefly address several welfare programs that infringe upon human rights of social security recipients—with further detailed information in the Appendices</w:t>
      </w:r>
      <w:r w:rsidR="007B4E17">
        <w:rPr>
          <w:rFonts w:ascii="Arial" w:hAnsi="Arial" w:cs="Arial"/>
          <w:sz w:val="24"/>
          <w:szCs w:val="24"/>
        </w:rPr>
        <w:t xml:space="preserve">. </w:t>
      </w:r>
      <w:r w:rsidR="00F062EF">
        <w:rPr>
          <w:rFonts w:ascii="Arial" w:hAnsi="Arial" w:cs="Arial"/>
          <w:sz w:val="24"/>
          <w:szCs w:val="24"/>
        </w:rPr>
        <w:t>These programs</w:t>
      </w:r>
      <w:r w:rsidR="00C51AE3" w:rsidRPr="005C2C48">
        <w:rPr>
          <w:rFonts w:ascii="Arial" w:hAnsi="Arial" w:cs="Arial"/>
          <w:sz w:val="24"/>
          <w:szCs w:val="24"/>
        </w:rPr>
        <w:t xml:space="preserve"> capture data about social security recipients, and that data can then be used for a range of purposes, including those that are punitive.</w:t>
      </w:r>
      <w:r w:rsidR="00825A69">
        <w:rPr>
          <w:rFonts w:ascii="Arial" w:hAnsi="Arial" w:cs="Arial"/>
          <w:sz w:val="24"/>
          <w:szCs w:val="24"/>
        </w:rPr>
        <w:t xml:space="preserve"> </w:t>
      </w:r>
      <w:r w:rsidR="00C51AE3" w:rsidRPr="005C2C48">
        <w:rPr>
          <w:rFonts w:ascii="Arial" w:hAnsi="Arial" w:cs="Arial"/>
          <w:sz w:val="24"/>
          <w:szCs w:val="24"/>
        </w:rPr>
        <w:t xml:space="preserve">As Australia’s law currently stands there are inadequate protections in place to protect social security recipients from </w:t>
      </w:r>
      <w:r w:rsidR="00A20F7E">
        <w:rPr>
          <w:rFonts w:ascii="Arial" w:hAnsi="Arial" w:cs="Arial"/>
          <w:sz w:val="24"/>
          <w:szCs w:val="24"/>
        </w:rPr>
        <w:t xml:space="preserve">harmful </w:t>
      </w:r>
      <w:r w:rsidR="00C51AE3" w:rsidRPr="005C2C48">
        <w:rPr>
          <w:rFonts w:ascii="Arial" w:hAnsi="Arial" w:cs="Arial"/>
          <w:sz w:val="24"/>
          <w:szCs w:val="24"/>
        </w:rPr>
        <w:t>technological experiments</w:t>
      </w:r>
      <w:r w:rsidR="007B4E17">
        <w:rPr>
          <w:rFonts w:ascii="Arial" w:hAnsi="Arial" w:cs="Arial"/>
          <w:sz w:val="24"/>
          <w:szCs w:val="24"/>
        </w:rPr>
        <w:t>.</w:t>
      </w:r>
    </w:p>
    <w:p w14:paraId="69816188" w14:textId="77777777" w:rsidR="00C51AE3" w:rsidRPr="005C2C48" w:rsidRDefault="00C51AE3" w:rsidP="00C51AE3">
      <w:pPr>
        <w:autoSpaceDE w:val="0"/>
        <w:autoSpaceDN w:val="0"/>
        <w:adjustRightInd w:val="0"/>
        <w:spacing w:after="0"/>
        <w:jc w:val="both"/>
        <w:rPr>
          <w:rFonts w:ascii="Arial" w:hAnsi="Arial" w:cs="Arial"/>
          <w:sz w:val="24"/>
          <w:szCs w:val="24"/>
        </w:rPr>
      </w:pPr>
    </w:p>
    <w:p w14:paraId="1CBD6DA2" w14:textId="0B479D27" w:rsidR="00C51AE3" w:rsidRPr="005C2C48" w:rsidRDefault="00C51AE3" w:rsidP="00C51AE3">
      <w:pPr>
        <w:autoSpaceDE w:val="0"/>
        <w:autoSpaceDN w:val="0"/>
        <w:adjustRightInd w:val="0"/>
        <w:spacing w:after="0"/>
        <w:jc w:val="both"/>
        <w:rPr>
          <w:rFonts w:ascii="Arial" w:hAnsi="Arial" w:cs="Arial"/>
          <w:b/>
          <w:i/>
          <w:sz w:val="24"/>
          <w:szCs w:val="24"/>
        </w:rPr>
      </w:pPr>
      <w:r w:rsidRPr="005C2C48">
        <w:rPr>
          <w:rFonts w:ascii="Arial" w:hAnsi="Arial" w:cs="Arial"/>
          <w:b/>
          <w:sz w:val="24"/>
          <w:szCs w:val="24"/>
        </w:rPr>
        <w:t xml:space="preserve">Compulsory Income Management </w:t>
      </w:r>
      <w:r w:rsidR="00397B8E" w:rsidRPr="00397B8E">
        <w:rPr>
          <w:rFonts w:ascii="Arial" w:hAnsi="Arial" w:cs="Arial"/>
          <w:b/>
          <w:sz w:val="24"/>
          <w:szCs w:val="24"/>
        </w:rPr>
        <w:t>(</w:t>
      </w:r>
      <w:r w:rsidRPr="00397B8E">
        <w:rPr>
          <w:rFonts w:ascii="Arial" w:hAnsi="Arial" w:cs="Arial"/>
          <w:b/>
          <w:sz w:val="24"/>
          <w:szCs w:val="24"/>
        </w:rPr>
        <w:t>CIM</w:t>
      </w:r>
      <w:r w:rsidR="00397B8E" w:rsidRPr="00397B8E">
        <w:rPr>
          <w:rFonts w:ascii="Arial" w:hAnsi="Arial" w:cs="Arial"/>
          <w:b/>
          <w:sz w:val="24"/>
          <w:szCs w:val="24"/>
        </w:rPr>
        <w:t>)</w:t>
      </w:r>
      <w:r w:rsidRPr="00397B8E">
        <w:rPr>
          <w:rFonts w:ascii="Arial" w:hAnsi="Arial" w:cs="Arial"/>
          <w:b/>
          <w:sz w:val="24"/>
          <w:szCs w:val="24"/>
        </w:rPr>
        <w:t xml:space="preserve"> with the </w:t>
      </w:r>
      <w:proofErr w:type="spellStart"/>
      <w:r w:rsidRPr="00397B8E">
        <w:rPr>
          <w:rFonts w:ascii="Arial" w:hAnsi="Arial" w:cs="Arial"/>
          <w:b/>
          <w:sz w:val="24"/>
          <w:szCs w:val="24"/>
        </w:rPr>
        <w:t>BasicsCard</w:t>
      </w:r>
      <w:proofErr w:type="spellEnd"/>
    </w:p>
    <w:p w14:paraId="2A23A7A2" w14:textId="77777777" w:rsidR="00C51AE3" w:rsidRPr="005C2C48" w:rsidRDefault="00C51AE3" w:rsidP="00C51AE3">
      <w:pPr>
        <w:autoSpaceDE w:val="0"/>
        <w:autoSpaceDN w:val="0"/>
        <w:adjustRightInd w:val="0"/>
        <w:spacing w:after="0"/>
        <w:jc w:val="both"/>
        <w:rPr>
          <w:rFonts w:ascii="Arial" w:hAnsi="Arial" w:cs="Arial"/>
          <w:sz w:val="24"/>
          <w:szCs w:val="24"/>
        </w:rPr>
      </w:pPr>
    </w:p>
    <w:p w14:paraId="34E2CC24" w14:textId="2D870AF4" w:rsidR="00C51AE3" w:rsidRPr="005C2C48" w:rsidRDefault="00C51AE3" w:rsidP="00C51AE3">
      <w:pPr>
        <w:autoSpaceDE w:val="0"/>
        <w:autoSpaceDN w:val="0"/>
        <w:adjustRightInd w:val="0"/>
        <w:spacing w:after="0"/>
        <w:jc w:val="both"/>
        <w:rPr>
          <w:rFonts w:ascii="Arial" w:hAnsi="Arial" w:cs="Arial"/>
          <w:sz w:val="24"/>
          <w:szCs w:val="24"/>
        </w:rPr>
      </w:pPr>
      <w:r w:rsidRPr="005C2C48">
        <w:rPr>
          <w:rFonts w:ascii="Arial" w:hAnsi="Arial" w:cs="Arial"/>
          <w:sz w:val="24"/>
          <w:szCs w:val="24"/>
        </w:rPr>
        <w:t>CIM originated as part of the Northern Territory Emergency Response, the ‘Intervention’. Government discourse stressed that the measure was to address substance abuse, gambling and pornography issues, promote the care of children, and alleviate humbugging, amongst other objectives.</w:t>
      </w:r>
      <w:r w:rsidRPr="005C2C48">
        <w:rPr>
          <w:rStyle w:val="FootnoteReference"/>
          <w:rFonts w:ascii="Arial" w:hAnsi="Arial" w:cs="Arial"/>
          <w:sz w:val="24"/>
          <w:szCs w:val="24"/>
        </w:rPr>
        <w:footnoteReference w:id="2"/>
      </w:r>
      <w:r w:rsidRPr="005C2C48">
        <w:rPr>
          <w:rFonts w:ascii="Arial" w:hAnsi="Arial" w:cs="Arial"/>
          <w:sz w:val="24"/>
          <w:szCs w:val="24"/>
        </w:rPr>
        <w:t xml:space="preserve"> Although initially rationalised as a temporary measure, income management is now firmly embedded in Australian social security law with no sunset clause: Part 3B of the </w:t>
      </w:r>
      <w:r w:rsidRPr="005C2C48">
        <w:rPr>
          <w:rFonts w:ascii="Arial" w:hAnsi="Arial" w:cs="Arial"/>
          <w:i/>
          <w:sz w:val="24"/>
          <w:szCs w:val="24"/>
        </w:rPr>
        <w:t>Social Security (Administration) Act 1999</w:t>
      </w:r>
      <w:r w:rsidRPr="005C2C48">
        <w:rPr>
          <w:rFonts w:ascii="Arial" w:hAnsi="Arial" w:cs="Arial"/>
          <w:sz w:val="24"/>
          <w:szCs w:val="24"/>
        </w:rPr>
        <w:t xml:space="preserve"> (</w:t>
      </w:r>
      <w:proofErr w:type="spellStart"/>
      <w:r w:rsidRPr="005C2C48">
        <w:rPr>
          <w:rFonts w:ascii="Arial" w:hAnsi="Arial" w:cs="Arial"/>
          <w:sz w:val="24"/>
          <w:szCs w:val="24"/>
        </w:rPr>
        <w:t>Cth</w:t>
      </w:r>
      <w:proofErr w:type="spellEnd"/>
      <w:r w:rsidRPr="005C2C48">
        <w:rPr>
          <w:rFonts w:ascii="Arial" w:hAnsi="Arial" w:cs="Arial"/>
          <w:sz w:val="24"/>
          <w:szCs w:val="24"/>
        </w:rPr>
        <w:t xml:space="preserve">). Part 3B deals with CIM where 50 to 70 per cent of fortnightly social security payments are typically quarantined </w:t>
      </w:r>
      <w:r w:rsidRPr="005C2C48">
        <w:rPr>
          <w:rFonts w:ascii="Arial" w:hAnsi="Arial" w:cs="Arial"/>
          <w:sz w:val="24"/>
          <w:szCs w:val="24"/>
        </w:rPr>
        <w:lastRenderedPageBreak/>
        <w:t xml:space="preserve">to the </w:t>
      </w:r>
      <w:proofErr w:type="spellStart"/>
      <w:r w:rsidRPr="005C2C48">
        <w:rPr>
          <w:rFonts w:ascii="Arial" w:hAnsi="Arial" w:cs="Arial"/>
          <w:sz w:val="24"/>
          <w:szCs w:val="24"/>
        </w:rPr>
        <w:t>BasicsCard</w:t>
      </w:r>
      <w:proofErr w:type="spellEnd"/>
      <w:r w:rsidRPr="005C2C48">
        <w:rPr>
          <w:rFonts w:ascii="Arial" w:hAnsi="Arial" w:cs="Arial"/>
          <w:sz w:val="24"/>
          <w:szCs w:val="24"/>
        </w:rPr>
        <w:t>.</w:t>
      </w:r>
      <w:r w:rsidRPr="005C2C48">
        <w:rPr>
          <w:rStyle w:val="FootnoteReference"/>
          <w:rFonts w:ascii="Arial" w:hAnsi="Arial" w:cs="Arial"/>
          <w:sz w:val="24"/>
          <w:szCs w:val="24"/>
        </w:rPr>
        <w:footnoteReference w:id="3"/>
      </w:r>
      <w:r w:rsidRPr="005C2C48">
        <w:rPr>
          <w:rFonts w:ascii="Arial" w:hAnsi="Arial" w:cs="Arial"/>
          <w:sz w:val="24"/>
          <w:szCs w:val="24"/>
        </w:rPr>
        <w:t xml:space="preserve"> This card can only be used at government approved merchants, and the scheme has created significant consumer problems for coerced program participants.</w:t>
      </w:r>
      <w:r w:rsidRPr="005C2C48">
        <w:rPr>
          <w:rStyle w:val="FootnoteReference"/>
          <w:rFonts w:ascii="Arial" w:hAnsi="Arial" w:cs="Arial"/>
          <w:sz w:val="24"/>
          <w:szCs w:val="24"/>
        </w:rPr>
        <w:footnoteReference w:id="4"/>
      </w:r>
      <w:r w:rsidRPr="005C2C48">
        <w:rPr>
          <w:rFonts w:ascii="Arial" w:hAnsi="Arial" w:cs="Arial"/>
          <w:sz w:val="24"/>
          <w:szCs w:val="24"/>
        </w:rPr>
        <w:t xml:space="preserve"> Further details about the origins and many problematic features of CIM, including some human rights compatibility issues, are contained in Appendices A, B</w:t>
      </w:r>
      <w:r w:rsidR="00825A69">
        <w:rPr>
          <w:rFonts w:ascii="Arial" w:hAnsi="Arial" w:cs="Arial"/>
          <w:sz w:val="24"/>
          <w:szCs w:val="24"/>
        </w:rPr>
        <w:t>, C</w:t>
      </w:r>
      <w:r w:rsidRPr="005C2C48">
        <w:rPr>
          <w:rFonts w:ascii="Arial" w:hAnsi="Arial" w:cs="Arial"/>
          <w:sz w:val="24"/>
          <w:szCs w:val="24"/>
        </w:rPr>
        <w:t xml:space="preserve"> and </w:t>
      </w:r>
      <w:r w:rsidR="00825A69">
        <w:rPr>
          <w:rFonts w:ascii="Arial" w:hAnsi="Arial" w:cs="Arial"/>
          <w:sz w:val="24"/>
          <w:szCs w:val="24"/>
        </w:rPr>
        <w:t>D</w:t>
      </w:r>
      <w:r w:rsidRPr="005C2C48">
        <w:rPr>
          <w:rFonts w:ascii="Arial" w:hAnsi="Arial" w:cs="Arial"/>
          <w:sz w:val="24"/>
          <w:szCs w:val="24"/>
        </w:rPr>
        <w:t xml:space="preserve">. </w:t>
      </w:r>
    </w:p>
    <w:p w14:paraId="7BBE5631" w14:textId="77777777" w:rsidR="00C51AE3" w:rsidRPr="005C2C48" w:rsidRDefault="00C51AE3" w:rsidP="00C51AE3">
      <w:pPr>
        <w:autoSpaceDE w:val="0"/>
        <w:autoSpaceDN w:val="0"/>
        <w:adjustRightInd w:val="0"/>
        <w:spacing w:after="0"/>
        <w:jc w:val="both"/>
        <w:rPr>
          <w:rFonts w:ascii="Arial" w:hAnsi="Arial" w:cs="Arial"/>
          <w:sz w:val="24"/>
          <w:szCs w:val="24"/>
        </w:rPr>
      </w:pPr>
    </w:p>
    <w:p w14:paraId="2555DE8B" w14:textId="30BBEEFF" w:rsidR="00C51AE3" w:rsidRPr="005C2C48" w:rsidRDefault="00325D5E" w:rsidP="00325D5E">
      <w:pPr>
        <w:jc w:val="both"/>
        <w:rPr>
          <w:rFonts w:ascii="Arial" w:hAnsi="Arial" w:cs="Arial"/>
          <w:bCs/>
          <w:sz w:val="24"/>
          <w:szCs w:val="24"/>
        </w:rPr>
      </w:pPr>
      <w:r>
        <w:rPr>
          <w:rFonts w:ascii="Arial" w:hAnsi="Arial" w:cs="Arial"/>
          <w:sz w:val="24"/>
          <w:szCs w:val="24"/>
        </w:rPr>
        <w:t>T</w:t>
      </w:r>
      <w:r w:rsidR="00C51AE3" w:rsidRPr="005C2C48">
        <w:rPr>
          <w:rFonts w:ascii="Arial" w:hAnsi="Arial" w:cs="Arial"/>
          <w:sz w:val="24"/>
          <w:szCs w:val="24"/>
        </w:rPr>
        <w:t xml:space="preserve">he Parliamentary Joint Committee on Human Rights (PJCHR) </w:t>
      </w:r>
      <w:r>
        <w:rPr>
          <w:rFonts w:ascii="Arial" w:hAnsi="Arial" w:cs="Arial"/>
          <w:sz w:val="24"/>
          <w:szCs w:val="24"/>
        </w:rPr>
        <w:t xml:space="preserve">has </w:t>
      </w:r>
      <w:r w:rsidR="00C51AE3" w:rsidRPr="005C2C48">
        <w:rPr>
          <w:rFonts w:ascii="Arial" w:hAnsi="Arial" w:cs="Arial"/>
          <w:sz w:val="24"/>
          <w:szCs w:val="24"/>
        </w:rPr>
        <w:t>noted that CIM infringes upon the enjoyment of a range of human rights for social security recipients, including rights to social security, privacy and family</w:t>
      </w:r>
      <w:r w:rsidR="00C51AE3">
        <w:rPr>
          <w:rFonts w:ascii="Arial" w:hAnsi="Arial" w:cs="Arial"/>
          <w:sz w:val="24"/>
          <w:szCs w:val="24"/>
        </w:rPr>
        <w:t>,</w:t>
      </w:r>
      <w:r w:rsidR="00C51AE3" w:rsidRPr="005C2C48">
        <w:rPr>
          <w:rFonts w:ascii="Arial" w:hAnsi="Arial" w:cs="Arial"/>
          <w:sz w:val="24"/>
          <w:szCs w:val="24"/>
        </w:rPr>
        <w:t xml:space="preserve"> and equality and non-discrimination.</w:t>
      </w:r>
      <w:r w:rsidR="00C51AE3" w:rsidRPr="005C2C48">
        <w:rPr>
          <w:rStyle w:val="FootnoteReference"/>
          <w:rFonts w:ascii="Arial" w:hAnsi="Arial" w:cs="Arial"/>
          <w:sz w:val="24"/>
          <w:szCs w:val="24"/>
        </w:rPr>
        <w:footnoteReference w:id="5"/>
      </w:r>
      <w:r w:rsidR="00C51AE3" w:rsidRPr="005C2C48">
        <w:rPr>
          <w:rFonts w:ascii="Arial" w:hAnsi="Arial" w:cs="Arial"/>
          <w:sz w:val="24"/>
          <w:szCs w:val="24"/>
        </w:rPr>
        <w:t xml:space="preserve"> The PJCHR concluded that there was no convincing evidence put forward by the federal government to prove that CIM was rationally connected to achieving legitimate objectives or a proportionate means of doing so.</w:t>
      </w:r>
      <w:r w:rsidR="00C51AE3" w:rsidRPr="005C2C48">
        <w:rPr>
          <w:rStyle w:val="FootnoteReference"/>
          <w:rFonts w:ascii="Arial" w:hAnsi="Arial" w:cs="Arial"/>
          <w:sz w:val="24"/>
          <w:szCs w:val="24"/>
        </w:rPr>
        <w:footnoteReference w:id="6"/>
      </w:r>
      <w:r w:rsidR="00C51AE3" w:rsidRPr="005C2C48">
        <w:rPr>
          <w:rFonts w:ascii="Arial" w:hAnsi="Arial" w:cs="Arial"/>
          <w:sz w:val="24"/>
          <w:szCs w:val="24"/>
        </w:rPr>
        <w:t xml:space="preserve"> They found that</w:t>
      </w:r>
      <w:r w:rsidR="00CA63DB">
        <w:rPr>
          <w:rFonts w:ascii="Arial" w:hAnsi="Arial" w:cs="Arial"/>
          <w:sz w:val="24"/>
          <w:szCs w:val="24"/>
        </w:rPr>
        <w:t xml:space="preserve"> CIM ‘</w:t>
      </w:r>
      <w:r w:rsidR="00C51AE3" w:rsidRPr="005C2C48">
        <w:rPr>
          <w:rFonts w:ascii="Arial" w:hAnsi="Arial" w:cs="Arial"/>
          <w:bCs/>
          <w:sz w:val="24"/>
          <w:szCs w:val="24"/>
        </w:rPr>
        <w:t xml:space="preserve">is not effective in achieving its stated objective of supporting vulnerable individuals and families. … </w:t>
      </w:r>
      <w:r w:rsidR="00C51AE3" w:rsidRPr="0044283A">
        <w:rPr>
          <w:rFonts w:ascii="Arial" w:hAnsi="Arial" w:cs="Arial"/>
          <w:bCs/>
          <w:sz w:val="24"/>
          <w:szCs w:val="24"/>
        </w:rPr>
        <w:t>A human rights compliant approach requires that any measures must be effective</w:t>
      </w:r>
      <w:r w:rsidR="00C51AE3" w:rsidRPr="005C2C48">
        <w:rPr>
          <w:rFonts w:ascii="Arial" w:hAnsi="Arial" w:cs="Arial"/>
          <w:bCs/>
          <w:sz w:val="24"/>
          <w:szCs w:val="24"/>
        </w:rPr>
        <w:t>, subject to monitoring and review and genuinely tailored to the needs and wishes of the local community. The current approach to income management falls short of this standard.</w:t>
      </w:r>
      <w:r w:rsidR="00CA63DB">
        <w:rPr>
          <w:rFonts w:ascii="Arial" w:hAnsi="Arial" w:cs="Arial"/>
          <w:bCs/>
          <w:sz w:val="24"/>
          <w:szCs w:val="24"/>
        </w:rPr>
        <w:t>’</w:t>
      </w:r>
      <w:r w:rsidR="00C51AE3" w:rsidRPr="005C2C48">
        <w:rPr>
          <w:rStyle w:val="FootnoteReference"/>
          <w:rFonts w:ascii="Arial" w:hAnsi="Arial" w:cs="Arial"/>
          <w:bCs/>
          <w:sz w:val="24"/>
          <w:szCs w:val="24"/>
        </w:rPr>
        <w:footnoteReference w:id="7"/>
      </w:r>
    </w:p>
    <w:p w14:paraId="4B2A23FB" w14:textId="34CC7F3F" w:rsidR="00C51AE3" w:rsidRDefault="00C51AE3" w:rsidP="00C51AE3">
      <w:pPr>
        <w:pStyle w:val="PlainText"/>
        <w:spacing w:line="276" w:lineRule="auto"/>
        <w:jc w:val="both"/>
        <w:rPr>
          <w:rFonts w:ascii="Arial" w:hAnsi="Arial" w:cs="Arial"/>
          <w:bCs/>
          <w:color w:val="000000"/>
          <w:sz w:val="24"/>
          <w:szCs w:val="24"/>
        </w:rPr>
      </w:pPr>
      <w:r w:rsidRPr="005C2C48">
        <w:rPr>
          <w:rFonts w:ascii="Arial" w:hAnsi="Arial" w:cs="Arial"/>
          <w:sz w:val="24"/>
          <w:szCs w:val="24"/>
        </w:rPr>
        <w:t>Despite lack of compliance with Australia’s human rights obligations, CIM continues</w:t>
      </w:r>
      <w:r w:rsidR="00AF2DFE">
        <w:rPr>
          <w:rFonts w:ascii="Arial" w:hAnsi="Arial" w:cs="Arial"/>
          <w:sz w:val="24"/>
          <w:szCs w:val="24"/>
        </w:rPr>
        <w:t xml:space="preserve">, with </w:t>
      </w:r>
      <w:r w:rsidRPr="005C2C48">
        <w:rPr>
          <w:rFonts w:ascii="Arial" w:hAnsi="Arial" w:cs="Arial"/>
          <w:sz w:val="24"/>
          <w:szCs w:val="24"/>
        </w:rPr>
        <w:t>data sets reveal</w:t>
      </w:r>
      <w:r w:rsidR="00AF2DFE">
        <w:rPr>
          <w:rFonts w:ascii="Arial" w:hAnsi="Arial" w:cs="Arial"/>
          <w:sz w:val="24"/>
          <w:szCs w:val="24"/>
        </w:rPr>
        <w:t>ing</w:t>
      </w:r>
      <w:r w:rsidRPr="005C2C48">
        <w:rPr>
          <w:rFonts w:ascii="Arial" w:hAnsi="Arial" w:cs="Arial"/>
          <w:sz w:val="24"/>
          <w:szCs w:val="24"/>
        </w:rPr>
        <w:t xml:space="preserve"> that Indigenous social security recipients have consistently been grossly overrepresented in all compulsory income management categories (see Appendix </w:t>
      </w:r>
      <w:r w:rsidR="00AF2DFE">
        <w:rPr>
          <w:rFonts w:ascii="Arial" w:hAnsi="Arial" w:cs="Arial"/>
          <w:sz w:val="24"/>
          <w:szCs w:val="24"/>
        </w:rPr>
        <w:t>B</w:t>
      </w:r>
      <w:r w:rsidRPr="005C2C48">
        <w:rPr>
          <w:rFonts w:ascii="Arial" w:hAnsi="Arial" w:cs="Arial"/>
          <w:sz w:val="24"/>
          <w:szCs w:val="24"/>
        </w:rPr>
        <w:t xml:space="preserve">). </w:t>
      </w:r>
    </w:p>
    <w:p w14:paraId="2AB3366B" w14:textId="77777777" w:rsidR="00C51AE3" w:rsidRDefault="00C51AE3" w:rsidP="00C51AE3">
      <w:pPr>
        <w:pStyle w:val="PlainText"/>
        <w:spacing w:line="276" w:lineRule="auto"/>
        <w:jc w:val="both"/>
        <w:rPr>
          <w:rFonts w:ascii="Arial" w:hAnsi="Arial" w:cs="Arial"/>
          <w:bCs/>
          <w:color w:val="000000"/>
          <w:sz w:val="24"/>
          <w:szCs w:val="24"/>
        </w:rPr>
      </w:pPr>
    </w:p>
    <w:p w14:paraId="383B5F5E" w14:textId="647DC930" w:rsidR="00C51AE3" w:rsidRPr="005C2C48" w:rsidRDefault="00C51AE3" w:rsidP="00C51AE3">
      <w:pPr>
        <w:pStyle w:val="PlainText"/>
        <w:spacing w:line="276" w:lineRule="auto"/>
        <w:jc w:val="both"/>
        <w:rPr>
          <w:rFonts w:ascii="Arial" w:hAnsi="Arial" w:cs="Arial"/>
          <w:bCs/>
          <w:color w:val="000000"/>
          <w:sz w:val="24"/>
          <w:szCs w:val="24"/>
        </w:rPr>
      </w:pPr>
      <w:r w:rsidRPr="005C2C48">
        <w:rPr>
          <w:rFonts w:ascii="Arial" w:hAnsi="Arial" w:cs="Arial"/>
          <w:bCs/>
          <w:color w:val="000000"/>
          <w:sz w:val="24"/>
          <w:szCs w:val="24"/>
        </w:rPr>
        <w:t xml:space="preserve">Sales data connected with the </w:t>
      </w:r>
      <w:proofErr w:type="spellStart"/>
      <w:r w:rsidRPr="005C2C48">
        <w:rPr>
          <w:rFonts w:ascii="Arial" w:hAnsi="Arial" w:cs="Arial"/>
          <w:bCs/>
          <w:color w:val="000000"/>
          <w:sz w:val="24"/>
          <w:szCs w:val="24"/>
        </w:rPr>
        <w:t>BasicsCard</w:t>
      </w:r>
      <w:proofErr w:type="spellEnd"/>
      <w:r w:rsidRPr="005C2C48">
        <w:rPr>
          <w:rFonts w:ascii="Arial" w:hAnsi="Arial" w:cs="Arial"/>
          <w:bCs/>
          <w:color w:val="000000"/>
          <w:sz w:val="24"/>
          <w:szCs w:val="24"/>
        </w:rPr>
        <w:t xml:space="preserve"> can also be captured and scrutinized by researchers and others.</w:t>
      </w:r>
      <w:r w:rsidRPr="005C2C48">
        <w:rPr>
          <w:rStyle w:val="FootnoteReference"/>
          <w:rFonts w:ascii="Arial" w:hAnsi="Arial" w:cs="Arial"/>
          <w:bCs/>
          <w:color w:val="000000"/>
          <w:sz w:val="24"/>
          <w:szCs w:val="24"/>
        </w:rPr>
        <w:footnoteReference w:id="8"/>
      </w:r>
      <w:r w:rsidRPr="005C2C48">
        <w:rPr>
          <w:rFonts w:ascii="Arial" w:hAnsi="Arial" w:cs="Arial"/>
          <w:bCs/>
          <w:color w:val="000000"/>
          <w:sz w:val="24"/>
          <w:szCs w:val="24"/>
        </w:rPr>
        <w:t xml:space="preserve"> </w:t>
      </w:r>
      <w:r>
        <w:rPr>
          <w:rFonts w:ascii="Arial" w:hAnsi="Arial" w:cs="Arial"/>
          <w:bCs/>
          <w:color w:val="000000"/>
          <w:sz w:val="24"/>
          <w:szCs w:val="24"/>
        </w:rPr>
        <w:t xml:space="preserve">This is concerning because of what generalised conclusions might be drawn about social security recipient’s expenditure patterns from this data – with the possibility of further punitive </w:t>
      </w:r>
      <w:r w:rsidR="00CA63DB">
        <w:rPr>
          <w:rFonts w:ascii="Arial" w:hAnsi="Arial" w:cs="Arial"/>
          <w:bCs/>
          <w:color w:val="000000"/>
          <w:sz w:val="24"/>
          <w:szCs w:val="24"/>
        </w:rPr>
        <w:t>policy development</w:t>
      </w:r>
      <w:r>
        <w:rPr>
          <w:rFonts w:ascii="Arial" w:hAnsi="Arial" w:cs="Arial"/>
          <w:bCs/>
          <w:color w:val="000000"/>
          <w:sz w:val="24"/>
          <w:szCs w:val="24"/>
        </w:rPr>
        <w:t xml:space="preserve">. </w:t>
      </w:r>
    </w:p>
    <w:p w14:paraId="58C67156" w14:textId="77777777" w:rsidR="00C51AE3" w:rsidRPr="005C2C48" w:rsidRDefault="00C51AE3" w:rsidP="00C51AE3">
      <w:pPr>
        <w:autoSpaceDE w:val="0"/>
        <w:autoSpaceDN w:val="0"/>
        <w:adjustRightInd w:val="0"/>
        <w:spacing w:after="0"/>
        <w:jc w:val="both"/>
        <w:rPr>
          <w:rFonts w:ascii="Arial" w:hAnsi="Arial" w:cs="Arial"/>
          <w:b/>
          <w:i/>
          <w:sz w:val="24"/>
          <w:szCs w:val="24"/>
        </w:rPr>
      </w:pPr>
    </w:p>
    <w:p w14:paraId="4FF6E86D" w14:textId="77777777" w:rsidR="00C51AE3" w:rsidRPr="00397B8E" w:rsidRDefault="00C51AE3" w:rsidP="00C51AE3">
      <w:pPr>
        <w:autoSpaceDE w:val="0"/>
        <w:autoSpaceDN w:val="0"/>
        <w:adjustRightInd w:val="0"/>
        <w:spacing w:after="0"/>
        <w:jc w:val="both"/>
        <w:rPr>
          <w:rFonts w:ascii="Arial" w:hAnsi="Arial" w:cs="Arial"/>
          <w:b/>
          <w:sz w:val="24"/>
          <w:szCs w:val="24"/>
        </w:rPr>
      </w:pPr>
      <w:r w:rsidRPr="00397B8E">
        <w:rPr>
          <w:rFonts w:ascii="Arial" w:hAnsi="Arial" w:cs="Arial"/>
          <w:b/>
          <w:sz w:val="24"/>
          <w:szCs w:val="24"/>
        </w:rPr>
        <w:t>CIM with the Cashless Debit Card (CDC)</w:t>
      </w:r>
    </w:p>
    <w:p w14:paraId="4E3F84EC" w14:textId="77777777" w:rsidR="00C51AE3" w:rsidRPr="005C2C48" w:rsidRDefault="00C51AE3" w:rsidP="00C51AE3">
      <w:pPr>
        <w:autoSpaceDE w:val="0"/>
        <w:autoSpaceDN w:val="0"/>
        <w:adjustRightInd w:val="0"/>
        <w:spacing w:after="0"/>
        <w:jc w:val="both"/>
        <w:rPr>
          <w:rFonts w:ascii="Arial" w:hAnsi="Arial" w:cs="Arial"/>
          <w:sz w:val="24"/>
          <w:szCs w:val="24"/>
        </w:rPr>
      </w:pPr>
    </w:p>
    <w:p w14:paraId="4490F7FF" w14:textId="1BEBE09E" w:rsidR="00B01F57" w:rsidRDefault="00C51AE3" w:rsidP="00FF7B1B">
      <w:pPr>
        <w:autoSpaceDE w:val="0"/>
        <w:autoSpaceDN w:val="0"/>
        <w:adjustRightInd w:val="0"/>
        <w:spacing w:after="0"/>
        <w:jc w:val="both"/>
        <w:rPr>
          <w:rFonts w:ascii="Arial" w:hAnsi="Arial" w:cs="Arial"/>
          <w:sz w:val="24"/>
          <w:szCs w:val="24"/>
        </w:rPr>
      </w:pPr>
      <w:r w:rsidRPr="005C2C48">
        <w:rPr>
          <w:rFonts w:ascii="Arial" w:hAnsi="Arial" w:cs="Arial"/>
          <w:sz w:val="24"/>
          <w:szCs w:val="24"/>
        </w:rPr>
        <w:t xml:space="preserve">CIM </w:t>
      </w:r>
      <w:r w:rsidR="00B7147B">
        <w:rPr>
          <w:rFonts w:ascii="Arial" w:hAnsi="Arial" w:cs="Arial"/>
          <w:sz w:val="24"/>
          <w:szCs w:val="24"/>
        </w:rPr>
        <w:t xml:space="preserve">with a CDC has been introduced </w:t>
      </w:r>
      <w:r w:rsidRPr="005C2C48">
        <w:rPr>
          <w:rFonts w:ascii="Arial" w:hAnsi="Arial" w:cs="Arial"/>
          <w:sz w:val="24"/>
          <w:szCs w:val="24"/>
        </w:rPr>
        <w:t xml:space="preserve">in some trial areas, where 80 per cent of fortnightly social security payments are quarantined to </w:t>
      </w:r>
      <w:r w:rsidR="00B7147B">
        <w:rPr>
          <w:rFonts w:ascii="Arial" w:hAnsi="Arial" w:cs="Arial"/>
          <w:sz w:val="24"/>
          <w:szCs w:val="24"/>
        </w:rPr>
        <w:t xml:space="preserve">this card </w:t>
      </w:r>
      <w:r w:rsidRPr="005C2C48">
        <w:rPr>
          <w:rFonts w:ascii="Arial" w:hAnsi="Arial" w:cs="Arial"/>
          <w:sz w:val="24"/>
          <w:szCs w:val="24"/>
        </w:rPr>
        <w:t xml:space="preserve">issued by </w:t>
      </w:r>
      <w:proofErr w:type="spellStart"/>
      <w:r w:rsidRPr="005C2C48">
        <w:rPr>
          <w:rFonts w:ascii="Arial" w:hAnsi="Arial" w:cs="Arial"/>
          <w:sz w:val="24"/>
          <w:szCs w:val="24"/>
        </w:rPr>
        <w:t>Indue</w:t>
      </w:r>
      <w:proofErr w:type="spellEnd"/>
      <w:r w:rsidRPr="005C2C48">
        <w:rPr>
          <w:rFonts w:ascii="Arial" w:hAnsi="Arial" w:cs="Arial"/>
          <w:sz w:val="24"/>
          <w:szCs w:val="24"/>
        </w:rPr>
        <w:t xml:space="preserve"> Ltd. CDC holders cannot spend their restricted funds on alcohol or gambling.</w:t>
      </w:r>
      <w:r w:rsidRPr="005C2C48">
        <w:rPr>
          <w:rStyle w:val="FootnoteReference"/>
          <w:rFonts w:ascii="Arial" w:hAnsi="Arial" w:cs="Arial"/>
          <w:sz w:val="24"/>
          <w:szCs w:val="24"/>
        </w:rPr>
        <w:footnoteReference w:id="9"/>
      </w:r>
      <w:r w:rsidRPr="005C2C48">
        <w:rPr>
          <w:rFonts w:ascii="Arial" w:hAnsi="Arial" w:cs="Arial"/>
          <w:sz w:val="24"/>
          <w:szCs w:val="24"/>
        </w:rPr>
        <w:t xml:space="preserve"> The legislative scheme for this type of CIM is set out in Part 3D of the </w:t>
      </w:r>
      <w:r w:rsidRPr="005C2C48">
        <w:rPr>
          <w:rFonts w:ascii="Arial" w:hAnsi="Arial" w:cs="Arial"/>
          <w:i/>
          <w:sz w:val="24"/>
          <w:szCs w:val="24"/>
        </w:rPr>
        <w:t>Social Security (Administration) Act 1999</w:t>
      </w:r>
      <w:r w:rsidRPr="005C2C48">
        <w:rPr>
          <w:rFonts w:ascii="Arial" w:hAnsi="Arial" w:cs="Arial"/>
          <w:sz w:val="24"/>
          <w:szCs w:val="24"/>
        </w:rPr>
        <w:t xml:space="preserve"> (</w:t>
      </w:r>
      <w:proofErr w:type="spellStart"/>
      <w:r w:rsidRPr="005C2C48">
        <w:rPr>
          <w:rFonts w:ascii="Arial" w:hAnsi="Arial" w:cs="Arial"/>
          <w:sz w:val="24"/>
          <w:szCs w:val="24"/>
        </w:rPr>
        <w:t>Cth</w:t>
      </w:r>
      <w:proofErr w:type="spellEnd"/>
      <w:r w:rsidRPr="005C2C48">
        <w:rPr>
          <w:rFonts w:ascii="Arial" w:hAnsi="Arial" w:cs="Arial"/>
          <w:sz w:val="24"/>
          <w:szCs w:val="24"/>
        </w:rPr>
        <w:t xml:space="preserve">). </w:t>
      </w:r>
    </w:p>
    <w:p w14:paraId="38BCCA69" w14:textId="77777777" w:rsidR="00B01F57" w:rsidRDefault="00B01F57" w:rsidP="00FF7B1B">
      <w:pPr>
        <w:autoSpaceDE w:val="0"/>
        <w:autoSpaceDN w:val="0"/>
        <w:adjustRightInd w:val="0"/>
        <w:spacing w:after="0"/>
        <w:jc w:val="both"/>
        <w:rPr>
          <w:rFonts w:ascii="Arial" w:hAnsi="Arial" w:cs="Arial"/>
          <w:sz w:val="24"/>
          <w:szCs w:val="24"/>
        </w:rPr>
      </w:pPr>
    </w:p>
    <w:p w14:paraId="4239B137" w14:textId="1A68E902" w:rsidR="00C51AE3" w:rsidRDefault="00C51AE3" w:rsidP="00FF7B1B">
      <w:pPr>
        <w:autoSpaceDE w:val="0"/>
        <w:autoSpaceDN w:val="0"/>
        <w:adjustRightInd w:val="0"/>
        <w:spacing w:after="0"/>
        <w:jc w:val="both"/>
        <w:rPr>
          <w:rFonts w:ascii="Arial" w:hAnsi="Arial" w:cs="Arial"/>
          <w:sz w:val="24"/>
          <w:szCs w:val="24"/>
        </w:rPr>
      </w:pPr>
      <w:r w:rsidRPr="005C2C48">
        <w:rPr>
          <w:rFonts w:ascii="Arial" w:hAnsi="Arial" w:cs="Arial"/>
          <w:sz w:val="24"/>
          <w:szCs w:val="24"/>
        </w:rPr>
        <w:t xml:space="preserve">This type of CIM was triggered by the 2014 </w:t>
      </w:r>
      <w:r w:rsidRPr="00FF7B1B">
        <w:rPr>
          <w:rFonts w:ascii="Arial" w:hAnsi="Arial" w:cs="Arial"/>
          <w:i/>
          <w:sz w:val="24"/>
          <w:szCs w:val="24"/>
        </w:rPr>
        <w:t>Forrest Review</w:t>
      </w:r>
      <w:r w:rsidR="00FF7B1B">
        <w:rPr>
          <w:rFonts w:ascii="Arial" w:hAnsi="Arial" w:cs="Arial"/>
          <w:sz w:val="24"/>
          <w:szCs w:val="24"/>
        </w:rPr>
        <w:t>, w</w:t>
      </w:r>
      <w:r w:rsidR="00325D5E">
        <w:rPr>
          <w:rFonts w:ascii="Arial" w:hAnsi="Arial" w:cs="Arial"/>
          <w:sz w:val="24"/>
          <w:szCs w:val="24"/>
        </w:rPr>
        <w:t>ith</w:t>
      </w:r>
      <w:r w:rsidR="00FF7B1B">
        <w:rPr>
          <w:rFonts w:ascii="Arial" w:hAnsi="Arial" w:cs="Arial"/>
          <w:sz w:val="24"/>
          <w:szCs w:val="24"/>
        </w:rPr>
        <w:t xml:space="preserve"> people in receipt of social security income portrayed as more likely to have substance abuse issues and be unsuited to managing cash responsibly (see Appendix B). Th</w:t>
      </w:r>
      <w:r w:rsidR="00325D5E">
        <w:rPr>
          <w:rFonts w:ascii="Arial" w:hAnsi="Arial" w:cs="Arial"/>
          <w:sz w:val="24"/>
          <w:szCs w:val="24"/>
        </w:rPr>
        <w:t>is Review advocated that dat</w:t>
      </w:r>
      <w:r w:rsidR="00FF7B1B">
        <w:rPr>
          <w:rFonts w:ascii="Arial" w:hAnsi="Arial" w:cs="Arial"/>
          <w:sz w:val="24"/>
          <w:szCs w:val="24"/>
        </w:rPr>
        <w:t xml:space="preserve">a mining be deployed in conjunction with a cashless welfare card to scrutinize and penalise any </w:t>
      </w:r>
      <w:r w:rsidR="00325D5E">
        <w:rPr>
          <w:rFonts w:ascii="Arial" w:hAnsi="Arial" w:cs="Arial"/>
          <w:sz w:val="24"/>
          <w:szCs w:val="24"/>
        </w:rPr>
        <w:t>‘</w:t>
      </w:r>
      <w:r w:rsidR="00FF7B1B">
        <w:rPr>
          <w:rFonts w:ascii="Arial" w:hAnsi="Arial" w:cs="Arial"/>
          <w:sz w:val="24"/>
          <w:szCs w:val="24"/>
        </w:rPr>
        <w:t>improper</w:t>
      </w:r>
      <w:r w:rsidR="00325D5E">
        <w:rPr>
          <w:rFonts w:ascii="Arial" w:hAnsi="Arial" w:cs="Arial"/>
          <w:sz w:val="24"/>
          <w:szCs w:val="24"/>
        </w:rPr>
        <w:t>’</w:t>
      </w:r>
      <w:r w:rsidR="00FF7B1B">
        <w:rPr>
          <w:rFonts w:ascii="Arial" w:hAnsi="Arial" w:cs="Arial"/>
          <w:sz w:val="24"/>
          <w:szCs w:val="24"/>
        </w:rPr>
        <w:t xml:space="preserve"> purchases.</w:t>
      </w:r>
    </w:p>
    <w:p w14:paraId="0A6286A4" w14:textId="77777777" w:rsidR="00FF7B1B" w:rsidRPr="005C2C48" w:rsidRDefault="00FF7B1B" w:rsidP="00FF7B1B">
      <w:pPr>
        <w:autoSpaceDE w:val="0"/>
        <w:autoSpaceDN w:val="0"/>
        <w:adjustRightInd w:val="0"/>
        <w:spacing w:after="0"/>
        <w:jc w:val="both"/>
        <w:rPr>
          <w:rFonts w:ascii="Arial" w:hAnsi="Arial" w:cs="Arial"/>
          <w:sz w:val="24"/>
          <w:szCs w:val="24"/>
        </w:rPr>
      </w:pPr>
    </w:p>
    <w:p w14:paraId="26B5F6DD" w14:textId="77777777" w:rsidR="00B01F57" w:rsidRDefault="00C51AE3" w:rsidP="00C51AE3">
      <w:pPr>
        <w:autoSpaceDE w:val="0"/>
        <w:autoSpaceDN w:val="0"/>
        <w:adjustRightInd w:val="0"/>
        <w:spacing w:after="0"/>
        <w:jc w:val="both"/>
        <w:rPr>
          <w:rFonts w:ascii="Arial" w:hAnsi="Arial" w:cs="Arial"/>
          <w:sz w:val="24"/>
          <w:szCs w:val="24"/>
        </w:rPr>
      </w:pPr>
      <w:r w:rsidRPr="004908CB">
        <w:rPr>
          <w:rFonts w:ascii="Arial" w:hAnsi="Arial" w:cs="Arial"/>
          <w:sz w:val="24"/>
          <w:szCs w:val="24"/>
        </w:rPr>
        <w:t>There have been numerous Senate Inquiries about the CDC, to which I have made a range of submissions addressing human rights compatibility problems and other concerns.</w:t>
      </w:r>
      <w:r w:rsidRPr="004908CB">
        <w:rPr>
          <w:rStyle w:val="FootnoteReference"/>
          <w:rFonts w:ascii="Arial" w:hAnsi="Arial" w:cs="Arial"/>
          <w:sz w:val="24"/>
          <w:szCs w:val="24"/>
        </w:rPr>
        <w:footnoteReference w:id="10"/>
      </w:r>
      <w:r w:rsidRPr="004908CB">
        <w:rPr>
          <w:rFonts w:ascii="Arial" w:hAnsi="Arial" w:cs="Arial"/>
          <w:sz w:val="24"/>
          <w:szCs w:val="24"/>
        </w:rPr>
        <w:t xml:space="preserve"> The CDC limits the enjoyment of the same range of human rights as CIM via the </w:t>
      </w:r>
      <w:proofErr w:type="spellStart"/>
      <w:r w:rsidRPr="004908CB">
        <w:rPr>
          <w:rFonts w:ascii="Arial" w:hAnsi="Arial" w:cs="Arial"/>
          <w:sz w:val="24"/>
          <w:szCs w:val="24"/>
        </w:rPr>
        <w:t>BasicsCard</w:t>
      </w:r>
      <w:proofErr w:type="spellEnd"/>
      <w:r w:rsidRPr="004908CB">
        <w:rPr>
          <w:rFonts w:ascii="Arial" w:hAnsi="Arial" w:cs="Arial"/>
          <w:sz w:val="24"/>
          <w:szCs w:val="24"/>
        </w:rPr>
        <w:t xml:space="preserve"> – rights to social security, privacy and family, and equality and non-discrimination.</w:t>
      </w:r>
      <w:r w:rsidRPr="004908CB">
        <w:rPr>
          <w:rStyle w:val="FootnoteReference"/>
          <w:rFonts w:ascii="Arial" w:hAnsi="Arial" w:cs="Arial"/>
          <w:sz w:val="24"/>
          <w:szCs w:val="24"/>
        </w:rPr>
        <w:footnoteReference w:id="11"/>
      </w:r>
      <w:r w:rsidRPr="004908CB">
        <w:rPr>
          <w:rFonts w:ascii="Arial" w:hAnsi="Arial" w:cs="Arial"/>
          <w:sz w:val="24"/>
          <w:szCs w:val="24"/>
        </w:rPr>
        <w:t xml:space="preserve"> </w:t>
      </w:r>
    </w:p>
    <w:p w14:paraId="1002FE7A" w14:textId="77777777" w:rsidR="00B01F57" w:rsidRDefault="00B01F57" w:rsidP="00C51AE3">
      <w:pPr>
        <w:autoSpaceDE w:val="0"/>
        <w:autoSpaceDN w:val="0"/>
        <w:adjustRightInd w:val="0"/>
        <w:spacing w:after="0"/>
        <w:jc w:val="both"/>
        <w:rPr>
          <w:rFonts w:ascii="Arial" w:hAnsi="Arial" w:cs="Arial"/>
          <w:sz w:val="24"/>
          <w:szCs w:val="24"/>
        </w:rPr>
      </w:pPr>
    </w:p>
    <w:p w14:paraId="3A505FF3" w14:textId="52DF128B" w:rsidR="00C51AE3" w:rsidRPr="004908CB" w:rsidRDefault="00C51AE3" w:rsidP="00C51AE3">
      <w:pPr>
        <w:autoSpaceDE w:val="0"/>
        <w:autoSpaceDN w:val="0"/>
        <w:adjustRightInd w:val="0"/>
        <w:spacing w:after="0"/>
        <w:jc w:val="both"/>
        <w:rPr>
          <w:rFonts w:ascii="Arial" w:hAnsi="Arial" w:cs="Arial"/>
          <w:sz w:val="24"/>
          <w:szCs w:val="24"/>
        </w:rPr>
      </w:pPr>
      <w:r w:rsidRPr="004908CB">
        <w:rPr>
          <w:rFonts w:ascii="Arial" w:hAnsi="Arial" w:cs="Arial"/>
          <w:sz w:val="24"/>
          <w:szCs w:val="24"/>
        </w:rPr>
        <w:t>Like other forms of income management that preceded it, the CDC has a grossly disproportionate impact on Indigenous peoples.</w:t>
      </w:r>
      <w:r w:rsidRPr="004908CB">
        <w:rPr>
          <w:rStyle w:val="FootnoteReference"/>
          <w:rFonts w:ascii="Arial" w:eastAsia="AGaramondPro-Regular" w:hAnsi="Arial" w:cs="Arial"/>
          <w:sz w:val="24"/>
          <w:szCs w:val="24"/>
        </w:rPr>
        <w:footnoteReference w:id="12"/>
      </w:r>
      <w:r w:rsidRPr="004908CB">
        <w:rPr>
          <w:rFonts w:ascii="Arial" w:hAnsi="Arial" w:cs="Arial"/>
          <w:sz w:val="24"/>
          <w:szCs w:val="24"/>
        </w:rPr>
        <w:t xml:space="preserve"> </w:t>
      </w:r>
      <w:r>
        <w:rPr>
          <w:rFonts w:ascii="Arial" w:hAnsi="Arial" w:cs="Arial"/>
          <w:sz w:val="24"/>
          <w:szCs w:val="24"/>
        </w:rPr>
        <w:t xml:space="preserve">Consequently, </w:t>
      </w:r>
      <w:r>
        <w:rPr>
          <w:rFonts w:ascii="Arial" w:hAnsi="Arial" w:cs="Arial"/>
          <w:color w:val="000000" w:themeColor="text1"/>
          <w:sz w:val="24"/>
          <w:szCs w:val="24"/>
          <w:lang w:val="en"/>
        </w:rPr>
        <w:t xml:space="preserve">indirect racial discrimination </w:t>
      </w:r>
      <w:r w:rsidR="000B032C">
        <w:rPr>
          <w:rFonts w:ascii="Arial" w:hAnsi="Arial" w:cs="Arial"/>
          <w:color w:val="000000" w:themeColor="text1"/>
          <w:sz w:val="24"/>
          <w:szCs w:val="24"/>
          <w:lang w:val="en"/>
        </w:rPr>
        <w:t xml:space="preserve">with the CDC </w:t>
      </w:r>
      <w:r>
        <w:rPr>
          <w:rFonts w:ascii="Arial" w:hAnsi="Arial" w:cs="Arial"/>
          <w:color w:val="000000" w:themeColor="text1"/>
          <w:sz w:val="24"/>
          <w:szCs w:val="24"/>
          <w:lang w:val="en"/>
        </w:rPr>
        <w:t xml:space="preserve">is </w:t>
      </w:r>
      <w:r w:rsidR="00A54BCE">
        <w:rPr>
          <w:rFonts w:ascii="Arial" w:hAnsi="Arial" w:cs="Arial"/>
          <w:color w:val="000000" w:themeColor="text1"/>
          <w:sz w:val="24"/>
          <w:szCs w:val="24"/>
          <w:lang w:val="en"/>
        </w:rPr>
        <w:t xml:space="preserve">a problem, </w:t>
      </w:r>
      <w:r w:rsidR="00857251">
        <w:rPr>
          <w:rFonts w:ascii="Arial" w:hAnsi="Arial" w:cs="Arial"/>
          <w:color w:val="000000" w:themeColor="text1"/>
          <w:sz w:val="24"/>
          <w:szCs w:val="24"/>
          <w:lang w:val="en"/>
        </w:rPr>
        <w:t xml:space="preserve">infringing </w:t>
      </w:r>
      <w:r>
        <w:rPr>
          <w:rFonts w:ascii="Arial" w:hAnsi="Arial" w:cs="Arial"/>
          <w:color w:val="000000" w:themeColor="text1"/>
          <w:sz w:val="24"/>
          <w:szCs w:val="24"/>
          <w:lang w:val="en"/>
        </w:rPr>
        <w:t xml:space="preserve">Article 1 </w:t>
      </w:r>
      <w:r w:rsidRPr="00862E78">
        <w:rPr>
          <w:rFonts w:ascii="Arial" w:hAnsi="Arial" w:cs="Arial"/>
          <w:color w:val="000000"/>
          <w:sz w:val="24"/>
          <w:szCs w:val="24"/>
        </w:rPr>
        <w:t xml:space="preserve">of the </w:t>
      </w:r>
      <w:r w:rsidRPr="00862E78">
        <w:rPr>
          <w:rFonts w:ascii="Arial" w:hAnsi="Arial" w:cs="Arial"/>
          <w:i/>
          <w:color w:val="000000"/>
          <w:sz w:val="24"/>
          <w:szCs w:val="24"/>
        </w:rPr>
        <w:t>International Convention on the Elimination of All Forms of Racial Discriminatio</w:t>
      </w:r>
      <w:r w:rsidRPr="00862E78">
        <w:rPr>
          <w:rFonts w:ascii="Arial" w:hAnsi="Arial" w:cs="Arial"/>
          <w:color w:val="000000"/>
          <w:sz w:val="24"/>
          <w:szCs w:val="24"/>
        </w:rPr>
        <w:t xml:space="preserve">n </w:t>
      </w:r>
      <w:r>
        <w:rPr>
          <w:rFonts w:ascii="Arial" w:hAnsi="Arial" w:cs="Arial"/>
          <w:color w:val="000000"/>
          <w:sz w:val="24"/>
          <w:szCs w:val="24"/>
        </w:rPr>
        <w:t>(</w:t>
      </w:r>
      <w:r w:rsidRPr="00862E78">
        <w:rPr>
          <w:rFonts w:ascii="Arial" w:hAnsi="Arial" w:cs="Arial"/>
          <w:color w:val="000000"/>
          <w:sz w:val="24"/>
          <w:szCs w:val="24"/>
        </w:rPr>
        <w:t>ICERD</w:t>
      </w:r>
      <w:r>
        <w:rPr>
          <w:rFonts w:ascii="Arial" w:hAnsi="Arial" w:cs="Arial"/>
          <w:color w:val="000000"/>
          <w:sz w:val="24"/>
          <w:szCs w:val="24"/>
        </w:rPr>
        <w:t>).</w:t>
      </w:r>
      <w:r w:rsidRPr="005C2C48">
        <w:rPr>
          <w:rFonts w:ascii="Arial" w:hAnsi="Arial" w:cs="Arial"/>
          <w:color w:val="000000" w:themeColor="text1"/>
          <w:sz w:val="24"/>
          <w:szCs w:val="24"/>
          <w:lang w:val="en"/>
        </w:rPr>
        <w:t xml:space="preserve"> </w:t>
      </w:r>
      <w:r w:rsidRPr="004908CB">
        <w:rPr>
          <w:rFonts w:ascii="Arial" w:hAnsi="Arial" w:cs="Arial"/>
          <w:sz w:val="24"/>
          <w:szCs w:val="24"/>
        </w:rPr>
        <w:t>T</w:t>
      </w:r>
      <w:r w:rsidRPr="004908CB">
        <w:rPr>
          <w:rFonts w:ascii="Arial" w:hAnsi="Arial" w:cs="Arial"/>
          <w:sz w:val="24"/>
          <w:szCs w:val="24"/>
          <w:lang w:val="en-US"/>
        </w:rPr>
        <w:t xml:space="preserve">he </w:t>
      </w:r>
      <w:r w:rsidRPr="004908CB">
        <w:rPr>
          <w:rFonts w:ascii="Arial" w:hAnsi="Arial" w:cs="Arial"/>
          <w:sz w:val="24"/>
          <w:szCs w:val="24"/>
        </w:rPr>
        <w:t>PJCHR has found that threshold requirements for permissible limitations on human rights, including rational connection and proportionality, have not been satisfied by the government’s assertions in Human Rights Compatibility Statements accompanying extensions of the CDC scheme.</w:t>
      </w:r>
      <w:r w:rsidRPr="004908CB">
        <w:rPr>
          <w:rStyle w:val="FootnoteReference"/>
          <w:rFonts w:ascii="Arial" w:hAnsi="Arial" w:cs="Arial"/>
          <w:sz w:val="24"/>
          <w:szCs w:val="24"/>
        </w:rPr>
        <w:footnoteReference w:id="13"/>
      </w:r>
    </w:p>
    <w:p w14:paraId="1DFC2150" w14:textId="77777777" w:rsidR="00C51AE3" w:rsidRPr="005C2C48" w:rsidRDefault="00C51AE3" w:rsidP="00C51AE3">
      <w:pPr>
        <w:pStyle w:val="Default"/>
        <w:spacing w:line="276" w:lineRule="auto"/>
        <w:jc w:val="both"/>
        <w:rPr>
          <w:rFonts w:ascii="Arial" w:hAnsi="Arial" w:cs="Arial"/>
        </w:rPr>
      </w:pPr>
    </w:p>
    <w:p w14:paraId="46CC6AEF" w14:textId="6324A56F" w:rsidR="00C51AE3" w:rsidRPr="0071492E" w:rsidRDefault="00C51AE3" w:rsidP="00B01F57">
      <w:pPr>
        <w:pStyle w:val="Default"/>
        <w:spacing w:line="276" w:lineRule="auto"/>
        <w:jc w:val="both"/>
        <w:rPr>
          <w:rFonts w:ascii="Arial" w:hAnsi="Arial" w:cs="Arial"/>
        </w:rPr>
      </w:pPr>
      <w:r w:rsidRPr="005A3F3B">
        <w:rPr>
          <w:rFonts w:ascii="Arial" w:hAnsi="Arial" w:cs="Arial"/>
        </w:rPr>
        <w:t xml:space="preserve">There </w:t>
      </w:r>
      <w:r>
        <w:rPr>
          <w:rFonts w:ascii="Arial" w:hAnsi="Arial" w:cs="Arial"/>
        </w:rPr>
        <w:t xml:space="preserve">have also been serious problems with the government’s CDC consultations – with a lack of </w:t>
      </w:r>
      <w:r w:rsidRPr="005A3F3B">
        <w:rPr>
          <w:rFonts w:ascii="Arial" w:hAnsi="Arial" w:cs="Arial"/>
        </w:rPr>
        <w:t>genuine</w:t>
      </w:r>
      <w:r>
        <w:rPr>
          <w:rFonts w:ascii="Arial" w:hAnsi="Arial" w:cs="Arial"/>
        </w:rPr>
        <w:t>,</w:t>
      </w:r>
      <w:r w:rsidRPr="005A3F3B">
        <w:rPr>
          <w:rFonts w:ascii="Arial" w:hAnsi="Arial" w:cs="Arial"/>
        </w:rPr>
        <w:t xml:space="preserve"> </w:t>
      </w:r>
      <w:r>
        <w:rPr>
          <w:rFonts w:ascii="Arial" w:hAnsi="Arial" w:cs="Arial"/>
        </w:rPr>
        <w:t xml:space="preserve">meaningful, human rights compliant </w:t>
      </w:r>
      <w:r w:rsidRPr="005A3F3B">
        <w:rPr>
          <w:rFonts w:ascii="Arial" w:hAnsi="Arial" w:cs="Arial"/>
        </w:rPr>
        <w:t xml:space="preserve">consultation, in </w:t>
      </w:r>
      <w:r w:rsidRPr="005A3F3B">
        <w:rPr>
          <w:rFonts w:ascii="Arial" w:hAnsi="Arial" w:cs="Arial"/>
          <w:lang w:val="en-US"/>
        </w:rPr>
        <w:t xml:space="preserve">contravention of Article 19 of the </w:t>
      </w:r>
      <w:r w:rsidRPr="005A3F3B">
        <w:rPr>
          <w:rFonts w:ascii="Arial" w:hAnsi="Arial" w:cs="Arial"/>
          <w:i/>
        </w:rPr>
        <w:t xml:space="preserve">United Nations Declaration on the Rights of Indigenous Peoples </w:t>
      </w:r>
      <w:r w:rsidRPr="005A3F3B">
        <w:rPr>
          <w:rFonts w:ascii="Arial" w:hAnsi="Arial" w:cs="Arial"/>
        </w:rPr>
        <w:t>(UNDRIP)</w:t>
      </w:r>
      <w:r w:rsidR="00B01F57">
        <w:rPr>
          <w:rFonts w:ascii="Arial" w:hAnsi="Arial" w:cs="Arial"/>
        </w:rPr>
        <w:t xml:space="preserve"> (see Appendices A and D)</w:t>
      </w:r>
      <w:r w:rsidRPr="005A3F3B">
        <w:rPr>
          <w:rFonts w:ascii="Arial" w:hAnsi="Arial" w:cs="Arial"/>
        </w:rPr>
        <w:t xml:space="preserve">. </w:t>
      </w:r>
    </w:p>
    <w:p w14:paraId="2B2F2F4A" w14:textId="77777777" w:rsidR="00C51AE3" w:rsidRPr="0071492E" w:rsidRDefault="00C51AE3" w:rsidP="00C51AE3">
      <w:pPr>
        <w:pStyle w:val="Body"/>
        <w:spacing w:line="276" w:lineRule="auto"/>
        <w:ind w:right="140"/>
        <w:jc w:val="both"/>
        <w:rPr>
          <w:rFonts w:ascii="Arial" w:hAnsi="Arial" w:cs="Arial"/>
          <w:sz w:val="24"/>
          <w:szCs w:val="24"/>
        </w:rPr>
      </w:pPr>
    </w:p>
    <w:p w14:paraId="4C35E2E7" w14:textId="2D83B232" w:rsidR="00C51AE3" w:rsidRPr="0071492E" w:rsidRDefault="00B01F57" w:rsidP="00C51AE3">
      <w:pPr>
        <w:pStyle w:val="Body"/>
        <w:spacing w:line="276" w:lineRule="auto"/>
        <w:ind w:right="140"/>
        <w:jc w:val="both"/>
        <w:rPr>
          <w:rFonts w:ascii="Arial" w:hAnsi="Arial" w:cs="Arial"/>
          <w:sz w:val="24"/>
          <w:szCs w:val="24"/>
        </w:rPr>
      </w:pPr>
      <w:r>
        <w:rPr>
          <w:rFonts w:ascii="Arial" w:hAnsi="Arial" w:cs="Arial"/>
          <w:sz w:val="24"/>
          <w:szCs w:val="24"/>
        </w:rPr>
        <w:t>S</w:t>
      </w:r>
      <w:r w:rsidR="00C51AE3">
        <w:rPr>
          <w:rFonts w:ascii="Arial" w:hAnsi="Arial" w:cs="Arial"/>
          <w:sz w:val="24"/>
          <w:szCs w:val="24"/>
        </w:rPr>
        <w:t xml:space="preserve">ome people </w:t>
      </w:r>
      <w:r>
        <w:rPr>
          <w:rFonts w:ascii="Arial" w:hAnsi="Arial" w:cs="Arial"/>
          <w:sz w:val="24"/>
          <w:szCs w:val="24"/>
        </w:rPr>
        <w:t>find the CDC so burdensome that they have withdrawn from accessing social security payments.</w:t>
      </w:r>
      <w:r w:rsidR="00C51AE3" w:rsidRPr="0071492E">
        <w:rPr>
          <w:rStyle w:val="FootnoteReference"/>
          <w:rFonts w:ascii="Arial" w:hAnsi="Arial" w:cs="Arial"/>
          <w:sz w:val="24"/>
          <w:szCs w:val="24"/>
        </w:rPr>
        <w:footnoteReference w:id="14"/>
      </w:r>
      <w:r w:rsidR="00C51AE3" w:rsidRPr="0071492E">
        <w:rPr>
          <w:rFonts w:ascii="Arial" w:hAnsi="Arial" w:cs="Arial"/>
          <w:sz w:val="24"/>
          <w:szCs w:val="24"/>
        </w:rPr>
        <w:t xml:space="preserve"> People removing themselves from the system in order to avoid the card are not receiving the social security payments to which they are entitled. </w:t>
      </w:r>
    </w:p>
    <w:p w14:paraId="4A4E9A86" w14:textId="77777777" w:rsidR="00C51AE3" w:rsidRDefault="00C51AE3" w:rsidP="00C51AE3">
      <w:pPr>
        <w:pStyle w:val="Default"/>
        <w:spacing w:line="276" w:lineRule="auto"/>
        <w:jc w:val="both"/>
        <w:rPr>
          <w:rFonts w:ascii="Arial" w:hAnsi="Arial" w:cs="Arial"/>
        </w:rPr>
      </w:pPr>
    </w:p>
    <w:p w14:paraId="6E4915EF" w14:textId="77777777" w:rsidR="00B7147B" w:rsidRDefault="00B01F57" w:rsidP="00B7147B">
      <w:pPr>
        <w:pStyle w:val="Default"/>
        <w:spacing w:line="276" w:lineRule="auto"/>
        <w:jc w:val="both"/>
        <w:rPr>
          <w:rFonts w:ascii="Arial" w:hAnsi="Arial" w:cs="Arial"/>
        </w:rPr>
      </w:pPr>
      <w:r>
        <w:rPr>
          <w:rFonts w:ascii="Arial" w:hAnsi="Arial" w:cs="Arial"/>
        </w:rPr>
        <w:t xml:space="preserve">Some CDC holders have difficulty </w:t>
      </w:r>
      <w:r w:rsidR="00C51AE3" w:rsidRPr="00BE5D8D">
        <w:rPr>
          <w:rFonts w:ascii="Arial" w:hAnsi="Arial" w:cs="Arial"/>
        </w:rPr>
        <w:t>navigating</w:t>
      </w:r>
      <w:r w:rsidR="00C51AE3" w:rsidRPr="005C2C48">
        <w:rPr>
          <w:rFonts w:ascii="Arial" w:hAnsi="Arial" w:cs="Arial"/>
        </w:rPr>
        <w:t xml:space="preserve"> the technology required to access the restricted portion of their social security payment</w:t>
      </w:r>
      <w:r>
        <w:rPr>
          <w:rFonts w:ascii="Arial" w:hAnsi="Arial" w:cs="Arial"/>
        </w:rPr>
        <w:t>, leading to a host of problems, including problems paying rent and paying for other essentials such as medical devices</w:t>
      </w:r>
      <w:r w:rsidR="00C51AE3" w:rsidRPr="005C2C48">
        <w:rPr>
          <w:rFonts w:ascii="Arial" w:hAnsi="Arial" w:cs="Arial"/>
        </w:rPr>
        <w:t>.</w:t>
      </w:r>
      <w:r w:rsidR="00C51AE3" w:rsidRPr="005C2C48">
        <w:rPr>
          <w:rStyle w:val="FootnoteReference"/>
          <w:rFonts w:ascii="Arial" w:hAnsi="Arial" w:cs="Arial"/>
        </w:rPr>
        <w:footnoteReference w:id="15"/>
      </w:r>
      <w:r w:rsidR="00C51AE3" w:rsidRPr="005C2C48">
        <w:rPr>
          <w:rFonts w:ascii="Arial" w:hAnsi="Arial" w:cs="Arial"/>
        </w:rPr>
        <w:t xml:space="preserve"> The CDC </w:t>
      </w:r>
      <w:r w:rsidR="00BD5DCF">
        <w:rPr>
          <w:rFonts w:ascii="Arial" w:hAnsi="Arial" w:cs="Arial"/>
        </w:rPr>
        <w:t>also</w:t>
      </w:r>
      <w:r w:rsidR="00C51AE3" w:rsidRPr="005C2C48">
        <w:rPr>
          <w:rFonts w:ascii="Arial" w:hAnsi="Arial" w:cs="Arial"/>
        </w:rPr>
        <w:t xml:space="preserve"> lead</w:t>
      </w:r>
      <w:r w:rsidR="00BD5DCF">
        <w:rPr>
          <w:rFonts w:ascii="Arial" w:hAnsi="Arial" w:cs="Arial"/>
        </w:rPr>
        <w:t>s</w:t>
      </w:r>
      <w:r w:rsidR="00C51AE3" w:rsidRPr="005C2C48">
        <w:rPr>
          <w:rFonts w:ascii="Arial" w:hAnsi="Arial" w:cs="Arial"/>
        </w:rPr>
        <w:t xml:space="preserve"> to increased costs for </w:t>
      </w:r>
      <w:r w:rsidR="00BD5DCF">
        <w:rPr>
          <w:rFonts w:ascii="Arial" w:hAnsi="Arial" w:cs="Arial"/>
        </w:rPr>
        <w:t>card</w:t>
      </w:r>
      <w:r w:rsidR="00C51AE3" w:rsidRPr="005C2C48">
        <w:rPr>
          <w:rFonts w:ascii="Arial" w:hAnsi="Arial" w:cs="Arial"/>
        </w:rPr>
        <w:t xml:space="preserve">holders </w:t>
      </w:r>
      <w:r w:rsidR="00BD5DCF">
        <w:rPr>
          <w:rFonts w:ascii="Arial" w:hAnsi="Arial" w:cs="Arial"/>
        </w:rPr>
        <w:t xml:space="preserve">who are subject to merchant fees, minimum spend requirements in some shops, and </w:t>
      </w:r>
      <w:proofErr w:type="spellStart"/>
      <w:r w:rsidR="00BD5DCF">
        <w:rPr>
          <w:rFonts w:ascii="Arial" w:hAnsi="Arial" w:cs="Arial"/>
        </w:rPr>
        <w:t>Indue</w:t>
      </w:r>
      <w:proofErr w:type="spellEnd"/>
      <w:r w:rsidR="00BD5DCF">
        <w:rPr>
          <w:rFonts w:ascii="Arial" w:hAnsi="Arial" w:cs="Arial"/>
        </w:rPr>
        <w:t xml:space="preserve"> fees</w:t>
      </w:r>
      <w:r w:rsidR="00C51AE3" w:rsidRPr="005C2C48">
        <w:rPr>
          <w:rFonts w:ascii="Arial" w:hAnsi="Arial" w:cs="Arial"/>
        </w:rPr>
        <w:t>.</w:t>
      </w:r>
      <w:r w:rsidR="00BD5DCF">
        <w:rPr>
          <w:rFonts w:ascii="Arial" w:hAnsi="Arial" w:cs="Arial"/>
        </w:rPr>
        <w:t xml:space="preserve"> This means their social security income does not go as far as it did before the CDC was introduced.</w:t>
      </w:r>
      <w:r w:rsidR="00C51AE3" w:rsidRPr="005C2C48">
        <w:rPr>
          <w:rFonts w:ascii="Arial" w:hAnsi="Arial" w:cs="Arial"/>
        </w:rPr>
        <w:t xml:space="preserve"> The CDC places additional cost burdens on those who are least equipped to deal with them due to social security payments being made below the poverty line.</w:t>
      </w:r>
    </w:p>
    <w:p w14:paraId="68B4F0DF" w14:textId="30EDD4DB" w:rsidR="00C51AE3" w:rsidRDefault="00C51AE3" w:rsidP="00B7147B">
      <w:pPr>
        <w:pStyle w:val="Default"/>
        <w:spacing w:line="276" w:lineRule="auto"/>
        <w:jc w:val="both"/>
        <w:rPr>
          <w:rFonts w:ascii="Arial" w:hAnsi="Arial" w:cs="Arial"/>
        </w:rPr>
      </w:pPr>
      <w:r w:rsidRPr="00325D5E">
        <w:rPr>
          <w:rFonts w:ascii="Arial" w:hAnsi="Arial" w:cs="Arial"/>
        </w:rPr>
        <w:lastRenderedPageBreak/>
        <w:t>Uniting Communities</w:t>
      </w:r>
      <w:r w:rsidR="00BD5DCF" w:rsidRPr="00325D5E">
        <w:rPr>
          <w:rFonts w:ascii="Arial" w:hAnsi="Arial" w:cs="Arial"/>
        </w:rPr>
        <w:t xml:space="preserve"> point out that the CDC is not appropriate because</w:t>
      </w:r>
      <w:r w:rsidRPr="00325D5E">
        <w:rPr>
          <w:rFonts w:ascii="Arial" w:hAnsi="Arial" w:cs="Arial"/>
        </w:rPr>
        <w:t xml:space="preserve"> </w:t>
      </w:r>
      <w:r w:rsidR="00BD5DCF" w:rsidRPr="00325D5E">
        <w:rPr>
          <w:rFonts w:ascii="Arial" w:hAnsi="Arial" w:cs="Arial"/>
        </w:rPr>
        <w:t>‘</w:t>
      </w:r>
      <w:r w:rsidRPr="00325D5E">
        <w:rPr>
          <w:rFonts w:ascii="Arial" w:hAnsi="Arial" w:cs="Arial"/>
        </w:rPr>
        <w:t>not everyone is literate or numerate, and technology can be confusing, overwhelming and alienating.</w:t>
      </w:r>
      <w:r w:rsidR="00BD5DCF" w:rsidRPr="00325D5E">
        <w:rPr>
          <w:rFonts w:ascii="Arial" w:hAnsi="Arial" w:cs="Arial"/>
        </w:rPr>
        <w:t>’</w:t>
      </w:r>
      <w:r w:rsidR="00BD5DCF" w:rsidRPr="00325D5E">
        <w:rPr>
          <w:rStyle w:val="FootnoteReference"/>
          <w:rFonts w:ascii="Arial" w:hAnsi="Arial" w:cs="Arial"/>
        </w:rPr>
        <w:footnoteReference w:id="16"/>
      </w:r>
      <w:r w:rsidR="00BD5DCF" w:rsidRPr="00325D5E">
        <w:rPr>
          <w:rFonts w:ascii="Arial" w:hAnsi="Arial" w:cs="Arial"/>
        </w:rPr>
        <w:t xml:space="preserve"> They elaborate</w:t>
      </w:r>
      <w:r w:rsidR="00325D5E" w:rsidRPr="00325D5E">
        <w:rPr>
          <w:rFonts w:ascii="Arial" w:hAnsi="Arial" w:cs="Arial"/>
        </w:rPr>
        <w:t xml:space="preserve"> that many CDC holders have been</w:t>
      </w:r>
      <w:r w:rsidRPr="00325D5E">
        <w:rPr>
          <w:rFonts w:ascii="Arial" w:hAnsi="Arial" w:cs="Arial"/>
        </w:rPr>
        <w:t xml:space="preserve"> </w:t>
      </w:r>
      <w:r w:rsidR="00325D5E" w:rsidRPr="00325D5E">
        <w:rPr>
          <w:rFonts w:ascii="Arial" w:hAnsi="Arial" w:cs="Arial"/>
        </w:rPr>
        <w:t>‘</w:t>
      </w:r>
      <w:r w:rsidRPr="00325D5E">
        <w:rPr>
          <w:rFonts w:ascii="Arial" w:hAnsi="Arial" w:cs="Arial"/>
        </w:rPr>
        <w:t>feeling inept and overwhelmed because they either do not own smart phones, are not familiar with such technology, do not have the literacy or numeracy skills, and/or do not have sufficient funds to pay for the cost of mobile data and downloads.</w:t>
      </w:r>
      <w:r w:rsidR="00325D5E" w:rsidRPr="00325D5E">
        <w:rPr>
          <w:rFonts w:ascii="Arial" w:hAnsi="Arial" w:cs="Arial"/>
        </w:rPr>
        <w:t>’</w:t>
      </w:r>
      <w:r w:rsidRPr="00325D5E">
        <w:rPr>
          <w:rStyle w:val="FootnoteReference"/>
          <w:rFonts w:ascii="Arial" w:hAnsi="Arial" w:cs="Arial"/>
        </w:rPr>
        <w:footnoteReference w:id="17"/>
      </w:r>
    </w:p>
    <w:p w14:paraId="2F0B9207" w14:textId="77777777" w:rsidR="00B7147B" w:rsidRPr="00325D5E" w:rsidRDefault="00B7147B" w:rsidP="00B7147B">
      <w:pPr>
        <w:pStyle w:val="Default"/>
        <w:spacing w:line="276" w:lineRule="auto"/>
        <w:jc w:val="both"/>
        <w:rPr>
          <w:rFonts w:ascii="Arial" w:hAnsi="Arial" w:cs="Arial"/>
        </w:rPr>
      </w:pPr>
    </w:p>
    <w:p w14:paraId="4BF518CA" w14:textId="37240A84" w:rsidR="00C51AE3" w:rsidRPr="005C2C48" w:rsidRDefault="00C51AE3" w:rsidP="00C87BBF">
      <w:pPr>
        <w:pStyle w:val="Default"/>
        <w:spacing w:line="276" w:lineRule="auto"/>
        <w:jc w:val="both"/>
        <w:rPr>
          <w:rFonts w:ascii="Arial" w:hAnsi="Arial" w:cs="Arial"/>
        </w:rPr>
      </w:pPr>
      <w:r w:rsidRPr="005C2C48">
        <w:rPr>
          <w:rFonts w:ascii="Arial" w:hAnsi="Arial" w:cs="Arial"/>
        </w:rPr>
        <w:t xml:space="preserve">Problems with IT literacy and IT system reliability were also raised in the Final </w:t>
      </w:r>
      <w:proofErr w:type="spellStart"/>
      <w:r w:rsidRPr="005C2C48">
        <w:rPr>
          <w:rFonts w:ascii="Arial" w:hAnsi="Arial" w:cs="Arial"/>
        </w:rPr>
        <w:t>Orima</w:t>
      </w:r>
      <w:proofErr w:type="spellEnd"/>
      <w:r w:rsidRPr="005C2C48">
        <w:rPr>
          <w:rFonts w:ascii="Arial" w:hAnsi="Arial" w:cs="Arial"/>
        </w:rPr>
        <w:t xml:space="preserve"> </w:t>
      </w:r>
      <w:r>
        <w:rPr>
          <w:rFonts w:ascii="Arial" w:hAnsi="Arial" w:cs="Arial"/>
        </w:rPr>
        <w:t xml:space="preserve">CDC </w:t>
      </w:r>
      <w:r w:rsidRPr="005C2C48">
        <w:rPr>
          <w:rFonts w:ascii="Arial" w:hAnsi="Arial" w:cs="Arial"/>
        </w:rPr>
        <w:t>Evaluation report, which states that ‘in some Trial areas’ there is ‘limited or “patchy” signal coverage for mobile phones and the internet’.</w:t>
      </w:r>
      <w:r w:rsidRPr="005C2C48">
        <w:rPr>
          <w:rStyle w:val="FootnoteReference"/>
          <w:rFonts w:ascii="Arial" w:hAnsi="Arial" w:cs="Arial"/>
        </w:rPr>
        <w:footnoteReference w:id="18"/>
      </w:r>
      <w:r w:rsidRPr="005C2C48">
        <w:rPr>
          <w:rFonts w:ascii="Arial" w:hAnsi="Arial" w:cs="Arial"/>
        </w:rPr>
        <w:t xml:space="preserve"> </w:t>
      </w:r>
      <w:r w:rsidR="00325D5E">
        <w:rPr>
          <w:rFonts w:ascii="Arial" w:hAnsi="Arial" w:cs="Arial"/>
        </w:rPr>
        <w:t>Power outages in some trial areas have also caused problems for people on the CDC who cannot then use their</w:t>
      </w:r>
      <w:r w:rsidR="00250635">
        <w:rPr>
          <w:rFonts w:ascii="Arial" w:hAnsi="Arial" w:cs="Arial"/>
        </w:rPr>
        <w:t xml:space="preserve"> quarantined</w:t>
      </w:r>
      <w:r w:rsidR="00325D5E">
        <w:rPr>
          <w:rFonts w:ascii="Arial" w:hAnsi="Arial" w:cs="Arial"/>
        </w:rPr>
        <w:t xml:space="preserve"> funds during this time to purchase essentials.</w:t>
      </w:r>
    </w:p>
    <w:p w14:paraId="14C4EB4E" w14:textId="77777777" w:rsidR="00C51AE3" w:rsidRPr="005C2C48" w:rsidRDefault="00C51AE3" w:rsidP="00C51AE3">
      <w:pPr>
        <w:autoSpaceDE w:val="0"/>
        <w:autoSpaceDN w:val="0"/>
        <w:adjustRightInd w:val="0"/>
        <w:spacing w:after="0"/>
        <w:jc w:val="both"/>
        <w:rPr>
          <w:rFonts w:ascii="Arial" w:hAnsi="Arial" w:cs="Arial"/>
          <w:sz w:val="24"/>
          <w:szCs w:val="24"/>
        </w:rPr>
      </w:pPr>
    </w:p>
    <w:p w14:paraId="2A49163E" w14:textId="100F8F9A" w:rsidR="00C51AE3" w:rsidRPr="005C2C48" w:rsidRDefault="00676418" w:rsidP="00C51AE3">
      <w:pPr>
        <w:autoSpaceDE w:val="0"/>
        <w:autoSpaceDN w:val="0"/>
        <w:adjustRightInd w:val="0"/>
        <w:spacing w:after="0"/>
        <w:jc w:val="both"/>
        <w:rPr>
          <w:rFonts w:ascii="Arial" w:hAnsi="Arial" w:cs="Arial"/>
          <w:sz w:val="24"/>
          <w:szCs w:val="24"/>
        </w:rPr>
      </w:pPr>
      <w:r>
        <w:rPr>
          <w:rFonts w:ascii="Arial" w:hAnsi="Arial" w:cs="Arial"/>
          <w:sz w:val="24"/>
          <w:szCs w:val="24"/>
        </w:rPr>
        <w:t xml:space="preserve">The CDC also raises problems for people with disabilities, and violates the </w:t>
      </w:r>
      <w:r w:rsidRPr="005C2C48">
        <w:rPr>
          <w:rFonts w:ascii="Arial" w:hAnsi="Arial" w:cs="Arial"/>
          <w:i/>
          <w:sz w:val="24"/>
          <w:szCs w:val="24"/>
        </w:rPr>
        <w:t>Convention on the Rights of Persons with Disabilities</w:t>
      </w:r>
      <w:r w:rsidRPr="005C2C48">
        <w:rPr>
          <w:rFonts w:ascii="Arial" w:hAnsi="Arial" w:cs="Arial"/>
          <w:sz w:val="24"/>
          <w:szCs w:val="24"/>
        </w:rPr>
        <w:t xml:space="preserve"> (CRPD)</w:t>
      </w:r>
      <w:r>
        <w:rPr>
          <w:rFonts w:ascii="Arial" w:hAnsi="Arial" w:cs="Arial"/>
          <w:sz w:val="24"/>
          <w:szCs w:val="24"/>
        </w:rPr>
        <w:t xml:space="preserve"> (see </w:t>
      </w:r>
      <w:r w:rsidR="00325D5E">
        <w:rPr>
          <w:rFonts w:ascii="Arial" w:hAnsi="Arial" w:cs="Arial"/>
          <w:sz w:val="24"/>
          <w:szCs w:val="24"/>
        </w:rPr>
        <w:t xml:space="preserve">further detail in </w:t>
      </w:r>
      <w:r>
        <w:rPr>
          <w:rFonts w:ascii="Arial" w:hAnsi="Arial" w:cs="Arial"/>
          <w:sz w:val="24"/>
          <w:szCs w:val="24"/>
        </w:rPr>
        <w:t xml:space="preserve">Appendix C). </w:t>
      </w:r>
      <w:r w:rsidR="00C51AE3">
        <w:rPr>
          <w:rFonts w:ascii="Arial" w:hAnsi="Arial" w:cs="Arial"/>
          <w:sz w:val="24"/>
          <w:szCs w:val="24"/>
        </w:rPr>
        <w:t>Although d</w:t>
      </w:r>
      <w:r w:rsidR="00C51AE3" w:rsidRPr="005C2C48">
        <w:rPr>
          <w:rFonts w:ascii="Arial" w:hAnsi="Arial" w:cs="Arial"/>
          <w:sz w:val="24"/>
          <w:szCs w:val="24"/>
        </w:rPr>
        <w:t xml:space="preserve">isability discrimination is a relevant concern with the CDC – it has not been considered or addressed by the PJCHR or government Human Rights Compatibility Statements accompanying CDC legislation. </w:t>
      </w:r>
    </w:p>
    <w:p w14:paraId="50E71001" w14:textId="77777777" w:rsidR="00C51AE3" w:rsidRPr="005C2C48" w:rsidRDefault="00C51AE3" w:rsidP="00C51AE3">
      <w:pPr>
        <w:autoSpaceDE w:val="0"/>
        <w:autoSpaceDN w:val="0"/>
        <w:adjustRightInd w:val="0"/>
        <w:spacing w:after="0"/>
        <w:jc w:val="both"/>
        <w:rPr>
          <w:rFonts w:ascii="Arial" w:hAnsi="Arial" w:cs="Arial"/>
          <w:sz w:val="24"/>
          <w:szCs w:val="24"/>
        </w:rPr>
      </w:pPr>
    </w:p>
    <w:p w14:paraId="44FDBFDE" w14:textId="77777777" w:rsidR="00C51AE3" w:rsidRPr="005C2C48" w:rsidRDefault="00C51AE3" w:rsidP="00C51AE3">
      <w:pPr>
        <w:autoSpaceDE w:val="0"/>
        <w:autoSpaceDN w:val="0"/>
        <w:adjustRightInd w:val="0"/>
        <w:spacing w:after="0"/>
        <w:jc w:val="both"/>
        <w:rPr>
          <w:rFonts w:ascii="Arial" w:hAnsi="Arial" w:cs="Arial"/>
          <w:b/>
          <w:sz w:val="24"/>
          <w:szCs w:val="24"/>
        </w:rPr>
      </w:pPr>
      <w:r w:rsidRPr="005C2C48">
        <w:rPr>
          <w:rFonts w:ascii="Arial" w:hAnsi="Arial" w:cs="Arial"/>
          <w:b/>
          <w:sz w:val="24"/>
          <w:szCs w:val="24"/>
        </w:rPr>
        <w:t>The Community Development Program (CDP)</w:t>
      </w:r>
    </w:p>
    <w:p w14:paraId="55B6701A" w14:textId="77777777" w:rsidR="00C51AE3" w:rsidRPr="005C2C48" w:rsidRDefault="00C51AE3" w:rsidP="00C51AE3">
      <w:pPr>
        <w:autoSpaceDE w:val="0"/>
        <w:autoSpaceDN w:val="0"/>
        <w:adjustRightInd w:val="0"/>
        <w:spacing w:after="0"/>
        <w:jc w:val="both"/>
        <w:rPr>
          <w:rFonts w:ascii="Arial" w:hAnsi="Arial" w:cs="Arial"/>
          <w:sz w:val="24"/>
          <w:szCs w:val="24"/>
        </w:rPr>
      </w:pPr>
    </w:p>
    <w:p w14:paraId="52F78816" w14:textId="1E49C846" w:rsidR="00C51AE3" w:rsidRDefault="00C51AE3" w:rsidP="00C51AE3">
      <w:pPr>
        <w:jc w:val="both"/>
        <w:rPr>
          <w:rFonts w:ascii="Arial" w:hAnsi="Arial" w:cs="Arial"/>
          <w:sz w:val="24"/>
          <w:szCs w:val="24"/>
        </w:rPr>
      </w:pPr>
      <w:r w:rsidRPr="005C2C48">
        <w:rPr>
          <w:rFonts w:ascii="Arial" w:hAnsi="Arial" w:cs="Arial"/>
          <w:sz w:val="24"/>
          <w:szCs w:val="24"/>
        </w:rPr>
        <w:t>CDP has been designed to absorb previous Community Development Employment Program (CDEP) and Remote Jobs and Communities Program (RJCP) participants. Under CDEP Indigenous job seekers could earn wages by voluntarily undertaking work in remote Indigenous communities. With the abolition of CDEP many Indigenous people</w:t>
      </w:r>
      <w:r w:rsidR="00FF3AF2">
        <w:rPr>
          <w:rFonts w:ascii="Arial" w:hAnsi="Arial" w:cs="Arial"/>
          <w:sz w:val="24"/>
          <w:szCs w:val="24"/>
        </w:rPr>
        <w:t xml:space="preserve"> </w:t>
      </w:r>
      <w:r w:rsidRPr="005C2C48">
        <w:rPr>
          <w:rFonts w:ascii="Arial" w:hAnsi="Arial" w:cs="Arial"/>
          <w:sz w:val="24"/>
          <w:szCs w:val="24"/>
        </w:rPr>
        <w:t xml:space="preserve">were transformed into welfare recipients and placed under RJCP. Under CDP, welfare recipients </w:t>
      </w:r>
      <w:r w:rsidRPr="005C2C48">
        <w:rPr>
          <w:rFonts w:ascii="Arial" w:hAnsi="Arial" w:cs="Arial"/>
          <w:color w:val="000000" w:themeColor="text1"/>
          <w:sz w:val="24"/>
          <w:szCs w:val="24"/>
          <w:lang w:val="en"/>
        </w:rPr>
        <w:t xml:space="preserve">living in remote communities aged between 18 and 49 years are required to undertake </w:t>
      </w:r>
      <w:r w:rsidRPr="005C2C48">
        <w:rPr>
          <w:rFonts w:ascii="Arial" w:hAnsi="Arial" w:cs="Arial"/>
          <w:sz w:val="24"/>
          <w:szCs w:val="24"/>
        </w:rPr>
        <w:t xml:space="preserve">work or work-like activity or training </w:t>
      </w:r>
      <w:r w:rsidRPr="005C2C48">
        <w:rPr>
          <w:rFonts w:ascii="Arial" w:hAnsi="Arial" w:cs="Arial"/>
          <w:color w:val="000000" w:themeColor="text1"/>
          <w:sz w:val="24"/>
          <w:szCs w:val="24"/>
          <w:lang w:val="en"/>
        </w:rPr>
        <w:t xml:space="preserve">for up to 25 hours a week </w:t>
      </w:r>
      <w:r w:rsidRPr="005C2C48">
        <w:rPr>
          <w:rFonts w:ascii="Arial" w:hAnsi="Arial" w:cs="Arial"/>
          <w:sz w:val="24"/>
          <w:szCs w:val="24"/>
        </w:rPr>
        <w:t>in order to access a social security payment</w:t>
      </w:r>
      <w:r w:rsidRPr="005C2C48">
        <w:rPr>
          <w:rFonts w:ascii="Arial" w:hAnsi="Arial" w:cs="Arial"/>
          <w:color w:val="000000" w:themeColor="text1"/>
          <w:sz w:val="24"/>
          <w:szCs w:val="24"/>
          <w:lang w:val="en"/>
        </w:rPr>
        <w:t xml:space="preserve">. </w:t>
      </w:r>
      <w:r w:rsidRPr="005C2C48">
        <w:rPr>
          <w:rFonts w:ascii="Arial" w:hAnsi="Arial" w:cs="Arial"/>
          <w:sz w:val="24"/>
          <w:szCs w:val="24"/>
        </w:rPr>
        <w:t>CDP is purportedly part of the government’s strategy for ‘breaking the cycle of welfare dependency’,</w:t>
      </w:r>
      <w:r w:rsidRPr="005C2C48">
        <w:rPr>
          <w:rStyle w:val="FootnoteReference"/>
          <w:rFonts w:ascii="Arial" w:hAnsi="Arial" w:cs="Arial"/>
          <w:sz w:val="24"/>
          <w:szCs w:val="24"/>
        </w:rPr>
        <w:footnoteReference w:id="19"/>
      </w:r>
      <w:r w:rsidRPr="005C2C48">
        <w:rPr>
          <w:rFonts w:ascii="Arial" w:hAnsi="Arial" w:cs="Arial"/>
          <w:sz w:val="24"/>
          <w:szCs w:val="24"/>
        </w:rPr>
        <w:t xml:space="preserve"> and has </w:t>
      </w:r>
      <w:r w:rsidRPr="005C2C48">
        <w:rPr>
          <w:rFonts w:ascii="Arial" w:hAnsi="Arial" w:cs="Arial"/>
          <w:color w:val="000000" w:themeColor="text1"/>
          <w:sz w:val="24"/>
          <w:szCs w:val="24"/>
          <w:lang w:val="en"/>
        </w:rPr>
        <w:t>required welfare recipients in remote areas to engage in up to 10 hours of activity per week in addition to that which is required for welfare recipients residing elsewhere who are also subject to work for the dole obligations.</w:t>
      </w:r>
      <w:r w:rsidRPr="005C2C48">
        <w:rPr>
          <w:rStyle w:val="FootnoteReference"/>
          <w:rFonts w:ascii="Arial" w:hAnsi="Arial" w:cs="Arial"/>
          <w:color w:val="000000" w:themeColor="text1"/>
          <w:sz w:val="24"/>
          <w:szCs w:val="24"/>
          <w:lang w:val="en"/>
        </w:rPr>
        <w:footnoteReference w:id="20"/>
      </w:r>
      <w:r w:rsidRPr="005C2C48">
        <w:rPr>
          <w:rFonts w:ascii="Arial" w:hAnsi="Arial" w:cs="Arial"/>
          <w:sz w:val="24"/>
          <w:szCs w:val="24"/>
        </w:rPr>
        <w:t xml:space="preserve"> </w:t>
      </w:r>
      <w:r>
        <w:rPr>
          <w:rFonts w:ascii="Arial" w:hAnsi="Arial" w:cs="Arial"/>
          <w:sz w:val="24"/>
          <w:szCs w:val="24"/>
        </w:rPr>
        <w:t xml:space="preserve">At the time of writing, CDP’s legislative framework is contained in Division 3A </w:t>
      </w:r>
      <w:r w:rsidRPr="005C2C48">
        <w:rPr>
          <w:rFonts w:ascii="Arial" w:hAnsi="Arial" w:cs="Arial"/>
          <w:sz w:val="24"/>
          <w:szCs w:val="24"/>
        </w:rPr>
        <w:t xml:space="preserve">of the </w:t>
      </w:r>
      <w:r w:rsidRPr="005C2C48">
        <w:rPr>
          <w:rFonts w:ascii="Arial" w:hAnsi="Arial" w:cs="Arial"/>
          <w:i/>
          <w:sz w:val="24"/>
          <w:szCs w:val="24"/>
        </w:rPr>
        <w:t>Social Security (Administration) Act 1999</w:t>
      </w:r>
      <w:r w:rsidRPr="005C2C48">
        <w:rPr>
          <w:rFonts w:ascii="Arial" w:hAnsi="Arial" w:cs="Arial"/>
          <w:sz w:val="24"/>
          <w:szCs w:val="24"/>
        </w:rPr>
        <w:t xml:space="preserve"> (</w:t>
      </w:r>
      <w:proofErr w:type="spellStart"/>
      <w:r w:rsidRPr="005C2C48">
        <w:rPr>
          <w:rFonts w:ascii="Arial" w:hAnsi="Arial" w:cs="Arial"/>
          <w:sz w:val="24"/>
          <w:szCs w:val="24"/>
        </w:rPr>
        <w:t>Cth</w:t>
      </w:r>
      <w:proofErr w:type="spellEnd"/>
      <w:r w:rsidRPr="005C2C48">
        <w:rPr>
          <w:rFonts w:ascii="Arial" w:hAnsi="Arial" w:cs="Arial"/>
          <w:sz w:val="24"/>
          <w:szCs w:val="24"/>
        </w:rPr>
        <w:t>).</w:t>
      </w:r>
      <w:r>
        <w:rPr>
          <w:rFonts w:ascii="Arial" w:hAnsi="Arial" w:cs="Arial"/>
          <w:sz w:val="24"/>
          <w:szCs w:val="24"/>
        </w:rPr>
        <w:t xml:space="preserve"> A range of penalty provisions are set out in Division 3A </w:t>
      </w:r>
      <w:r w:rsidRPr="00031C35">
        <w:rPr>
          <w:rFonts w:ascii="Arial" w:hAnsi="Arial" w:cs="Arial"/>
          <w:sz w:val="24"/>
          <w:szCs w:val="24"/>
        </w:rPr>
        <w:t xml:space="preserve">‘Compliance with obligations in relation to participation </w:t>
      </w:r>
      <w:proofErr w:type="gramStart"/>
      <w:r w:rsidRPr="00031C35">
        <w:rPr>
          <w:rFonts w:ascii="Arial" w:hAnsi="Arial" w:cs="Arial"/>
          <w:sz w:val="24"/>
          <w:szCs w:val="24"/>
        </w:rPr>
        <w:t>payments’</w:t>
      </w:r>
      <w:proofErr w:type="gramEnd"/>
      <w:r w:rsidRPr="00031C35">
        <w:rPr>
          <w:rFonts w:ascii="Arial" w:hAnsi="Arial" w:cs="Arial"/>
          <w:sz w:val="24"/>
          <w:szCs w:val="24"/>
        </w:rPr>
        <w:t>.</w:t>
      </w:r>
    </w:p>
    <w:p w14:paraId="7D2C8A62" w14:textId="4C2A87BC" w:rsidR="00C51AE3" w:rsidRPr="005C2C48" w:rsidRDefault="00C51AE3" w:rsidP="00C51AE3">
      <w:pPr>
        <w:jc w:val="both"/>
        <w:rPr>
          <w:rFonts w:ascii="Arial" w:hAnsi="Arial" w:cs="Arial"/>
          <w:sz w:val="24"/>
          <w:szCs w:val="24"/>
        </w:rPr>
      </w:pPr>
      <w:r w:rsidRPr="005C2C48">
        <w:rPr>
          <w:rFonts w:ascii="Arial" w:hAnsi="Arial" w:cs="Arial"/>
          <w:sz w:val="24"/>
          <w:szCs w:val="24"/>
        </w:rPr>
        <w:lastRenderedPageBreak/>
        <w:t>Although CDP is not expressly a race-based measure ‘over 80% of CDP participants’ identify as Indigenous</w:t>
      </w:r>
      <w:r>
        <w:rPr>
          <w:rFonts w:ascii="Arial" w:hAnsi="Arial" w:cs="Arial"/>
          <w:color w:val="000000" w:themeColor="text1"/>
          <w:sz w:val="24"/>
          <w:szCs w:val="24"/>
          <w:lang w:val="en"/>
        </w:rPr>
        <w:t>,</w:t>
      </w:r>
      <w:r w:rsidRPr="005C2C48">
        <w:rPr>
          <w:rStyle w:val="FootnoteReference"/>
          <w:rFonts w:ascii="Arial" w:hAnsi="Arial" w:cs="Arial"/>
          <w:color w:val="000000" w:themeColor="text1"/>
          <w:sz w:val="24"/>
          <w:szCs w:val="24"/>
          <w:lang w:val="en"/>
        </w:rPr>
        <w:footnoteReference w:id="21"/>
      </w:r>
      <w:r>
        <w:rPr>
          <w:rFonts w:ascii="Arial" w:hAnsi="Arial" w:cs="Arial"/>
          <w:color w:val="000000" w:themeColor="text1"/>
          <w:sz w:val="24"/>
          <w:szCs w:val="24"/>
          <w:lang w:val="en"/>
        </w:rPr>
        <w:t xml:space="preserve"> therefore issues of indirect racial discrimination arise under Article 1 </w:t>
      </w:r>
      <w:r w:rsidRPr="00862E78">
        <w:rPr>
          <w:rFonts w:ascii="Arial" w:hAnsi="Arial" w:cs="Arial"/>
          <w:color w:val="000000"/>
          <w:sz w:val="24"/>
          <w:szCs w:val="24"/>
        </w:rPr>
        <w:t>of ICERD</w:t>
      </w:r>
      <w:r>
        <w:rPr>
          <w:rFonts w:ascii="Arial" w:hAnsi="Arial" w:cs="Arial"/>
          <w:color w:val="000000" w:themeColor="text1"/>
          <w:sz w:val="24"/>
          <w:szCs w:val="24"/>
          <w:lang w:val="en"/>
        </w:rPr>
        <w:t>.</w:t>
      </w:r>
      <w:r w:rsidRPr="005C2C48">
        <w:rPr>
          <w:rFonts w:ascii="Arial" w:hAnsi="Arial" w:cs="Arial"/>
          <w:color w:val="000000" w:themeColor="text1"/>
          <w:sz w:val="24"/>
          <w:szCs w:val="24"/>
          <w:lang w:val="en"/>
        </w:rPr>
        <w:t xml:space="preserve"> CDP allows financial penalties to be imposed where welfare recipients do not comply with the regulatory framework, and Indigenous people have been heavily overrepresented in penalties administered thus far.</w:t>
      </w:r>
      <w:r w:rsidRPr="005C2C48">
        <w:rPr>
          <w:rStyle w:val="FootnoteReference"/>
          <w:rFonts w:ascii="Arial" w:hAnsi="Arial" w:cs="Arial"/>
          <w:color w:val="000000" w:themeColor="text1"/>
          <w:sz w:val="24"/>
          <w:szCs w:val="24"/>
          <w:lang w:val="en"/>
        </w:rPr>
        <w:footnoteReference w:id="22"/>
      </w:r>
      <w:r w:rsidRPr="005C2C48">
        <w:rPr>
          <w:rFonts w:ascii="Arial" w:hAnsi="Arial" w:cs="Arial"/>
          <w:color w:val="000000" w:themeColor="text1"/>
          <w:sz w:val="24"/>
          <w:szCs w:val="24"/>
          <w:lang w:val="en"/>
        </w:rPr>
        <w:t xml:space="preserve"> </w:t>
      </w:r>
      <w:r w:rsidRPr="005C2C48">
        <w:rPr>
          <w:rFonts w:ascii="Arial" w:hAnsi="Arial" w:cs="Arial"/>
          <w:sz w:val="24"/>
          <w:szCs w:val="24"/>
        </w:rPr>
        <w:t xml:space="preserve">My previous submissions to Inquiries on CDP outline many </w:t>
      </w:r>
      <w:r w:rsidR="008E5EEF">
        <w:rPr>
          <w:rFonts w:ascii="Arial" w:hAnsi="Arial" w:cs="Arial"/>
          <w:sz w:val="24"/>
          <w:szCs w:val="24"/>
        </w:rPr>
        <w:t xml:space="preserve">problems with </w:t>
      </w:r>
      <w:r w:rsidRPr="005C2C48">
        <w:rPr>
          <w:rFonts w:ascii="Arial" w:hAnsi="Arial" w:cs="Arial"/>
          <w:sz w:val="24"/>
          <w:szCs w:val="24"/>
        </w:rPr>
        <w:t xml:space="preserve">its </w:t>
      </w:r>
      <w:r w:rsidRPr="009350E0">
        <w:rPr>
          <w:rFonts w:ascii="Arial" w:hAnsi="Arial" w:cs="Arial"/>
          <w:sz w:val="24"/>
          <w:szCs w:val="24"/>
        </w:rPr>
        <w:t>design, operation, ideological underpinnings, and human rights violations.</w:t>
      </w:r>
      <w:r w:rsidRPr="005C2C48">
        <w:rPr>
          <w:rStyle w:val="FootnoteReference"/>
          <w:rFonts w:ascii="Arial" w:hAnsi="Arial" w:cs="Arial"/>
          <w:sz w:val="24"/>
          <w:szCs w:val="24"/>
        </w:rPr>
        <w:footnoteReference w:id="23"/>
      </w:r>
    </w:p>
    <w:p w14:paraId="2CCA2325" w14:textId="77777777" w:rsidR="00C51AE3" w:rsidRDefault="00C51AE3" w:rsidP="00C51AE3">
      <w:pPr>
        <w:jc w:val="both"/>
        <w:rPr>
          <w:rFonts w:ascii="Arial" w:hAnsi="Arial" w:cs="Arial"/>
          <w:sz w:val="24"/>
          <w:szCs w:val="24"/>
        </w:rPr>
      </w:pPr>
      <w:r w:rsidRPr="005C2C48">
        <w:rPr>
          <w:rFonts w:ascii="Arial" w:hAnsi="Arial" w:cs="Arial"/>
          <w:sz w:val="24"/>
          <w:szCs w:val="24"/>
        </w:rPr>
        <w:t>Penalties administered under the CDP scheme raise compatibility problems with a range of human rights, such as</w:t>
      </w:r>
      <w:r>
        <w:rPr>
          <w:rFonts w:ascii="Arial" w:hAnsi="Arial" w:cs="Arial"/>
          <w:sz w:val="24"/>
          <w:szCs w:val="24"/>
        </w:rPr>
        <w:t>:</w:t>
      </w:r>
    </w:p>
    <w:p w14:paraId="61B2FF6E" w14:textId="26C3A78D" w:rsidR="00C51AE3" w:rsidRDefault="00C51AE3" w:rsidP="00C51AE3">
      <w:pPr>
        <w:pStyle w:val="ListParagraph"/>
        <w:numPr>
          <w:ilvl w:val="0"/>
          <w:numId w:val="5"/>
        </w:numPr>
        <w:jc w:val="both"/>
        <w:rPr>
          <w:rFonts w:ascii="Arial" w:hAnsi="Arial" w:cs="Arial"/>
          <w:sz w:val="24"/>
          <w:szCs w:val="24"/>
        </w:rPr>
      </w:pPr>
      <w:r w:rsidRPr="001D6FF3">
        <w:rPr>
          <w:rFonts w:ascii="Arial" w:hAnsi="Arial" w:cs="Arial"/>
          <w:sz w:val="24"/>
          <w:szCs w:val="24"/>
        </w:rPr>
        <w:t>rights to ‘social security’,</w:t>
      </w:r>
      <w:r w:rsidR="0029732F">
        <w:rPr>
          <w:rStyle w:val="FootnoteReference"/>
          <w:rFonts w:ascii="Arial" w:hAnsi="Arial" w:cs="Arial"/>
          <w:sz w:val="24"/>
          <w:szCs w:val="24"/>
        </w:rPr>
        <w:footnoteReference w:id="24"/>
      </w:r>
      <w:r w:rsidRPr="001D6FF3">
        <w:rPr>
          <w:rFonts w:ascii="Arial" w:hAnsi="Arial" w:cs="Arial"/>
          <w:sz w:val="24"/>
          <w:szCs w:val="24"/>
        </w:rPr>
        <w:t xml:space="preserve"> </w:t>
      </w:r>
    </w:p>
    <w:p w14:paraId="2AFE199F" w14:textId="39DC277F" w:rsidR="00C51AE3" w:rsidRDefault="00C51AE3" w:rsidP="00C51AE3">
      <w:pPr>
        <w:pStyle w:val="ListParagraph"/>
        <w:numPr>
          <w:ilvl w:val="0"/>
          <w:numId w:val="5"/>
        </w:numPr>
        <w:jc w:val="both"/>
        <w:rPr>
          <w:rFonts w:ascii="Arial" w:hAnsi="Arial" w:cs="Arial"/>
          <w:sz w:val="24"/>
          <w:szCs w:val="24"/>
        </w:rPr>
      </w:pPr>
      <w:r>
        <w:rPr>
          <w:rFonts w:ascii="Arial" w:hAnsi="Arial" w:cs="Arial"/>
          <w:sz w:val="24"/>
          <w:szCs w:val="24"/>
        </w:rPr>
        <w:t xml:space="preserve">rights to </w:t>
      </w:r>
      <w:r w:rsidRPr="001D6FF3">
        <w:rPr>
          <w:rFonts w:ascii="Arial" w:hAnsi="Arial" w:cs="Arial"/>
          <w:sz w:val="24"/>
          <w:szCs w:val="24"/>
        </w:rPr>
        <w:t>‘an adequate standard of living’</w:t>
      </w:r>
      <w:r w:rsidR="0029732F">
        <w:rPr>
          <w:rFonts w:ascii="Arial" w:hAnsi="Arial" w:cs="Arial"/>
          <w:sz w:val="24"/>
          <w:szCs w:val="24"/>
        </w:rPr>
        <w:t>,</w:t>
      </w:r>
      <w:r w:rsidR="0029732F">
        <w:rPr>
          <w:rStyle w:val="FootnoteReference"/>
          <w:rFonts w:ascii="Arial" w:hAnsi="Arial" w:cs="Arial"/>
          <w:sz w:val="24"/>
          <w:szCs w:val="24"/>
        </w:rPr>
        <w:footnoteReference w:id="25"/>
      </w:r>
      <w:r w:rsidRPr="001D6FF3">
        <w:rPr>
          <w:rFonts w:ascii="Arial" w:hAnsi="Arial" w:cs="Arial"/>
          <w:sz w:val="24"/>
          <w:szCs w:val="24"/>
        </w:rPr>
        <w:t xml:space="preserve"> </w:t>
      </w:r>
    </w:p>
    <w:p w14:paraId="7129A97F" w14:textId="039C6101" w:rsidR="00C51AE3" w:rsidRDefault="00C51AE3" w:rsidP="00C51AE3">
      <w:pPr>
        <w:pStyle w:val="ListParagraph"/>
        <w:numPr>
          <w:ilvl w:val="0"/>
          <w:numId w:val="5"/>
        </w:numPr>
        <w:jc w:val="both"/>
        <w:rPr>
          <w:rFonts w:ascii="Arial" w:hAnsi="Arial" w:cs="Arial"/>
          <w:sz w:val="24"/>
          <w:szCs w:val="24"/>
        </w:rPr>
      </w:pPr>
      <w:r w:rsidRPr="001D6FF3">
        <w:rPr>
          <w:rFonts w:ascii="Arial" w:hAnsi="Arial" w:cs="Arial"/>
          <w:sz w:val="24"/>
          <w:szCs w:val="24"/>
        </w:rPr>
        <w:t>‘</w:t>
      </w:r>
      <w:r w:rsidRPr="001D6FF3">
        <w:rPr>
          <w:rFonts w:ascii="Arial" w:eastAsia="Times New Roman" w:hAnsi="Arial" w:cs="Arial"/>
          <w:color w:val="000000"/>
          <w:sz w:val="24"/>
          <w:szCs w:val="24"/>
          <w:lang w:eastAsia="en-AU"/>
        </w:rPr>
        <w:t>just and favourable conditions of work</w:t>
      </w:r>
      <w:r w:rsidRPr="001D6FF3">
        <w:rPr>
          <w:rFonts w:ascii="Arial" w:hAnsi="Arial" w:cs="Arial"/>
          <w:sz w:val="24"/>
          <w:szCs w:val="24"/>
        </w:rPr>
        <w:t>’ including ‘</w:t>
      </w:r>
      <w:r w:rsidRPr="001D6FF3">
        <w:rPr>
          <w:rFonts w:ascii="Arial" w:eastAsia="Times New Roman" w:hAnsi="Arial" w:cs="Arial"/>
          <w:color w:val="000000"/>
          <w:sz w:val="24"/>
          <w:szCs w:val="24"/>
          <w:lang w:eastAsia="en-AU"/>
        </w:rPr>
        <w:t>Fair wages and equal remuneration for work of equal value without distinction of any kind</w:t>
      </w:r>
      <w:r w:rsidRPr="001D6FF3">
        <w:rPr>
          <w:rFonts w:ascii="Arial" w:hAnsi="Arial" w:cs="Arial"/>
          <w:sz w:val="24"/>
          <w:szCs w:val="24"/>
        </w:rPr>
        <w:t>’</w:t>
      </w:r>
      <w:r w:rsidR="0029732F">
        <w:rPr>
          <w:rFonts w:ascii="Arial" w:hAnsi="Arial" w:cs="Arial"/>
          <w:sz w:val="24"/>
          <w:szCs w:val="24"/>
        </w:rPr>
        <w:t>,</w:t>
      </w:r>
      <w:r w:rsidR="0029732F">
        <w:rPr>
          <w:rStyle w:val="FootnoteReference"/>
          <w:rFonts w:ascii="Arial" w:hAnsi="Arial" w:cs="Arial"/>
          <w:sz w:val="24"/>
          <w:szCs w:val="24"/>
        </w:rPr>
        <w:footnoteReference w:id="26"/>
      </w:r>
      <w:r>
        <w:rPr>
          <w:rFonts w:ascii="Arial" w:hAnsi="Arial" w:cs="Arial"/>
          <w:sz w:val="24"/>
          <w:szCs w:val="24"/>
        </w:rPr>
        <w:t xml:space="preserve"> and</w:t>
      </w:r>
    </w:p>
    <w:p w14:paraId="66586AF0" w14:textId="44E69FE9" w:rsidR="00C51AE3" w:rsidRPr="006C0A12" w:rsidRDefault="00C51AE3" w:rsidP="00C51AE3">
      <w:pPr>
        <w:pStyle w:val="ListParagraph"/>
        <w:numPr>
          <w:ilvl w:val="0"/>
          <w:numId w:val="5"/>
        </w:numPr>
        <w:jc w:val="both"/>
        <w:rPr>
          <w:rFonts w:ascii="Arial" w:hAnsi="Arial" w:cs="Arial"/>
          <w:sz w:val="24"/>
          <w:szCs w:val="24"/>
        </w:rPr>
      </w:pPr>
      <w:r>
        <w:rPr>
          <w:rFonts w:ascii="Arial" w:hAnsi="Arial" w:cs="Arial"/>
          <w:sz w:val="24"/>
          <w:szCs w:val="24"/>
        </w:rPr>
        <w:t>‘</w:t>
      </w:r>
      <w:r w:rsidRPr="009F45C6">
        <w:rPr>
          <w:rFonts w:ascii="Arial" w:hAnsi="Arial" w:cs="Arial"/>
          <w:sz w:val="24"/>
          <w:szCs w:val="24"/>
        </w:rPr>
        <w:t>the right of everyone to the opportunity to gain his living by work which he freely chooses or accepts</w:t>
      </w:r>
      <w:r>
        <w:rPr>
          <w:rFonts w:ascii="Arial" w:hAnsi="Arial" w:cs="Arial"/>
          <w:sz w:val="24"/>
          <w:szCs w:val="24"/>
        </w:rPr>
        <w:t>’</w:t>
      </w:r>
      <w:r w:rsidRPr="006C0A12">
        <w:rPr>
          <w:rFonts w:ascii="Arial" w:hAnsi="Arial" w:cs="Arial"/>
          <w:sz w:val="24"/>
          <w:szCs w:val="24"/>
        </w:rPr>
        <w:t>.</w:t>
      </w:r>
      <w:r w:rsidR="0029732F">
        <w:rPr>
          <w:rStyle w:val="FootnoteReference"/>
          <w:rFonts w:ascii="Arial" w:hAnsi="Arial" w:cs="Arial"/>
          <w:sz w:val="24"/>
          <w:szCs w:val="24"/>
        </w:rPr>
        <w:footnoteReference w:id="27"/>
      </w:r>
      <w:r w:rsidRPr="006C0A12">
        <w:rPr>
          <w:rFonts w:ascii="Arial" w:hAnsi="Arial" w:cs="Arial"/>
          <w:sz w:val="24"/>
          <w:szCs w:val="24"/>
        </w:rPr>
        <w:t xml:space="preserve"> </w:t>
      </w:r>
    </w:p>
    <w:p w14:paraId="690B787D" w14:textId="217BB6F9" w:rsidR="00C51AE3" w:rsidRDefault="00C51AE3" w:rsidP="00C51AE3">
      <w:pPr>
        <w:autoSpaceDE w:val="0"/>
        <w:autoSpaceDN w:val="0"/>
        <w:adjustRightInd w:val="0"/>
        <w:spacing w:after="0"/>
        <w:jc w:val="both"/>
        <w:rPr>
          <w:rFonts w:ascii="Arial" w:hAnsi="Arial" w:cs="Arial"/>
          <w:sz w:val="24"/>
          <w:szCs w:val="24"/>
        </w:rPr>
      </w:pPr>
      <w:r w:rsidRPr="001D6FF3">
        <w:rPr>
          <w:rFonts w:ascii="Arial" w:hAnsi="Arial" w:cs="Arial"/>
          <w:color w:val="000000"/>
          <w:sz w:val="24"/>
          <w:szCs w:val="24"/>
        </w:rPr>
        <w:t xml:space="preserve">Coercive workfare arrangements effectively place welfare recipients in a position where they have to earn their social security payment. A social security system that penalises payments out of existence compromises the right to an adequate standard of living. Just and favourable conditions of work require non-discriminatory treatment – but CDP places additional obligations upon program participants that make it more onerous than workfare schemes in non-remote locations. </w:t>
      </w:r>
      <w:r w:rsidR="00603DFC">
        <w:rPr>
          <w:rFonts w:ascii="Arial" w:hAnsi="Arial" w:cs="Arial"/>
          <w:color w:val="000000"/>
          <w:sz w:val="24"/>
          <w:szCs w:val="24"/>
        </w:rPr>
        <w:t>‘</w:t>
      </w:r>
      <w:r>
        <w:rPr>
          <w:rFonts w:ascii="Arial" w:hAnsi="Arial" w:cs="Arial"/>
          <w:color w:val="000000"/>
          <w:sz w:val="24"/>
          <w:szCs w:val="24"/>
        </w:rPr>
        <w:t>Free c</w:t>
      </w:r>
      <w:r w:rsidRPr="009F45C6">
        <w:rPr>
          <w:rFonts w:ascii="Arial" w:hAnsi="Arial" w:cs="Arial"/>
          <w:sz w:val="24"/>
          <w:szCs w:val="24"/>
        </w:rPr>
        <w:t>hoice</w:t>
      </w:r>
      <w:r w:rsidR="00603DFC">
        <w:rPr>
          <w:rFonts w:ascii="Arial" w:hAnsi="Arial" w:cs="Arial"/>
          <w:sz w:val="24"/>
          <w:szCs w:val="24"/>
        </w:rPr>
        <w:t>’</w:t>
      </w:r>
      <w:r>
        <w:rPr>
          <w:rFonts w:ascii="Arial" w:hAnsi="Arial" w:cs="Arial"/>
          <w:sz w:val="24"/>
          <w:szCs w:val="24"/>
        </w:rPr>
        <w:t xml:space="preserve"> </w:t>
      </w:r>
      <w:r w:rsidRPr="009F45C6">
        <w:rPr>
          <w:rFonts w:ascii="Arial" w:hAnsi="Arial" w:cs="Arial"/>
          <w:sz w:val="24"/>
          <w:szCs w:val="24"/>
        </w:rPr>
        <w:t xml:space="preserve">implies a lack of coercion – yet coercion is at the heart of the workfare regime imposed by CDP. </w:t>
      </w:r>
    </w:p>
    <w:p w14:paraId="781A448C" w14:textId="77777777" w:rsidR="00C51AE3" w:rsidRDefault="00C51AE3" w:rsidP="00C51AE3">
      <w:pPr>
        <w:autoSpaceDE w:val="0"/>
        <w:autoSpaceDN w:val="0"/>
        <w:adjustRightInd w:val="0"/>
        <w:spacing w:after="0"/>
        <w:jc w:val="both"/>
        <w:rPr>
          <w:rFonts w:ascii="Arial" w:hAnsi="Arial" w:cs="Arial"/>
          <w:sz w:val="24"/>
          <w:szCs w:val="24"/>
        </w:rPr>
      </w:pPr>
    </w:p>
    <w:p w14:paraId="7014F831" w14:textId="46BB1B50" w:rsidR="00C51AE3" w:rsidRPr="008978B6" w:rsidRDefault="00C51AE3" w:rsidP="00C51AE3">
      <w:pPr>
        <w:autoSpaceDE w:val="0"/>
        <w:autoSpaceDN w:val="0"/>
        <w:adjustRightInd w:val="0"/>
        <w:spacing w:after="0"/>
        <w:jc w:val="both"/>
        <w:rPr>
          <w:rFonts w:ascii="Arial" w:hAnsi="Arial" w:cs="Arial"/>
          <w:sz w:val="24"/>
          <w:szCs w:val="24"/>
        </w:rPr>
      </w:pPr>
      <w:r w:rsidRPr="005C2C48">
        <w:rPr>
          <w:rFonts w:ascii="Arial" w:hAnsi="Arial" w:cs="Arial"/>
          <w:sz w:val="24"/>
          <w:szCs w:val="24"/>
        </w:rPr>
        <w:t xml:space="preserve">Given that </w:t>
      </w:r>
      <w:r w:rsidRPr="005C2C48">
        <w:rPr>
          <w:rFonts w:ascii="Arial" w:eastAsia="Times New Roman" w:hAnsi="Arial" w:cs="Arial"/>
          <w:color w:val="000000"/>
          <w:sz w:val="24"/>
          <w:szCs w:val="24"/>
          <w:lang w:eastAsia="en-AU"/>
        </w:rPr>
        <w:t>CDP can result in children going hungry and going without essentials due</w:t>
      </w:r>
      <w:r>
        <w:rPr>
          <w:rFonts w:ascii="Arial" w:eastAsia="Times New Roman" w:hAnsi="Arial" w:cs="Arial"/>
          <w:color w:val="000000"/>
          <w:sz w:val="24"/>
          <w:szCs w:val="24"/>
          <w:lang w:eastAsia="en-AU"/>
        </w:rPr>
        <w:t xml:space="preserve"> to</w:t>
      </w:r>
      <w:r w:rsidRPr="005C2C48">
        <w:rPr>
          <w:rFonts w:ascii="Arial" w:eastAsia="Times New Roman" w:hAnsi="Arial" w:cs="Arial"/>
          <w:color w:val="000000"/>
          <w:sz w:val="24"/>
          <w:szCs w:val="24"/>
          <w:lang w:eastAsia="en-AU"/>
        </w:rPr>
        <w:t xml:space="preserve"> penalties imposed on parents</w:t>
      </w:r>
      <w:r w:rsidR="00D47310">
        <w:rPr>
          <w:rFonts w:ascii="Arial" w:eastAsia="Times New Roman" w:hAnsi="Arial" w:cs="Arial"/>
          <w:color w:val="000000"/>
          <w:sz w:val="24"/>
          <w:szCs w:val="24"/>
          <w:lang w:eastAsia="en-AU"/>
        </w:rPr>
        <w:t>,</w:t>
      </w:r>
      <w:r w:rsidRPr="005C2C48">
        <w:rPr>
          <w:rFonts w:ascii="Arial" w:eastAsia="Times New Roman" w:hAnsi="Arial" w:cs="Arial"/>
          <w:color w:val="000000"/>
          <w:sz w:val="24"/>
          <w:szCs w:val="24"/>
          <w:lang w:eastAsia="en-AU"/>
        </w:rPr>
        <w:t xml:space="preserve"> the scheme also violates children’s rights</w:t>
      </w:r>
      <w:r w:rsidR="00D47310">
        <w:rPr>
          <w:rFonts w:ascii="Arial" w:eastAsia="Times New Roman" w:hAnsi="Arial" w:cs="Arial"/>
          <w:color w:val="000000"/>
          <w:sz w:val="24"/>
          <w:szCs w:val="24"/>
          <w:lang w:eastAsia="en-AU"/>
        </w:rPr>
        <w:t xml:space="preserve"> to benefit from social security under</w:t>
      </w:r>
      <w:r w:rsidRPr="005C2C48">
        <w:rPr>
          <w:rFonts w:ascii="Arial" w:eastAsia="Times New Roman" w:hAnsi="Arial" w:cs="Arial"/>
          <w:color w:val="000000"/>
          <w:sz w:val="24"/>
          <w:szCs w:val="24"/>
          <w:lang w:eastAsia="en-AU"/>
        </w:rPr>
        <w:t xml:space="preserve"> </w:t>
      </w:r>
      <w:r w:rsidRPr="005C2C48">
        <w:rPr>
          <w:rFonts w:ascii="Arial" w:hAnsi="Arial" w:cs="Arial"/>
          <w:sz w:val="24"/>
          <w:szCs w:val="24"/>
        </w:rPr>
        <w:t xml:space="preserve">Article 26(1) of the </w:t>
      </w:r>
      <w:r w:rsidRPr="005C2C48">
        <w:rPr>
          <w:rFonts w:ascii="Arial" w:hAnsi="Arial" w:cs="Arial"/>
          <w:i/>
          <w:sz w:val="24"/>
          <w:szCs w:val="24"/>
        </w:rPr>
        <w:t>Convention on the Rights of the Child</w:t>
      </w:r>
      <w:r w:rsidR="00D47310">
        <w:rPr>
          <w:rFonts w:ascii="Arial" w:hAnsi="Arial" w:cs="Arial"/>
          <w:sz w:val="24"/>
          <w:szCs w:val="24"/>
        </w:rPr>
        <w:t>.</w:t>
      </w:r>
      <w:r w:rsidRPr="005C2C48">
        <w:rPr>
          <w:rFonts w:ascii="Arial" w:eastAsia="Times New Roman" w:hAnsi="Arial" w:cs="Arial"/>
          <w:sz w:val="24"/>
          <w:szCs w:val="24"/>
          <w:lang w:eastAsia="en-AU"/>
        </w:rPr>
        <w:t xml:space="preserve"> </w:t>
      </w:r>
      <w:r>
        <w:rPr>
          <w:rFonts w:ascii="Arial" w:eastAsia="Times New Roman" w:hAnsi="Arial" w:cs="Arial"/>
          <w:sz w:val="24"/>
          <w:szCs w:val="24"/>
          <w:lang w:eastAsia="en-AU"/>
        </w:rPr>
        <w:t>C</w:t>
      </w:r>
      <w:r w:rsidRPr="005C2C48">
        <w:rPr>
          <w:rFonts w:ascii="Arial" w:hAnsi="Arial" w:cs="Arial"/>
          <w:sz w:val="24"/>
          <w:szCs w:val="24"/>
        </w:rPr>
        <w:t xml:space="preserve">hildren should have </w:t>
      </w:r>
      <w:r>
        <w:rPr>
          <w:rFonts w:ascii="Arial" w:hAnsi="Arial" w:cs="Arial"/>
          <w:sz w:val="24"/>
          <w:szCs w:val="24"/>
        </w:rPr>
        <w:t xml:space="preserve">access to </w:t>
      </w:r>
      <w:r w:rsidRPr="005C2C48">
        <w:rPr>
          <w:rFonts w:ascii="Arial" w:hAnsi="Arial" w:cs="Arial"/>
          <w:sz w:val="24"/>
          <w:szCs w:val="24"/>
        </w:rPr>
        <w:t>the benefits of social security provision irrespective of the conduct of their parents</w:t>
      </w:r>
      <w:r>
        <w:rPr>
          <w:rFonts w:ascii="Arial" w:hAnsi="Arial" w:cs="Arial"/>
          <w:sz w:val="24"/>
          <w:szCs w:val="24"/>
        </w:rPr>
        <w:t>.</w:t>
      </w:r>
    </w:p>
    <w:p w14:paraId="3A3E9AD9" w14:textId="1BB2C7C2" w:rsidR="00C51AE3" w:rsidRPr="009F45C6" w:rsidRDefault="00B83AA0" w:rsidP="00B20DFD">
      <w:pPr>
        <w:pStyle w:val="ParaAttribute4"/>
        <w:wordWrap/>
        <w:spacing w:before="200" w:after="0" w:line="276" w:lineRule="auto"/>
        <w:jc w:val="both"/>
        <w:rPr>
          <w:rFonts w:ascii="Arial" w:hAnsi="Arial" w:cs="Arial"/>
          <w:sz w:val="24"/>
          <w:szCs w:val="24"/>
        </w:rPr>
      </w:pPr>
      <w:r>
        <w:rPr>
          <w:rFonts w:ascii="Arial" w:hAnsi="Arial" w:cs="Arial"/>
          <w:sz w:val="24"/>
          <w:szCs w:val="24"/>
        </w:rPr>
        <w:t>F</w:t>
      </w:r>
      <w:r w:rsidR="00C51AE3" w:rsidRPr="005C2C48">
        <w:rPr>
          <w:rFonts w:ascii="Arial" w:hAnsi="Arial" w:cs="Arial"/>
          <w:sz w:val="24"/>
          <w:szCs w:val="24"/>
        </w:rPr>
        <w:t xml:space="preserve">inancial penalties imposed as part of CDP </w:t>
      </w:r>
      <w:r w:rsidR="001D40FC">
        <w:rPr>
          <w:rFonts w:ascii="Arial" w:hAnsi="Arial" w:cs="Arial"/>
          <w:sz w:val="24"/>
          <w:szCs w:val="24"/>
        </w:rPr>
        <w:t>can</w:t>
      </w:r>
      <w:r w:rsidR="00C51AE3" w:rsidRPr="005C2C48">
        <w:rPr>
          <w:rFonts w:ascii="Arial" w:hAnsi="Arial" w:cs="Arial"/>
          <w:sz w:val="24"/>
          <w:szCs w:val="24"/>
        </w:rPr>
        <w:t xml:space="preserve"> plunge people further into poverty. This is not a measure which could be said to have benefits that outweigh the disadvantages</w:t>
      </w:r>
      <w:r w:rsidR="00C51AE3">
        <w:rPr>
          <w:rFonts w:ascii="Arial" w:hAnsi="Arial" w:cs="Arial"/>
          <w:sz w:val="24"/>
          <w:szCs w:val="24"/>
        </w:rPr>
        <w:t xml:space="preserve"> – </w:t>
      </w:r>
      <w:r w:rsidR="00C51AE3">
        <w:rPr>
          <w:rFonts w:ascii="Arial" w:hAnsi="Arial" w:cs="Arial"/>
          <w:sz w:val="24"/>
          <w:szCs w:val="24"/>
        </w:rPr>
        <w:lastRenderedPageBreak/>
        <w:t>which is one relevant factor in determining whether a measure is proportionate</w:t>
      </w:r>
      <w:r w:rsidR="00C51AE3" w:rsidRPr="005C2C48">
        <w:rPr>
          <w:rFonts w:ascii="Arial" w:hAnsi="Arial" w:cs="Arial"/>
          <w:sz w:val="24"/>
          <w:szCs w:val="24"/>
        </w:rPr>
        <w:t>.</w:t>
      </w:r>
      <w:r w:rsidR="00C51AE3">
        <w:rPr>
          <w:rStyle w:val="FootnoteReference"/>
          <w:rFonts w:ascii="Arial" w:hAnsi="Arial" w:cs="Arial"/>
          <w:sz w:val="24"/>
          <w:szCs w:val="24"/>
        </w:rPr>
        <w:footnoteReference w:id="28"/>
      </w:r>
      <w:r w:rsidR="00C51AE3" w:rsidRPr="005C2C48">
        <w:rPr>
          <w:rFonts w:ascii="Arial" w:hAnsi="Arial" w:cs="Arial"/>
          <w:sz w:val="24"/>
          <w:szCs w:val="24"/>
        </w:rPr>
        <w:t xml:space="preserve"> </w:t>
      </w:r>
      <w:r w:rsidR="00C51AE3">
        <w:rPr>
          <w:rFonts w:ascii="Arial" w:hAnsi="Arial" w:cs="Arial"/>
          <w:sz w:val="24"/>
          <w:szCs w:val="24"/>
        </w:rPr>
        <w:t xml:space="preserve">CDP </w:t>
      </w:r>
      <w:r w:rsidR="00643BEC">
        <w:rPr>
          <w:rFonts w:ascii="Arial" w:hAnsi="Arial" w:cs="Arial"/>
          <w:sz w:val="24"/>
          <w:szCs w:val="24"/>
        </w:rPr>
        <w:t xml:space="preserve">arguably </w:t>
      </w:r>
      <w:r w:rsidR="00C51AE3">
        <w:rPr>
          <w:rFonts w:ascii="Arial" w:hAnsi="Arial" w:cs="Arial"/>
          <w:sz w:val="24"/>
          <w:szCs w:val="24"/>
        </w:rPr>
        <w:t>lack</w:t>
      </w:r>
      <w:r w:rsidR="00643BEC">
        <w:rPr>
          <w:rFonts w:ascii="Arial" w:hAnsi="Arial" w:cs="Arial"/>
          <w:sz w:val="24"/>
          <w:szCs w:val="24"/>
        </w:rPr>
        <w:t>s</w:t>
      </w:r>
      <w:r w:rsidR="00C51AE3">
        <w:rPr>
          <w:rFonts w:ascii="Arial" w:hAnsi="Arial" w:cs="Arial"/>
          <w:sz w:val="24"/>
          <w:szCs w:val="24"/>
        </w:rPr>
        <w:t xml:space="preserve"> rational connection to a legitimate objective and </w:t>
      </w:r>
      <w:r w:rsidR="00643BEC">
        <w:rPr>
          <w:rFonts w:ascii="Arial" w:hAnsi="Arial" w:cs="Arial"/>
          <w:sz w:val="24"/>
          <w:szCs w:val="24"/>
        </w:rPr>
        <w:t xml:space="preserve">is not a </w:t>
      </w:r>
      <w:r w:rsidR="00C51AE3">
        <w:rPr>
          <w:rFonts w:ascii="Arial" w:hAnsi="Arial" w:cs="Arial"/>
          <w:sz w:val="24"/>
          <w:szCs w:val="24"/>
        </w:rPr>
        <w:t>proportiona</w:t>
      </w:r>
      <w:r w:rsidR="00643BEC">
        <w:rPr>
          <w:rFonts w:ascii="Arial" w:hAnsi="Arial" w:cs="Arial"/>
          <w:sz w:val="24"/>
          <w:szCs w:val="24"/>
        </w:rPr>
        <w:t>te response</w:t>
      </w:r>
      <w:r w:rsidR="00C51AE3">
        <w:rPr>
          <w:rFonts w:ascii="Arial" w:hAnsi="Arial" w:cs="Arial"/>
          <w:sz w:val="24"/>
          <w:szCs w:val="24"/>
        </w:rPr>
        <w:t>. There are less rights</w:t>
      </w:r>
      <w:r w:rsidR="00561EA5">
        <w:rPr>
          <w:rFonts w:ascii="Arial" w:hAnsi="Arial" w:cs="Arial"/>
          <w:sz w:val="24"/>
          <w:szCs w:val="24"/>
        </w:rPr>
        <w:t>-</w:t>
      </w:r>
      <w:r w:rsidR="00C51AE3">
        <w:rPr>
          <w:rFonts w:ascii="Arial" w:hAnsi="Arial" w:cs="Arial"/>
          <w:sz w:val="24"/>
          <w:szCs w:val="24"/>
        </w:rPr>
        <w:t>restrictive alternatives.</w:t>
      </w:r>
      <w:r w:rsidR="00C51AE3" w:rsidRPr="009F45C6">
        <w:rPr>
          <w:rStyle w:val="FootnoteReference"/>
          <w:rFonts w:ascii="Arial" w:hAnsi="Arial" w:cs="Arial"/>
          <w:sz w:val="24"/>
          <w:szCs w:val="24"/>
        </w:rPr>
        <w:footnoteReference w:id="29"/>
      </w:r>
    </w:p>
    <w:p w14:paraId="75FB01C5" w14:textId="77777777" w:rsidR="00B20DFD" w:rsidRDefault="00C51AE3" w:rsidP="00B20DFD">
      <w:pPr>
        <w:pStyle w:val="ParaAttribute4"/>
        <w:wordWrap/>
        <w:spacing w:before="200" w:after="0" w:line="276" w:lineRule="auto"/>
        <w:jc w:val="both"/>
        <w:rPr>
          <w:rFonts w:ascii="Arial" w:hAnsi="Arial" w:cs="Arial"/>
          <w:sz w:val="24"/>
          <w:szCs w:val="24"/>
        </w:rPr>
      </w:pPr>
      <w:r w:rsidRPr="005A3F3B">
        <w:rPr>
          <w:rFonts w:ascii="Arial" w:hAnsi="Arial" w:cs="Arial"/>
          <w:sz w:val="24"/>
          <w:szCs w:val="24"/>
        </w:rPr>
        <w:t xml:space="preserve">There are also ongoing problems with lack of genuine and meaningful consultation about CDP reforms, in </w:t>
      </w:r>
      <w:r w:rsidRPr="005A3F3B">
        <w:rPr>
          <w:rFonts w:ascii="Arial" w:hAnsi="Arial" w:cs="Arial"/>
          <w:sz w:val="24"/>
          <w:szCs w:val="24"/>
          <w:lang w:val="en-US"/>
        </w:rPr>
        <w:t>con</w:t>
      </w:r>
      <w:r>
        <w:rPr>
          <w:rFonts w:ascii="Arial" w:hAnsi="Arial" w:cs="Arial"/>
          <w:sz w:val="24"/>
          <w:szCs w:val="24"/>
          <w:lang w:val="en-US"/>
        </w:rPr>
        <w:t xml:space="preserve">travention of Article 19 of </w:t>
      </w:r>
      <w:r w:rsidRPr="005A3F3B">
        <w:rPr>
          <w:rFonts w:ascii="Arial" w:hAnsi="Arial" w:cs="Arial"/>
          <w:sz w:val="24"/>
          <w:szCs w:val="24"/>
        </w:rPr>
        <w:t>UNDRIP.</w:t>
      </w:r>
      <w:r>
        <w:rPr>
          <w:rStyle w:val="FootnoteReference"/>
          <w:rFonts w:ascii="Arial" w:hAnsi="Arial" w:cs="Arial"/>
          <w:sz w:val="24"/>
          <w:szCs w:val="24"/>
        </w:rPr>
        <w:footnoteReference w:id="30"/>
      </w:r>
      <w:r w:rsidRPr="009F45C6">
        <w:rPr>
          <w:rFonts w:ascii="Arial" w:hAnsi="Arial" w:cs="Arial"/>
          <w:sz w:val="24"/>
          <w:szCs w:val="24"/>
        </w:rPr>
        <w:t xml:space="preserve"> </w:t>
      </w:r>
    </w:p>
    <w:p w14:paraId="3A5B0AFC" w14:textId="77777777" w:rsidR="00B20DFD" w:rsidRDefault="00C51AE3" w:rsidP="00B20DFD">
      <w:pPr>
        <w:pStyle w:val="ParaAttribute4"/>
        <w:wordWrap/>
        <w:spacing w:before="200" w:after="0" w:line="276" w:lineRule="auto"/>
        <w:jc w:val="both"/>
        <w:rPr>
          <w:rFonts w:ascii="Arial" w:hAnsi="Arial" w:cs="Arial"/>
          <w:b/>
          <w:sz w:val="24"/>
          <w:szCs w:val="24"/>
        </w:rPr>
      </w:pPr>
      <w:r w:rsidRPr="00B20DFD">
        <w:rPr>
          <w:rFonts w:ascii="Arial" w:hAnsi="Arial" w:cs="Arial"/>
          <w:b/>
          <w:sz w:val="24"/>
          <w:szCs w:val="24"/>
        </w:rPr>
        <w:t>Robo-debt</w:t>
      </w:r>
    </w:p>
    <w:p w14:paraId="59F29BA9" w14:textId="513DBB75" w:rsidR="009A1478" w:rsidRDefault="005D40DA" w:rsidP="009A1478">
      <w:pPr>
        <w:pStyle w:val="ParaAttribute4"/>
        <w:wordWrap/>
        <w:spacing w:before="200" w:after="0" w:line="276" w:lineRule="auto"/>
        <w:jc w:val="both"/>
        <w:rPr>
          <w:rFonts w:ascii="Arial" w:hAnsi="Arial" w:cs="Arial"/>
          <w:sz w:val="24"/>
          <w:szCs w:val="24"/>
        </w:rPr>
      </w:pPr>
      <w:r>
        <w:rPr>
          <w:rFonts w:ascii="Arial" w:hAnsi="Arial" w:cs="Arial"/>
          <w:sz w:val="24"/>
          <w:szCs w:val="24"/>
        </w:rPr>
        <w:t>The governm</w:t>
      </w:r>
      <w:r w:rsidRPr="009A1478">
        <w:rPr>
          <w:rFonts w:ascii="Arial" w:hAnsi="Arial" w:cs="Arial"/>
          <w:sz w:val="24"/>
          <w:szCs w:val="24"/>
        </w:rPr>
        <w:t xml:space="preserve">ent has developed an automated </w:t>
      </w:r>
      <w:r w:rsidR="00790BF9">
        <w:rPr>
          <w:rFonts w:ascii="Arial" w:hAnsi="Arial" w:cs="Arial"/>
          <w:sz w:val="24"/>
          <w:szCs w:val="24"/>
        </w:rPr>
        <w:t>O</w:t>
      </w:r>
      <w:r w:rsidR="009A1478" w:rsidRPr="009A1478">
        <w:rPr>
          <w:rFonts w:ascii="Arial" w:hAnsi="Arial" w:cs="Arial"/>
          <w:sz w:val="24"/>
          <w:szCs w:val="24"/>
        </w:rPr>
        <w:t xml:space="preserve">nline </w:t>
      </w:r>
      <w:r w:rsidR="00790BF9">
        <w:rPr>
          <w:rFonts w:ascii="Arial" w:hAnsi="Arial" w:cs="Arial"/>
          <w:sz w:val="24"/>
          <w:szCs w:val="24"/>
        </w:rPr>
        <w:t>C</w:t>
      </w:r>
      <w:r w:rsidR="009A1478" w:rsidRPr="009A1478">
        <w:rPr>
          <w:rFonts w:ascii="Arial" w:hAnsi="Arial" w:cs="Arial"/>
          <w:sz w:val="24"/>
          <w:szCs w:val="24"/>
        </w:rPr>
        <w:t xml:space="preserve">ompliance </w:t>
      </w:r>
      <w:r w:rsidR="00790BF9">
        <w:rPr>
          <w:rFonts w:ascii="Arial" w:hAnsi="Arial" w:cs="Arial"/>
          <w:sz w:val="24"/>
          <w:szCs w:val="24"/>
        </w:rPr>
        <w:t>I</w:t>
      </w:r>
      <w:r w:rsidR="009A1478" w:rsidRPr="009A1478">
        <w:rPr>
          <w:rFonts w:ascii="Arial" w:hAnsi="Arial" w:cs="Arial"/>
          <w:sz w:val="24"/>
          <w:szCs w:val="24"/>
        </w:rPr>
        <w:t>ntervention (‘OCI’) debt recovery system,</w:t>
      </w:r>
      <w:r>
        <w:rPr>
          <w:rFonts w:ascii="Arial" w:hAnsi="Arial" w:cs="Arial"/>
          <w:sz w:val="24"/>
          <w:szCs w:val="24"/>
        </w:rPr>
        <w:t xml:space="preserve"> where </w:t>
      </w:r>
      <w:r w:rsidR="00C51AE3" w:rsidRPr="005C2C48">
        <w:rPr>
          <w:rFonts w:ascii="Arial" w:hAnsi="Arial" w:cs="Arial"/>
          <w:sz w:val="24"/>
          <w:szCs w:val="24"/>
        </w:rPr>
        <w:t xml:space="preserve">technology </w:t>
      </w:r>
      <w:r>
        <w:rPr>
          <w:rFonts w:ascii="Arial" w:hAnsi="Arial" w:cs="Arial"/>
          <w:sz w:val="24"/>
          <w:szCs w:val="24"/>
        </w:rPr>
        <w:t xml:space="preserve">is </w:t>
      </w:r>
      <w:r w:rsidR="00C51AE3" w:rsidRPr="005C2C48">
        <w:rPr>
          <w:rFonts w:ascii="Arial" w:hAnsi="Arial" w:cs="Arial"/>
          <w:sz w:val="24"/>
          <w:szCs w:val="24"/>
        </w:rPr>
        <w:t xml:space="preserve">used to generate debt notices for people who have received government income support, </w:t>
      </w:r>
      <w:r w:rsidR="009A1478">
        <w:rPr>
          <w:rFonts w:ascii="Arial" w:hAnsi="Arial" w:cs="Arial"/>
          <w:sz w:val="24"/>
          <w:szCs w:val="24"/>
        </w:rPr>
        <w:t>known colloquially as</w:t>
      </w:r>
      <w:r w:rsidR="00C51AE3" w:rsidRPr="005C2C48">
        <w:rPr>
          <w:rFonts w:ascii="Arial" w:hAnsi="Arial" w:cs="Arial"/>
          <w:sz w:val="24"/>
          <w:szCs w:val="24"/>
        </w:rPr>
        <w:t xml:space="preserve"> </w:t>
      </w:r>
      <w:r w:rsidR="009A1478">
        <w:rPr>
          <w:rFonts w:ascii="Arial" w:hAnsi="Arial" w:cs="Arial"/>
          <w:sz w:val="24"/>
          <w:szCs w:val="24"/>
        </w:rPr>
        <w:t>‘</w:t>
      </w:r>
      <w:proofErr w:type="spellStart"/>
      <w:r w:rsidR="00C51AE3" w:rsidRPr="005C2C48">
        <w:rPr>
          <w:rFonts w:ascii="Arial" w:hAnsi="Arial" w:cs="Arial"/>
          <w:sz w:val="24"/>
          <w:szCs w:val="24"/>
        </w:rPr>
        <w:t>robo</w:t>
      </w:r>
      <w:proofErr w:type="spellEnd"/>
      <w:r w:rsidR="00C51AE3" w:rsidRPr="005C2C48">
        <w:rPr>
          <w:rFonts w:ascii="Arial" w:hAnsi="Arial" w:cs="Arial"/>
          <w:sz w:val="24"/>
          <w:szCs w:val="24"/>
        </w:rPr>
        <w:t>-debt</w:t>
      </w:r>
      <w:r w:rsidR="009A1478">
        <w:rPr>
          <w:rFonts w:ascii="Arial" w:hAnsi="Arial" w:cs="Arial"/>
          <w:sz w:val="24"/>
          <w:szCs w:val="24"/>
        </w:rPr>
        <w:t>’</w:t>
      </w:r>
      <w:r w:rsidR="00C51AE3" w:rsidRPr="005C2C48">
        <w:rPr>
          <w:rFonts w:ascii="Arial" w:hAnsi="Arial" w:cs="Arial"/>
          <w:sz w:val="24"/>
          <w:szCs w:val="24"/>
        </w:rPr>
        <w:t>.</w:t>
      </w:r>
      <w:r w:rsidR="00C51AE3" w:rsidRPr="005C2C48">
        <w:rPr>
          <w:rStyle w:val="FootnoteReference"/>
          <w:rFonts w:ascii="Arial" w:hAnsi="Arial" w:cs="Arial"/>
          <w:sz w:val="24"/>
          <w:szCs w:val="24"/>
        </w:rPr>
        <w:footnoteReference w:id="31"/>
      </w:r>
      <w:r w:rsidR="00C51AE3" w:rsidRPr="005C2C48">
        <w:rPr>
          <w:rFonts w:ascii="Arial" w:hAnsi="Arial" w:cs="Arial"/>
          <w:sz w:val="24"/>
          <w:szCs w:val="24"/>
        </w:rPr>
        <w:t xml:space="preserve"> This system has created horrific and unnecessary stress for many people</w:t>
      </w:r>
      <w:r w:rsidR="00C51AE3">
        <w:rPr>
          <w:rFonts w:ascii="Arial" w:hAnsi="Arial" w:cs="Arial"/>
          <w:sz w:val="24"/>
          <w:szCs w:val="24"/>
        </w:rPr>
        <w:t xml:space="preserve"> –</w:t>
      </w:r>
      <w:r w:rsidR="00C51AE3" w:rsidRPr="005C2C48">
        <w:rPr>
          <w:rFonts w:ascii="Arial" w:hAnsi="Arial" w:cs="Arial"/>
          <w:sz w:val="24"/>
          <w:szCs w:val="24"/>
        </w:rPr>
        <w:t xml:space="preserve"> and in numerous instances the debt notices were false because of the method by which debts were calculated.</w:t>
      </w:r>
      <w:r w:rsidR="00C51AE3" w:rsidRPr="005C2C48">
        <w:rPr>
          <w:rStyle w:val="FootnoteReference"/>
          <w:rFonts w:ascii="Arial" w:hAnsi="Arial" w:cs="Arial"/>
          <w:sz w:val="24"/>
          <w:szCs w:val="24"/>
        </w:rPr>
        <w:footnoteReference w:id="32"/>
      </w:r>
      <w:r w:rsidR="00C51AE3" w:rsidRPr="005C2C48">
        <w:rPr>
          <w:rFonts w:ascii="Arial" w:hAnsi="Arial" w:cs="Arial"/>
          <w:sz w:val="24"/>
          <w:szCs w:val="24"/>
        </w:rPr>
        <w:t xml:space="preserve"> </w:t>
      </w:r>
      <w:r w:rsidR="00C51AE3">
        <w:rPr>
          <w:rFonts w:ascii="Arial" w:hAnsi="Arial" w:cs="Arial"/>
          <w:sz w:val="24"/>
          <w:szCs w:val="24"/>
        </w:rPr>
        <w:t xml:space="preserve">People deserve to have a competent human check a social security debt notice before it is sent to them. They also should not have to bear the onus of proof about the non-existence of a debt many years after the year in which the alleged debt was accrued. To do otherwise sets up a system designed to fail people for the sake of promoting an algorithm. Technology should not be implemented simply for its own sake – but only where it genuinely improves the lives of people in a clearly verifiable way. </w:t>
      </w:r>
    </w:p>
    <w:p w14:paraId="070528A8" w14:textId="77777777" w:rsidR="009A1478" w:rsidRDefault="00C51AE3" w:rsidP="009A1478">
      <w:pPr>
        <w:pStyle w:val="ParaAttribute4"/>
        <w:wordWrap/>
        <w:spacing w:before="200" w:after="0" w:line="276" w:lineRule="auto"/>
        <w:jc w:val="both"/>
        <w:rPr>
          <w:rFonts w:ascii="Arial" w:hAnsi="Arial" w:cs="Arial"/>
          <w:b/>
          <w:sz w:val="24"/>
          <w:szCs w:val="24"/>
        </w:rPr>
      </w:pPr>
      <w:r w:rsidRPr="00B20DFD">
        <w:rPr>
          <w:rFonts w:ascii="Arial" w:hAnsi="Arial" w:cs="Arial"/>
          <w:b/>
          <w:sz w:val="24"/>
          <w:szCs w:val="24"/>
        </w:rPr>
        <w:t xml:space="preserve">Data Over Multiple Individual Occurrences (DOMINO) </w:t>
      </w:r>
    </w:p>
    <w:p w14:paraId="5CDF7361" w14:textId="445B2AF8" w:rsidR="00E3012E" w:rsidRDefault="00C51AE3" w:rsidP="009A1478">
      <w:pPr>
        <w:pStyle w:val="ParaAttribute4"/>
        <w:wordWrap/>
        <w:spacing w:before="200" w:after="0" w:line="276" w:lineRule="auto"/>
        <w:jc w:val="both"/>
        <w:rPr>
          <w:rFonts w:ascii="Arial" w:hAnsi="Arial" w:cs="Arial"/>
          <w:sz w:val="24"/>
          <w:szCs w:val="24"/>
        </w:rPr>
      </w:pPr>
      <w:r w:rsidRPr="00D27037">
        <w:rPr>
          <w:rFonts w:ascii="Arial" w:hAnsi="Arial" w:cs="Arial"/>
          <w:sz w:val="24"/>
          <w:szCs w:val="24"/>
        </w:rPr>
        <w:t xml:space="preserve">I am </w:t>
      </w:r>
      <w:r w:rsidR="00F7235C">
        <w:rPr>
          <w:rFonts w:ascii="Arial" w:hAnsi="Arial" w:cs="Arial"/>
          <w:sz w:val="24"/>
          <w:szCs w:val="24"/>
        </w:rPr>
        <w:t xml:space="preserve">also </w:t>
      </w:r>
      <w:r>
        <w:rPr>
          <w:rFonts w:ascii="Arial" w:hAnsi="Arial" w:cs="Arial"/>
          <w:sz w:val="24"/>
          <w:szCs w:val="24"/>
        </w:rPr>
        <w:t>concerned about</w:t>
      </w:r>
      <w:r w:rsidRPr="00D27037">
        <w:rPr>
          <w:rFonts w:ascii="Arial" w:hAnsi="Arial" w:cs="Arial"/>
          <w:sz w:val="24"/>
          <w:szCs w:val="24"/>
        </w:rPr>
        <w:t xml:space="preserve"> the development of the Data Over Multiple Individual Occurrences (DOMINO) system</w:t>
      </w:r>
      <w:r w:rsidR="00E04165">
        <w:rPr>
          <w:rFonts w:ascii="Arial" w:hAnsi="Arial" w:cs="Arial"/>
          <w:sz w:val="24"/>
          <w:szCs w:val="24"/>
        </w:rPr>
        <w:t>, explained by government thus</w:t>
      </w:r>
      <w:r w:rsidR="00E3012E">
        <w:rPr>
          <w:rFonts w:ascii="Arial" w:hAnsi="Arial" w:cs="Arial"/>
          <w:sz w:val="24"/>
          <w:szCs w:val="24"/>
        </w:rPr>
        <w:t xml:space="preserve">: </w:t>
      </w:r>
    </w:p>
    <w:p w14:paraId="4A35799A" w14:textId="77777777" w:rsidR="009322E0" w:rsidRPr="00D27037" w:rsidRDefault="009322E0" w:rsidP="009322E0">
      <w:pPr>
        <w:pStyle w:val="ParaAttribute4"/>
        <w:wordWrap/>
        <w:spacing w:before="200" w:after="0" w:line="120" w:lineRule="auto"/>
        <w:jc w:val="both"/>
        <w:rPr>
          <w:rFonts w:ascii="Arial" w:hAnsi="Arial" w:cs="Arial"/>
          <w:sz w:val="24"/>
          <w:szCs w:val="24"/>
        </w:rPr>
      </w:pPr>
    </w:p>
    <w:p w14:paraId="7DB0E832" w14:textId="784329F2" w:rsidR="00E3012E" w:rsidRPr="00E3012E" w:rsidRDefault="00E3012E" w:rsidP="00207AB7">
      <w:pPr>
        <w:ind w:left="720"/>
        <w:jc w:val="both"/>
        <w:rPr>
          <w:rFonts w:ascii="Arial" w:hAnsi="Arial" w:cs="Arial"/>
          <w:sz w:val="24"/>
          <w:szCs w:val="24"/>
        </w:rPr>
      </w:pPr>
      <w:r w:rsidRPr="00E3012E">
        <w:rPr>
          <w:rFonts w:ascii="Arial" w:hAnsi="Arial" w:cs="Arial"/>
          <w:sz w:val="24"/>
          <w:szCs w:val="24"/>
        </w:rPr>
        <w:t>DOMINO contains modular event-based data on individuals providing a longitudinal picture of the interaction of individual welfare recipients throughout their interactions with DSS payments.  These de-identified data have been designed with a focus on enduring data integration and as an asset for future research. DOMINO contains information on recipients’ demographics, benefits history, concessions, education (where available) and housing.</w:t>
      </w:r>
      <w:r>
        <w:rPr>
          <w:rStyle w:val="FootnoteReference"/>
          <w:rFonts w:ascii="Arial" w:hAnsi="Arial" w:cs="Arial"/>
          <w:sz w:val="24"/>
          <w:szCs w:val="24"/>
        </w:rPr>
        <w:footnoteReference w:id="33"/>
      </w:r>
    </w:p>
    <w:p w14:paraId="09738451" w14:textId="21C42AF6" w:rsidR="00C51AE3" w:rsidRDefault="006A3124" w:rsidP="00C51AE3">
      <w:pPr>
        <w:jc w:val="both"/>
        <w:rPr>
          <w:rFonts w:ascii="Arial" w:hAnsi="Arial" w:cs="Arial"/>
          <w:sz w:val="24"/>
          <w:szCs w:val="24"/>
        </w:rPr>
      </w:pPr>
      <w:r>
        <w:rPr>
          <w:rFonts w:ascii="Arial" w:hAnsi="Arial" w:cs="Arial"/>
          <w:sz w:val="24"/>
          <w:szCs w:val="24"/>
        </w:rPr>
        <w:t>The</w:t>
      </w:r>
      <w:r w:rsidR="00C51AE3" w:rsidRPr="00D27037">
        <w:rPr>
          <w:rFonts w:ascii="Arial" w:hAnsi="Arial" w:cs="Arial"/>
          <w:sz w:val="24"/>
          <w:szCs w:val="24"/>
        </w:rPr>
        <w:t xml:space="preserve"> Data Strategy and Development Branch of the Department of Social Services informed </w:t>
      </w:r>
      <w:r>
        <w:rPr>
          <w:rFonts w:ascii="Arial" w:hAnsi="Arial" w:cs="Arial"/>
          <w:sz w:val="24"/>
          <w:szCs w:val="24"/>
        </w:rPr>
        <w:t xml:space="preserve">me </w:t>
      </w:r>
      <w:r w:rsidR="00C51AE3" w:rsidRPr="00D27037">
        <w:rPr>
          <w:rFonts w:ascii="Arial" w:hAnsi="Arial" w:cs="Arial"/>
          <w:sz w:val="24"/>
          <w:szCs w:val="24"/>
        </w:rPr>
        <w:t>that: ‘The datasets are used for research and policy development.’</w:t>
      </w:r>
      <w:r w:rsidR="00C51AE3">
        <w:rPr>
          <w:rStyle w:val="FootnoteReference"/>
          <w:rFonts w:ascii="Arial" w:hAnsi="Arial" w:cs="Arial"/>
          <w:sz w:val="24"/>
          <w:szCs w:val="24"/>
        </w:rPr>
        <w:footnoteReference w:id="34"/>
      </w:r>
      <w:r w:rsidR="00C51AE3" w:rsidRPr="00D27037">
        <w:rPr>
          <w:rFonts w:ascii="Arial" w:hAnsi="Arial" w:cs="Arial"/>
          <w:sz w:val="24"/>
          <w:szCs w:val="24"/>
        </w:rPr>
        <w:t xml:space="preserve"> Although the system will use de-identified data</w:t>
      </w:r>
      <w:r w:rsidR="00C51AE3">
        <w:rPr>
          <w:rFonts w:ascii="Arial" w:hAnsi="Arial" w:cs="Arial"/>
          <w:sz w:val="24"/>
          <w:szCs w:val="24"/>
        </w:rPr>
        <w:t xml:space="preserve"> so that individuals are not (theoretically) identifiable, </w:t>
      </w:r>
      <w:r w:rsidR="00C51AE3">
        <w:rPr>
          <w:rFonts w:ascii="Arial" w:hAnsi="Arial" w:cs="Arial"/>
          <w:sz w:val="24"/>
          <w:szCs w:val="24"/>
        </w:rPr>
        <w:lastRenderedPageBreak/>
        <w:t>‘</w:t>
      </w:r>
      <w:r w:rsidR="00C51AE3" w:rsidRPr="00D27037">
        <w:rPr>
          <w:rFonts w:ascii="Arial" w:hAnsi="Arial" w:cs="Arial"/>
          <w:sz w:val="24"/>
          <w:szCs w:val="24"/>
        </w:rPr>
        <w:t>some communities may be identifiable due to post codes</w:t>
      </w:r>
      <w:r w:rsidR="00C51AE3">
        <w:rPr>
          <w:rFonts w:ascii="Arial" w:hAnsi="Arial" w:cs="Arial"/>
          <w:sz w:val="24"/>
          <w:szCs w:val="24"/>
        </w:rPr>
        <w:t>’.</w:t>
      </w:r>
      <w:r w:rsidR="00C51AE3">
        <w:rPr>
          <w:rStyle w:val="FootnoteReference"/>
          <w:rFonts w:ascii="Arial" w:hAnsi="Arial" w:cs="Arial"/>
          <w:sz w:val="24"/>
          <w:szCs w:val="24"/>
        </w:rPr>
        <w:footnoteReference w:id="35"/>
      </w:r>
      <w:r w:rsidR="00C51AE3">
        <w:rPr>
          <w:rFonts w:ascii="Arial" w:hAnsi="Arial" w:cs="Arial"/>
          <w:sz w:val="24"/>
          <w:szCs w:val="24"/>
        </w:rPr>
        <w:t xml:space="preserve"> This is concerning because where the post code refers to a small remote community it may be easier to identify the individual to whom specific data refers. In such circumstances this would involve an invasion of privacy of the individual. It is also troubling in that it is possible for geographical location to potentially operate as a proxy for racial discrimination for remote living Indigenous people. </w:t>
      </w:r>
    </w:p>
    <w:p w14:paraId="2FA7CAAE" w14:textId="4CD8E211" w:rsidR="00C51AE3" w:rsidRDefault="00C51AE3" w:rsidP="00C51AE3">
      <w:pPr>
        <w:jc w:val="both"/>
        <w:rPr>
          <w:rFonts w:ascii="Arial" w:hAnsi="Arial" w:cs="Arial"/>
          <w:sz w:val="24"/>
          <w:szCs w:val="24"/>
        </w:rPr>
      </w:pPr>
      <w:r>
        <w:rPr>
          <w:rFonts w:ascii="Arial" w:hAnsi="Arial" w:cs="Arial"/>
          <w:sz w:val="24"/>
          <w:szCs w:val="24"/>
        </w:rPr>
        <w:t>DOMINO</w:t>
      </w:r>
      <w:r w:rsidR="00C431EB">
        <w:rPr>
          <w:rFonts w:ascii="Arial" w:hAnsi="Arial" w:cs="Arial"/>
          <w:sz w:val="24"/>
          <w:szCs w:val="24"/>
        </w:rPr>
        <w:t xml:space="preserve"> allows </w:t>
      </w:r>
      <w:r>
        <w:rPr>
          <w:rFonts w:ascii="Arial" w:hAnsi="Arial" w:cs="Arial"/>
          <w:sz w:val="24"/>
          <w:szCs w:val="24"/>
        </w:rPr>
        <w:t>researchers to be able to access this data for a fee.</w:t>
      </w:r>
      <w:r w:rsidR="00A0249D">
        <w:rPr>
          <w:rStyle w:val="FootnoteReference"/>
          <w:rFonts w:ascii="Arial" w:hAnsi="Arial" w:cs="Arial"/>
          <w:sz w:val="24"/>
          <w:szCs w:val="24"/>
        </w:rPr>
        <w:footnoteReference w:id="36"/>
      </w:r>
      <w:r>
        <w:rPr>
          <w:rFonts w:ascii="Arial" w:hAnsi="Arial" w:cs="Arial"/>
          <w:sz w:val="24"/>
          <w:szCs w:val="24"/>
        </w:rPr>
        <w:t xml:space="preserve"> This raises the issue of data sovereignty – should data given by individual social security recipients for one purpose (to obtain needed income) be used for another purpose – such as policy development and government profit from data sales? This issue is important given the capacity for data to be (mis)used to promulgate punitive programs for Indigenous peoples in Australia and for information to be collected about them without their ‘free, prior and informed consent’ about future uses of the data (contrary to Art 19 UNDRIP). </w:t>
      </w:r>
    </w:p>
    <w:p w14:paraId="414CA52B" w14:textId="0201C8A2" w:rsidR="009A1478" w:rsidRDefault="009A1478" w:rsidP="00C51AE3">
      <w:pPr>
        <w:jc w:val="both"/>
        <w:rPr>
          <w:rFonts w:ascii="Arial" w:hAnsi="Arial" w:cs="Arial"/>
          <w:sz w:val="24"/>
          <w:szCs w:val="24"/>
        </w:rPr>
      </w:pPr>
      <w:r>
        <w:rPr>
          <w:rFonts w:ascii="Arial" w:hAnsi="Arial" w:cs="Arial"/>
          <w:sz w:val="24"/>
          <w:szCs w:val="24"/>
        </w:rPr>
        <w:t xml:space="preserve">I set out a range of recommendations in Appendix A about these issues that may also be of interest for this </w:t>
      </w:r>
      <w:r w:rsidR="00397B8E">
        <w:rPr>
          <w:rFonts w:ascii="Arial" w:hAnsi="Arial" w:cs="Arial"/>
          <w:sz w:val="24"/>
          <w:szCs w:val="24"/>
        </w:rPr>
        <w:t>report</w:t>
      </w:r>
      <w:r>
        <w:rPr>
          <w:rFonts w:ascii="Arial" w:hAnsi="Arial" w:cs="Arial"/>
          <w:sz w:val="24"/>
          <w:szCs w:val="24"/>
        </w:rPr>
        <w:t xml:space="preserve">. </w:t>
      </w:r>
    </w:p>
    <w:p w14:paraId="31284210" w14:textId="6BF56C67" w:rsidR="00C51AE3" w:rsidRPr="005C2C48" w:rsidRDefault="00C51AE3" w:rsidP="00C51AE3">
      <w:pPr>
        <w:jc w:val="both"/>
        <w:rPr>
          <w:rFonts w:ascii="Arial" w:hAnsi="Arial" w:cs="Arial"/>
          <w:sz w:val="24"/>
          <w:szCs w:val="24"/>
        </w:rPr>
      </w:pPr>
      <w:r w:rsidRPr="005C2C48">
        <w:rPr>
          <w:rFonts w:ascii="Arial" w:hAnsi="Arial" w:cs="Arial"/>
          <w:sz w:val="24"/>
          <w:szCs w:val="24"/>
        </w:rPr>
        <w:t xml:space="preserve">If I can be of any further </w:t>
      </w:r>
      <w:r w:rsidR="00A0249D" w:rsidRPr="005C2C48">
        <w:rPr>
          <w:rFonts w:ascii="Arial" w:hAnsi="Arial" w:cs="Arial"/>
          <w:sz w:val="24"/>
          <w:szCs w:val="24"/>
        </w:rPr>
        <w:t>assistance,</w:t>
      </w:r>
      <w:r w:rsidRPr="005C2C48">
        <w:rPr>
          <w:rFonts w:ascii="Arial" w:hAnsi="Arial" w:cs="Arial"/>
          <w:sz w:val="24"/>
          <w:szCs w:val="24"/>
        </w:rPr>
        <w:t xml:space="preserve"> I would be happy to oblige.</w:t>
      </w:r>
    </w:p>
    <w:p w14:paraId="4034C64D" w14:textId="77777777" w:rsidR="00C51AE3" w:rsidRPr="005C2C48" w:rsidRDefault="00C51AE3" w:rsidP="00C51AE3">
      <w:pPr>
        <w:jc w:val="both"/>
        <w:rPr>
          <w:rFonts w:ascii="Arial" w:hAnsi="Arial" w:cs="Arial"/>
          <w:sz w:val="24"/>
          <w:szCs w:val="24"/>
        </w:rPr>
      </w:pPr>
      <w:r w:rsidRPr="005C2C48">
        <w:rPr>
          <w:rFonts w:ascii="Arial" w:hAnsi="Arial" w:cs="Arial"/>
          <w:sz w:val="24"/>
          <w:szCs w:val="24"/>
        </w:rPr>
        <w:t>Yours sincerely,</w:t>
      </w:r>
    </w:p>
    <w:p w14:paraId="43A8472C" w14:textId="77777777" w:rsidR="00C51AE3" w:rsidRPr="005C2C48" w:rsidRDefault="00C51AE3" w:rsidP="00C51AE3">
      <w:pPr>
        <w:jc w:val="both"/>
        <w:rPr>
          <w:rFonts w:ascii="Arial" w:hAnsi="Arial" w:cs="Arial"/>
          <w:sz w:val="24"/>
          <w:szCs w:val="24"/>
        </w:rPr>
      </w:pPr>
      <w:r w:rsidRPr="005C2C48">
        <w:rPr>
          <w:rFonts w:ascii="Arial" w:hAnsi="Arial" w:cs="Arial"/>
          <w:noProof/>
          <w:sz w:val="24"/>
          <w:szCs w:val="24"/>
          <w:lang w:eastAsia="en-AU"/>
        </w:rPr>
        <w:drawing>
          <wp:inline distT="0" distB="0" distL="0" distR="0" wp14:anchorId="4F5C7F04" wp14:editId="5C81D00B">
            <wp:extent cx="1618836" cy="665066"/>
            <wp:effectExtent l="0" t="0" r="635" b="1905"/>
            <wp:docPr id="2" name="Picture 2" descr="cid:image001.png@01CF647E.606C7050"/>
            <wp:cNvGraphicFramePr/>
            <a:graphic xmlns:a="http://schemas.openxmlformats.org/drawingml/2006/main">
              <a:graphicData uri="http://schemas.openxmlformats.org/drawingml/2006/picture">
                <pic:pic xmlns:pic="http://schemas.openxmlformats.org/drawingml/2006/picture">
                  <pic:nvPicPr>
                    <pic:cNvPr id="2" name="Picture 2" descr="cid:image001.png@01CF647E.606C7050"/>
                    <pic:cNvPicPr/>
                  </pic:nvPicPr>
                  <pic:blipFill>
                    <a:blip r:embed="rId9" r:link="rId10" cstate="print"/>
                    <a:srcRect/>
                    <a:stretch>
                      <a:fillRect/>
                    </a:stretch>
                  </pic:blipFill>
                  <pic:spPr bwMode="auto">
                    <a:xfrm>
                      <a:off x="0" y="0"/>
                      <a:ext cx="1652640" cy="678954"/>
                    </a:xfrm>
                    <a:prstGeom prst="rect">
                      <a:avLst/>
                    </a:prstGeom>
                    <a:noFill/>
                    <a:ln w="9525">
                      <a:noFill/>
                      <a:miter lim="800000"/>
                      <a:headEnd/>
                      <a:tailEnd/>
                    </a:ln>
                  </pic:spPr>
                </pic:pic>
              </a:graphicData>
            </a:graphic>
          </wp:inline>
        </w:drawing>
      </w:r>
      <w:r w:rsidRPr="005C2C48">
        <w:rPr>
          <w:rFonts w:ascii="Arial" w:hAnsi="Arial" w:cs="Arial"/>
          <w:sz w:val="24"/>
          <w:szCs w:val="24"/>
        </w:rPr>
        <w:t xml:space="preserve"> </w:t>
      </w:r>
    </w:p>
    <w:p w14:paraId="29BF3C9A" w14:textId="77777777" w:rsidR="00C51AE3" w:rsidRPr="005C2C48" w:rsidRDefault="00C51AE3" w:rsidP="00C51AE3">
      <w:pPr>
        <w:pStyle w:val="NoSpacing"/>
        <w:spacing w:line="276" w:lineRule="auto"/>
        <w:rPr>
          <w:rFonts w:ascii="Arial" w:hAnsi="Arial" w:cs="Arial"/>
          <w:sz w:val="24"/>
          <w:szCs w:val="24"/>
        </w:rPr>
      </w:pPr>
      <w:r w:rsidRPr="005C2C48">
        <w:rPr>
          <w:rFonts w:ascii="Arial" w:hAnsi="Arial" w:cs="Arial"/>
          <w:sz w:val="24"/>
          <w:szCs w:val="24"/>
        </w:rPr>
        <w:t>Dr Shelley Bielefeld</w:t>
      </w:r>
    </w:p>
    <w:p w14:paraId="28849CB7" w14:textId="77777777" w:rsidR="00C51AE3" w:rsidRPr="005C2C48" w:rsidRDefault="00C51AE3" w:rsidP="00C51AE3">
      <w:pPr>
        <w:pStyle w:val="NoSpacing"/>
        <w:spacing w:line="276" w:lineRule="auto"/>
        <w:rPr>
          <w:rFonts w:ascii="Arial" w:hAnsi="Arial" w:cs="Arial"/>
          <w:sz w:val="24"/>
          <w:szCs w:val="24"/>
        </w:rPr>
      </w:pPr>
      <w:r w:rsidRPr="005C2C48">
        <w:rPr>
          <w:rFonts w:ascii="Arial" w:hAnsi="Arial" w:cs="Arial"/>
          <w:sz w:val="24"/>
          <w:szCs w:val="24"/>
        </w:rPr>
        <w:t>ARC DECRA Fellow/Senior Lecturer</w:t>
      </w:r>
    </w:p>
    <w:p w14:paraId="027CD7E0" w14:textId="77777777" w:rsidR="00C51AE3" w:rsidRPr="005C2C48" w:rsidRDefault="00C51AE3" w:rsidP="00C51AE3">
      <w:pPr>
        <w:pStyle w:val="NoSpacing"/>
        <w:spacing w:line="276" w:lineRule="auto"/>
        <w:rPr>
          <w:rFonts w:ascii="Arial" w:hAnsi="Arial" w:cs="Arial"/>
          <w:noProof/>
          <w:sz w:val="24"/>
          <w:szCs w:val="24"/>
        </w:rPr>
      </w:pPr>
      <w:r w:rsidRPr="005C2C48">
        <w:rPr>
          <w:rFonts w:ascii="Arial" w:hAnsi="Arial" w:cs="Arial"/>
          <w:noProof/>
          <w:sz w:val="24"/>
          <w:szCs w:val="24"/>
        </w:rPr>
        <w:t xml:space="preserve">Griffith Law School </w:t>
      </w:r>
    </w:p>
    <w:p w14:paraId="0A72531E" w14:textId="77777777" w:rsidR="00C51AE3" w:rsidRPr="005C2C48" w:rsidRDefault="00C51AE3" w:rsidP="00C51AE3">
      <w:pPr>
        <w:pStyle w:val="NoSpacing"/>
        <w:spacing w:line="276" w:lineRule="auto"/>
        <w:rPr>
          <w:rFonts w:ascii="Arial" w:hAnsi="Arial" w:cs="Arial"/>
          <w:sz w:val="24"/>
          <w:szCs w:val="24"/>
          <w:shd w:val="clear" w:color="auto" w:fill="FFFFFF"/>
        </w:rPr>
      </w:pPr>
      <w:r w:rsidRPr="005C2C48">
        <w:rPr>
          <w:rFonts w:ascii="Arial" w:hAnsi="Arial" w:cs="Arial"/>
          <w:sz w:val="24"/>
          <w:szCs w:val="24"/>
          <w:shd w:val="clear" w:color="auto" w:fill="FFFFFF"/>
        </w:rPr>
        <w:t>Arts, Education and Law Group</w:t>
      </w:r>
      <w:r w:rsidRPr="005C2C48">
        <w:rPr>
          <w:rFonts w:ascii="Arial" w:hAnsi="Arial" w:cs="Arial"/>
          <w:sz w:val="24"/>
          <w:szCs w:val="24"/>
          <w:shd w:val="clear" w:color="auto" w:fill="FFFFFF"/>
        </w:rPr>
        <w:br/>
        <w:t>Building N61, Nathan campus, Griffith University</w:t>
      </w:r>
      <w:r w:rsidRPr="005C2C48">
        <w:rPr>
          <w:rFonts w:ascii="Arial" w:hAnsi="Arial" w:cs="Arial"/>
          <w:sz w:val="24"/>
          <w:szCs w:val="24"/>
          <w:shd w:val="clear" w:color="auto" w:fill="FFFFFF"/>
        </w:rPr>
        <w:br/>
        <w:t xml:space="preserve">170 </w:t>
      </w:r>
      <w:proofErr w:type="spellStart"/>
      <w:r w:rsidRPr="005C2C48">
        <w:rPr>
          <w:rFonts w:ascii="Arial" w:hAnsi="Arial" w:cs="Arial"/>
          <w:sz w:val="24"/>
          <w:szCs w:val="24"/>
          <w:shd w:val="clear" w:color="auto" w:fill="FFFFFF"/>
        </w:rPr>
        <w:t>Kessels</w:t>
      </w:r>
      <w:proofErr w:type="spellEnd"/>
      <w:r w:rsidRPr="005C2C48">
        <w:rPr>
          <w:rFonts w:ascii="Arial" w:hAnsi="Arial" w:cs="Arial"/>
          <w:sz w:val="24"/>
          <w:szCs w:val="24"/>
          <w:shd w:val="clear" w:color="auto" w:fill="FFFFFF"/>
        </w:rPr>
        <w:t xml:space="preserve"> Road, Nathan, QLD, 4111, Australia</w:t>
      </w:r>
    </w:p>
    <w:p w14:paraId="5EEB55DA" w14:textId="77777777" w:rsidR="00C51AE3" w:rsidRPr="005C2C48" w:rsidRDefault="00C51AE3" w:rsidP="00C51AE3">
      <w:pPr>
        <w:pStyle w:val="NoSpacing"/>
        <w:spacing w:line="276" w:lineRule="auto"/>
        <w:rPr>
          <w:rFonts w:ascii="Arial" w:hAnsi="Arial" w:cs="Arial"/>
          <w:sz w:val="24"/>
          <w:szCs w:val="24"/>
          <w:shd w:val="clear" w:color="auto" w:fill="FFFFFF"/>
        </w:rPr>
      </w:pPr>
    </w:p>
    <w:p w14:paraId="0549869F" w14:textId="77777777" w:rsidR="00C51AE3" w:rsidRPr="005C2C48" w:rsidRDefault="00C51AE3" w:rsidP="00C51AE3">
      <w:pPr>
        <w:pStyle w:val="NoSpacing"/>
        <w:spacing w:line="276" w:lineRule="auto"/>
        <w:rPr>
          <w:rFonts w:ascii="Arial" w:hAnsi="Arial" w:cs="Arial"/>
          <w:noProof/>
          <w:sz w:val="24"/>
          <w:szCs w:val="24"/>
        </w:rPr>
      </w:pPr>
      <w:r w:rsidRPr="005C2C48">
        <w:rPr>
          <w:rFonts w:ascii="Arial" w:hAnsi="Arial" w:cs="Arial"/>
          <w:noProof/>
          <w:sz w:val="24"/>
          <w:szCs w:val="24"/>
        </w:rPr>
        <w:t>And</w:t>
      </w:r>
    </w:p>
    <w:p w14:paraId="70BE44AC" w14:textId="77777777" w:rsidR="00C51AE3" w:rsidRPr="005C2C48" w:rsidRDefault="00C51AE3" w:rsidP="00C51AE3">
      <w:pPr>
        <w:pStyle w:val="NoSpacing"/>
        <w:spacing w:line="276" w:lineRule="auto"/>
        <w:rPr>
          <w:rFonts w:ascii="Arial" w:hAnsi="Arial" w:cs="Arial"/>
          <w:noProof/>
          <w:sz w:val="24"/>
          <w:szCs w:val="24"/>
        </w:rPr>
      </w:pPr>
    </w:p>
    <w:p w14:paraId="4E5D5C31" w14:textId="77777777" w:rsidR="00C51AE3" w:rsidRPr="005C2C48" w:rsidRDefault="00C51AE3" w:rsidP="00C51AE3">
      <w:pPr>
        <w:pStyle w:val="NoSpacing"/>
        <w:spacing w:line="276" w:lineRule="auto"/>
        <w:rPr>
          <w:rFonts w:ascii="Arial" w:hAnsi="Arial" w:cs="Arial"/>
          <w:noProof/>
          <w:sz w:val="24"/>
          <w:szCs w:val="24"/>
        </w:rPr>
      </w:pPr>
      <w:r w:rsidRPr="005C2C48">
        <w:rPr>
          <w:rFonts w:ascii="Arial" w:hAnsi="Arial" w:cs="Arial"/>
          <w:noProof/>
          <w:sz w:val="24"/>
          <w:szCs w:val="24"/>
        </w:rPr>
        <w:t>Visiting Scholar</w:t>
      </w:r>
    </w:p>
    <w:p w14:paraId="6EA6983E" w14:textId="77777777" w:rsidR="00C51AE3" w:rsidRPr="005C2C48" w:rsidRDefault="00C51AE3" w:rsidP="00C51AE3">
      <w:pPr>
        <w:pStyle w:val="NoSpacing"/>
        <w:spacing w:line="276" w:lineRule="auto"/>
        <w:rPr>
          <w:rFonts w:ascii="Arial" w:hAnsi="Arial" w:cs="Arial"/>
          <w:noProof/>
          <w:sz w:val="24"/>
          <w:szCs w:val="24"/>
        </w:rPr>
      </w:pPr>
      <w:r w:rsidRPr="005C2C48">
        <w:rPr>
          <w:rFonts w:ascii="Arial" w:hAnsi="Arial" w:cs="Arial"/>
          <w:noProof/>
          <w:sz w:val="24"/>
          <w:szCs w:val="24"/>
        </w:rPr>
        <w:t>School of Regulation and Global Governance (RegNet)</w:t>
      </w:r>
    </w:p>
    <w:p w14:paraId="082B7791" w14:textId="77777777" w:rsidR="00C51AE3" w:rsidRPr="005C2C48" w:rsidRDefault="00C51AE3" w:rsidP="00C51AE3">
      <w:pPr>
        <w:pStyle w:val="NoSpacing"/>
        <w:spacing w:line="276" w:lineRule="auto"/>
        <w:rPr>
          <w:rFonts w:ascii="Arial" w:hAnsi="Arial" w:cs="Arial"/>
          <w:sz w:val="24"/>
          <w:szCs w:val="24"/>
        </w:rPr>
      </w:pPr>
      <w:r w:rsidRPr="005C2C48">
        <w:rPr>
          <w:rFonts w:ascii="Arial" w:hAnsi="Arial" w:cs="Arial"/>
          <w:sz w:val="24"/>
          <w:szCs w:val="24"/>
        </w:rPr>
        <w:t>College of Asia and the Pacific</w:t>
      </w:r>
    </w:p>
    <w:p w14:paraId="06969EAA" w14:textId="77777777" w:rsidR="00C51AE3" w:rsidRPr="005C2C48" w:rsidRDefault="00C51AE3" w:rsidP="00C51AE3">
      <w:pPr>
        <w:pStyle w:val="NoSpacing"/>
        <w:spacing w:line="276" w:lineRule="auto"/>
        <w:rPr>
          <w:rFonts w:ascii="Arial" w:hAnsi="Arial" w:cs="Arial"/>
          <w:sz w:val="24"/>
          <w:szCs w:val="24"/>
        </w:rPr>
      </w:pPr>
      <w:r w:rsidRPr="005C2C48">
        <w:rPr>
          <w:rFonts w:ascii="Arial" w:hAnsi="Arial" w:cs="Arial"/>
          <w:sz w:val="24"/>
          <w:szCs w:val="24"/>
        </w:rPr>
        <w:t>8 Fellows Road</w:t>
      </w:r>
    </w:p>
    <w:p w14:paraId="5B51A0F2" w14:textId="77777777" w:rsidR="00C51AE3" w:rsidRPr="005C2C48" w:rsidRDefault="00C51AE3" w:rsidP="00C51AE3">
      <w:pPr>
        <w:pStyle w:val="NoSpacing"/>
        <w:spacing w:line="276" w:lineRule="auto"/>
        <w:rPr>
          <w:rFonts w:ascii="Arial" w:hAnsi="Arial" w:cs="Arial"/>
          <w:sz w:val="24"/>
          <w:szCs w:val="24"/>
        </w:rPr>
      </w:pPr>
      <w:r w:rsidRPr="005C2C48">
        <w:rPr>
          <w:rFonts w:ascii="Arial" w:hAnsi="Arial" w:cs="Arial"/>
          <w:sz w:val="24"/>
          <w:szCs w:val="24"/>
        </w:rPr>
        <w:t>The Australian National University</w:t>
      </w:r>
      <w:r w:rsidRPr="005C2C48">
        <w:rPr>
          <w:rFonts w:ascii="Arial" w:hAnsi="Arial" w:cs="Arial"/>
          <w:sz w:val="24"/>
          <w:szCs w:val="24"/>
        </w:rPr>
        <w:br/>
        <w:t>Acton ACT 2601 Australia</w:t>
      </w:r>
    </w:p>
    <w:p w14:paraId="65983ECD" w14:textId="77777777" w:rsidR="00C51AE3" w:rsidRPr="005C2C48" w:rsidRDefault="00C51AE3" w:rsidP="00C51AE3">
      <w:pPr>
        <w:pStyle w:val="NoSpacing"/>
        <w:spacing w:line="276" w:lineRule="auto"/>
        <w:rPr>
          <w:rFonts w:ascii="Arial" w:hAnsi="Arial" w:cs="Arial"/>
          <w:noProof/>
          <w:sz w:val="24"/>
          <w:szCs w:val="24"/>
        </w:rPr>
      </w:pPr>
    </w:p>
    <w:p w14:paraId="1CAE24FA" w14:textId="77777777" w:rsidR="00C51AE3" w:rsidRPr="005C2C48" w:rsidRDefault="00C51AE3" w:rsidP="00C51AE3">
      <w:pPr>
        <w:pStyle w:val="NoSpacing"/>
        <w:spacing w:line="276" w:lineRule="auto"/>
        <w:rPr>
          <w:rFonts w:ascii="Arial" w:hAnsi="Arial" w:cs="Arial"/>
          <w:noProof/>
          <w:sz w:val="24"/>
          <w:szCs w:val="24"/>
        </w:rPr>
      </w:pPr>
      <w:r w:rsidRPr="005C2C48">
        <w:rPr>
          <w:rFonts w:ascii="Arial" w:hAnsi="Arial" w:cs="Arial"/>
          <w:noProof/>
          <w:sz w:val="24"/>
          <w:szCs w:val="24"/>
        </w:rPr>
        <w:t xml:space="preserve">Email addresses: </w:t>
      </w:r>
      <w:hyperlink r:id="rId11" w:history="1">
        <w:r w:rsidRPr="005C2C48">
          <w:rPr>
            <w:rStyle w:val="Hyperlink"/>
            <w:rFonts w:ascii="Arial" w:hAnsi="Arial" w:cs="Arial"/>
            <w:noProof/>
            <w:sz w:val="24"/>
            <w:szCs w:val="24"/>
          </w:rPr>
          <w:t>s.bielefeld@griffith.edu.au</w:t>
        </w:r>
      </w:hyperlink>
      <w:r w:rsidRPr="005C2C48">
        <w:rPr>
          <w:rFonts w:ascii="Arial" w:hAnsi="Arial" w:cs="Arial"/>
          <w:noProof/>
          <w:sz w:val="24"/>
          <w:szCs w:val="24"/>
        </w:rPr>
        <w:t xml:space="preserve"> and </w:t>
      </w:r>
      <w:hyperlink r:id="rId12" w:history="1">
        <w:r w:rsidRPr="005C2C48">
          <w:rPr>
            <w:rStyle w:val="Hyperlink"/>
            <w:rFonts w:ascii="Arial" w:hAnsi="Arial" w:cs="Arial"/>
            <w:noProof/>
            <w:sz w:val="24"/>
            <w:szCs w:val="24"/>
          </w:rPr>
          <w:t>shelley.bielefeld@anu.edu.au</w:t>
        </w:r>
      </w:hyperlink>
      <w:r w:rsidRPr="005C2C48">
        <w:rPr>
          <w:rFonts w:ascii="Arial" w:hAnsi="Arial" w:cs="Arial"/>
          <w:noProof/>
          <w:sz w:val="24"/>
          <w:szCs w:val="24"/>
        </w:rPr>
        <w:t xml:space="preserve"> </w:t>
      </w:r>
    </w:p>
    <w:p w14:paraId="5FCD50E0" w14:textId="77777777" w:rsidR="00C51AE3" w:rsidRPr="005C2C48" w:rsidRDefault="00C51AE3" w:rsidP="00C51AE3">
      <w:pPr>
        <w:pStyle w:val="NoSpacing"/>
        <w:spacing w:line="276" w:lineRule="auto"/>
        <w:jc w:val="both"/>
        <w:rPr>
          <w:rFonts w:ascii="Arial" w:hAnsi="Arial" w:cs="Arial"/>
          <w:noProof/>
          <w:sz w:val="24"/>
          <w:szCs w:val="24"/>
        </w:rPr>
      </w:pPr>
    </w:p>
    <w:p w14:paraId="62A49B35" w14:textId="77777777" w:rsidR="00C51AE3" w:rsidRPr="005C2C48" w:rsidRDefault="00C51AE3" w:rsidP="00C51AE3">
      <w:pPr>
        <w:jc w:val="both"/>
        <w:rPr>
          <w:rFonts w:ascii="Arial" w:hAnsi="Arial" w:cs="Arial"/>
          <w:b/>
          <w:sz w:val="24"/>
          <w:szCs w:val="24"/>
        </w:rPr>
      </w:pPr>
      <w:r w:rsidRPr="005C2C48">
        <w:rPr>
          <w:rFonts w:ascii="Arial" w:hAnsi="Arial" w:cs="Arial"/>
          <w:b/>
          <w:sz w:val="24"/>
          <w:szCs w:val="24"/>
        </w:rPr>
        <w:lastRenderedPageBreak/>
        <w:t>Appendices</w:t>
      </w:r>
    </w:p>
    <w:p w14:paraId="36365AB5" w14:textId="77777777" w:rsidR="00167E4B" w:rsidRDefault="00C51AE3" w:rsidP="00167E4B">
      <w:pPr>
        <w:jc w:val="both"/>
        <w:rPr>
          <w:rFonts w:ascii="Arial" w:hAnsi="Arial" w:cs="Arial"/>
          <w:b/>
          <w:sz w:val="24"/>
          <w:szCs w:val="24"/>
        </w:rPr>
      </w:pPr>
      <w:r w:rsidRPr="005C2C48">
        <w:rPr>
          <w:rFonts w:ascii="Arial" w:hAnsi="Arial" w:cs="Arial"/>
          <w:b/>
          <w:sz w:val="24"/>
          <w:szCs w:val="24"/>
        </w:rPr>
        <w:t xml:space="preserve">Appendix A </w:t>
      </w:r>
    </w:p>
    <w:p w14:paraId="66456241" w14:textId="687D9E7F" w:rsidR="00C51AE3" w:rsidRPr="00167E4B" w:rsidRDefault="00167E4B" w:rsidP="00167E4B">
      <w:pPr>
        <w:jc w:val="both"/>
        <w:rPr>
          <w:rFonts w:ascii="Arial" w:hAnsi="Arial" w:cs="Arial"/>
          <w:sz w:val="24"/>
          <w:szCs w:val="24"/>
        </w:rPr>
      </w:pPr>
      <w:r w:rsidRPr="00167E4B">
        <w:rPr>
          <w:rFonts w:ascii="Arial" w:hAnsi="Arial" w:cs="Arial"/>
          <w:sz w:val="24"/>
          <w:szCs w:val="24"/>
        </w:rPr>
        <w:t xml:space="preserve">Shelley Bielefeld, Submission No 90 to the Australian Human Rights Commission, </w:t>
      </w:r>
      <w:r w:rsidRPr="00167E4B">
        <w:rPr>
          <w:rFonts w:ascii="Arial" w:hAnsi="Arial" w:cs="Arial"/>
          <w:i/>
          <w:sz w:val="24"/>
          <w:szCs w:val="24"/>
        </w:rPr>
        <w:t>Human Rights and Technology Issues Paper</w:t>
      </w:r>
      <w:r w:rsidRPr="00167E4B">
        <w:rPr>
          <w:rFonts w:ascii="Arial" w:hAnsi="Arial" w:cs="Arial"/>
          <w:sz w:val="24"/>
          <w:szCs w:val="24"/>
        </w:rPr>
        <w:t>, 16 October 2018, 1-23.</w:t>
      </w:r>
    </w:p>
    <w:p w14:paraId="0ED7422A" w14:textId="5E42B329" w:rsidR="00C51AE3" w:rsidRDefault="00C51AE3" w:rsidP="00C51AE3">
      <w:pPr>
        <w:pStyle w:val="NoSpacing"/>
        <w:spacing w:line="276" w:lineRule="auto"/>
        <w:jc w:val="both"/>
        <w:rPr>
          <w:rFonts w:ascii="Arial" w:hAnsi="Arial" w:cs="Arial"/>
          <w:b/>
          <w:sz w:val="24"/>
          <w:szCs w:val="24"/>
        </w:rPr>
      </w:pPr>
      <w:r w:rsidRPr="005C2C48">
        <w:rPr>
          <w:rFonts w:ascii="Arial" w:hAnsi="Arial" w:cs="Arial"/>
          <w:b/>
          <w:sz w:val="24"/>
          <w:szCs w:val="24"/>
        </w:rPr>
        <w:t xml:space="preserve">Appendix B </w:t>
      </w:r>
    </w:p>
    <w:p w14:paraId="3FE00AD4" w14:textId="77777777" w:rsidR="00167E4B" w:rsidRPr="005C2C48" w:rsidRDefault="00167E4B" w:rsidP="00C51AE3">
      <w:pPr>
        <w:pStyle w:val="NoSpacing"/>
        <w:spacing w:line="276" w:lineRule="auto"/>
        <w:jc w:val="both"/>
        <w:rPr>
          <w:rFonts w:ascii="Arial" w:hAnsi="Arial" w:cs="Arial"/>
          <w:b/>
          <w:sz w:val="24"/>
          <w:szCs w:val="24"/>
        </w:rPr>
      </w:pPr>
    </w:p>
    <w:p w14:paraId="6C3DB0EF" w14:textId="77777777" w:rsidR="00167E4B" w:rsidRDefault="00C51AE3" w:rsidP="00167E4B">
      <w:pPr>
        <w:pStyle w:val="NoSpacing"/>
        <w:spacing w:line="276" w:lineRule="auto"/>
        <w:jc w:val="both"/>
        <w:rPr>
          <w:rFonts w:ascii="Arial" w:hAnsi="Arial" w:cs="Arial"/>
          <w:sz w:val="24"/>
          <w:szCs w:val="24"/>
        </w:rPr>
      </w:pPr>
      <w:r w:rsidRPr="005C2C48">
        <w:rPr>
          <w:rFonts w:ascii="Arial" w:hAnsi="Arial" w:cs="Arial"/>
          <w:sz w:val="24"/>
          <w:szCs w:val="24"/>
        </w:rPr>
        <w:t xml:space="preserve">Shelley Bielefeld, ‘Cashless Welfare Transfers for “Vulnerable” Welfare Recipients – Law, Ethics and Vulnerability’ (2018) 26(1) </w:t>
      </w:r>
      <w:r w:rsidRPr="005C2C48">
        <w:rPr>
          <w:rFonts w:ascii="Arial" w:hAnsi="Arial" w:cs="Arial"/>
          <w:i/>
          <w:sz w:val="24"/>
          <w:szCs w:val="24"/>
        </w:rPr>
        <w:t>Feminist Legal Studies</w:t>
      </w:r>
      <w:r w:rsidRPr="005C2C48">
        <w:rPr>
          <w:rFonts w:ascii="Arial" w:hAnsi="Arial" w:cs="Arial"/>
          <w:sz w:val="24"/>
          <w:szCs w:val="24"/>
        </w:rPr>
        <w:t xml:space="preserve"> 1-23.</w:t>
      </w:r>
    </w:p>
    <w:p w14:paraId="0E6926BF" w14:textId="77777777" w:rsidR="00167E4B" w:rsidRDefault="00167E4B" w:rsidP="00167E4B">
      <w:pPr>
        <w:pStyle w:val="NoSpacing"/>
        <w:spacing w:line="276" w:lineRule="auto"/>
        <w:jc w:val="both"/>
        <w:rPr>
          <w:rFonts w:ascii="Arial" w:hAnsi="Arial" w:cs="Arial"/>
          <w:sz w:val="24"/>
          <w:szCs w:val="24"/>
        </w:rPr>
      </w:pPr>
    </w:p>
    <w:p w14:paraId="5119B015" w14:textId="110C462E" w:rsidR="00C51AE3" w:rsidRDefault="00C51AE3" w:rsidP="00167E4B">
      <w:pPr>
        <w:pStyle w:val="NoSpacing"/>
        <w:spacing w:line="276" w:lineRule="auto"/>
        <w:jc w:val="both"/>
        <w:rPr>
          <w:rFonts w:ascii="Arial" w:hAnsi="Arial" w:cs="Arial"/>
          <w:b/>
          <w:sz w:val="24"/>
          <w:szCs w:val="24"/>
        </w:rPr>
      </w:pPr>
      <w:r w:rsidRPr="005C2C48">
        <w:rPr>
          <w:rFonts w:ascii="Arial" w:hAnsi="Arial" w:cs="Arial"/>
          <w:b/>
          <w:sz w:val="24"/>
          <w:szCs w:val="24"/>
        </w:rPr>
        <w:t>Appendix C</w:t>
      </w:r>
    </w:p>
    <w:p w14:paraId="1EECFA0D" w14:textId="77777777" w:rsidR="00167E4B" w:rsidRPr="00167E4B" w:rsidRDefault="00167E4B" w:rsidP="00167E4B">
      <w:pPr>
        <w:pStyle w:val="NoSpacing"/>
        <w:spacing w:line="276" w:lineRule="auto"/>
        <w:jc w:val="both"/>
        <w:rPr>
          <w:rFonts w:ascii="Arial" w:hAnsi="Arial" w:cs="Arial"/>
          <w:sz w:val="24"/>
          <w:szCs w:val="24"/>
        </w:rPr>
      </w:pPr>
    </w:p>
    <w:p w14:paraId="7421AD87" w14:textId="41697F4E" w:rsidR="00C51AE3" w:rsidRDefault="00C51AE3" w:rsidP="00C51AE3">
      <w:pPr>
        <w:pStyle w:val="NoSpacing"/>
        <w:spacing w:line="276" w:lineRule="auto"/>
        <w:jc w:val="both"/>
        <w:rPr>
          <w:rFonts w:ascii="Arial" w:hAnsi="Arial" w:cs="Arial"/>
          <w:sz w:val="24"/>
          <w:szCs w:val="24"/>
        </w:rPr>
      </w:pPr>
      <w:r w:rsidRPr="00167E4B">
        <w:rPr>
          <w:rFonts w:ascii="Arial" w:hAnsi="Arial" w:cs="Arial"/>
          <w:sz w:val="24"/>
          <w:szCs w:val="24"/>
        </w:rPr>
        <w:t>Shelley Bielefeld</w:t>
      </w:r>
      <w:r w:rsidR="00167E4B" w:rsidRPr="00167E4B">
        <w:rPr>
          <w:rFonts w:ascii="Arial" w:hAnsi="Arial" w:cs="Arial"/>
          <w:sz w:val="24"/>
          <w:szCs w:val="24"/>
        </w:rPr>
        <w:t xml:space="preserve"> and Fleur </w:t>
      </w:r>
      <w:proofErr w:type="spellStart"/>
      <w:r w:rsidR="00167E4B" w:rsidRPr="00167E4B">
        <w:rPr>
          <w:rFonts w:ascii="Arial" w:hAnsi="Arial" w:cs="Arial"/>
          <w:sz w:val="24"/>
          <w:szCs w:val="24"/>
        </w:rPr>
        <w:t>Beaupert</w:t>
      </w:r>
      <w:proofErr w:type="spellEnd"/>
      <w:r w:rsidRPr="00167E4B">
        <w:rPr>
          <w:rFonts w:ascii="Arial" w:hAnsi="Arial" w:cs="Arial"/>
          <w:sz w:val="24"/>
          <w:szCs w:val="24"/>
        </w:rPr>
        <w:t xml:space="preserve">, </w:t>
      </w:r>
      <w:r w:rsidR="00167E4B" w:rsidRPr="00167E4B">
        <w:rPr>
          <w:rFonts w:ascii="Arial" w:hAnsi="Arial" w:cs="Arial"/>
          <w:sz w:val="24"/>
          <w:szCs w:val="24"/>
        </w:rPr>
        <w:t>‘The Cashless Debit Card and Rights of Persons with Disabilities’</w:t>
      </w:r>
      <w:r w:rsidR="00BB3204">
        <w:rPr>
          <w:rFonts w:ascii="Arial" w:hAnsi="Arial" w:cs="Arial"/>
          <w:sz w:val="24"/>
          <w:szCs w:val="24"/>
        </w:rPr>
        <w:t xml:space="preserve"> (2019)</w:t>
      </w:r>
      <w:r w:rsidR="00167E4B" w:rsidRPr="00167E4B">
        <w:rPr>
          <w:rFonts w:ascii="Arial" w:hAnsi="Arial" w:cs="Arial"/>
          <w:sz w:val="24"/>
          <w:szCs w:val="24"/>
        </w:rPr>
        <w:t xml:space="preserve"> </w:t>
      </w:r>
      <w:r w:rsidR="00167E4B" w:rsidRPr="00167E4B">
        <w:rPr>
          <w:rFonts w:ascii="Arial" w:hAnsi="Arial" w:cs="Arial"/>
          <w:i/>
          <w:sz w:val="24"/>
          <w:szCs w:val="24"/>
        </w:rPr>
        <w:t>Alternative Law Journal</w:t>
      </w:r>
      <w:r w:rsidR="00167E4B" w:rsidRPr="00167E4B">
        <w:rPr>
          <w:rFonts w:ascii="Arial" w:hAnsi="Arial" w:cs="Arial"/>
          <w:sz w:val="24"/>
          <w:szCs w:val="24"/>
        </w:rPr>
        <w:t xml:space="preserve"> &lt;</w:t>
      </w:r>
      <w:hyperlink r:id="rId13" w:tgtFrame="_blank" w:history="1">
        <w:r w:rsidR="00167E4B" w:rsidRPr="00167E4B">
          <w:rPr>
            <w:rStyle w:val="Hyperlink"/>
            <w:rFonts w:ascii="Arial" w:hAnsi="Arial" w:cs="Arial"/>
            <w:color w:val="4472C4"/>
            <w:sz w:val="24"/>
            <w:szCs w:val="24"/>
            <w:shd w:val="clear" w:color="auto" w:fill="FFFFFF"/>
          </w:rPr>
          <w:t>https://doi.org/10.1177/1037969X19831768</w:t>
        </w:r>
      </w:hyperlink>
      <w:r w:rsidR="00167E4B" w:rsidRPr="00167E4B">
        <w:rPr>
          <w:rFonts w:ascii="Arial" w:hAnsi="Arial" w:cs="Arial"/>
          <w:sz w:val="24"/>
          <w:szCs w:val="24"/>
        </w:rPr>
        <w:t>&gt; (accepted 29/1/2019).</w:t>
      </w:r>
    </w:p>
    <w:p w14:paraId="4C54509C" w14:textId="59A557FF" w:rsidR="008031E3" w:rsidRDefault="008031E3" w:rsidP="00C51AE3">
      <w:pPr>
        <w:pStyle w:val="NoSpacing"/>
        <w:spacing w:line="276" w:lineRule="auto"/>
        <w:jc w:val="both"/>
        <w:rPr>
          <w:rFonts w:ascii="Arial" w:hAnsi="Arial" w:cs="Arial"/>
          <w:sz w:val="24"/>
          <w:szCs w:val="24"/>
        </w:rPr>
      </w:pPr>
      <w:bookmarkStart w:id="1" w:name="_GoBack"/>
      <w:bookmarkEnd w:id="1"/>
    </w:p>
    <w:p w14:paraId="372DBDFC" w14:textId="72B23F59" w:rsidR="008031E3" w:rsidRPr="008031E3" w:rsidRDefault="008031E3" w:rsidP="00C51AE3">
      <w:pPr>
        <w:pStyle w:val="NoSpacing"/>
        <w:spacing w:line="276" w:lineRule="auto"/>
        <w:jc w:val="both"/>
        <w:rPr>
          <w:rFonts w:ascii="Arial" w:hAnsi="Arial" w:cs="Arial"/>
          <w:b/>
          <w:sz w:val="24"/>
          <w:szCs w:val="24"/>
        </w:rPr>
      </w:pPr>
      <w:r w:rsidRPr="008031E3">
        <w:rPr>
          <w:rFonts w:ascii="Arial" w:hAnsi="Arial" w:cs="Arial"/>
          <w:b/>
          <w:sz w:val="24"/>
          <w:szCs w:val="24"/>
        </w:rPr>
        <w:t>Appendix D</w:t>
      </w:r>
    </w:p>
    <w:p w14:paraId="3B351E30" w14:textId="7FD3DDCB" w:rsidR="008031E3" w:rsidRDefault="008031E3" w:rsidP="00C51AE3">
      <w:pPr>
        <w:pStyle w:val="NoSpacing"/>
        <w:spacing w:line="276" w:lineRule="auto"/>
        <w:jc w:val="both"/>
        <w:rPr>
          <w:rFonts w:ascii="Arial" w:hAnsi="Arial" w:cs="Arial"/>
          <w:sz w:val="24"/>
          <w:szCs w:val="24"/>
        </w:rPr>
      </w:pPr>
    </w:p>
    <w:p w14:paraId="44D23588" w14:textId="1DE612F8" w:rsidR="00C51AE3" w:rsidRPr="005C2C48" w:rsidRDefault="008031E3" w:rsidP="00A0249D">
      <w:pPr>
        <w:pStyle w:val="NoSpacing"/>
        <w:spacing w:line="276" w:lineRule="auto"/>
        <w:jc w:val="both"/>
        <w:rPr>
          <w:rFonts w:ascii="Arial" w:hAnsi="Arial" w:cs="Arial"/>
          <w:b/>
          <w:sz w:val="24"/>
          <w:szCs w:val="24"/>
        </w:rPr>
      </w:pPr>
      <w:r w:rsidRPr="008031E3">
        <w:rPr>
          <w:rFonts w:ascii="Arial" w:hAnsi="Arial" w:cs="Arial"/>
          <w:sz w:val="24"/>
          <w:szCs w:val="24"/>
        </w:rPr>
        <w:t xml:space="preserve">Shelley Bielefeld, ‘Cashless welfare cards: controlling spending patterns to what end?’ (2018) 8(29) </w:t>
      </w:r>
      <w:r w:rsidRPr="008031E3">
        <w:rPr>
          <w:rFonts w:ascii="Arial" w:hAnsi="Arial" w:cs="Arial"/>
          <w:i/>
          <w:sz w:val="24"/>
          <w:szCs w:val="24"/>
        </w:rPr>
        <w:t>Indigenous Law Bulletin</w:t>
      </w:r>
      <w:r w:rsidRPr="008031E3">
        <w:rPr>
          <w:rFonts w:ascii="Arial" w:hAnsi="Arial" w:cs="Arial"/>
          <w:sz w:val="24"/>
          <w:szCs w:val="24"/>
        </w:rPr>
        <w:t xml:space="preserve"> 28-32.</w:t>
      </w:r>
    </w:p>
    <w:p w14:paraId="2E1FCE75" w14:textId="77777777" w:rsidR="00163E7C" w:rsidRDefault="00163E7C"/>
    <w:sectPr w:rsidR="00163E7C" w:rsidSect="000F415E">
      <w:footerReference w:type="default" r:id="rId14"/>
      <w:pgSz w:w="11906" w:h="16838"/>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2A128" w14:textId="77777777" w:rsidR="00163E7C" w:rsidRDefault="00163E7C" w:rsidP="00C51AE3">
      <w:pPr>
        <w:spacing w:after="0" w:line="240" w:lineRule="auto"/>
      </w:pPr>
      <w:r>
        <w:separator/>
      </w:r>
    </w:p>
  </w:endnote>
  <w:endnote w:type="continuationSeparator" w:id="0">
    <w:p w14:paraId="4540275C" w14:textId="77777777" w:rsidR="00163E7C" w:rsidRDefault="00163E7C" w:rsidP="00C5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GaramondPro-Regular">
    <w:altName w:val="Yu Gothic UI"/>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2319755"/>
      <w:docPartObj>
        <w:docPartGallery w:val="Page Numbers (Bottom of Page)"/>
        <w:docPartUnique/>
      </w:docPartObj>
    </w:sdtPr>
    <w:sdtEndPr>
      <w:rPr>
        <w:noProof/>
      </w:rPr>
    </w:sdtEndPr>
    <w:sdtContent>
      <w:p w14:paraId="3F47B360" w14:textId="77777777" w:rsidR="00163E7C" w:rsidRDefault="00163E7C">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3CB93E2B" w14:textId="77777777" w:rsidR="00163E7C" w:rsidRDefault="00163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37575" w14:textId="77777777" w:rsidR="00163E7C" w:rsidRDefault="00163E7C" w:rsidP="00C51AE3">
      <w:pPr>
        <w:spacing w:after="0" w:line="240" w:lineRule="auto"/>
      </w:pPr>
      <w:r>
        <w:separator/>
      </w:r>
    </w:p>
  </w:footnote>
  <w:footnote w:type="continuationSeparator" w:id="0">
    <w:p w14:paraId="52FFC62E" w14:textId="77777777" w:rsidR="00163E7C" w:rsidRDefault="00163E7C" w:rsidP="00C51AE3">
      <w:pPr>
        <w:spacing w:after="0" w:line="240" w:lineRule="auto"/>
      </w:pPr>
      <w:r>
        <w:continuationSeparator/>
      </w:r>
    </w:p>
  </w:footnote>
  <w:footnote w:id="1">
    <w:p w14:paraId="1A7FAD44" w14:textId="6A16DA22" w:rsidR="009A1478" w:rsidRPr="007B4E17" w:rsidRDefault="009A1478" w:rsidP="007B4E17">
      <w:pPr>
        <w:pStyle w:val="NoSpacing"/>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w:t>
      </w:r>
      <w:bookmarkStart w:id="0" w:name="_Hlk8666456"/>
      <w:r w:rsidRPr="007B4E17">
        <w:rPr>
          <w:rFonts w:ascii="Arial" w:hAnsi="Arial" w:cs="Arial"/>
          <w:sz w:val="18"/>
          <w:szCs w:val="18"/>
        </w:rPr>
        <w:t>Australian Research Council Discovery Early Career Researcher Award (DECRA): Regulation and Governance for Indigenous Welfare: Poverty Surveillance and its Alternatives (DE180100599) and Australian Research Council Discovery Project (DP): Conditional Welfare: A Comparative Case Study of Income Management Policies (DP180101252)</w:t>
      </w:r>
      <w:bookmarkEnd w:id="0"/>
      <w:r w:rsidRPr="007B4E17">
        <w:rPr>
          <w:rFonts w:ascii="Arial" w:hAnsi="Arial" w:cs="Arial"/>
          <w:sz w:val="18"/>
          <w:szCs w:val="18"/>
        </w:rPr>
        <w:t>.</w:t>
      </w:r>
    </w:p>
  </w:footnote>
  <w:footnote w:id="2">
    <w:p w14:paraId="1B89201E"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Section 123TB of the </w:t>
      </w:r>
      <w:r w:rsidRPr="007B4E17">
        <w:rPr>
          <w:rFonts w:ascii="Arial" w:hAnsi="Arial" w:cs="Arial"/>
          <w:i/>
          <w:iCs/>
          <w:sz w:val="18"/>
          <w:szCs w:val="18"/>
        </w:rPr>
        <w:t xml:space="preserve">Social Security (Administration) Act 1999 </w:t>
      </w:r>
      <w:r w:rsidRPr="007B4E17">
        <w:rPr>
          <w:rFonts w:ascii="Arial" w:hAnsi="Arial" w:cs="Arial"/>
          <w:sz w:val="18"/>
          <w:szCs w:val="18"/>
        </w:rPr>
        <w:t>(</w:t>
      </w:r>
      <w:proofErr w:type="spellStart"/>
      <w:r w:rsidRPr="007B4E17">
        <w:rPr>
          <w:rFonts w:ascii="Arial" w:hAnsi="Arial" w:cs="Arial"/>
          <w:sz w:val="18"/>
          <w:szCs w:val="18"/>
        </w:rPr>
        <w:t>Cth</w:t>
      </w:r>
      <w:proofErr w:type="spellEnd"/>
      <w:r w:rsidRPr="007B4E17">
        <w:rPr>
          <w:rFonts w:ascii="Arial" w:hAnsi="Arial" w:cs="Arial"/>
          <w:sz w:val="18"/>
          <w:szCs w:val="18"/>
        </w:rPr>
        <w:t>).</w:t>
      </w:r>
    </w:p>
  </w:footnote>
  <w:footnote w:id="3">
    <w:p w14:paraId="76A1CDBA"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for those outside of the Cape York Welfare Reform (CYWR), those subject to the CYWR can experience up to 90 per cent of their income quarantined to the </w:t>
      </w:r>
      <w:proofErr w:type="spellStart"/>
      <w:r w:rsidRPr="007B4E17">
        <w:rPr>
          <w:rFonts w:ascii="Arial" w:hAnsi="Arial" w:cs="Arial"/>
          <w:sz w:val="18"/>
          <w:szCs w:val="18"/>
        </w:rPr>
        <w:t>BasicsCard</w:t>
      </w:r>
      <w:proofErr w:type="spellEnd"/>
      <w:r w:rsidRPr="007B4E17">
        <w:rPr>
          <w:rFonts w:ascii="Arial" w:hAnsi="Arial" w:cs="Arial"/>
          <w:sz w:val="18"/>
          <w:szCs w:val="18"/>
        </w:rPr>
        <w:t>.</w:t>
      </w:r>
    </w:p>
  </w:footnote>
  <w:footnote w:id="4">
    <w:p w14:paraId="385E4691"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For examples, see J Rob Bray et al, </w:t>
      </w:r>
      <w:r w:rsidRPr="007B4E17">
        <w:rPr>
          <w:rFonts w:ascii="Arial" w:hAnsi="Arial" w:cs="Arial"/>
          <w:i/>
          <w:sz w:val="18"/>
          <w:szCs w:val="18"/>
        </w:rPr>
        <w:t>Evaluating New Income Management in the Northern Territory: The Final Report</w:t>
      </w:r>
      <w:r w:rsidRPr="007B4E17">
        <w:rPr>
          <w:rFonts w:ascii="Arial" w:hAnsi="Arial" w:cs="Arial"/>
          <w:sz w:val="18"/>
          <w:szCs w:val="18"/>
        </w:rPr>
        <w:t xml:space="preserve"> (Social Policy Research Centre UNSW, 2014) 136-137.</w:t>
      </w:r>
    </w:p>
  </w:footnote>
  <w:footnote w:id="5">
    <w:p w14:paraId="39680A0C"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Parliamentary Joint Committee on Human Rights, </w:t>
      </w:r>
      <w:r w:rsidRPr="007B4E17">
        <w:rPr>
          <w:rFonts w:ascii="Arial" w:hAnsi="Arial" w:cs="Arial"/>
          <w:i/>
          <w:sz w:val="18"/>
          <w:szCs w:val="18"/>
        </w:rPr>
        <w:t>2016 Review of Stronger Futures Measures</w:t>
      </w:r>
      <w:r w:rsidRPr="007B4E17">
        <w:rPr>
          <w:rFonts w:ascii="Arial" w:hAnsi="Arial" w:cs="Arial"/>
          <w:sz w:val="18"/>
          <w:szCs w:val="18"/>
        </w:rPr>
        <w:t xml:space="preserve"> (March 2016) x.</w:t>
      </w:r>
    </w:p>
  </w:footnote>
  <w:footnote w:id="6">
    <w:p w14:paraId="32EF8814"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Parliamentary Joint Committee on Human Rights, </w:t>
      </w:r>
      <w:r w:rsidRPr="007B4E17">
        <w:rPr>
          <w:rFonts w:ascii="Arial" w:hAnsi="Arial" w:cs="Arial"/>
          <w:i/>
          <w:sz w:val="18"/>
          <w:szCs w:val="18"/>
        </w:rPr>
        <w:t>2016 Review of Stronger Futures Measures</w:t>
      </w:r>
      <w:r w:rsidRPr="007B4E17">
        <w:rPr>
          <w:rFonts w:ascii="Arial" w:hAnsi="Arial" w:cs="Arial"/>
          <w:sz w:val="18"/>
          <w:szCs w:val="18"/>
        </w:rPr>
        <w:t xml:space="preserve"> (March 2016) 61.</w:t>
      </w:r>
    </w:p>
  </w:footnote>
  <w:footnote w:id="7">
    <w:p w14:paraId="2A4425D5"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Parliamentary Joint Committee on Human Rights, </w:t>
      </w:r>
      <w:r w:rsidRPr="007B4E17">
        <w:rPr>
          <w:rFonts w:ascii="Arial" w:hAnsi="Arial" w:cs="Arial"/>
          <w:i/>
          <w:sz w:val="18"/>
          <w:szCs w:val="18"/>
        </w:rPr>
        <w:t>2016 Review of Stronger Futures Measures</w:t>
      </w:r>
      <w:r w:rsidRPr="007B4E17">
        <w:rPr>
          <w:rFonts w:ascii="Arial" w:hAnsi="Arial" w:cs="Arial"/>
          <w:sz w:val="18"/>
          <w:szCs w:val="18"/>
        </w:rPr>
        <w:t xml:space="preserve"> (March 2016) 61-62.</w:t>
      </w:r>
    </w:p>
  </w:footnote>
  <w:footnote w:id="8">
    <w:p w14:paraId="391E8F52"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J Rob Bray et al, </w:t>
      </w:r>
      <w:r w:rsidRPr="007B4E17">
        <w:rPr>
          <w:rFonts w:ascii="Arial" w:hAnsi="Arial" w:cs="Arial"/>
          <w:i/>
          <w:sz w:val="18"/>
          <w:szCs w:val="18"/>
        </w:rPr>
        <w:t>Evaluating New Income Management in the Northern Territory: The Final Report</w:t>
      </w:r>
      <w:r w:rsidRPr="007B4E17">
        <w:rPr>
          <w:rFonts w:ascii="Arial" w:hAnsi="Arial" w:cs="Arial"/>
          <w:sz w:val="18"/>
          <w:szCs w:val="18"/>
        </w:rPr>
        <w:t xml:space="preserve"> (Social Policy Research Centre UNSW, 2014) ii.</w:t>
      </w:r>
    </w:p>
  </w:footnote>
  <w:footnote w:id="9">
    <w:p w14:paraId="646D186D"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So</w:t>
      </w:r>
      <w:r w:rsidRPr="007B4E17">
        <w:rPr>
          <w:rFonts w:ascii="Arial" w:hAnsi="Arial" w:cs="Arial"/>
          <w:i/>
          <w:sz w:val="18"/>
          <w:szCs w:val="18"/>
        </w:rPr>
        <w:t xml:space="preserve">cial Security (Administration) Act 1999 </w:t>
      </w:r>
      <w:r w:rsidRPr="007B4E17">
        <w:rPr>
          <w:rFonts w:ascii="Arial" w:hAnsi="Arial" w:cs="Arial"/>
          <w:sz w:val="18"/>
          <w:szCs w:val="18"/>
        </w:rPr>
        <w:t>(</w:t>
      </w:r>
      <w:proofErr w:type="spellStart"/>
      <w:r w:rsidRPr="007B4E17">
        <w:rPr>
          <w:rFonts w:ascii="Arial" w:hAnsi="Arial" w:cs="Arial"/>
          <w:sz w:val="18"/>
          <w:szCs w:val="18"/>
        </w:rPr>
        <w:t>Cth</w:t>
      </w:r>
      <w:proofErr w:type="spellEnd"/>
      <w:r w:rsidRPr="007B4E17">
        <w:rPr>
          <w:rFonts w:ascii="Arial" w:hAnsi="Arial" w:cs="Arial"/>
          <w:sz w:val="18"/>
          <w:szCs w:val="18"/>
        </w:rPr>
        <w:t>) s 124PM(a).</w:t>
      </w:r>
    </w:p>
  </w:footnote>
  <w:footnote w:id="10">
    <w:p w14:paraId="07D6F99D" w14:textId="77777777" w:rsidR="00163E7C" w:rsidRPr="007B4E17" w:rsidRDefault="00163E7C" w:rsidP="00C51AE3">
      <w:pPr>
        <w:shd w:val="clear" w:color="auto" w:fill="FFFFFF"/>
        <w:spacing w:after="15" w:line="240" w:lineRule="auto"/>
        <w:ind w:left="1440" w:hanging="1440"/>
        <w:rPr>
          <w:rFonts w:ascii="Arial" w:hAnsi="Arial" w:cs="Arial"/>
          <w:i/>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Shelley Bielefeld, Submission to the Senate Standing Committee on Community Affairs, </w:t>
      </w:r>
      <w:r w:rsidRPr="007B4E17">
        <w:rPr>
          <w:rFonts w:ascii="Arial" w:hAnsi="Arial" w:cs="Arial"/>
          <w:i/>
          <w:sz w:val="18"/>
          <w:szCs w:val="18"/>
        </w:rPr>
        <w:t xml:space="preserve">Social </w:t>
      </w:r>
    </w:p>
    <w:p w14:paraId="5D32BFFE" w14:textId="77777777" w:rsidR="00163E7C" w:rsidRPr="007B4E17" w:rsidRDefault="00163E7C" w:rsidP="00C51AE3">
      <w:pPr>
        <w:shd w:val="clear" w:color="auto" w:fill="FFFFFF"/>
        <w:spacing w:after="15" w:line="240" w:lineRule="auto"/>
        <w:ind w:left="1440" w:hanging="1440"/>
        <w:rPr>
          <w:rFonts w:ascii="Arial" w:hAnsi="Arial" w:cs="Arial"/>
          <w:sz w:val="18"/>
          <w:szCs w:val="18"/>
        </w:rPr>
      </w:pPr>
      <w:r w:rsidRPr="007B4E17">
        <w:rPr>
          <w:rFonts w:ascii="Arial" w:hAnsi="Arial" w:cs="Arial"/>
          <w:i/>
          <w:sz w:val="18"/>
          <w:szCs w:val="18"/>
        </w:rPr>
        <w:t>Security Legislation Amendment (Debit Card Trial) Bill 2015</w:t>
      </w:r>
      <w:r w:rsidRPr="007B4E17">
        <w:rPr>
          <w:rFonts w:ascii="Arial" w:hAnsi="Arial" w:cs="Arial"/>
          <w:sz w:val="18"/>
          <w:szCs w:val="18"/>
        </w:rPr>
        <w:t xml:space="preserve">, 18 September, 1-15; Shelley Bielefeld, </w:t>
      </w:r>
    </w:p>
    <w:p w14:paraId="7EFC69CE" w14:textId="77777777" w:rsidR="00163E7C" w:rsidRPr="007B4E17" w:rsidRDefault="00163E7C" w:rsidP="00C51AE3">
      <w:pPr>
        <w:shd w:val="clear" w:color="auto" w:fill="FFFFFF"/>
        <w:spacing w:after="15" w:line="240" w:lineRule="auto"/>
        <w:ind w:left="1440" w:hanging="1440"/>
        <w:rPr>
          <w:rFonts w:ascii="Arial" w:hAnsi="Arial" w:cs="Arial"/>
          <w:i/>
          <w:sz w:val="18"/>
          <w:szCs w:val="18"/>
        </w:rPr>
      </w:pPr>
      <w:r w:rsidRPr="007B4E17">
        <w:rPr>
          <w:rFonts w:ascii="Arial" w:hAnsi="Arial" w:cs="Arial"/>
          <w:sz w:val="18"/>
          <w:szCs w:val="18"/>
        </w:rPr>
        <w:t xml:space="preserve">Submission No 55 to the Senate Standing Committee on Community Affairs, </w:t>
      </w:r>
      <w:r w:rsidRPr="007B4E17">
        <w:rPr>
          <w:rFonts w:ascii="Arial" w:hAnsi="Arial" w:cs="Arial"/>
          <w:i/>
          <w:sz w:val="18"/>
          <w:szCs w:val="18"/>
        </w:rPr>
        <w:t xml:space="preserve">Social Services </w:t>
      </w:r>
    </w:p>
    <w:p w14:paraId="347411AD" w14:textId="77777777" w:rsidR="00163E7C" w:rsidRPr="007B4E17" w:rsidRDefault="00163E7C" w:rsidP="00C51AE3">
      <w:pPr>
        <w:shd w:val="clear" w:color="auto" w:fill="FFFFFF"/>
        <w:spacing w:after="15" w:line="240" w:lineRule="auto"/>
        <w:ind w:left="1440" w:hanging="1440"/>
        <w:rPr>
          <w:rFonts w:ascii="Arial" w:hAnsi="Arial" w:cs="Arial"/>
          <w:sz w:val="18"/>
          <w:szCs w:val="18"/>
        </w:rPr>
      </w:pPr>
      <w:r w:rsidRPr="007B4E17">
        <w:rPr>
          <w:rFonts w:ascii="Arial" w:hAnsi="Arial" w:cs="Arial"/>
          <w:i/>
          <w:sz w:val="18"/>
          <w:szCs w:val="18"/>
        </w:rPr>
        <w:t>Legislation Amendment (Cashless Debit Card) Bill 2017</w:t>
      </w:r>
      <w:r w:rsidRPr="007B4E17">
        <w:rPr>
          <w:rFonts w:ascii="Arial" w:hAnsi="Arial" w:cs="Arial"/>
          <w:sz w:val="18"/>
          <w:szCs w:val="18"/>
        </w:rPr>
        <w:t xml:space="preserve">, 29 September, 1-20; Shelley Bielefeld, </w:t>
      </w:r>
    </w:p>
    <w:p w14:paraId="63D6EDD7" w14:textId="77777777" w:rsidR="00163E7C" w:rsidRPr="007B4E17" w:rsidRDefault="00163E7C" w:rsidP="00C51AE3">
      <w:pPr>
        <w:shd w:val="clear" w:color="auto" w:fill="FFFFFF"/>
        <w:spacing w:after="15" w:line="240" w:lineRule="auto"/>
        <w:ind w:left="1440" w:hanging="1440"/>
        <w:rPr>
          <w:rFonts w:ascii="Arial" w:hAnsi="Arial" w:cs="Arial"/>
          <w:i/>
          <w:sz w:val="18"/>
          <w:szCs w:val="18"/>
        </w:rPr>
      </w:pPr>
      <w:r w:rsidRPr="007B4E17">
        <w:rPr>
          <w:rFonts w:ascii="Arial" w:hAnsi="Arial" w:cs="Arial"/>
          <w:sz w:val="18"/>
          <w:szCs w:val="18"/>
        </w:rPr>
        <w:t xml:space="preserve">Submission to the Australian National Audit Office, </w:t>
      </w:r>
      <w:r w:rsidRPr="007B4E17">
        <w:rPr>
          <w:rFonts w:ascii="Arial" w:hAnsi="Arial" w:cs="Arial"/>
          <w:i/>
          <w:sz w:val="18"/>
          <w:szCs w:val="18"/>
        </w:rPr>
        <w:t xml:space="preserve">The implementation and performance of the </w:t>
      </w:r>
    </w:p>
    <w:p w14:paraId="476F42B2" w14:textId="77777777" w:rsidR="00163E7C" w:rsidRPr="007B4E17" w:rsidRDefault="00163E7C" w:rsidP="00C51AE3">
      <w:pPr>
        <w:shd w:val="clear" w:color="auto" w:fill="FFFFFF"/>
        <w:spacing w:after="15" w:line="240" w:lineRule="auto"/>
        <w:ind w:left="1440" w:hanging="1440"/>
        <w:rPr>
          <w:rFonts w:ascii="Arial" w:hAnsi="Arial" w:cs="Arial"/>
          <w:sz w:val="18"/>
          <w:szCs w:val="18"/>
        </w:rPr>
      </w:pPr>
      <w:r w:rsidRPr="007B4E17">
        <w:rPr>
          <w:rFonts w:ascii="Arial" w:hAnsi="Arial" w:cs="Arial"/>
          <w:i/>
          <w:sz w:val="18"/>
          <w:szCs w:val="18"/>
        </w:rPr>
        <w:t>Cashless Debit Card trial</w:t>
      </w:r>
      <w:r w:rsidRPr="007B4E17">
        <w:rPr>
          <w:rFonts w:ascii="Arial" w:hAnsi="Arial" w:cs="Arial"/>
          <w:sz w:val="18"/>
          <w:szCs w:val="18"/>
        </w:rPr>
        <w:t xml:space="preserve">, 15 January, 1-9; Shelley Bielefeld, Submission No 68 to the Senate </w:t>
      </w:r>
    </w:p>
    <w:p w14:paraId="125E8E98" w14:textId="77777777" w:rsidR="00163E7C" w:rsidRPr="007B4E17" w:rsidRDefault="00163E7C" w:rsidP="00C51AE3">
      <w:pPr>
        <w:shd w:val="clear" w:color="auto" w:fill="FFFFFF"/>
        <w:spacing w:after="15" w:line="240" w:lineRule="auto"/>
        <w:ind w:left="1440" w:hanging="1440"/>
        <w:rPr>
          <w:rFonts w:ascii="Arial" w:hAnsi="Arial" w:cs="Arial"/>
          <w:i/>
          <w:sz w:val="18"/>
          <w:szCs w:val="18"/>
        </w:rPr>
      </w:pPr>
      <w:r w:rsidRPr="007B4E17">
        <w:rPr>
          <w:rFonts w:ascii="Arial" w:hAnsi="Arial" w:cs="Arial"/>
          <w:sz w:val="18"/>
          <w:szCs w:val="18"/>
        </w:rPr>
        <w:t xml:space="preserve">Standing Committee on Community Affairs, </w:t>
      </w:r>
      <w:r w:rsidRPr="007B4E17">
        <w:rPr>
          <w:rFonts w:ascii="Arial" w:hAnsi="Arial" w:cs="Arial"/>
          <w:i/>
          <w:sz w:val="18"/>
          <w:szCs w:val="18"/>
        </w:rPr>
        <w:t xml:space="preserve">Social Services Legislation Amendment (Cashless Debit </w:t>
      </w:r>
    </w:p>
    <w:p w14:paraId="50910E39" w14:textId="77777777" w:rsidR="00163E7C" w:rsidRPr="007B4E17" w:rsidRDefault="00163E7C" w:rsidP="00C51AE3">
      <w:pPr>
        <w:shd w:val="clear" w:color="auto" w:fill="FFFFFF"/>
        <w:spacing w:after="15" w:line="240" w:lineRule="auto"/>
        <w:ind w:left="1440" w:hanging="1440"/>
        <w:rPr>
          <w:rFonts w:ascii="Arial" w:hAnsi="Arial" w:cs="Arial"/>
          <w:color w:val="000000"/>
          <w:sz w:val="18"/>
          <w:szCs w:val="18"/>
          <w:lang w:val="en" w:eastAsia="en-AU"/>
        </w:rPr>
      </w:pPr>
      <w:r w:rsidRPr="007B4E17">
        <w:rPr>
          <w:rFonts w:ascii="Arial" w:hAnsi="Arial" w:cs="Arial"/>
          <w:i/>
          <w:sz w:val="18"/>
          <w:szCs w:val="18"/>
        </w:rPr>
        <w:t>Card Trial Expansion) Bill 2018</w:t>
      </w:r>
      <w:r w:rsidRPr="007B4E17">
        <w:rPr>
          <w:rFonts w:ascii="Arial" w:hAnsi="Arial" w:cs="Arial"/>
          <w:sz w:val="18"/>
          <w:szCs w:val="18"/>
        </w:rPr>
        <w:t>,</w:t>
      </w:r>
      <w:r w:rsidRPr="007B4E17">
        <w:rPr>
          <w:rFonts w:ascii="Arial" w:hAnsi="Arial" w:cs="Arial"/>
          <w:i/>
          <w:sz w:val="18"/>
          <w:szCs w:val="18"/>
        </w:rPr>
        <w:t xml:space="preserve"> </w:t>
      </w:r>
      <w:r w:rsidRPr="007B4E17">
        <w:rPr>
          <w:rFonts w:ascii="Arial" w:hAnsi="Arial" w:cs="Arial"/>
          <w:sz w:val="18"/>
          <w:szCs w:val="18"/>
        </w:rPr>
        <w:t>20 July, 1-13.</w:t>
      </w:r>
    </w:p>
  </w:footnote>
  <w:footnote w:id="11">
    <w:p w14:paraId="67DB729A"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Parliamentary Joint Committee on Human Rights (PJCHR), </w:t>
      </w:r>
      <w:r w:rsidRPr="007B4E17">
        <w:rPr>
          <w:rFonts w:ascii="Arial" w:hAnsi="Arial" w:cs="Arial"/>
          <w:i/>
          <w:sz w:val="18"/>
          <w:szCs w:val="18"/>
        </w:rPr>
        <w:t>Report Number 9 of 2017</w:t>
      </w:r>
      <w:r w:rsidRPr="007B4E17">
        <w:rPr>
          <w:rFonts w:ascii="Arial" w:hAnsi="Arial" w:cs="Arial"/>
          <w:sz w:val="18"/>
          <w:szCs w:val="18"/>
        </w:rPr>
        <w:t xml:space="preserve"> (Canberra: Commonwealth Parliament, 2017) 39; Parliamentary Joint Committee on Human Rights (PJCHR), </w:t>
      </w:r>
      <w:r w:rsidRPr="007B4E17">
        <w:rPr>
          <w:rFonts w:ascii="Arial" w:hAnsi="Arial" w:cs="Arial"/>
          <w:i/>
          <w:sz w:val="18"/>
          <w:szCs w:val="18"/>
        </w:rPr>
        <w:t xml:space="preserve">Report Number 6 of </w:t>
      </w:r>
      <w:proofErr w:type="gramStart"/>
      <w:r w:rsidRPr="007B4E17">
        <w:rPr>
          <w:rFonts w:ascii="Arial" w:hAnsi="Arial" w:cs="Arial"/>
          <w:i/>
          <w:sz w:val="18"/>
          <w:szCs w:val="18"/>
        </w:rPr>
        <w:t xml:space="preserve">2018 </w:t>
      </w:r>
      <w:r w:rsidRPr="007B4E17">
        <w:rPr>
          <w:rFonts w:ascii="Arial" w:hAnsi="Arial" w:cs="Arial"/>
          <w:sz w:val="18"/>
          <w:szCs w:val="18"/>
        </w:rPr>
        <w:t xml:space="preserve"> (</w:t>
      </w:r>
      <w:proofErr w:type="gramEnd"/>
      <w:r w:rsidRPr="007B4E17">
        <w:rPr>
          <w:rFonts w:ascii="Arial" w:hAnsi="Arial" w:cs="Arial"/>
          <w:sz w:val="18"/>
          <w:szCs w:val="18"/>
        </w:rPr>
        <w:t>Canberra: Commonwealth Parliament, 2018) 33.</w:t>
      </w:r>
    </w:p>
  </w:footnote>
  <w:footnote w:id="12">
    <w:p w14:paraId="68C86C3D"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Aboriginal and Torres Strait Islander Social Justice Commissioner, </w:t>
      </w:r>
      <w:r w:rsidRPr="007B4E17">
        <w:rPr>
          <w:rFonts w:ascii="Arial" w:hAnsi="Arial" w:cs="Arial"/>
          <w:i/>
          <w:sz w:val="18"/>
          <w:szCs w:val="18"/>
        </w:rPr>
        <w:t>Social Justice and Native Title Report 2016</w:t>
      </w:r>
      <w:r w:rsidRPr="007B4E17">
        <w:rPr>
          <w:rFonts w:ascii="Arial" w:hAnsi="Arial" w:cs="Arial"/>
          <w:sz w:val="18"/>
          <w:szCs w:val="18"/>
        </w:rPr>
        <w:t xml:space="preserve"> (Australian Human Rights Commission) 91-92.</w:t>
      </w:r>
    </w:p>
  </w:footnote>
  <w:footnote w:id="13">
    <w:p w14:paraId="6BED4862"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Parliamentary Joint Committee on Human Rights (PJCHR), </w:t>
      </w:r>
      <w:r w:rsidRPr="007B4E17">
        <w:rPr>
          <w:rFonts w:ascii="Arial" w:hAnsi="Arial" w:cs="Arial"/>
          <w:i/>
          <w:sz w:val="18"/>
          <w:szCs w:val="18"/>
        </w:rPr>
        <w:t>Report Number 9 of 2017</w:t>
      </w:r>
      <w:r w:rsidRPr="007B4E17">
        <w:rPr>
          <w:rFonts w:ascii="Arial" w:hAnsi="Arial" w:cs="Arial"/>
          <w:sz w:val="18"/>
          <w:szCs w:val="18"/>
        </w:rPr>
        <w:t xml:space="preserve"> (Canberra: Commonwealth Parliament, 2017) 34-40; Parliamentary Joint Committee on Human Rights (PJCHR), </w:t>
      </w:r>
      <w:r w:rsidRPr="007B4E17">
        <w:rPr>
          <w:rFonts w:ascii="Arial" w:hAnsi="Arial" w:cs="Arial"/>
          <w:i/>
          <w:sz w:val="18"/>
          <w:szCs w:val="18"/>
        </w:rPr>
        <w:t xml:space="preserve">Report Number 6 of </w:t>
      </w:r>
      <w:proofErr w:type="gramStart"/>
      <w:r w:rsidRPr="007B4E17">
        <w:rPr>
          <w:rFonts w:ascii="Arial" w:hAnsi="Arial" w:cs="Arial"/>
          <w:i/>
          <w:sz w:val="18"/>
          <w:szCs w:val="18"/>
        </w:rPr>
        <w:t xml:space="preserve">2018 </w:t>
      </w:r>
      <w:r w:rsidRPr="007B4E17">
        <w:rPr>
          <w:rFonts w:ascii="Arial" w:hAnsi="Arial" w:cs="Arial"/>
          <w:sz w:val="18"/>
          <w:szCs w:val="18"/>
        </w:rPr>
        <w:t xml:space="preserve"> (</w:t>
      </w:r>
      <w:proofErr w:type="gramEnd"/>
      <w:r w:rsidRPr="007B4E17">
        <w:rPr>
          <w:rFonts w:ascii="Arial" w:hAnsi="Arial" w:cs="Arial"/>
          <w:sz w:val="18"/>
          <w:szCs w:val="18"/>
        </w:rPr>
        <w:t>Canberra: Commonwealth Parliament, 2018) 36-37.</w:t>
      </w:r>
    </w:p>
  </w:footnote>
  <w:footnote w:id="14">
    <w:p w14:paraId="2646A8CA" w14:textId="77777777" w:rsidR="00163E7C" w:rsidRPr="007B4E17" w:rsidRDefault="00163E7C" w:rsidP="00C51AE3">
      <w:pPr>
        <w:pStyle w:val="NoSpacing"/>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Lawford Benning, ‘Media Statement: “My People Have Spoken”’, MG Corporation, 22 August 2017.  </w:t>
      </w:r>
    </w:p>
  </w:footnote>
  <w:footnote w:id="15">
    <w:p w14:paraId="7FC60ECB"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Senate Community Affairs Legislation Committee, Social Security Legislation Amendment (Cashless Debit Card Trial Expansion) Bill 2018, 19.</w:t>
      </w:r>
    </w:p>
  </w:footnote>
  <w:footnote w:id="16">
    <w:p w14:paraId="2ED31BF7" w14:textId="77777777" w:rsidR="00BD5DCF" w:rsidRPr="007B4E17" w:rsidRDefault="00BD5DCF" w:rsidP="00BD5DCF">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Uniting Communities, </w:t>
      </w:r>
      <w:r w:rsidRPr="007B4E17">
        <w:rPr>
          <w:rFonts w:ascii="Arial" w:hAnsi="Arial" w:cs="Arial"/>
          <w:iCs/>
          <w:sz w:val="18"/>
          <w:szCs w:val="18"/>
        </w:rPr>
        <w:t>Submission No 51</w:t>
      </w:r>
      <w:r w:rsidRPr="007B4E17">
        <w:rPr>
          <w:rFonts w:ascii="Arial" w:hAnsi="Arial" w:cs="Arial"/>
          <w:sz w:val="18"/>
          <w:szCs w:val="18"/>
        </w:rPr>
        <w:t xml:space="preserve"> Senate Community Affairs Legislation Committee, Social Security Legislation Amendment (Cashless Debit Card Trial Expansion) Bill 2018, 7-8.</w:t>
      </w:r>
    </w:p>
  </w:footnote>
  <w:footnote w:id="17">
    <w:p w14:paraId="6C327189"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Uniting Communities, </w:t>
      </w:r>
      <w:r w:rsidRPr="007B4E17">
        <w:rPr>
          <w:rFonts w:ascii="Arial" w:hAnsi="Arial" w:cs="Arial"/>
          <w:iCs/>
          <w:sz w:val="18"/>
          <w:szCs w:val="18"/>
        </w:rPr>
        <w:t>Submission No 51</w:t>
      </w:r>
      <w:r w:rsidRPr="007B4E17">
        <w:rPr>
          <w:rFonts w:ascii="Arial" w:hAnsi="Arial" w:cs="Arial"/>
          <w:sz w:val="18"/>
          <w:szCs w:val="18"/>
        </w:rPr>
        <w:t xml:space="preserve"> Senate Community Affairs Legislation Committee, Social Security Legislation Amendment (Cashless Debit Card Trial Expansion) Bill 2018, 7-8.</w:t>
      </w:r>
    </w:p>
  </w:footnote>
  <w:footnote w:id="18">
    <w:p w14:paraId="663A9545" w14:textId="77777777" w:rsidR="00163E7C" w:rsidRPr="007B4E17" w:rsidRDefault="00163E7C" w:rsidP="00C51AE3">
      <w:pPr>
        <w:pStyle w:val="NoSpacing"/>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Department of Social Services, </w:t>
      </w:r>
      <w:r w:rsidRPr="007B4E17">
        <w:rPr>
          <w:rFonts w:ascii="Arial" w:hAnsi="Arial" w:cs="Arial"/>
          <w:i/>
          <w:sz w:val="18"/>
          <w:szCs w:val="18"/>
        </w:rPr>
        <w:t>Cashless Debit Card Trial Evaluation: Final Evaluation Report</w:t>
      </w:r>
      <w:r w:rsidRPr="007B4E17">
        <w:rPr>
          <w:rFonts w:ascii="Arial" w:hAnsi="Arial" w:cs="Arial"/>
          <w:sz w:val="18"/>
          <w:szCs w:val="18"/>
        </w:rPr>
        <w:t xml:space="preserve"> (Canberra: </w:t>
      </w:r>
      <w:proofErr w:type="spellStart"/>
      <w:r w:rsidRPr="007B4E17">
        <w:rPr>
          <w:rFonts w:ascii="Arial" w:hAnsi="Arial" w:cs="Arial"/>
          <w:sz w:val="18"/>
          <w:szCs w:val="18"/>
        </w:rPr>
        <w:t>Orima</w:t>
      </w:r>
      <w:proofErr w:type="spellEnd"/>
      <w:r w:rsidRPr="007B4E17">
        <w:rPr>
          <w:rFonts w:ascii="Arial" w:hAnsi="Arial" w:cs="Arial"/>
          <w:sz w:val="18"/>
          <w:szCs w:val="18"/>
        </w:rPr>
        <w:t xml:space="preserve"> Research, 2017) 38.</w:t>
      </w:r>
    </w:p>
  </w:footnote>
  <w:footnote w:id="19">
    <w:p w14:paraId="6E7E944A"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Australian Government, ‘The Community Development Programme (CDP)’ 2017 &lt;https://www.dpmc.gov.au/indigenous-affairs/employment/community-development-programme-cdp&gt;.</w:t>
      </w:r>
    </w:p>
  </w:footnote>
  <w:footnote w:id="20">
    <w:p w14:paraId="090BC56F"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Note there is currently a proposal to reduce the hours to 20 per week.</w:t>
      </w:r>
    </w:p>
  </w:footnote>
  <w:footnote w:id="21">
    <w:p w14:paraId="23A1F231"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Aboriginal and Torres Strait Islander Social Justice Commissioner, </w:t>
      </w:r>
      <w:r w:rsidRPr="007B4E17">
        <w:rPr>
          <w:rFonts w:ascii="Arial" w:hAnsi="Arial" w:cs="Arial"/>
          <w:i/>
          <w:sz w:val="18"/>
          <w:szCs w:val="18"/>
        </w:rPr>
        <w:t>Social Justice and Native Title Report 2016</w:t>
      </w:r>
      <w:r w:rsidRPr="007B4E17">
        <w:rPr>
          <w:rFonts w:ascii="Arial" w:hAnsi="Arial" w:cs="Arial"/>
          <w:sz w:val="18"/>
          <w:szCs w:val="18"/>
        </w:rPr>
        <w:t xml:space="preserve"> (Australian Human Rights Commission) 97.</w:t>
      </w:r>
    </w:p>
  </w:footnote>
  <w:footnote w:id="22">
    <w:p w14:paraId="16D5047D"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Lisa </w:t>
      </w:r>
      <w:proofErr w:type="spellStart"/>
      <w:r w:rsidRPr="007B4E17">
        <w:rPr>
          <w:rFonts w:ascii="Arial" w:hAnsi="Arial" w:cs="Arial"/>
          <w:sz w:val="18"/>
          <w:szCs w:val="18"/>
        </w:rPr>
        <w:t>Fowkes</w:t>
      </w:r>
      <w:proofErr w:type="spellEnd"/>
      <w:r w:rsidRPr="007B4E17">
        <w:rPr>
          <w:rFonts w:ascii="Arial" w:hAnsi="Arial" w:cs="Arial"/>
          <w:sz w:val="18"/>
          <w:szCs w:val="18"/>
        </w:rPr>
        <w:t xml:space="preserve">, </w:t>
      </w:r>
      <w:r w:rsidRPr="007B4E17">
        <w:rPr>
          <w:rFonts w:ascii="Arial" w:hAnsi="Arial" w:cs="Arial"/>
          <w:i/>
          <w:sz w:val="18"/>
          <w:szCs w:val="18"/>
        </w:rPr>
        <w:t>Impact on Social Security Penalties of Increased Work for the Dole Requirements</w:t>
      </w:r>
      <w:r w:rsidRPr="007B4E17">
        <w:rPr>
          <w:rFonts w:ascii="Arial" w:hAnsi="Arial" w:cs="Arial"/>
          <w:sz w:val="18"/>
          <w:szCs w:val="18"/>
        </w:rPr>
        <w:t xml:space="preserve"> (Centre for Aboriginal Economic Policy Research Working Paper No. 112/2016) 1-6.</w:t>
      </w:r>
    </w:p>
  </w:footnote>
  <w:footnote w:id="23">
    <w:p w14:paraId="0519FC37" w14:textId="77777777" w:rsidR="00163E7C" w:rsidRPr="007B4E17" w:rsidRDefault="00163E7C" w:rsidP="00C51AE3">
      <w:pPr>
        <w:pStyle w:val="NoSpacing"/>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Submission No 18 to the Senate Standing Committee on Community Affairs, </w:t>
      </w:r>
      <w:r w:rsidRPr="007B4E17">
        <w:rPr>
          <w:rFonts w:ascii="Arial" w:hAnsi="Arial" w:cs="Arial"/>
          <w:i/>
          <w:sz w:val="18"/>
          <w:szCs w:val="18"/>
        </w:rPr>
        <w:t>Social Security Legislation Amendment (Community Development Program) Bill 2018</w:t>
      </w:r>
      <w:r w:rsidRPr="007B4E17">
        <w:rPr>
          <w:rFonts w:ascii="Arial" w:hAnsi="Arial" w:cs="Arial"/>
          <w:sz w:val="18"/>
          <w:szCs w:val="18"/>
        </w:rPr>
        <w:t xml:space="preserve">, 21 September, 1-9; Submission No 11 to the Senate Finance and Public Administration Committee, The appropriateness and effectiveness of the objectives, design, implementation and evaluation of the Community Development Program (CDP), 8 June 2017, 1-5; Submission to the Department of the Prime Minister and Cabinet, </w:t>
      </w:r>
      <w:r w:rsidRPr="007B4E17">
        <w:rPr>
          <w:rFonts w:ascii="Arial" w:hAnsi="Arial" w:cs="Arial"/>
          <w:i/>
          <w:sz w:val="18"/>
          <w:szCs w:val="18"/>
        </w:rPr>
        <w:t>Consultation Paper: Changes to the Community Development Programme</w:t>
      </w:r>
      <w:r w:rsidRPr="007B4E17">
        <w:rPr>
          <w:rFonts w:ascii="Arial" w:hAnsi="Arial" w:cs="Arial"/>
          <w:sz w:val="18"/>
          <w:szCs w:val="18"/>
        </w:rPr>
        <w:t xml:space="preserve">, 15 April 2016, 1-3; Submission No 19 to the Senate Finance and Public Administration Committee, </w:t>
      </w:r>
      <w:r w:rsidRPr="007B4E17">
        <w:rPr>
          <w:rFonts w:ascii="Arial" w:hAnsi="Arial" w:cs="Arial"/>
          <w:i/>
          <w:sz w:val="18"/>
          <w:szCs w:val="18"/>
        </w:rPr>
        <w:t>Social Security Legislation Amendment (Community Development Program) Bill 2015</w:t>
      </w:r>
      <w:r w:rsidRPr="007B4E17">
        <w:rPr>
          <w:rFonts w:ascii="Arial" w:hAnsi="Arial" w:cs="Arial"/>
          <w:sz w:val="18"/>
          <w:szCs w:val="18"/>
        </w:rPr>
        <w:t>, 5 February 2016, 1-18.</w:t>
      </w:r>
    </w:p>
  </w:footnote>
  <w:footnote w:id="24">
    <w:p w14:paraId="3AFF9295" w14:textId="3E88DECD" w:rsidR="0029732F" w:rsidRPr="0029732F" w:rsidRDefault="0029732F">
      <w:pPr>
        <w:pStyle w:val="FootnoteText"/>
        <w:rPr>
          <w:sz w:val="18"/>
          <w:szCs w:val="18"/>
        </w:rPr>
      </w:pPr>
      <w:r w:rsidRPr="0029732F">
        <w:rPr>
          <w:rStyle w:val="FootnoteReference"/>
          <w:sz w:val="18"/>
          <w:szCs w:val="18"/>
        </w:rPr>
        <w:footnoteRef/>
      </w:r>
      <w:r w:rsidRPr="0029732F">
        <w:rPr>
          <w:sz w:val="18"/>
          <w:szCs w:val="18"/>
        </w:rPr>
        <w:t xml:space="preserve"> </w:t>
      </w:r>
      <w:r w:rsidRPr="0029732F">
        <w:rPr>
          <w:rFonts w:ascii="Arial" w:hAnsi="Arial" w:cs="Arial"/>
          <w:sz w:val="18"/>
          <w:szCs w:val="18"/>
        </w:rPr>
        <w:t xml:space="preserve">Article 9 of the </w:t>
      </w:r>
      <w:r w:rsidRPr="0029732F">
        <w:rPr>
          <w:rStyle w:val="Emphasis"/>
          <w:rFonts w:ascii="Arial" w:hAnsi="Arial" w:cs="Arial"/>
          <w:sz w:val="18"/>
          <w:szCs w:val="18"/>
        </w:rPr>
        <w:t>International Covenant on Economic, Social and Cultural Rights (ICESCR); Article 5(e)(iv) of the ICERD</w:t>
      </w:r>
      <w:r w:rsidRPr="0029732F">
        <w:rPr>
          <w:rStyle w:val="Emphasis"/>
          <w:rFonts w:ascii="Arial" w:hAnsi="Arial" w:cs="Arial"/>
          <w:i w:val="0"/>
          <w:sz w:val="18"/>
          <w:szCs w:val="18"/>
        </w:rPr>
        <w:t>.</w:t>
      </w:r>
    </w:p>
  </w:footnote>
  <w:footnote w:id="25">
    <w:p w14:paraId="4DE40508" w14:textId="46624FB0" w:rsidR="0029732F" w:rsidRPr="0029732F" w:rsidRDefault="0029732F">
      <w:pPr>
        <w:pStyle w:val="FootnoteText"/>
        <w:rPr>
          <w:rFonts w:ascii="Arial" w:hAnsi="Arial" w:cs="Arial"/>
          <w:sz w:val="18"/>
          <w:szCs w:val="18"/>
        </w:rPr>
      </w:pPr>
      <w:r w:rsidRPr="0029732F">
        <w:rPr>
          <w:rStyle w:val="FootnoteReference"/>
          <w:rFonts w:ascii="Arial" w:hAnsi="Arial" w:cs="Arial"/>
          <w:sz w:val="18"/>
          <w:szCs w:val="18"/>
        </w:rPr>
        <w:footnoteRef/>
      </w:r>
      <w:r w:rsidRPr="0029732F">
        <w:rPr>
          <w:rFonts w:ascii="Arial" w:hAnsi="Arial" w:cs="Arial"/>
          <w:sz w:val="18"/>
          <w:szCs w:val="18"/>
        </w:rPr>
        <w:t xml:space="preserve"> </w:t>
      </w:r>
      <w:r w:rsidRPr="0029732F">
        <w:rPr>
          <w:rFonts w:ascii="Arial" w:hAnsi="Arial" w:cs="Arial"/>
          <w:sz w:val="18"/>
          <w:szCs w:val="18"/>
        </w:rPr>
        <w:t>Article 11 ICESCR</w:t>
      </w:r>
      <w:r w:rsidRPr="0029732F">
        <w:rPr>
          <w:rFonts w:ascii="Arial" w:hAnsi="Arial" w:cs="Arial"/>
          <w:sz w:val="18"/>
          <w:szCs w:val="18"/>
        </w:rPr>
        <w:t>.</w:t>
      </w:r>
    </w:p>
  </w:footnote>
  <w:footnote w:id="26">
    <w:p w14:paraId="21420D66" w14:textId="09B2549B" w:rsidR="0029732F" w:rsidRDefault="0029732F">
      <w:pPr>
        <w:pStyle w:val="FootnoteText"/>
      </w:pPr>
      <w:r w:rsidRPr="0029732F">
        <w:rPr>
          <w:rStyle w:val="FootnoteReference"/>
          <w:rFonts w:ascii="Arial" w:hAnsi="Arial" w:cs="Arial"/>
          <w:sz w:val="18"/>
          <w:szCs w:val="18"/>
        </w:rPr>
        <w:footnoteRef/>
      </w:r>
      <w:r w:rsidRPr="0029732F">
        <w:rPr>
          <w:rFonts w:ascii="Arial" w:hAnsi="Arial" w:cs="Arial"/>
          <w:sz w:val="18"/>
          <w:szCs w:val="18"/>
        </w:rPr>
        <w:t xml:space="preserve"> </w:t>
      </w:r>
      <w:r w:rsidRPr="0029732F">
        <w:rPr>
          <w:rFonts w:ascii="Arial" w:hAnsi="Arial" w:cs="Arial"/>
          <w:sz w:val="18"/>
          <w:szCs w:val="18"/>
        </w:rPr>
        <w:t>Article 7 ICESCR</w:t>
      </w:r>
      <w:r w:rsidRPr="0029732F">
        <w:rPr>
          <w:rFonts w:ascii="Arial" w:hAnsi="Arial" w:cs="Arial"/>
          <w:sz w:val="18"/>
          <w:szCs w:val="18"/>
        </w:rPr>
        <w:t>.</w:t>
      </w:r>
    </w:p>
  </w:footnote>
  <w:footnote w:id="27">
    <w:p w14:paraId="5E918037" w14:textId="36AD3460" w:rsidR="0029732F" w:rsidRPr="0029732F" w:rsidRDefault="0029732F">
      <w:pPr>
        <w:pStyle w:val="FootnoteText"/>
        <w:rPr>
          <w:rFonts w:ascii="Arial" w:hAnsi="Arial" w:cs="Arial"/>
          <w:sz w:val="18"/>
          <w:szCs w:val="18"/>
        </w:rPr>
      </w:pPr>
      <w:r w:rsidRPr="0029732F">
        <w:rPr>
          <w:rStyle w:val="FootnoteReference"/>
          <w:rFonts w:ascii="Arial" w:hAnsi="Arial" w:cs="Arial"/>
          <w:sz w:val="18"/>
          <w:szCs w:val="18"/>
        </w:rPr>
        <w:footnoteRef/>
      </w:r>
      <w:r w:rsidRPr="0029732F">
        <w:rPr>
          <w:rFonts w:ascii="Arial" w:hAnsi="Arial" w:cs="Arial"/>
          <w:sz w:val="18"/>
          <w:szCs w:val="18"/>
        </w:rPr>
        <w:t xml:space="preserve"> </w:t>
      </w:r>
      <w:r w:rsidRPr="0029732F">
        <w:rPr>
          <w:rFonts w:ascii="Arial" w:hAnsi="Arial" w:cs="Arial"/>
          <w:sz w:val="18"/>
          <w:szCs w:val="18"/>
        </w:rPr>
        <w:t>Article 6 ICESCR</w:t>
      </w:r>
      <w:r w:rsidRPr="0029732F">
        <w:rPr>
          <w:rFonts w:ascii="Arial" w:hAnsi="Arial" w:cs="Arial"/>
          <w:sz w:val="18"/>
          <w:szCs w:val="18"/>
        </w:rPr>
        <w:t>.</w:t>
      </w:r>
    </w:p>
  </w:footnote>
  <w:footnote w:id="28">
    <w:p w14:paraId="09400B8A"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Grant </w:t>
      </w:r>
      <w:proofErr w:type="spellStart"/>
      <w:r w:rsidRPr="007B4E17">
        <w:rPr>
          <w:rFonts w:ascii="Arial" w:hAnsi="Arial" w:cs="Arial"/>
          <w:sz w:val="18"/>
          <w:szCs w:val="18"/>
        </w:rPr>
        <w:t>Huscroft</w:t>
      </w:r>
      <w:proofErr w:type="spellEnd"/>
      <w:r w:rsidRPr="007B4E17">
        <w:rPr>
          <w:rFonts w:ascii="Arial" w:hAnsi="Arial" w:cs="Arial"/>
          <w:sz w:val="18"/>
          <w:szCs w:val="18"/>
        </w:rPr>
        <w:t xml:space="preserve">, Bradley Miller and Gregoire Webber (eds), </w:t>
      </w:r>
      <w:r w:rsidRPr="007B4E17">
        <w:rPr>
          <w:rFonts w:ascii="Arial" w:hAnsi="Arial" w:cs="Arial"/>
          <w:i/>
          <w:sz w:val="18"/>
          <w:szCs w:val="18"/>
        </w:rPr>
        <w:t>Proportionality and the Rule of Law: Rights, Justification, Reasoning</w:t>
      </w:r>
      <w:r w:rsidRPr="007B4E17">
        <w:rPr>
          <w:rFonts w:ascii="Arial" w:hAnsi="Arial" w:cs="Arial"/>
          <w:sz w:val="18"/>
          <w:szCs w:val="18"/>
        </w:rPr>
        <w:t xml:space="preserve"> (Cambridge University Press, 2016) 2.</w:t>
      </w:r>
    </w:p>
  </w:footnote>
  <w:footnote w:id="29">
    <w:p w14:paraId="7907549E"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Senate Finance and Public Administration Committee, </w:t>
      </w:r>
      <w:r w:rsidRPr="007B4E17">
        <w:rPr>
          <w:rFonts w:ascii="Arial" w:hAnsi="Arial" w:cs="Arial"/>
          <w:i/>
          <w:sz w:val="18"/>
          <w:szCs w:val="18"/>
        </w:rPr>
        <w:t>Appropriateness and effectiveness of the objectives, design, implementation and evaluation of the Community Development Program (CDP)</w:t>
      </w:r>
      <w:r w:rsidRPr="007B4E17">
        <w:rPr>
          <w:rFonts w:ascii="Arial" w:hAnsi="Arial" w:cs="Arial"/>
          <w:sz w:val="18"/>
          <w:szCs w:val="18"/>
        </w:rPr>
        <w:t>, December 2017, 105.</w:t>
      </w:r>
    </w:p>
  </w:footnote>
  <w:footnote w:id="30">
    <w:p w14:paraId="2946270A"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Aboriginal Peak Organisations Northern Territory, Submission No 4 to the Senate Standing Committee on Community Affairs, </w:t>
      </w:r>
      <w:r w:rsidRPr="007B4E17">
        <w:rPr>
          <w:rFonts w:ascii="Arial" w:hAnsi="Arial" w:cs="Arial"/>
          <w:i/>
          <w:sz w:val="18"/>
          <w:szCs w:val="18"/>
        </w:rPr>
        <w:t>Social Security Legislation Amendment (Community Development Program) Bill 2018</w:t>
      </w:r>
      <w:r w:rsidRPr="007B4E17">
        <w:rPr>
          <w:rFonts w:ascii="Arial" w:hAnsi="Arial" w:cs="Arial"/>
          <w:sz w:val="18"/>
          <w:szCs w:val="18"/>
        </w:rPr>
        <w:t>, 2.</w:t>
      </w:r>
    </w:p>
  </w:footnote>
  <w:footnote w:id="31">
    <w:p w14:paraId="20D245CE" w14:textId="521ED088" w:rsidR="00163E7C" w:rsidRPr="007B4E17" w:rsidRDefault="00163E7C" w:rsidP="00C51AE3">
      <w:pPr>
        <w:pStyle w:val="NoSpacing"/>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Terry Carney, ‘The new digital future for welfare: debts without legal proofs or moral authority?’ (2018) </w:t>
      </w:r>
      <w:r w:rsidRPr="007B4E17">
        <w:rPr>
          <w:rFonts w:ascii="Arial" w:hAnsi="Arial" w:cs="Arial"/>
          <w:i/>
          <w:sz w:val="18"/>
          <w:szCs w:val="18"/>
        </w:rPr>
        <w:t>University of New South Wales Law Journal Forum</w:t>
      </w:r>
      <w:r w:rsidRPr="007B4E17">
        <w:rPr>
          <w:rFonts w:ascii="Arial" w:hAnsi="Arial" w:cs="Arial"/>
          <w:sz w:val="18"/>
          <w:szCs w:val="18"/>
        </w:rPr>
        <w:t xml:space="preserve"> 1-16. </w:t>
      </w:r>
    </w:p>
  </w:footnote>
  <w:footnote w:id="32">
    <w:p w14:paraId="3DCCACC1" w14:textId="77777777" w:rsidR="00163E7C" w:rsidRPr="007B4E17" w:rsidRDefault="00163E7C" w:rsidP="00C51AE3">
      <w:pPr>
        <w:pStyle w:val="NoSpacing"/>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Terry Carney, ‘The new digital future for welfare: debts without legal proofs or moral authority?’ (2018) </w:t>
      </w:r>
      <w:r w:rsidRPr="007B4E17">
        <w:rPr>
          <w:rFonts w:ascii="Arial" w:hAnsi="Arial" w:cs="Arial"/>
          <w:i/>
          <w:sz w:val="18"/>
          <w:szCs w:val="18"/>
        </w:rPr>
        <w:t>University of New South Wales Law Journal Forum</w:t>
      </w:r>
      <w:r w:rsidRPr="007B4E17">
        <w:rPr>
          <w:rFonts w:ascii="Arial" w:hAnsi="Arial" w:cs="Arial"/>
          <w:sz w:val="18"/>
          <w:szCs w:val="18"/>
        </w:rPr>
        <w:t xml:space="preserve"> 1, 3.</w:t>
      </w:r>
    </w:p>
  </w:footnote>
  <w:footnote w:id="33">
    <w:p w14:paraId="43AD2B11" w14:textId="5A0039CA" w:rsidR="00E3012E" w:rsidRPr="007B4E17" w:rsidRDefault="00E3012E">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Department of Social Services </w:t>
      </w:r>
      <w:hyperlink r:id="rId1" w:history="1">
        <w:r w:rsidRPr="007B4E17">
          <w:rPr>
            <w:rStyle w:val="Hyperlink"/>
            <w:rFonts w:ascii="Arial" w:hAnsi="Arial" w:cs="Arial"/>
            <w:sz w:val="18"/>
            <w:szCs w:val="18"/>
          </w:rPr>
          <w:t>https://www.aihw.gov.au/our-services/data-on-request/dss-data</w:t>
        </w:r>
      </w:hyperlink>
      <w:r w:rsidRPr="007B4E17">
        <w:rPr>
          <w:rFonts w:ascii="Arial" w:hAnsi="Arial" w:cs="Arial"/>
          <w:sz w:val="18"/>
          <w:szCs w:val="18"/>
        </w:rPr>
        <w:t xml:space="preserve"> </w:t>
      </w:r>
    </w:p>
  </w:footnote>
  <w:footnote w:id="34">
    <w:p w14:paraId="1F6AF4EA"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Email to my ANU email address from the Director of Data Policy and Governance at the Department of Social Services, 20 February</w:t>
      </w:r>
      <w:r w:rsidRPr="007B4E17">
        <w:rPr>
          <w:rFonts w:ascii="Arial" w:hAnsi="Arial" w:cs="Arial"/>
          <w:bCs/>
          <w:sz w:val="18"/>
          <w:szCs w:val="18"/>
          <w:vertAlign w:val="subscript"/>
        </w:rPr>
        <w:t xml:space="preserve"> </w:t>
      </w:r>
      <w:r w:rsidRPr="007B4E17">
        <w:rPr>
          <w:rFonts w:ascii="Arial" w:hAnsi="Arial" w:cs="Arial"/>
          <w:sz w:val="18"/>
          <w:szCs w:val="18"/>
        </w:rPr>
        <w:t>2018.</w:t>
      </w:r>
    </w:p>
  </w:footnote>
  <w:footnote w:id="35">
    <w:p w14:paraId="654265C9" w14:textId="77777777" w:rsidR="00163E7C" w:rsidRPr="007B4E17" w:rsidRDefault="00163E7C" w:rsidP="00C51AE3">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Email to my ANU email address from the Director of Data Policy and Governance at the Department of Social Services, 20 February</w:t>
      </w:r>
      <w:r w:rsidRPr="007B4E17">
        <w:rPr>
          <w:rFonts w:ascii="Arial" w:hAnsi="Arial" w:cs="Arial"/>
          <w:bCs/>
          <w:sz w:val="18"/>
          <w:szCs w:val="18"/>
          <w:vertAlign w:val="subscript"/>
        </w:rPr>
        <w:t xml:space="preserve"> </w:t>
      </w:r>
      <w:r w:rsidRPr="007B4E17">
        <w:rPr>
          <w:rFonts w:ascii="Arial" w:hAnsi="Arial" w:cs="Arial"/>
          <w:sz w:val="18"/>
          <w:szCs w:val="18"/>
        </w:rPr>
        <w:t>2018.</w:t>
      </w:r>
    </w:p>
  </w:footnote>
  <w:footnote w:id="36">
    <w:p w14:paraId="37658C3B" w14:textId="4B9C8F1C" w:rsidR="00A0249D" w:rsidRPr="007B4E17" w:rsidRDefault="00A0249D">
      <w:pPr>
        <w:pStyle w:val="FootnoteText"/>
        <w:rPr>
          <w:rFonts w:ascii="Arial" w:hAnsi="Arial" w:cs="Arial"/>
          <w:sz w:val="18"/>
          <w:szCs w:val="18"/>
        </w:rPr>
      </w:pPr>
      <w:r w:rsidRPr="007B4E17">
        <w:rPr>
          <w:rStyle w:val="FootnoteReference"/>
          <w:rFonts w:ascii="Arial" w:hAnsi="Arial" w:cs="Arial"/>
          <w:sz w:val="18"/>
          <w:szCs w:val="18"/>
        </w:rPr>
        <w:footnoteRef/>
      </w:r>
      <w:r w:rsidRPr="007B4E17">
        <w:rPr>
          <w:rFonts w:ascii="Arial" w:hAnsi="Arial" w:cs="Arial"/>
          <w:sz w:val="18"/>
          <w:szCs w:val="18"/>
        </w:rPr>
        <w:t xml:space="preserve"> if they go through an ethics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A0ECA"/>
    <w:multiLevelType w:val="hybridMultilevel"/>
    <w:tmpl w:val="0706C0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86D33F3"/>
    <w:multiLevelType w:val="hybridMultilevel"/>
    <w:tmpl w:val="65E69D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AB66857"/>
    <w:multiLevelType w:val="hybridMultilevel"/>
    <w:tmpl w:val="40E64A0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77B21A6"/>
    <w:multiLevelType w:val="hybridMultilevel"/>
    <w:tmpl w:val="E2B27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F00E43"/>
    <w:multiLevelType w:val="hybridMultilevel"/>
    <w:tmpl w:val="CA3E20B2"/>
    <w:lvl w:ilvl="0" w:tplc="280CE17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343693D"/>
    <w:multiLevelType w:val="hybridMultilevel"/>
    <w:tmpl w:val="399A3600"/>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6" w15:restartNumberingAfterBreak="0">
    <w:nsid w:val="5F5C0D32"/>
    <w:multiLevelType w:val="hybridMultilevel"/>
    <w:tmpl w:val="88F0B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E3"/>
    <w:rsid w:val="000623D9"/>
    <w:rsid w:val="000B032C"/>
    <w:rsid w:val="000C5250"/>
    <w:rsid w:val="000D1FEF"/>
    <w:rsid w:val="000D33EC"/>
    <w:rsid w:val="000F415E"/>
    <w:rsid w:val="000F6DBE"/>
    <w:rsid w:val="00103CA6"/>
    <w:rsid w:val="00163E7C"/>
    <w:rsid w:val="00167E4B"/>
    <w:rsid w:val="001A6561"/>
    <w:rsid w:val="001D40FC"/>
    <w:rsid w:val="001E14ED"/>
    <w:rsid w:val="00207AB7"/>
    <w:rsid w:val="00250635"/>
    <w:rsid w:val="00265F9A"/>
    <w:rsid w:val="0029732F"/>
    <w:rsid w:val="00325D5E"/>
    <w:rsid w:val="003707A4"/>
    <w:rsid w:val="00397B8E"/>
    <w:rsid w:val="003C15B7"/>
    <w:rsid w:val="003D698F"/>
    <w:rsid w:val="003E660D"/>
    <w:rsid w:val="00402C6B"/>
    <w:rsid w:val="004039BB"/>
    <w:rsid w:val="004150E2"/>
    <w:rsid w:val="00430497"/>
    <w:rsid w:val="00496904"/>
    <w:rsid w:val="004C59CA"/>
    <w:rsid w:val="00516FC7"/>
    <w:rsid w:val="00533288"/>
    <w:rsid w:val="00561EA5"/>
    <w:rsid w:val="005D40DA"/>
    <w:rsid w:val="005E7532"/>
    <w:rsid w:val="00603DFC"/>
    <w:rsid w:val="00605727"/>
    <w:rsid w:val="00643BEC"/>
    <w:rsid w:val="00650D11"/>
    <w:rsid w:val="006755D5"/>
    <w:rsid w:val="00676418"/>
    <w:rsid w:val="00682540"/>
    <w:rsid w:val="00693C53"/>
    <w:rsid w:val="0069736E"/>
    <w:rsid w:val="006A3124"/>
    <w:rsid w:val="006D722B"/>
    <w:rsid w:val="006E052F"/>
    <w:rsid w:val="006E3E74"/>
    <w:rsid w:val="006E5207"/>
    <w:rsid w:val="006F6F9B"/>
    <w:rsid w:val="00790BF9"/>
    <w:rsid w:val="007B4E17"/>
    <w:rsid w:val="007B5C98"/>
    <w:rsid w:val="007E1A4F"/>
    <w:rsid w:val="008031E3"/>
    <w:rsid w:val="00825A69"/>
    <w:rsid w:val="00827978"/>
    <w:rsid w:val="00857251"/>
    <w:rsid w:val="008666D6"/>
    <w:rsid w:val="00885DE1"/>
    <w:rsid w:val="008C5AC1"/>
    <w:rsid w:val="008E55FD"/>
    <w:rsid w:val="008E5EEF"/>
    <w:rsid w:val="008F1449"/>
    <w:rsid w:val="009076B2"/>
    <w:rsid w:val="009322E0"/>
    <w:rsid w:val="00940D40"/>
    <w:rsid w:val="009A1478"/>
    <w:rsid w:val="00A0249D"/>
    <w:rsid w:val="00A13F91"/>
    <w:rsid w:val="00A20F7E"/>
    <w:rsid w:val="00A22F67"/>
    <w:rsid w:val="00A54BCE"/>
    <w:rsid w:val="00A645E6"/>
    <w:rsid w:val="00AE1D7A"/>
    <w:rsid w:val="00AE6703"/>
    <w:rsid w:val="00AF2DFE"/>
    <w:rsid w:val="00B01F57"/>
    <w:rsid w:val="00B20DFD"/>
    <w:rsid w:val="00B7147B"/>
    <w:rsid w:val="00B739EC"/>
    <w:rsid w:val="00B83AA0"/>
    <w:rsid w:val="00BB3204"/>
    <w:rsid w:val="00BD5DCF"/>
    <w:rsid w:val="00C00663"/>
    <w:rsid w:val="00C431EB"/>
    <w:rsid w:val="00C51AE3"/>
    <w:rsid w:val="00C87BBF"/>
    <w:rsid w:val="00CA63DB"/>
    <w:rsid w:val="00CB3661"/>
    <w:rsid w:val="00D02A4F"/>
    <w:rsid w:val="00D3229D"/>
    <w:rsid w:val="00D47310"/>
    <w:rsid w:val="00D653F0"/>
    <w:rsid w:val="00D75748"/>
    <w:rsid w:val="00DB7843"/>
    <w:rsid w:val="00DF0A8F"/>
    <w:rsid w:val="00E002F7"/>
    <w:rsid w:val="00E04165"/>
    <w:rsid w:val="00E10DB3"/>
    <w:rsid w:val="00E3012E"/>
    <w:rsid w:val="00E55589"/>
    <w:rsid w:val="00E64535"/>
    <w:rsid w:val="00E83C22"/>
    <w:rsid w:val="00E8698A"/>
    <w:rsid w:val="00E87256"/>
    <w:rsid w:val="00EB10E7"/>
    <w:rsid w:val="00F062EF"/>
    <w:rsid w:val="00F24393"/>
    <w:rsid w:val="00F50801"/>
    <w:rsid w:val="00F7235C"/>
    <w:rsid w:val="00FC096C"/>
    <w:rsid w:val="00FC0B9E"/>
    <w:rsid w:val="00FF3AF2"/>
    <w:rsid w:val="00FF7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00070"/>
  <w15:chartTrackingRefBased/>
  <w15:docId w15:val="{262B99C6-6CC7-4876-A9F2-9500FB9A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1AE3"/>
    <w:pPr>
      <w:spacing w:after="0" w:line="240" w:lineRule="auto"/>
    </w:pPr>
  </w:style>
  <w:style w:type="character" w:customStyle="1" w:styleId="NoSpacingChar">
    <w:name w:val="No Spacing Char"/>
    <w:link w:val="NoSpacing"/>
    <w:uiPriority w:val="1"/>
    <w:rsid w:val="00C51AE3"/>
  </w:style>
  <w:style w:type="paragraph" w:styleId="ListParagraph">
    <w:name w:val="List Paragraph"/>
    <w:basedOn w:val="Normal"/>
    <w:uiPriority w:val="34"/>
    <w:qFormat/>
    <w:rsid w:val="00C51AE3"/>
    <w:pPr>
      <w:ind w:left="720"/>
      <w:contextualSpacing/>
    </w:pPr>
  </w:style>
  <w:style w:type="paragraph" w:styleId="FootnoteText">
    <w:name w:val="footnote text"/>
    <w:aliases w:val="[X],FN,fn"/>
    <w:basedOn w:val="Normal"/>
    <w:link w:val="FootnoteTextChar"/>
    <w:unhideWhenUsed/>
    <w:qFormat/>
    <w:rsid w:val="00C51AE3"/>
    <w:pPr>
      <w:spacing w:after="0" w:line="240" w:lineRule="auto"/>
    </w:pPr>
    <w:rPr>
      <w:sz w:val="20"/>
      <w:szCs w:val="20"/>
    </w:rPr>
  </w:style>
  <w:style w:type="character" w:customStyle="1" w:styleId="FootnoteTextChar">
    <w:name w:val="Footnote Text Char"/>
    <w:aliases w:val="[X] Char,FN Char,fn Char"/>
    <w:basedOn w:val="DefaultParagraphFont"/>
    <w:link w:val="FootnoteText"/>
    <w:rsid w:val="00C51AE3"/>
    <w:rPr>
      <w:sz w:val="20"/>
      <w:szCs w:val="20"/>
    </w:rPr>
  </w:style>
  <w:style w:type="character" w:styleId="FootnoteReference">
    <w:name w:val="footnote reference"/>
    <w:aliases w:val="Footnote,Footnotes refss,4_G,Footnote number,Stinking Styles,footnote ref,16 Point,Superscript 6 Point"/>
    <w:basedOn w:val="DefaultParagraphFont"/>
    <w:unhideWhenUsed/>
    <w:qFormat/>
    <w:rsid w:val="00C51AE3"/>
    <w:rPr>
      <w:vertAlign w:val="superscript"/>
    </w:rPr>
  </w:style>
  <w:style w:type="character" w:styleId="Hyperlink">
    <w:name w:val="Hyperlink"/>
    <w:basedOn w:val="DefaultParagraphFont"/>
    <w:uiPriority w:val="99"/>
    <w:unhideWhenUsed/>
    <w:rsid w:val="00C51AE3"/>
    <w:rPr>
      <w:color w:val="0000FF"/>
      <w:u w:val="single"/>
    </w:rPr>
  </w:style>
  <w:style w:type="paragraph" w:styleId="Footer">
    <w:name w:val="footer"/>
    <w:basedOn w:val="Normal"/>
    <w:link w:val="FooterChar"/>
    <w:uiPriority w:val="99"/>
    <w:unhideWhenUsed/>
    <w:rsid w:val="00C51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AE3"/>
  </w:style>
  <w:style w:type="paragraph" w:customStyle="1" w:styleId="Default">
    <w:name w:val="Default"/>
    <w:rsid w:val="00C51AE3"/>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C51AE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51AE3"/>
    <w:rPr>
      <w:rFonts w:ascii="Calibri" w:hAnsi="Calibri"/>
      <w:szCs w:val="21"/>
    </w:rPr>
  </w:style>
  <w:style w:type="paragraph" w:styleId="NormalWeb">
    <w:name w:val="Normal (Web)"/>
    <w:basedOn w:val="Normal"/>
    <w:uiPriority w:val="99"/>
    <w:semiHidden/>
    <w:unhideWhenUsed/>
    <w:rsid w:val="00C51AE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C51AE3"/>
    <w:rPr>
      <w:i/>
      <w:iCs/>
    </w:rPr>
  </w:style>
  <w:style w:type="paragraph" w:customStyle="1" w:styleId="ParaAttribute4">
    <w:name w:val="ParaAttribute4"/>
    <w:rsid w:val="00C51AE3"/>
    <w:pPr>
      <w:wordWrap w:val="0"/>
      <w:spacing w:after="200" w:line="240" w:lineRule="auto"/>
    </w:pPr>
    <w:rPr>
      <w:rFonts w:ascii="Times New Roman" w:eastAsia="Batang" w:hAnsi="Times New Roman" w:cs="Times New Roman"/>
      <w:sz w:val="20"/>
      <w:szCs w:val="20"/>
      <w:lang w:eastAsia="en-AU"/>
    </w:rPr>
  </w:style>
  <w:style w:type="paragraph" w:customStyle="1" w:styleId="Body">
    <w:name w:val="Body"/>
    <w:rsid w:val="00C51AE3"/>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n-AU"/>
    </w:rPr>
  </w:style>
  <w:style w:type="character" w:styleId="UnresolvedMention">
    <w:name w:val="Unresolved Mention"/>
    <w:basedOn w:val="DefaultParagraphFont"/>
    <w:uiPriority w:val="99"/>
    <w:semiHidden/>
    <w:unhideWhenUsed/>
    <w:rsid w:val="0016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xtremepoverty@ohchr.org" TargetMode="External"/><Relationship Id="rId13" Type="http://schemas.openxmlformats.org/officeDocument/2006/relationships/hyperlink" Target="https://protect-au.mimecast.com/s/wQZeCE8krZHRPvYVTwcWQS?domain=doi.org"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lley.bielefeld@anu.edu.a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ielefeld@griffith.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CF647E.606C705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ihw.gov.au/our-services/data-on-request/ds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CD299B-1F91-4F89-9BF9-5B7B8A1DABE8}">
  <ds:schemaRefs>
    <ds:schemaRef ds:uri="http://schemas.openxmlformats.org/officeDocument/2006/bibliography"/>
  </ds:schemaRefs>
</ds:datastoreItem>
</file>

<file path=customXml/itemProps2.xml><?xml version="1.0" encoding="utf-8"?>
<ds:datastoreItem xmlns:ds="http://schemas.openxmlformats.org/officeDocument/2006/customXml" ds:itemID="{F5D76FC1-537A-4C54-A114-A6F85E3717D6}"/>
</file>

<file path=customXml/itemProps3.xml><?xml version="1.0" encoding="utf-8"?>
<ds:datastoreItem xmlns:ds="http://schemas.openxmlformats.org/officeDocument/2006/customXml" ds:itemID="{03DD7521-A6EE-4F48-BD96-7D5F5ED16C16}"/>
</file>

<file path=customXml/itemProps4.xml><?xml version="1.0" encoding="utf-8"?>
<ds:datastoreItem xmlns:ds="http://schemas.openxmlformats.org/officeDocument/2006/customXml" ds:itemID="{53E34306-A144-48DC-867E-4CFF2DBD5FD1}"/>
</file>

<file path=docProps/app.xml><?xml version="1.0" encoding="utf-8"?>
<Properties xmlns="http://schemas.openxmlformats.org/officeDocument/2006/extended-properties" xmlns:vt="http://schemas.openxmlformats.org/officeDocument/2006/docPropsVTypes">
  <Template>Normal</Template>
  <TotalTime>0</TotalTime>
  <Pages>8</Pages>
  <Words>2487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Bielefeld</dc:creator>
  <cp:keywords/>
  <dc:description/>
  <cp:lastModifiedBy>Shelley Bielefeld</cp:lastModifiedBy>
  <cp:revision>2</cp:revision>
  <cp:lastPrinted>2019-05-17T03:00:00Z</cp:lastPrinted>
  <dcterms:created xsi:type="dcterms:W3CDTF">2019-05-17T03:32:00Z</dcterms:created>
  <dcterms:modified xsi:type="dcterms:W3CDTF">2019-05-17T03:32:00Z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