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A30E6A" w14:textId="77777777" w:rsidR="00BC63CF" w:rsidRDefault="00BC63CF" w:rsidP="00AC220B">
      <w:pPr>
        <w:spacing w:before="100" w:beforeAutospacing="1" w:after="240" w:line="276" w:lineRule="auto"/>
        <w:jc w:val="center"/>
        <w:rPr>
          <w:rFonts w:eastAsia="Times New Roman" w:cs="Segoe UI"/>
          <w:color w:val="444444"/>
          <w:szCs w:val="24"/>
          <w:lang w:eastAsia="en-GB"/>
        </w:rPr>
      </w:pPr>
      <w:r w:rsidRPr="009670A7">
        <w:rPr>
          <w:rFonts w:cs="Arial"/>
          <w:b/>
          <w:bCs/>
          <w:noProof/>
          <w:color w:val="734791"/>
          <w:sz w:val="36"/>
          <w:szCs w:val="36"/>
          <w:lang w:eastAsia="en-GB"/>
        </w:rPr>
        <w:drawing>
          <wp:inline distT="0" distB="0" distL="0" distR="0" wp14:anchorId="6929044D" wp14:editId="6596DB08">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5D6CE587" w14:textId="77777777" w:rsidR="00BC63CF" w:rsidRDefault="00BC63CF" w:rsidP="00AC220B">
      <w:pPr>
        <w:spacing w:before="100" w:beforeAutospacing="1" w:after="240" w:line="276" w:lineRule="auto"/>
        <w:jc w:val="center"/>
        <w:rPr>
          <w:rFonts w:eastAsia="Times New Roman" w:cs="Segoe UI"/>
          <w:color w:val="444444"/>
          <w:szCs w:val="24"/>
          <w:lang w:eastAsia="en-GB"/>
        </w:rPr>
      </w:pPr>
    </w:p>
    <w:p w14:paraId="35AE50F9" w14:textId="77777777" w:rsidR="00BC63CF" w:rsidRDefault="00BC63CF" w:rsidP="00AC220B">
      <w:pPr>
        <w:spacing w:before="100" w:beforeAutospacing="1" w:after="240" w:line="276" w:lineRule="auto"/>
        <w:jc w:val="center"/>
        <w:rPr>
          <w:rFonts w:eastAsia="Times New Roman" w:cs="Segoe UI"/>
          <w:color w:val="444444"/>
          <w:szCs w:val="24"/>
          <w:lang w:eastAsia="en-GB"/>
        </w:rPr>
      </w:pPr>
    </w:p>
    <w:p w14:paraId="7B652DA1" w14:textId="77777777" w:rsidR="00BC63CF" w:rsidRPr="009670A7" w:rsidRDefault="00BC63CF" w:rsidP="00AC220B">
      <w:pPr>
        <w:pStyle w:val="BasicParagraph"/>
        <w:suppressAutoHyphens/>
        <w:spacing w:line="276" w:lineRule="auto"/>
        <w:jc w:val="center"/>
        <w:rPr>
          <w:rFonts w:ascii="Verdana" w:hAnsi="Verdana" w:cs="Arial"/>
          <w:b/>
          <w:bCs/>
          <w:color w:val="77328A"/>
          <w:sz w:val="36"/>
          <w:szCs w:val="36"/>
        </w:rPr>
      </w:pPr>
      <w:r w:rsidRPr="009670A7">
        <w:rPr>
          <w:rFonts w:ascii="Verdana" w:hAnsi="Verdana" w:cs="Arial"/>
          <w:b/>
          <w:bCs/>
          <w:color w:val="77328A"/>
          <w:sz w:val="36"/>
          <w:szCs w:val="36"/>
        </w:rPr>
        <w:t xml:space="preserve">Submission to </w:t>
      </w:r>
      <w:r w:rsidR="003E180B">
        <w:rPr>
          <w:rFonts w:ascii="Verdana" w:hAnsi="Verdana" w:cs="Arial"/>
          <w:b/>
          <w:bCs/>
          <w:color w:val="77328A"/>
          <w:sz w:val="36"/>
          <w:szCs w:val="36"/>
        </w:rPr>
        <w:t xml:space="preserve">the Special Rapporteur </w:t>
      </w:r>
      <w:r w:rsidR="00503A8D">
        <w:rPr>
          <w:rFonts w:ascii="Verdana" w:hAnsi="Verdana" w:cs="Arial"/>
          <w:b/>
          <w:bCs/>
          <w:color w:val="77328A"/>
          <w:sz w:val="36"/>
          <w:szCs w:val="36"/>
        </w:rPr>
        <w:t>on Extreme Poverty and Human Rights’</w:t>
      </w:r>
      <w:r w:rsidR="003E180B">
        <w:rPr>
          <w:rFonts w:ascii="Verdana" w:hAnsi="Verdana" w:cs="Arial"/>
          <w:b/>
          <w:bCs/>
          <w:color w:val="77328A"/>
          <w:sz w:val="36"/>
          <w:szCs w:val="36"/>
        </w:rPr>
        <w:t xml:space="preserve"> Thematic Report to the UN General Assembly on </w:t>
      </w:r>
      <w:r w:rsidR="00503A8D">
        <w:rPr>
          <w:rFonts w:ascii="Verdana" w:hAnsi="Verdana" w:cs="Arial"/>
          <w:b/>
          <w:bCs/>
          <w:color w:val="77328A"/>
          <w:sz w:val="36"/>
          <w:szCs w:val="36"/>
        </w:rPr>
        <w:t>D</w:t>
      </w:r>
      <w:r w:rsidR="003E180B">
        <w:rPr>
          <w:rFonts w:ascii="Verdana" w:hAnsi="Verdana" w:cs="Arial"/>
          <w:b/>
          <w:bCs/>
          <w:color w:val="77328A"/>
          <w:sz w:val="36"/>
          <w:szCs w:val="36"/>
        </w:rPr>
        <w:t xml:space="preserve">igital </w:t>
      </w:r>
      <w:r w:rsidR="00503A8D">
        <w:rPr>
          <w:rFonts w:ascii="Verdana" w:hAnsi="Verdana" w:cs="Arial"/>
          <w:b/>
          <w:bCs/>
          <w:color w:val="77328A"/>
          <w:sz w:val="36"/>
          <w:szCs w:val="36"/>
        </w:rPr>
        <w:t>T</w:t>
      </w:r>
      <w:r w:rsidR="003E180B">
        <w:rPr>
          <w:rFonts w:ascii="Verdana" w:hAnsi="Verdana" w:cs="Arial"/>
          <w:b/>
          <w:bCs/>
          <w:color w:val="77328A"/>
          <w:sz w:val="36"/>
          <w:szCs w:val="36"/>
        </w:rPr>
        <w:t xml:space="preserve">echnology, </w:t>
      </w:r>
      <w:r w:rsidR="00503A8D">
        <w:rPr>
          <w:rFonts w:ascii="Verdana" w:hAnsi="Verdana" w:cs="Arial"/>
          <w:b/>
          <w:bCs/>
          <w:color w:val="77328A"/>
          <w:sz w:val="36"/>
          <w:szCs w:val="36"/>
        </w:rPr>
        <w:t>S</w:t>
      </w:r>
      <w:r w:rsidR="003E180B">
        <w:rPr>
          <w:rFonts w:ascii="Verdana" w:hAnsi="Verdana" w:cs="Arial"/>
          <w:b/>
          <w:bCs/>
          <w:color w:val="77328A"/>
          <w:sz w:val="36"/>
          <w:szCs w:val="36"/>
        </w:rPr>
        <w:t xml:space="preserve">ocial </w:t>
      </w:r>
      <w:r w:rsidR="00503A8D">
        <w:rPr>
          <w:rFonts w:ascii="Verdana" w:hAnsi="Verdana" w:cs="Arial"/>
          <w:b/>
          <w:bCs/>
          <w:color w:val="77328A"/>
          <w:sz w:val="36"/>
          <w:szCs w:val="36"/>
        </w:rPr>
        <w:t>P</w:t>
      </w:r>
      <w:r w:rsidR="003E180B">
        <w:rPr>
          <w:rFonts w:ascii="Verdana" w:hAnsi="Verdana" w:cs="Arial"/>
          <w:b/>
          <w:bCs/>
          <w:color w:val="77328A"/>
          <w:sz w:val="36"/>
          <w:szCs w:val="36"/>
        </w:rPr>
        <w:t xml:space="preserve">rotection and </w:t>
      </w:r>
      <w:r w:rsidR="00503A8D">
        <w:rPr>
          <w:rFonts w:ascii="Verdana" w:hAnsi="Verdana" w:cs="Arial"/>
          <w:b/>
          <w:bCs/>
          <w:color w:val="77328A"/>
          <w:sz w:val="36"/>
          <w:szCs w:val="36"/>
        </w:rPr>
        <w:t>H</w:t>
      </w:r>
      <w:r w:rsidR="003E180B">
        <w:rPr>
          <w:rFonts w:ascii="Verdana" w:hAnsi="Verdana" w:cs="Arial"/>
          <w:b/>
          <w:bCs/>
          <w:color w:val="77328A"/>
          <w:sz w:val="36"/>
          <w:szCs w:val="36"/>
        </w:rPr>
        <w:t xml:space="preserve">uman </w:t>
      </w:r>
      <w:r w:rsidR="00503A8D">
        <w:rPr>
          <w:rFonts w:ascii="Verdana" w:hAnsi="Verdana" w:cs="Arial"/>
          <w:b/>
          <w:bCs/>
          <w:color w:val="77328A"/>
          <w:sz w:val="36"/>
          <w:szCs w:val="36"/>
        </w:rPr>
        <w:t>R</w:t>
      </w:r>
      <w:r w:rsidR="003E180B">
        <w:rPr>
          <w:rFonts w:ascii="Verdana" w:hAnsi="Verdana" w:cs="Arial"/>
          <w:b/>
          <w:bCs/>
          <w:color w:val="77328A"/>
          <w:sz w:val="36"/>
          <w:szCs w:val="36"/>
        </w:rPr>
        <w:t>ights</w:t>
      </w:r>
    </w:p>
    <w:p w14:paraId="73947D22" w14:textId="77777777" w:rsidR="00BC63CF" w:rsidRPr="009670A7" w:rsidRDefault="00BC63CF" w:rsidP="00AC220B">
      <w:pPr>
        <w:pStyle w:val="BasicParagraph"/>
        <w:suppressAutoHyphens/>
        <w:spacing w:line="276" w:lineRule="auto"/>
        <w:jc w:val="center"/>
        <w:rPr>
          <w:rFonts w:ascii="Verdana" w:hAnsi="Verdana" w:cs="Arial"/>
          <w:b/>
          <w:bCs/>
          <w:color w:val="77328A"/>
          <w:sz w:val="36"/>
          <w:szCs w:val="36"/>
        </w:rPr>
      </w:pPr>
    </w:p>
    <w:p w14:paraId="2291871A" w14:textId="77777777" w:rsidR="00BC63CF" w:rsidRPr="009670A7" w:rsidRDefault="00BC63CF" w:rsidP="00AC220B">
      <w:pPr>
        <w:pStyle w:val="BasicParagraph"/>
        <w:suppressAutoHyphens/>
        <w:spacing w:line="276" w:lineRule="auto"/>
        <w:jc w:val="center"/>
        <w:rPr>
          <w:rFonts w:ascii="Verdana" w:hAnsi="Verdana" w:cs="Arial"/>
          <w:b/>
          <w:bCs/>
          <w:color w:val="77328A"/>
          <w:sz w:val="36"/>
          <w:szCs w:val="36"/>
        </w:rPr>
      </w:pPr>
    </w:p>
    <w:p w14:paraId="43F8ACC3" w14:textId="77777777" w:rsidR="00BC63CF" w:rsidRDefault="00BC63CF" w:rsidP="00AC220B">
      <w:pPr>
        <w:pStyle w:val="BasicParagraph"/>
        <w:suppressAutoHyphens/>
        <w:spacing w:line="276" w:lineRule="auto"/>
        <w:jc w:val="center"/>
        <w:rPr>
          <w:rFonts w:ascii="Verdana" w:hAnsi="Verdana" w:cs="Arial"/>
          <w:b/>
          <w:color w:val="auto"/>
          <w:sz w:val="30"/>
          <w:szCs w:val="30"/>
        </w:rPr>
      </w:pPr>
    </w:p>
    <w:p w14:paraId="36089726" w14:textId="77777777" w:rsidR="00BC63CF" w:rsidRDefault="00BC63CF" w:rsidP="00AC220B">
      <w:pPr>
        <w:pStyle w:val="BasicParagraph"/>
        <w:suppressAutoHyphens/>
        <w:spacing w:line="276" w:lineRule="auto"/>
        <w:jc w:val="center"/>
        <w:rPr>
          <w:rFonts w:ascii="Verdana" w:hAnsi="Verdana" w:cs="Arial"/>
          <w:b/>
          <w:color w:val="auto"/>
          <w:sz w:val="30"/>
          <w:szCs w:val="30"/>
        </w:rPr>
      </w:pPr>
    </w:p>
    <w:p w14:paraId="029B4C46" w14:textId="77777777" w:rsidR="00BC63CF" w:rsidRPr="009670A7" w:rsidRDefault="00BC63CF" w:rsidP="00AC220B">
      <w:pPr>
        <w:pStyle w:val="BasicParagraph"/>
        <w:suppressAutoHyphens/>
        <w:spacing w:line="276" w:lineRule="auto"/>
        <w:jc w:val="center"/>
        <w:rPr>
          <w:rFonts w:ascii="Verdana" w:hAnsi="Verdana" w:cs="Arial"/>
          <w:b/>
          <w:color w:val="auto"/>
          <w:sz w:val="30"/>
          <w:szCs w:val="30"/>
        </w:rPr>
      </w:pPr>
      <w:r>
        <w:rPr>
          <w:rFonts w:ascii="Verdana" w:hAnsi="Verdana" w:cs="Arial"/>
          <w:b/>
          <w:color w:val="auto"/>
          <w:sz w:val="30"/>
          <w:szCs w:val="30"/>
        </w:rPr>
        <w:t>May</w:t>
      </w:r>
      <w:r w:rsidRPr="009670A7">
        <w:rPr>
          <w:rFonts w:ascii="Verdana" w:hAnsi="Verdana" w:cs="Arial"/>
          <w:b/>
          <w:color w:val="auto"/>
          <w:sz w:val="30"/>
          <w:szCs w:val="30"/>
        </w:rPr>
        <w:t xml:space="preserve"> 201</w:t>
      </w:r>
      <w:r>
        <w:rPr>
          <w:rFonts w:ascii="Verdana" w:hAnsi="Verdana" w:cs="Arial"/>
          <w:b/>
          <w:color w:val="auto"/>
          <w:sz w:val="30"/>
          <w:szCs w:val="30"/>
        </w:rPr>
        <w:t>9</w:t>
      </w:r>
    </w:p>
    <w:p w14:paraId="1AC9C723" w14:textId="77777777" w:rsidR="00BC63CF" w:rsidRDefault="00BC63CF" w:rsidP="00AC220B">
      <w:pPr>
        <w:pStyle w:val="ListParagraph"/>
        <w:autoSpaceDE w:val="0"/>
        <w:autoSpaceDN w:val="0"/>
        <w:adjustRightInd w:val="0"/>
        <w:spacing w:line="276" w:lineRule="auto"/>
        <w:rPr>
          <w:rFonts w:cs="Verdana"/>
          <w:color w:val="000000"/>
          <w:szCs w:val="24"/>
        </w:rPr>
      </w:pPr>
    </w:p>
    <w:p w14:paraId="49E95BEA" w14:textId="77777777" w:rsidR="00BC63CF" w:rsidRDefault="00BC63CF" w:rsidP="00AC220B">
      <w:pPr>
        <w:pStyle w:val="ListParagraph"/>
        <w:autoSpaceDE w:val="0"/>
        <w:autoSpaceDN w:val="0"/>
        <w:adjustRightInd w:val="0"/>
        <w:spacing w:line="276" w:lineRule="auto"/>
        <w:rPr>
          <w:rFonts w:cs="Verdana"/>
          <w:color w:val="000000"/>
          <w:szCs w:val="24"/>
        </w:rPr>
      </w:pPr>
    </w:p>
    <w:p w14:paraId="1877F474" w14:textId="77777777" w:rsidR="00BC63CF" w:rsidRDefault="00BC63CF" w:rsidP="00AC220B">
      <w:pPr>
        <w:pStyle w:val="ListParagraph"/>
        <w:autoSpaceDE w:val="0"/>
        <w:autoSpaceDN w:val="0"/>
        <w:adjustRightInd w:val="0"/>
        <w:spacing w:line="276" w:lineRule="auto"/>
        <w:rPr>
          <w:rFonts w:cs="Verdana"/>
          <w:color w:val="000000"/>
          <w:szCs w:val="24"/>
        </w:rPr>
      </w:pPr>
    </w:p>
    <w:p w14:paraId="4CE9D4D1" w14:textId="77777777" w:rsidR="00BC63CF" w:rsidRDefault="00BC63CF" w:rsidP="00AC220B">
      <w:pPr>
        <w:pStyle w:val="ListParagraph"/>
        <w:autoSpaceDE w:val="0"/>
        <w:autoSpaceDN w:val="0"/>
        <w:adjustRightInd w:val="0"/>
        <w:spacing w:line="276" w:lineRule="auto"/>
        <w:rPr>
          <w:rFonts w:cs="Verdana"/>
          <w:color w:val="000000"/>
          <w:szCs w:val="24"/>
        </w:rPr>
      </w:pPr>
    </w:p>
    <w:sdt>
      <w:sdtPr>
        <w:rPr>
          <w:rFonts w:ascii="Verdana" w:eastAsiaTheme="minorHAnsi" w:hAnsi="Verdana" w:cstheme="minorBidi"/>
          <w:color w:val="auto"/>
          <w:sz w:val="24"/>
          <w:szCs w:val="22"/>
          <w:lang w:val="en-GB"/>
        </w:rPr>
        <w:id w:val="-718128637"/>
        <w:docPartObj>
          <w:docPartGallery w:val="Table of Contents"/>
          <w:docPartUnique/>
        </w:docPartObj>
      </w:sdtPr>
      <w:sdtEndPr>
        <w:rPr>
          <w:b/>
          <w:bCs/>
          <w:noProof/>
        </w:rPr>
      </w:sdtEndPr>
      <w:sdtContent>
        <w:p w14:paraId="41962520" w14:textId="77777777" w:rsidR="00745F16" w:rsidRDefault="00745F16">
          <w:pPr>
            <w:pStyle w:val="TOCHeading"/>
            <w:rPr>
              <w:rFonts w:ascii="Verdana" w:hAnsi="Verdana"/>
              <w:b/>
              <w:color w:val="77328A"/>
              <w:sz w:val="30"/>
              <w:szCs w:val="30"/>
            </w:rPr>
          </w:pPr>
          <w:r w:rsidRPr="00745F16">
            <w:rPr>
              <w:rFonts w:ascii="Verdana" w:hAnsi="Verdana"/>
              <w:b/>
              <w:color w:val="77328A"/>
              <w:sz w:val="30"/>
              <w:szCs w:val="30"/>
            </w:rPr>
            <w:t>Table of Contents</w:t>
          </w:r>
        </w:p>
        <w:p w14:paraId="381B163D" w14:textId="77777777" w:rsidR="00745F16" w:rsidRPr="00745F16" w:rsidRDefault="00745F16" w:rsidP="00745F16">
          <w:pPr>
            <w:rPr>
              <w:lang w:val="en-US"/>
            </w:rPr>
          </w:pPr>
        </w:p>
        <w:p w14:paraId="0231054B" w14:textId="2F76A594" w:rsidR="004E0AC2" w:rsidRDefault="00745F16">
          <w:pPr>
            <w:pStyle w:val="TOC1"/>
            <w:tabs>
              <w:tab w:val="left" w:pos="660"/>
              <w:tab w:val="right" w:leader="dot" w:pos="9016"/>
            </w:tabs>
            <w:rPr>
              <w:rFonts w:asciiTheme="minorHAnsi" w:eastAsiaTheme="minorEastAsia" w:hAnsiTheme="minorHAnsi"/>
              <w:noProof/>
              <w:sz w:val="22"/>
              <w:lang w:eastAsia="en-GB"/>
            </w:rPr>
          </w:pPr>
          <w:r>
            <w:rPr>
              <w:b/>
              <w:bCs/>
              <w:noProof/>
            </w:rPr>
            <w:fldChar w:fldCharType="begin"/>
          </w:r>
          <w:r>
            <w:rPr>
              <w:b/>
              <w:bCs/>
              <w:noProof/>
            </w:rPr>
            <w:instrText xml:space="preserve"> TOC \o "1-3" \h \z \u </w:instrText>
          </w:r>
          <w:r>
            <w:rPr>
              <w:b/>
              <w:bCs/>
              <w:noProof/>
            </w:rPr>
            <w:fldChar w:fldCharType="separate"/>
          </w:r>
          <w:hyperlink w:anchor="_Toc8296980" w:history="1">
            <w:r w:rsidR="004E0AC2" w:rsidRPr="006A3B3B">
              <w:rPr>
                <w:rStyle w:val="Hyperlink"/>
                <w:noProof/>
              </w:rPr>
              <w:t>1.0</w:t>
            </w:r>
            <w:r w:rsidR="004E0AC2">
              <w:rPr>
                <w:rFonts w:asciiTheme="minorHAnsi" w:eastAsiaTheme="minorEastAsia" w:hAnsiTheme="minorHAnsi"/>
                <w:noProof/>
                <w:sz w:val="22"/>
                <w:lang w:eastAsia="en-GB"/>
              </w:rPr>
              <w:tab/>
            </w:r>
            <w:r w:rsidR="004E0AC2" w:rsidRPr="006A3B3B">
              <w:rPr>
                <w:rStyle w:val="Hyperlink"/>
                <w:noProof/>
              </w:rPr>
              <w:t>Introduction</w:t>
            </w:r>
            <w:r w:rsidR="004E0AC2">
              <w:rPr>
                <w:noProof/>
                <w:webHidden/>
              </w:rPr>
              <w:tab/>
            </w:r>
            <w:r w:rsidR="004E0AC2">
              <w:rPr>
                <w:noProof/>
                <w:webHidden/>
              </w:rPr>
              <w:fldChar w:fldCharType="begin"/>
            </w:r>
            <w:r w:rsidR="004E0AC2">
              <w:rPr>
                <w:noProof/>
                <w:webHidden/>
              </w:rPr>
              <w:instrText xml:space="preserve"> PAGEREF _Toc8296980 \h </w:instrText>
            </w:r>
            <w:r w:rsidR="004E0AC2">
              <w:rPr>
                <w:noProof/>
                <w:webHidden/>
              </w:rPr>
            </w:r>
            <w:r w:rsidR="004E0AC2">
              <w:rPr>
                <w:noProof/>
                <w:webHidden/>
              </w:rPr>
              <w:fldChar w:fldCharType="separate"/>
            </w:r>
            <w:r w:rsidR="00507A7F">
              <w:rPr>
                <w:noProof/>
                <w:webHidden/>
              </w:rPr>
              <w:t>3</w:t>
            </w:r>
            <w:r w:rsidR="004E0AC2">
              <w:rPr>
                <w:noProof/>
                <w:webHidden/>
              </w:rPr>
              <w:fldChar w:fldCharType="end"/>
            </w:r>
          </w:hyperlink>
        </w:p>
        <w:p w14:paraId="2DA4CDA3" w14:textId="1321F701" w:rsidR="004E0AC2" w:rsidRDefault="00507A7F">
          <w:pPr>
            <w:pStyle w:val="TOC1"/>
            <w:tabs>
              <w:tab w:val="left" w:pos="660"/>
              <w:tab w:val="right" w:leader="dot" w:pos="9016"/>
            </w:tabs>
            <w:rPr>
              <w:rFonts w:asciiTheme="minorHAnsi" w:eastAsiaTheme="minorEastAsia" w:hAnsiTheme="minorHAnsi"/>
              <w:noProof/>
              <w:sz w:val="22"/>
              <w:lang w:eastAsia="en-GB"/>
            </w:rPr>
          </w:pPr>
          <w:hyperlink w:anchor="_Toc8296981" w:history="1">
            <w:r w:rsidR="004E0AC2" w:rsidRPr="006A3B3B">
              <w:rPr>
                <w:rStyle w:val="Hyperlink"/>
                <w:noProof/>
              </w:rPr>
              <w:t>2.0</w:t>
            </w:r>
            <w:r w:rsidR="004E0AC2">
              <w:rPr>
                <w:rFonts w:asciiTheme="minorHAnsi" w:eastAsiaTheme="minorEastAsia" w:hAnsiTheme="minorHAnsi"/>
                <w:noProof/>
                <w:sz w:val="22"/>
                <w:lang w:eastAsia="en-GB"/>
              </w:rPr>
              <w:tab/>
            </w:r>
            <w:r w:rsidR="004E0AC2" w:rsidRPr="006A3B3B">
              <w:rPr>
                <w:rStyle w:val="Hyperlink"/>
                <w:noProof/>
              </w:rPr>
              <w:t>Universal Credit</w:t>
            </w:r>
            <w:r w:rsidR="004E0AC2">
              <w:rPr>
                <w:noProof/>
                <w:webHidden/>
              </w:rPr>
              <w:tab/>
            </w:r>
            <w:r w:rsidR="004E0AC2">
              <w:rPr>
                <w:noProof/>
                <w:webHidden/>
              </w:rPr>
              <w:fldChar w:fldCharType="begin"/>
            </w:r>
            <w:r w:rsidR="004E0AC2">
              <w:rPr>
                <w:noProof/>
                <w:webHidden/>
              </w:rPr>
              <w:instrText xml:space="preserve"> PAGEREF _Toc8296981 \h </w:instrText>
            </w:r>
            <w:r w:rsidR="004E0AC2">
              <w:rPr>
                <w:noProof/>
                <w:webHidden/>
              </w:rPr>
            </w:r>
            <w:r w:rsidR="004E0AC2">
              <w:rPr>
                <w:noProof/>
                <w:webHidden/>
              </w:rPr>
              <w:fldChar w:fldCharType="separate"/>
            </w:r>
            <w:r>
              <w:rPr>
                <w:noProof/>
                <w:webHidden/>
              </w:rPr>
              <w:t>4</w:t>
            </w:r>
            <w:r w:rsidR="004E0AC2">
              <w:rPr>
                <w:noProof/>
                <w:webHidden/>
              </w:rPr>
              <w:fldChar w:fldCharType="end"/>
            </w:r>
          </w:hyperlink>
        </w:p>
        <w:p w14:paraId="2671B352" w14:textId="72F7FE43" w:rsidR="004E0AC2" w:rsidRDefault="00507A7F">
          <w:pPr>
            <w:pStyle w:val="TOC1"/>
            <w:tabs>
              <w:tab w:val="left" w:pos="660"/>
              <w:tab w:val="right" w:leader="dot" w:pos="9016"/>
            </w:tabs>
            <w:rPr>
              <w:rFonts w:asciiTheme="minorHAnsi" w:eastAsiaTheme="minorEastAsia" w:hAnsiTheme="minorHAnsi"/>
              <w:noProof/>
              <w:sz w:val="22"/>
              <w:lang w:eastAsia="en-GB"/>
            </w:rPr>
          </w:pPr>
          <w:hyperlink w:anchor="_Toc8296982" w:history="1">
            <w:r w:rsidR="004E0AC2" w:rsidRPr="006A3B3B">
              <w:rPr>
                <w:rStyle w:val="Hyperlink"/>
                <w:noProof/>
                <w:lang w:val="en"/>
              </w:rPr>
              <w:t>3.0</w:t>
            </w:r>
            <w:r w:rsidR="004E0AC2">
              <w:rPr>
                <w:rFonts w:asciiTheme="minorHAnsi" w:eastAsiaTheme="minorEastAsia" w:hAnsiTheme="minorHAnsi"/>
                <w:noProof/>
                <w:sz w:val="22"/>
                <w:lang w:eastAsia="en-GB"/>
              </w:rPr>
              <w:tab/>
            </w:r>
            <w:r w:rsidR="004E0AC2" w:rsidRPr="006A3B3B">
              <w:rPr>
                <w:rStyle w:val="Hyperlink"/>
                <w:noProof/>
                <w:lang w:val="en"/>
              </w:rPr>
              <w:t>Personal Independent Payment</w:t>
            </w:r>
            <w:r w:rsidR="004E0AC2">
              <w:rPr>
                <w:noProof/>
                <w:webHidden/>
              </w:rPr>
              <w:tab/>
            </w:r>
            <w:r w:rsidR="004E0AC2">
              <w:rPr>
                <w:noProof/>
                <w:webHidden/>
              </w:rPr>
              <w:fldChar w:fldCharType="begin"/>
            </w:r>
            <w:r w:rsidR="004E0AC2">
              <w:rPr>
                <w:noProof/>
                <w:webHidden/>
              </w:rPr>
              <w:instrText xml:space="preserve"> PAGEREF _Toc8296982 \h </w:instrText>
            </w:r>
            <w:r w:rsidR="004E0AC2">
              <w:rPr>
                <w:noProof/>
                <w:webHidden/>
              </w:rPr>
            </w:r>
            <w:r w:rsidR="004E0AC2">
              <w:rPr>
                <w:noProof/>
                <w:webHidden/>
              </w:rPr>
              <w:fldChar w:fldCharType="separate"/>
            </w:r>
            <w:r>
              <w:rPr>
                <w:noProof/>
                <w:webHidden/>
              </w:rPr>
              <w:t>9</w:t>
            </w:r>
            <w:r w:rsidR="004E0AC2">
              <w:rPr>
                <w:noProof/>
                <w:webHidden/>
              </w:rPr>
              <w:fldChar w:fldCharType="end"/>
            </w:r>
          </w:hyperlink>
        </w:p>
        <w:p w14:paraId="72F917BE" w14:textId="1023A3B8" w:rsidR="004E0AC2" w:rsidRDefault="00507A7F">
          <w:pPr>
            <w:pStyle w:val="TOC1"/>
            <w:tabs>
              <w:tab w:val="left" w:pos="660"/>
              <w:tab w:val="right" w:leader="dot" w:pos="9016"/>
            </w:tabs>
            <w:rPr>
              <w:rFonts w:asciiTheme="minorHAnsi" w:eastAsiaTheme="minorEastAsia" w:hAnsiTheme="minorHAnsi"/>
              <w:noProof/>
              <w:sz w:val="22"/>
              <w:lang w:eastAsia="en-GB"/>
            </w:rPr>
          </w:pPr>
          <w:hyperlink w:anchor="_Toc8296983" w:history="1">
            <w:r w:rsidR="004E0AC2" w:rsidRPr="006A3B3B">
              <w:rPr>
                <w:rStyle w:val="Hyperlink"/>
                <w:rFonts w:eastAsia="Times New Roman"/>
                <w:noProof/>
                <w:lang w:eastAsia="en-GB"/>
              </w:rPr>
              <w:t>4.0</w:t>
            </w:r>
            <w:r w:rsidR="004E0AC2">
              <w:rPr>
                <w:rFonts w:asciiTheme="minorHAnsi" w:eastAsiaTheme="minorEastAsia" w:hAnsiTheme="minorHAnsi"/>
                <w:noProof/>
                <w:sz w:val="22"/>
                <w:lang w:eastAsia="en-GB"/>
              </w:rPr>
              <w:tab/>
            </w:r>
            <w:r w:rsidR="004E0AC2" w:rsidRPr="006A3B3B">
              <w:rPr>
                <w:rStyle w:val="Hyperlink"/>
                <w:rFonts w:eastAsia="Times New Roman"/>
                <w:noProof/>
                <w:lang w:eastAsia="en-GB"/>
              </w:rPr>
              <w:t>EU Settlement Scheme</w:t>
            </w:r>
            <w:r w:rsidR="004E0AC2">
              <w:rPr>
                <w:noProof/>
                <w:webHidden/>
              </w:rPr>
              <w:tab/>
            </w:r>
            <w:r w:rsidR="004E0AC2">
              <w:rPr>
                <w:noProof/>
                <w:webHidden/>
              </w:rPr>
              <w:fldChar w:fldCharType="begin"/>
            </w:r>
            <w:r w:rsidR="004E0AC2">
              <w:rPr>
                <w:noProof/>
                <w:webHidden/>
              </w:rPr>
              <w:instrText xml:space="preserve"> PAGEREF _Toc8296983 \h </w:instrText>
            </w:r>
            <w:r w:rsidR="004E0AC2">
              <w:rPr>
                <w:noProof/>
                <w:webHidden/>
              </w:rPr>
            </w:r>
            <w:r w:rsidR="004E0AC2">
              <w:rPr>
                <w:noProof/>
                <w:webHidden/>
              </w:rPr>
              <w:fldChar w:fldCharType="separate"/>
            </w:r>
            <w:r>
              <w:rPr>
                <w:noProof/>
                <w:webHidden/>
              </w:rPr>
              <w:t>11</w:t>
            </w:r>
            <w:r w:rsidR="004E0AC2">
              <w:rPr>
                <w:noProof/>
                <w:webHidden/>
              </w:rPr>
              <w:fldChar w:fldCharType="end"/>
            </w:r>
          </w:hyperlink>
        </w:p>
        <w:p w14:paraId="5910D4C0" w14:textId="77777777" w:rsidR="00745F16" w:rsidRDefault="00745F16">
          <w:r>
            <w:rPr>
              <w:b/>
              <w:bCs/>
              <w:noProof/>
            </w:rPr>
            <w:fldChar w:fldCharType="end"/>
          </w:r>
        </w:p>
      </w:sdtContent>
    </w:sdt>
    <w:p w14:paraId="75BEA5FC" w14:textId="77777777" w:rsidR="00745F16" w:rsidRDefault="00745F16">
      <w:pPr>
        <w:spacing w:after="160" w:line="259" w:lineRule="auto"/>
        <w:rPr>
          <w:rFonts w:eastAsiaTheme="majorEastAsia" w:cstheme="majorBidi"/>
          <w:b/>
          <w:bCs/>
          <w:color w:val="77328A"/>
          <w:sz w:val="30"/>
          <w:szCs w:val="24"/>
        </w:rPr>
      </w:pPr>
      <w:r>
        <w:br w:type="page"/>
      </w:r>
      <w:bookmarkStart w:id="0" w:name="_GoBack"/>
      <w:bookmarkEnd w:id="0"/>
    </w:p>
    <w:p w14:paraId="50BFB615" w14:textId="3EA31E47" w:rsidR="00410315" w:rsidRPr="004C1A97" w:rsidRDefault="00577999" w:rsidP="004C1A97">
      <w:pPr>
        <w:pStyle w:val="Heading1"/>
      </w:pPr>
      <w:bookmarkStart w:id="1" w:name="_Toc8296980"/>
      <w:r w:rsidRPr="00577999">
        <w:lastRenderedPageBreak/>
        <w:t>1.0</w:t>
      </w:r>
      <w:r w:rsidRPr="00577999">
        <w:tab/>
        <w:t>Introduction</w:t>
      </w:r>
      <w:bookmarkEnd w:id="1"/>
    </w:p>
    <w:p w14:paraId="65B92BC7" w14:textId="77777777" w:rsidR="007C6FAF" w:rsidRPr="007C6FAF" w:rsidRDefault="007C6FAF" w:rsidP="007C6FAF">
      <w:pPr>
        <w:numPr>
          <w:ilvl w:val="1"/>
          <w:numId w:val="23"/>
        </w:numPr>
        <w:ind w:left="709" w:hanging="709"/>
        <w:contextualSpacing/>
        <w:rPr>
          <w:rFonts w:eastAsia="Calibri" w:cs="Times New Roman"/>
        </w:rPr>
      </w:pPr>
      <w:r w:rsidRPr="007C6FAF">
        <w:rPr>
          <w:rFonts w:eastAsia="Calibri" w:cs="Times New Roman"/>
        </w:rPr>
        <w:t xml:space="preserve">The Northern Ireland Human Rights Commission (the NIHRC) </w:t>
      </w:r>
      <w:proofErr w:type="gramStart"/>
      <w:r w:rsidR="00962457">
        <w:rPr>
          <w:rFonts w:eastAsia="Calibri" w:cs="Times New Roman"/>
        </w:rPr>
        <w:t>was</w:t>
      </w:r>
      <w:r w:rsidR="004424B8">
        <w:rPr>
          <w:rFonts w:eastAsia="Calibri" w:cs="Times New Roman"/>
        </w:rPr>
        <w:t xml:space="preserve"> </w:t>
      </w:r>
      <w:r w:rsidR="00962457">
        <w:rPr>
          <w:rFonts w:eastAsia="Calibri" w:cs="Times New Roman"/>
        </w:rPr>
        <w:t>e</w:t>
      </w:r>
      <w:r w:rsidRPr="007C6FAF">
        <w:rPr>
          <w:rFonts w:eastAsia="Calibri" w:cs="Times New Roman"/>
        </w:rPr>
        <w:t>stablished</w:t>
      </w:r>
      <w:proofErr w:type="gramEnd"/>
      <w:r w:rsidRPr="007C6FAF">
        <w:rPr>
          <w:rFonts w:eastAsia="Calibri" w:cs="Times New Roman"/>
        </w:rPr>
        <w:t xml:space="preserve"> in 1999</w:t>
      </w:r>
      <w:r w:rsidR="00962457">
        <w:rPr>
          <w:rFonts w:eastAsia="Calibri" w:cs="Times New Roman"/>
        </w:rPr>
        <w:t>. P</w:t>
      </w:r>
      <w:r w:rsidRPr="007C6FAF">
        <w:rPr>
          <w:rFonts w:eastAsia="Calibri" w:cs="Times New Roman"/>
        </w:rPr>
        <w:t xml:space="preserve">ursuant to Section 69(1) of the Northern Ireland Act 1998, </w:t>
      </w:r>
      <w:r w:rsidR="00962457">
        <w:rPr>
          <w:rFonts w:eastAsia="Calibri" w:cs="Times New Roman"/>
        </w:rPr>
        <w:t xml:space="preserve">the NIHRC </w:t>
      </w:r>
      <w:r w:rsidRPr="007C6FAF">
        <w:rPr>
          <w:rFonts w:eastAsia="Calibri" w:cs="Times New Roman"/>
        </w:rPr>
        <w:t xml:space="preserve">reviews the adequacy and effectiveness of law and practice relating to the protection of human rights. </w:t>
      </w:r>
    </w:p>
    <w:p w14:paraId="0BD15D91" w14:textId="77777777" w:rsidR="007C6FAF" w:rsidRPr="007C6FAF" w:rsidRDefault="007C6FAF" w:rsidP="007C6FAF">
      <w:pPr>
        <w:ind w:left="709"/>
        <w:contextualSpacing/>
        <w:rPr>
          <w:rFonts w:eastAsia="Calibri" w:cs="Times New Roman"/>
        </w:rPr>
      </w:pPr>
    </w:p>
    <w:p w14:paraId="79FF4935" w14:textId="77777777" w:rsidR="007C6FAF" w:rsidRPr="007C6FAF" w:rsidRDefault="007C6FAF" w:rsidP="007C6FAF">
      <w:pPr>
        <w:numPr>
          <w:ilvl w:val="1"/>
          <w:numId w:val="23"/>
        </w:numPr>
        <w:ind w:left="709" w:hanging="709"/>
        <w:contextualSpacing/>
        <w:rPr>
          <w:rFonts w:eastAsia="Calibri" w:cs="Times New Roman"/>
        </w:rPr>
      </w:pPr>
      <w:r w:rsidRPr="007C6FAF">
        <w:rPr>
          <w:rFonts w:eastAsia="Calibri" w:cs="Times New Roman"/>
        </w:rPr>
        <w:t xml:space="preserve">The NIHRC welcomes the opportunity to contribute to </w:t>
      </w:r>
      <w:r w:rsidR="00D6787D">
        <w:rPr>
          <w:rFonts w:eastAsia="Calibri" w:cs="Times New Roman"/>
        </w:rPr>
        <w:t xml:space="preserve">this </w:t>
      </w:r>
      <w:r>
        <w:rPr>
          <w:rFonts w:eastAsia="Calibri" w:cs="Times New Roman"/>
        </w:rPr>
        <w:t>thematic report to the UN General Assembly on the digital protection and human rights</w:t>
      </w:r>
      <w:r w:rsidRPr="007C6FAF">
        <w:rPr>
          <w:rFonts w:eastAsia="Calibri" w:cs="Times New Roman"/>
        </w:rPr>
        <w:t xml:space="preserve">. </w:t>
      </w:r>
    </w:p>
    <w:p w14:paraId="51A865AC" w14:textId="77777777" w:rsidR="00577999" w:rsidRPr="00577999" w:rsidRDefault="00577999" w:rsidP="00577999">
      <w:pPr>
        <w:pStyle w:val="ListParagraph"/>
        <w:rPr>
          <w:szCs w:val="24"/>
        </w:rPr>
      </w:pPr>
    </w:p>
    <w:p w14:paraId="44515538" w14:textId="77777777" w:rsidR="000A0784" w:rsidRPr="000A0784" w:rsidRDefault="000A0784" w:rsidP="000A0784">
      <w:pPr>
        <w:pStyle w:val="ListParagraph"/>
        <w:numPr>
          <w:ilvl w:val="0"/>
          <w:numId w:val="9"/>
        </w:numPr>
        <w:spacing w:line="276" w:lineRule="auto"/>
        <w:rPr>
          <w:vanish/>
          <w:szCs w:val="24"/>
        </w:rPr>
      </w:pPr>
    </w:p>
    <w:p w14:paraId="7F3F2819" w14:textId="77777777" w:rsidR="000A0784" w:rsidRPr="000A0784" w:rsidRDefault="000A0784" w:rsidP="000A0784">
      <w:pPr>
        <w:pStyle w:val="ListParagraph"/>
        <w:numPr>
          <w:ilvl w:val="1"/>
          <w:numId w:val="9"/>
        </w:numPr>
        <w:spacing w:line="276" w:lineRule="auto"/>
        <w:rPr>
          <w:vanish/>
          <w:szCs w:val="24"/>
        </w:rPr>
      </w:pPr>
    </w:p>
    <w:p w14:paraId="34F2305B" w14:textId="77777777" w:rsidR="000A0784" w:rsidRPr="000A0784" w:rsidRDefault="000A0784" w:rsidP="000A0784">
      <w:pPr>
        <w:pStyle w:val="ListParagraph"/>
        <w:numPr>
          <w:ilvl w:val="1"/>
          <w:numId w:val="9"/>
        </w:numPr>
        <w:spacing w:line="276" w:lineRule="auto"/>
        <w:rPr>
          <w:vanish/>
          <w:szCs w:val="24"/>
        </w:rPr>
      </w:pPr>
    </w:p>
    <w:p w14:paraId="4A35F4D7" w14:textId="77777777" w:rsidR="00960C9F" w:rsidRPr="004424B8" w:rsidRDefault="00410315" w:rsidP="00F57F5C">
      <w:pPr>
        <w:pStyle w:val="ListParagraph"/>
        <w:numPr>
          <w:ilvl w:val="1"/>
          <w:numId w:val="9"/>
        </w:numPr>
        <w:spacing w:line="276" w:lineRule="auto"/>
        <w:ind w:left="720"/>
        <w:rPr>
          <w:rFonts w:cs="Times New Roman"/>
          <w:szCs w:val="24"/>
          <w:lang w:eastAsia="en-GB"/>
        </w:rPr>
      </w:pPr>
      <w:r w:rsidRPr="00F57F5C">
        <w:rPr>
          <w:szCs w:val="24"/>
        </w:rPr>
        <w:t>In 2012, the</w:t>
      </w:r>
      <w:r w:rsidR="00552F0C" w:rsidRPr="00526D2B">
        <w:rPr>
          <w:szCs w:val="24"/>
        </w:rPr>
        <w:t xml:space="preserve"> UK</w:t>
      </w:r>
      <w:r w:rsidRPr="00526D2B">
        <w:rPr>
          <w:szCs w:val="24"/>
        </w:rPr>
        <w:t xml:space="preserve"> </w:t>
      </w:r>
      <w:r w:rsidR="007C6FAF" w:rsidRPr="00526D2B">
        <w:rPr>
          <w:szCs w:val="24"/>
        </w:rPr>
        <w:t>G</w:t>
      </w:r>
      <w:r w:rsidRPr="00526D2B">
        <w:rPr>
          <w:szCs w:val="24"/>
        </w:rPr>
        <w:t>overnment committed to transform high volum</w:t>
      </w:r>
      <w:r w:rsidR="00F32BE0" w:rsidRPr="00526D2B">
        <w:rPr>
          <w:szCs w:val="24"/>
        </w:rPr>
        <w:t>e public services to make them “</w:t>
      </w:r>
      <w:r w:rsidRPr="00526D2B">
        <w:rPr>
          <w:szCs w:val="24"/>
        </w:rPr>
        <w:t>digital by default</w:t>
      </w:r>
      <w:r w:rsidR="00F32BE0" w:rsidRPr="00526D2B">
        <w:rPr>
          <w:szCs w:val="24"/>
        </w:rPr>
        <w:t>”</w:t>
      </w:r>
      <w:r w:rsidRPr="00526D2B">
        <w:rPr>
          <w:szCs w:val="24"/>
        </w:rPr>
        <w:t>.</w:t>
      </w:r>
      <w:r w:rsidR="008F7F66">
        <w:rPr>
          <w:rStyle w:val="FootnoteReference"/>
          <w:szCs w:val="24"/>
        </w:rPr>
        <w:footnoteReference w:id="1"/>
      </w:r>
      <w:r w:rsidRPr="00F57F5C">
        <w:rPr>
          <w:szCs w:val="24"/>
        </w:rPr>
        <w:t xml:space="preserve"> </w:t>
      </w:r>
      <w:r w:rsidR="008F7F66" w:rsidRPr="00F57F5C">
        <w:rPr>
          <w:szCs w:val="24"/>
        </w:rPr>
        <w:t xml:space="preserve">The </w:t>
      </w:r>
      <w:r w:rsidR="00F32BE0" w:rsidRPr="00526D2B">
        <w:rPr>
          <w:szCs w:val="24"/>
        </w:rPr>
        <w:t xml:space="preserve">UK </w:t>
      </w:r>
      <w:r w:rsidR="007C6FAF" w:rsidRPr="00526D2B">
        <w:rPr>
          <w:szCs w:val="24"/>
        </w:rPr>
        <w:t>G</w:t>
      </w:r>
      <w:r w:rsidR="008F7F66" w:rsidRPr="00526D2B">
        <w:rPr>
          <w:szCs w:val="24"/>
        </w:rPr>
        <w:t xml:space="preserve">overnment </w:t>
      </w:r>
      <w:r w:rsidR="00F87A28" w:rsidRPr="00526D2B">
        <w:rPr>
          <w:szCs w:val="24"/>
        </w:rPr>
        <w:t>state</w:t>
      </w:r>
      <w:r w:rsidR="00E17689" w:rsidRPr="00526D2B">
        <w:rPr>
          <w:szCs w:val="24"/>
        </w:rPr>
        <w:t>d</w:t>
      </w:r>
      <w:r w:rsidR="00F87A28" w:rsidRPr="00526D2B">
        <w:rPr>
          <w:szCs w:val="24"/>
        </w:rPr>
        <w:t xml:space="preserve"> </w:t>
      </w:r>
      <w:r w:rsidR="008F7F66" w:rsidRPr="00526D2B">
        <w:rPr>
          <w:szCs w:val="24"/>
        </w:rPr>
        <w:t xml:space="preserve">that digital services must work for the “whole of society” and </w:t>
      </w:r>
      <w:proofErr w:type="gramStart"/>
      <w:r w:rsidR="00F87A28" w:rsidRPr="00526D2B">
        <w:rPr>
          <w:szCs w:val="24"/>
        </w:rPr>
        <w:t>acknowledge</w:t>
      </w:r>
      <w:r w:rsidR="00E17689" w:rsidRPr="00526D2B">
        <w:rPr>
          <w:szCs w:val="24"/>
        </w:rPr>
        <w:t>d</w:t>
      </w:r>
      <w:r w:rsidR="00F87A28" w:rsidRPr="00526D2B">
        <w:rPr>
          <w:szCs w:val="24"/>
        </w:rPr>
        <w:t xml:space="preserve"> </w:t>
      </w:r>
      <w:r w:rsidR="008F7F66" w:rsidRPr="00526D2B">
        <w:rPr>
          <w:szCs w:val="24"/>
        </w:rPr>
        <w:t>that</w:t>
      </w:r>
      <w:proofErr w:type="gramEnd"/>
      <w:r w:rsidR="008F7F66" w:rsidRPr="00526D2B">
        <w:rPr>
          <w:szCs w:val="24"/>
        </w:rPr>
        <w:t xml:space="preserve"> “financial exclusion and digital exclusion often go hand in hand</w:t>
      </w:r>
      <w:r w:rsidR="00E17689" w:rsidRPr="00526D2B">
        <w:rPr>
          <w:szCs w:val="24"/>
        </w:rPr>
        <w:t>.</w:t>
      </w:r>
      <w:r w:rsidR="008F7F66" w:rsidRPr="00526D2B">
        <w:rPr>
          <w:szCs w:val="24"/>
        </w:rPr>
        <w:t>”</w:t>
      </w:r>
      <w:r w:rsidR="008F7F66" w:rsidRPr="00EA01C0">
        <w:rPr>
          <w:rStyle w:val="FootnoteReference"/>
          <w:szCs w:val="24"/>
        </w:rPr>
        <w:footnoteReference w:id="2"/>
      </w:r>
      <w:r w:rsidR="00677182" w:rsidRPr="00F57F5C">
        <w:rPr>
          <w:szCs w:val="24"/>
        </w:rPr>
        <w:t xml:space="preserve"> </w:t>
      </w:r>
      <w:r w:rsidR="00E17689" w:rsidRPr="00526D2B">
        <w:rPr>
          <w:szCs w:val="24"/>
        </w:rPr>
        <w:t xml:space="preserve">The </w:t>
      </w:r>
      <w:r w:rsidR="00EC0995">
        <w:rPr>
          <w:szCs w:val="24"/>
        </w:rPr>
        <w:t>G</w:t>
      </w:r>
      <w:r w:rsidR="00E17689" w:rsidRPr="00526D2B">
        <w:rPr>
          <w:szCs w:val="24"/>
        </w:rPr>
        <w:t xml:space="preserve">overnment therefore committed </w:t>
      </w:r>
      <w:r w:rsidR="00D447AE" w:rsidRPr="00526D2B">
        <w:rPr>
          <w:szCs w:val="24"/>
        </w:rPr>
        <w:t>to providing</w:t>
      </w:r>
      <w:r w:rsidR="00677182" w:rsidRPr="00526D2B">
        <w:rPr>
          <w:szCs w:val="24"/>
        </w:rPr>
        <w:t xml:space="preserve"> </w:t>
      </w:r>
      <w:r w:rsidR="00F87A28" w:rsidRPr="00526D2B">
        <w:rPr>
          <w:szCs w:val="24"/>
        </w:rPr>
        <w:t>“</w:t>
      </w:r>
      <w:r w:rsidR="00677182" w:rsidRPr="00526D2B">
        <w:rPr>
          <w:szCs w:val="24"/>
        </w:rPr>
        <w:t>assisted digital</w:t>
      </w:r>
      <w:r w:rsidR="00D447AE" w:rsidRPr="00526D2B">
        <w:rPr>
          <w:szCs w:val="24"/>
        </w:rPr>
        <w:t xml:space="preserve"> services</w:t>
      </w:r>
      <w:r w:rsidR="00F87A28" w:rsidRPr="00526D2B">
        <w:rPr>
          <w:szCs w:val="24"/>
        </w:rPr>
        <w:t>”</w:t>
      </w:r>
      <w:r w:rsidR="00677182" w:rsidRPr="00526D2B">
        <w:rPr>
          <w:szCs w:val="24"/>
        </w:rPr>
        <w:t xml:space="preserve"> </w:t>
      </w:r>
      <w:r w:rsidR="00E17689" w:rsidRPr="00526D2B">
        <w:rPr>
          <w:szCs w:val="24"/>
        </w:rPr>
        <w:t xml:space="preserve">and “alternative channels” for those </w:t>
      </w:r>
      <w:r w:rsidR="00677182" w:rsidRPr="00526D2B">
        <w:rPr>
          <w:szCs w:val="24"/>
        </w:rPr>
        <w:t>una</w:t>
      </w:r>
      <w:r w:rsidR="00D447AE" w:rsidRPr="00526D2B">
        <w:rPr>
          <w:szCs w:val="24"/>
        </w:rPr>
        <w:t>ble to apply online</w:t>
      </w:r>
      <w:r w:rsidR="00677182" w:rsidRPr="00526D2B">
        <w:rPr>
          <w:szCs w:val="24"/>
        </w:rPr>
        <w:t>.</w:t>
      </w:r>
      <w:r w:rsidR="00677182" w:rsidRPr="00EA01C0">
        <w:rPr>
          <w:rStyle w:val="FootnoteReference"/>
          <w:szCs w:val="24"/>
        </w:rPr>
        <w:footnoteReference w:id="3"/>
      </w:r>
    </w:p>
    <w:p w14:paraId="12FEB785" w14:textId="77777777" w:rsidR="00960C9F" w:rsidRPr="004424B8" w:rsidRDefault="00677182" w:rsidP="004424B8">
      <w:pPr>
        <w:pStyle w:val="ListParagraph"/>
        <w:spacing w:line="276" w:lineRule="auto"/>
        <w:rPr>
          <w:rFonts w:cs="Times New Roman"/>
          <w:szCs w:val="24"/>
          <w:lang w:eastAsia="en-GB"/>
        </w:rPr>
      </w:pPr>
      <w:r w:rsidRPr="00F57F5C">
        <w:rPr>
          <w:szCs w:val="24"/>
        </w:rPr>
        <w:t xml:space="preserve"> </w:t>
      </w:r>
    </w:p>
    <w:p w14:paraId="50D333DF" w14:textId="77777777" w:rsidR="00960C9F" w:rsidRDefault="00E17689" w:rsidP="004424B8">
      <w:pPr>
        <w:pStyle w:val="ListParagraph"/>
        <w:numPr>
          <w:ilvl w:val="1"/>
          <w:numId w:val="9"/>
        </w:numPr>
        <w:spacing w:line="276" w:lineRule="auto"/>
        <w:ind w:left="720"/>
      </w:pPr>
      <w:r w:rsidRPr="00960C9F">
        <w:t>Despi</w:t>
      </w:r>
      <w:r w:rsidR="00AD5863" w:rsidRPr="00526D2B">
        <w:t xml:space="preserve">te </w:t>
      </w:r>
      <w:r w:rsidR="00735EC8" w:rsidRPr="00526D2B">
        <w:t xml:space="preserve">such </w:t>
      </w:r>
      <w:r w:rsidR="00526D2B" w:rsidRPr="001539E9">
        <w:t xml:space="preserve">protections, </w:t>
      </w:r>
      <w:r w:rsidR="00526D2B">
        <w:t xml:space="preserve">the NIHRC </w:t>
      </w:r>
      <w:r w:rsidR="00526D2B" w:rsidRPr="00F57F5C">
        <w:t xml:space="preserve">is </w:t>
      </w:r>
      <w:r w:rsidR="00526D2B" w:rsidRPr="001539E9">
        <w:t xml:space="preserve">concerned that the drive to digitalise public services is leaving some behind. Evidence </w:t>
      </w:r>
      <w:r w:rsidR="00526D2B">
        <w:t xml:space="preserve">discussed below </w:t>
      </w:r>
      <w:r w:rsidR="00526D2B" w:rsidRPr="00F57F5C">
        <w:t xml:space="preserve">indicates that the introduction of digital technologies is having an adverse </w:t>
      </w:r>
      <w:r w:rsidR="00AE00EB">
        <w:t xml:space="preserve">impact </w:t>
      </w:r>
      <w:r w:rsidR="00526D2B" w:rsidRPr="00F57F5C">
        <w:t xml:space="preserve">on categories of people including persons in receipt of social security, </w:t>
      </w:r>
      <w:r w:rsidR="00526D2B" w:rsidRPr="001539E9">
        <w:t>pe</w:t>
      </w:r>
      <w:r w:rsidR="00526D2B" w:rsidRPr="006F1244">
        <w:t>rsons with disabilities, women and migrants.</w:t>
      </w:r>
    </w:p>
    <w:p w14:paraId="5179C196" w14:textId="77777777" w:rsidR="00960C9F" w:rsidRDefault="00526D2B" w:rsidP="004424B8">
      <w:pPr>
        <w:pStyle w:val="ListParagraph"/>
        <w:spacing w:line="276" w:lineRule="auto"/>
      </w:pPr>
      <w:r w:rsidRPr="006F1244">
        <w:t xml:space="preserve"> </w:t>
      </w:r>
    </w:p>
    <w:p w14:paraId="47046D96" w14:textId="77777777" w:rsidR="00960C9F" w:rsidRDefault="00410315" w:rsidP="004424B8">
      <w:pPr>
        <w:pStyle w:val="ListParagraph"/>
        <w:numPr>
          <w:ilvl w:val="1"/>
          <w:numId w:val="9"/>
        </w:numPr>
        <w:spacing w:line="276" w:lineRule="auto"/>
        <w:ind w:left="720"/>
      </w:pPr>
      <w:r w:rsidRPr="000D3F45">
        <w:t xml:space="preserve">This submission </w:t>
      </w:r>
      <w:r w:rsidR="007C6FAF" w:rsidRPr="000D3F45">
        <w:t xml:space="preserve">focuses </w:t>
      </w:r>
      <w:r w:rsidRPr="004424B8">
        <w:t>on Universal Credit</w:t>
      </w:r>
      <w:r w:rsidR="006B2C7A" w:rsidRPr="004424B8">
        <w:t xml:space="preserve">, Personal Independence Payment </w:t>
      </w:r>
      <w:r w:rsidRPr="004424B8">
        <w:t xml:space="preserve">and </w:t>
      </w:r>
      <w:r w:rsidR="00AD18BF" w:rsidRPr="004424B8">
        <w:t>the EU Settlement scheme</w:t>
      </w:r>
      <w:r w:rsidR="007C6FAF" w:rsidRPr="004424B8">
        <w:t xml:space="preserve">, areas of particular concern to Northern Ireland in the context of social security reform and </w:t>
      </w:r>
      <w:proofErr w:type="spellStart"/>
      <w:r w:rsidR="007C6FAF" w:rsidRPr="004424B8">
        <w:t>Brexit</w:t>
      </w:r>
      <w:proofErr w:type="spellEnd"/>
      <w:r w:rsidR="008606C0" w:rsidRPr="004424B8">
        <w:t>.</w:t>
      </w:r>
    </w:p>
    <w:p w14:paraId="0FECE205" w14:textId="77777777" w:rsidR="00960C9F" w:rsidRDefault="00960C9F" w:rsidP="004424B8">
      <w:pPr>
        <w:pStyle w:val="ListParagraph"/>
        <w:spacing w:line="276" w:lineRule="auto"/>
      </w:pPr>
    </w:p>
    <w:p w14:paraId="0DA79B15" w14:textId="77777777" w:rsidR="00FF206F" w:rsidRDefault="00E17689" w:rsidP="004424B8">
      <w:pPr>
        <w:pStyle w:val="ListParagraph"/>
        <w:numPr>
          <w:ilvl w:val="1"/>
          <w:numId w:val="9"/>
        </w:numPr>
        <w:spacing w:line="276" w:lineRule="auto"/>
        <w:ind w:left="720"/>
        <w:rPr>
          <w:rFonts w:cs="ZurichBT-LightCondensed"/>
          <w:szCs w:val="24"/>
        </w:rPr>
      </w:pPr>
      <w:r>
        <w:t>Aspects</w:t>
      </w:r>
      <w:r w:rsidR="0065584A" w:rsidRPr="00960C9F">
        <w:rPr>
          <w:szCs w:val="24"/>
        </w:rPr>
        <w:t xml:space="preserve"> </w:t>
      </w:r>
      <w:r w:rsidR="00FF206F" w:rsidRPr="00F57F5C">
        <w:rPr>
          <w:szCs w:val="24"/>
        </w:rPr>
        <w:t>of the UK</w:t>
      </w:r>
      <w:r w:rsidR="00FF206F" w:rsidRPr="001539E9">
        <w:rPr>
          <w:szCs w:val="24"/>
        </w:rPr>
        <w:t xml:space="preserve">’s social security system has attracted criticism </w:t>
      </w:r>
      <w:r w:rsidR="00EC0995">
        <w:rPr>
          <w:szCs w:val="24"/>
        </w:rPr>
        <w:t xml:space="preserve">by the United Nations (UN) </w:t>
      </w:r>
      <w:r w:rsidR="00FF206F" w:rsidRPr="009A2BD6">
        <w:rPr>
          <w:rFonts w:cs="ZurichBT-LightCondensed"/>
          <w:szCs w:val="24"/>
        </w:rPr>
        <w:t>Committee</w:t>
      </w:r>
      <w:r w:rsidR="00EC0995">
        <w:rPr>
          <w:rFonts w:cs="ZurichBT-LightCondensed"/>
          <w:szCs w:val="24"/>
        </w:rPr>
        <w:t>s</w:t>
      </w:r>
      <w:r w:rsidR="00FF206F" w:rsidRPr="006F1244">
        <w:rPr>
          <w:rFonts w:cs="ZurichBT-LightCondensed"/>
          <w:szCs w:val="24"/>
        </w:rPr>
        <w:t xml:space="preserve"> on Economic and Social Rights,</w:t>
      </w:r>
      <w:r w:rsidR="00FF206F">
        <w:rPr>
          <w:rStyle w:val="FootnoteReference"/>
          <w:color w:val="000000"/>
        </w:rPr>
        <w:footnoteReference w:id="4"/>
      </w:r>
      <w:r w:rsidR="00FF206F" w:rsidRPr="00F57F5C">
        <w:rPr>
          <w:rFonts w:cs="ZurichBT-LightCondensed"/>
          <w:szCs w:val="24"/>
        </w:rPr>
        <w:t xml:space="preserve"> the Rights of the Child</w:t>
      </w:r>
      <w:r w:rsidR="00FF206F" w:rsidRPr="001539E9">
        <w:rPr>
          <w:rFonts w:cs="ZurichBT-LightCondensed"/>
          <w:szCs w:val="24"/>
        </w:rPr>
        <w:t>,</w:t>
      </w:r>
      <w:r w:rsidR="00FF206F">
        <w:rPr>
          <w:rStyle w:val="FootnoteReference"/>
          <w:rFonts w:cs="ZurichBT-LightCondensed"/>
          <w:szCs w:val="24"/>
        </w:rPr>
        <w:footnoteReference w:id="5"/>
      </w:r>
      <w:r w:rsidR="00FF206F" w:rsidRPr="00F57F5C">
        <w:rPr>
          <w:rFonts w:cs="ZurichBT-LightCondensed"/>
          <w:szCs w:val="24"/>
        </w:rPr>
        <w:t xml:space="preserve"> </w:t>
      </w:r>
      <w:r w:rsidR="00EC0995">
        <w:rPr>
          <w:rFonts w:cs="ZurichBT-LightCondensed"/>
          <w:szCs w:val="24"/>
        </w:rPr>
        <w:t xml:space="preserve">the </w:t>
      </w:r>
      <w:r w:rsidR="00FF206F" w:rsidRPr="001539E9">
        <w:rPr>
          <w:rFonts w:cs="ZurichBT-LightCondensed"/>
          <w:szCs w:val="24"/>
        </w:rPr>
        <w:t xml:space="preserve">Rights of Persons </w:t>
      </w:r>
      <w:r w:rsidR="00FF206F" w:rsidRPr="006F1244">
        <w:rPr>
          <w:rFonts w:cs="ZurichBT-LightCondensed"/>
          <w:szCs w:val="24"/>
        </w:rPr>
        <w:t xml:space="preserve">with </w:t>
      </w:r>
      <w:r w:rsidR="00FF206F" w:rsidRPr="006F1244">
        <w:rPr>
          <w:rFonts w:cs="ZurichBT-LightCondensed"/>
          <w:szCs w:val="24"/>
        </w:rPr>
        <w:lastRenderedPageBreak/>
        <w:t>Disabilities</w:t>
      </w:r>
      <w:r w:rsidR="00FF206F">
        <w:rPr>
          <w:rStyle w:val="FootnoteReference"/>
          <w:szCs w:val="24"/>
        </w:rPr>
        <w:footnoteReference w:id="6"/>
      </w:r>
      <w:r w:rsidR="00FF206F" w:rsidRPr="00F57F5C">
        <w:rPr>
          <w:rFonts w:cs="ZurichBT-LightCondensed"/>
          <w:szCs w:val="24"/>
        </w:rPr>
        <w:t xml:space="preserve"> </w:t>
      </w:r>
      <w:r w:rsidR="00FF206F" w:rsidRPr="001539E9">
        <w:rPr>
          <w:rFonts w:cs="ZurichBT-LightCondensed"/>
          <w:szCs w:val="24"/>
        </w:rPr>
        <w:t>and</w:t>
      </w:r>
      <w:r w:rsidR="00893B2F">
        <w:rPr>
          <w:rFonts w:cs="ZurichBT-LightCondensed"/>
          <w:szCs w:val="24"/>
        </w:rPr>
        <w:t>,</w:t>
      </w:r>
      <w:r w:rsidR="00FF206F" w:rsidRPr="00F57F5C">
        <w:rPr>
          <w:rFonts w:cs="ZurichBT-LightCondensed"/>
          <w:szCs w:val="24"/>
        </w:rPr>
        <w:t xml:space="preserve"> </w:t>
      </w:r>
      <w:r w:rsidR="00FF206F" w:rsidRPr="006F1244">
        <w:rPr>
          <w:rFonts w:cs="ZurichBT-LightCondensed"/>
          <w:szCs w:val="24"/>
        </w:rPr>
        <w:t>the Elimination of Discrimination against Women.</w:t>
      </w:r>
      <w:r w:rsidR="00FF206F">
        <w:rPr>
          <w:rStyle w:val="FootnoteReference"/>
          <w:rFonts w:cs="ZurichBT-LightCondensed"/>
          <w:szCs w:val="24"/>
        </w:rPr>
        <w:footnoteReference w:id="7"/>
      </w:r>
      <w:r w:rsidR="00FF206F" w:rsidRPr="00F57F5C">
        <w:rPr>
          <w:rFonts w:cs="ZurichBT-LightCondensed"/>
          <w:szCs w:val="24"/>
        </w:rPr>
        <w:t xml:space="preserve"> </w:t>
      </w:r>
      <w:r w:rsidR="0065584A">
        <w:rPr>
          <w:rFonts w:cs="ZurichBT-LightCondensed"/>
          <w:szCs w:val="24"/>
        </w:rPr>
        <w:t xml:space="preserve">The Commission has engaged with all these </w:t>
      </w:r>
      <w:r w:rsidR="00EC0995">
        <w:rPr>
          <w:rFonts w:cs="ZurichBT-LightCondensed"/>
          <w:szCs w:val="24"/>
        </w:rPr>
        <w:t xml:space="preserve">UN </w:t>
      </w:r>
      <w:r w:rsidR="0065584A">
        <w:rPr>
          <w:rFonts w:cs="ZurichBT-LightCondensed"/>
          <w:szCs w:val="24"/>
        </w:rPr>
        <w:t>Committees.</w:t>
      </w:r>
      <w:r w:rsidR="00FF206F" w:rsidRPr="00200458">
        <w:rPr>
          <w:rStyle w:val="FootnoteReference"/>
          <w:rFonts w:cs="ZurichBT-LightCondensed"/>
          <w:szCs w:val="24"/>
        </w:rPr>
        <w:footnoteReference w:id="8"/>
      </w:r>
      <w:r w:rsidR="00296F4D">
        <w:rPr>
          <w:rFonts w:cs="ZurichBT-LightCondensed"/>
          <w:szCs w:val="24"/>
        </w:rPr>
        <w:t xml:space="preserve"> </w:t>
      </w:r>
    </w:p>
    <w:p w14:paraId="6643F7A4" w14:textId="77777777" w:rsidR="00EA01C0" w:rsidRPr="00EA01C0" w:rsidRDefault="001539E9" w:rsidP="004424B8">
      <w:pPr>
        <w:pStyle w:val="Heading1"/>
      </w:pPr>
      <w:bookmarkStart w:id="2" w:name="_Toc8296981"/>
      <w:r>
        <w:t>2.0</w:t>
      </w:r>
      <w:r>
        <w:tab/>
      </w:r>
      <w:r w:rsidR="00EA01C0" w:rsidRPr="00EA01C0">
        <w:t>Universal Credit</w:t>
      </w:r>
      <w:bookmarkEnd w:id="2"/>
    </w:p>
    <w:p w14:paraId="58803B73" w14:textId="77777777" w:rsidR="001739C6" w:rsidRPr="001739C6" w:rsidRDefault="001739C6" w:rsidP="001739C6">
      <w:pPr>
        <w:pStyle w:val="ListParagraph"/>
        <w:numPr>
          <w:ilvl w:val="0"/>
          <w:numId w:val="22"/>
        </w:numPr>
        <w:spacing w:before="100" w:beforeAutospacing="1" w:after="240" w:line="276" w:lineRule="auto"/>
        <w:rPr>
          <w:rFonts w:eastAsia="Times New Roman" w:cs="Segoe UI"/>
          <w:vanish/>
          <w:szCs w:val="24"/>
          <w:lang w:eastAsia="en-GB"/>
        </w:rPr>
      </w:pPr>
    </w:p>
    <w:p w14:paraId="4A7581B2" w14:textId="77777777" w:rsidR="001739C6" w:rsidRDefault="00EA01C0" w:rsidP="00E16C3B">
      <w:pPr>
        <w:pStyle w:val="ListParagraph"/>
        <w:numPr>
          <w:ilvl w:val="1"/>
          <w:numId w:val="22"/>
        </w:numPr>
        <w:spacing w:before="100" w:beforeAutospacing="1" w:after="240" w:line="276" w:lineRule="auto"/>
        <w:ind w:left="709" w:hanging="709"/>
        <w:rPr>
          <w:rFonts w:eastAsia="Times New Roman" w:cs="Segoe UI"/>
          <w:szCs w:val="24"/>
          <w:lang w:eastAsia="en-GB"/>
        </w:rPr>
      </w:pPr>
      <w:r w:rsidRPr="001739C6">
        <w:rPr>
          <w:rFonts w:eastAsia="Times New Roman" w:cs="Segoe UI"/>
          <w:szCs w:val="24"/>
          <w:lang w:eastAsia="en-GB"/>
        </w:rPr>
        <w:t>Universal Credit replaces six means-tested benefits and tax credits for working-age claimants.</w:t>
      </w:r>
      <w:r>
        <w:rPr>
          <w:rStyle w:val="FootnoteReference"/>
          <w:rFonts w:eastAsia="Times New Roman" w:cs="Segoe UI"/>
          <w:szCs w:val="24"/>
          <w:lang w:eastAsia="en-GB"/>
        </w:rPr>
        <w:footnoteReference w:id="9"/>
      </w:r>
      <w:r w:rsidRPr="001739C6">
        <w:rPr>
          <w:rFonts w:eastAsia="Times New Roman" w:cs="Segoe UI"/>
          <w:szCs w:val="24"/>
          <w:lang w:eastAsia="en-GB"/>
        </w:rPr>
        <w:t xml:space="preserve"> </w:t>
      </w:r>
      <w:r w:rsidR="00306802" w:rsidRPr="001739C6">
        <w:rPr>
          <w:rFonts w:eastAsia="Times New Roman" w:cs="Segoe UI"/>
          <w:szCs w:val="24"/>
          <w:lang w:eastAsia="en-GB"/>
        </w:rPr>
        <w:t>For many households, Universal Credit make</w:t>
      </w:r>
      <w:r w:rsidR="00C15B3C">
        <w:rPr>
          <w:rFonts w:eastAsia="Times New Roman" w:cs="Segoe UI"/>
          <w:szCs w:val="24"/>
          <w:lang w:eastAsia="en-GB"/>
        </w:rPr>
        <w:t>s</w:t>
      </w:r>
      <w:r w:rsidR="00306802" w:rsidRPr="001739C6">
        <w:rPr>
          <w:rFonts w:eastAsia="Times New Roman" w:cs="Segoe UI"/>
          <w:szCs w:val="24"/>
          <w:lang w:eastAsia="en-GB"/>
        </w:rPr>
        <w:t xml:space="preserve"> up a significant amount</w:t>
      </w:r>
      <w:r w:rsidR="00CF7358" w:rsidRPr="001739C6">
        <w:rPr>
          <w:rFonts w:eastAsia="Times New Roman" w:cs="Segoe UI"/>
          <w:szCs w:val="24"/>
          <w:lang w:eastAsia="en-GB"/>
        </w:rPr>
        <w:t>, or all, of</w:t>
      </w:r>
      <w:r w:rsidR="00306802" w:rsidRPr="001739C6">
        <w:rPr>
          <w:rFonts w:eastAsia="Times New Roman" w:cs="Segoe UI"/>
          <w:szCs w:val="24"/>
          <w:lang w:eastAsia="en-GB"/>
        </w:rPr>
        <w:t xml:space="preserve"> household income. </w:t>
      </w:r>
      <w:r w:rsidR="00AC61DB" w:rsidRPr="001739C6">
        <w:rPr>
          <w:rFonts w:eastAsia="Times New Roman" w:cs="Segoe UI"/>
          <w:szCs w:val="24"/>
          <w:lang w:eastAsia="en-GB"/>
        </w:rPr>
        <w:t xml:space="preserve">According to </w:t>
      </w:r>
      <w:r w:rsidRPr="001739C6">
        <w:rPr>
          <w:rFonts w:eastAsia="Times New Roman" w:cs="Segoe UI"/>
          <w:szCs w:val="24"/>
          <w:lang w:eastAsia="en-GB"/>
        </w:rPr>
        <w:t>D</w:t>
      </w:r>
      <w:r w:rsidR="00C15B3C">
        <w:rPr>
          <w:rFonts w:eastAsia="Times New Roman" w:cs="Segoe UI"/>
          <w:szCs w:val="24"/>
          <w:lang w:eastAsia="en-GB"/>
        </w:rPr>
        <w:t xml:space="preserve">epartment for </w:t>
      </w:r>
      <w:r w:rsidRPr="001739C6">
        <w:rPr>
          <w:rFonts w:eastAsia="Times New Roman" w:cs="Segoe UI"/>
          <w:szCs w:val="24"/>
          <w:lang w:eastAsia="en-GB"/>
        </w:rPr>
        <w:t>W</w:t>
      </w:r>
      <w:r w:rsidR="00C15B3C">
        <w:rPr>
          <w:rFonts w:eastAsia="Times New Roman" w:cs="Segoe UI"/>
          <w:szCs w:val="24"/>
          <w:lang w:eastAsia="en-GB"/>
        </w:rPr>
        <w:t xml:space="preserve">ork and </w:t>
      </w:r>
      <w:r w:rsidRPr="001739C6">
        <w:rPr>
          <w:rFonts w:eastAsia="Times New Roman" w:cs="Segoe UI"/>
          <w:szCs w:val="24"/>
          <w:lang w:eastAsia="en-GB"/>
        </w:rPr>
        <w:t>P</w:t>
      </w:r>
      <w:r w:rsidR="00C15B3C">
        <w:rPr>
          <w:rFonts w:eastAsia="Times New Roman" w:cs="Segoe UI"/>
          <w:szCs w:val="24"/>
          <w:lang w:eastAsia="en-GB"/>
        </w:rPr>
        <w:t>ensions (DWP)</w:t>
      </w:r>
      <w:r w:rsidRPr="001739C6">
        <w:rPr>
          <w:rFonts w:eastAsia="Times New Roman" w:cs="Segoe UI"/>
          <w:szCs w:val="24"/>
          <w:lang w:eastAsia="en-GB"/>
        </w:rPr>
        <w:t xml:space="preserve"> </w:t>
      </w:r>
      <w:r w:rsidR="00AC61DB" w:rsidRPr="001739C6">
        <w:rPr>
          <w:rFonts w:eastAsia="Times New Roman" w:cs="Segoe UI"/>
          <w:szCs w:val="24"/>
          <w:lang w:eastAsia="en-GB"/>
        </w:rPr>
        <w:t xml:space="preserve">estimates, </w:t>
      </w:r>
      <w:r w:rsidR="00C15B3C">
        <w:rPr>
          <w:rFonts w:eastAsia="Times New Roman" w:cs="Segoe UI"/>
          <w:szCs w:val="24"/>
          <w:lang w:eastAsia="en-GB"/>
        </w:rPr>
        <w:t>approximately</w:t>
      </w:r>
      <w:r w:rsidRPr="001739C6">
        <w:rPr>
          <w:rFonts w:eastAsia="Times New Roman" w:cs="Segoe UI"/>
          <w:szCs w:val="24"/>
          <w:lang w:eastAsia="en-GB"/>
        </w:rPr>
        <w:t xml:space="preserve"> 7 million households </w:t>
      </w:r>
      <w:proofErr w:type="gramStart"/>
      <w:r w:rsidRPr="001739C6">
        <w:rPr>
          <w:rFonts w:eastAsia="Times New Roman" w:cs="Segoe UI"/>
          <w:szCs w:val="24"/>
          <w:lang w:eastAsia="en-GB"/>
        </w:rPr>
        <w:t>are expected</w:t>
      </w:r>
      <w:proofErr w:type="gramEnd"/>
      <w:r w:rsidRPr="001739C6">
        <w:rPr>
          <w:rFonts w:eastAsia="Times New Roman" w:cs="Segoe UI"/>
          <w:szCs w:val="24"/>
          <w:lang w:eastAsia="en-GB"/>
        </w:rPr>
        <w:t xml:space="preserve"> to receive Universal Credit by March 2023.</w:t>
      </w:r>
      <w:r w:rsidR="00A1486A">
        <w:rPr>
          <w:rStyle w:val="FootnoteReference"/>
          <w:rFonts w:eastAsia="Times New Roman" w:cs="Segoe UI"/>
          <w:szCs w:val="24"/>
          <w:lang w:eastAsia="en-GB"/>
        </w:rPr>
        <w:footnoteReference w:id="10"/>
      </w:r>
      <w:r w:rsidR="008D0BA7" w:rsidRPr="001739C6">
        <w:rPr>
          <w:rFonts w:eastAsia="Times New Roman" w:cs="Segoe UI"/>
          <w:szCs w:val="24"/>
          <w:lang w:eastAsia="en-GB"/>
        </w:rPr>
        <w:t xml:space="preserve"> Universal Credit </w:t>
      </w:r>
      <w:proofErr w:type="gramStart"/>
      <w:r w:rsidR="008D0BA7" w:rsidRPr="001739C6">
        <w:rPr>
          <w:rFonts w:eastAsia="Times New Roman" w:cs="Segoe UI"/>
          <w:szCs w:val="24"/>
          <w:lang w:eastAsia="en-GB"/>
        </w:rPr>
        <w:t>was introduced</w:t>
      </w:r>
      <w:proofErr w:type="gramEnd"/>
      <w:r w:rsidR="008D0BA7" w:rsidRPr="001739C6">
        <w:rPr>
          <w:rFonts w:eastAsia="Times New Roman" w:cs="Segoe UI"/>
          <w:szCs w:val="24"/>
          <w:lang w:eastAsia="en-GB"/>
        </w:rPr>
        <w:t xml:space="preserve"> </w:t>
      </w:r>
      <w:r w:rsidR="00C15B3C">
        <w:rPr>
          <w:rFonts w:eastAsia="Times New Roman" w:cs="Segoe UI"/>
          <w:szCs w:val="24"/>
          <w:lang w:eastAsia="en-GB"/>
        </w:rPr>
        <w:t>to</w:t>
      </w:r>
      <w:r w:rsidR="00C15B3C" w:rsidRPr="001739C6">
        <w:rPr>
          <w:rFonts w:eastAsia="Times New Roman" w:cs="Segoe UI"/>
          <w:szCs w:val="24"/>
          <w:lang w:eastAsia="en-GB"/>
        </w:rPr>
        <w:t xml:space="preserve"> </w:t>
      </w:r>
      <w:r w:rsidR="008D0BA7" w:rsidRPr="001739C6">
        <w:rPr>
          <w:rFonts w:eastAsia="Times New Roman" w:cs="Segoe UI"/>
          <w:szCs w:val="24"/>
          <w:lang w:eastAsia="en-GB"/>
        </w:rPr>
        <w:t>Northern Ireland</w:t>
      </w:r>
      <w:r w:rsidR="00306802" w:rsidRPr="001739C6">
        <w:rPr>
          <w:rFonts w:eastAsia="Times New Roman" w:cs="Segoe UI"/>
          <w:szCs w:val="24"/>
          <w:lang w:eastAsia="en-GB"/>
        </w:rPr>
        <w:t xml:space="preserve"> </w:t>
      </w:r>
      <w:r w:rsidR="00E87161" w:rsidRPr="001739C6">
        <w:rPr>
          <w:rFonts w:eastAsia="Times New Roman" w:cs="Segoe UI"/>
          <w:szCs w:val="24"/>
          <w:lang w:eastAsia="en-GB"/>
        </w:rPr>
        <w:t>in September 2017</w:t>
      </w:r>
      <w:r w:rsidR="00C15B3C">
        <w:rPr>
          <w:rFonts w:eastAsia="Times New Roman" w:cs="Segoe UI"/>
          <w:szCs w:val="24"/>
          <w:lang w:eastAsia="en-GB"/>
        </w:rPr>
        <w:t>, four years after Great Britain</w:t>
      </w:r>
      <w:r w:rsidR="0070608C" w:rsidRPr="001739C6">
        <w:rPr>
          <w:rFonts w:eastAsia="Times New Roman" w:cs="Segoe UI"/>
          <w:szCs w:val="24"/>
          <w:lang w:eastAsia="en-GB"/>
        </w:rPr>
        <w:t xml:space="preserve">. </w:t>
      </w:r>
      <w:r w:rsidR="0042425E" w:rsidRPr="001739C6">
        <w:rPr>
          <w:rFonts w:eastAsia="Times New Roman" w:cs="Segoe UI"/>
          <w:szCs w:val="24"/>
          <w:lang w:eastAsia="en-GB"/>
        </w:rPr>
        <w:t>In N</w:t>
      </w:r>
      <w:r w:rsidR="00C15B3C">
        <w:rPr>
          <w:rFonts w:eastAsia="Times New Roman" w:cs="Segoe UI"/>
          <w:szCs w:val="24"/>
          <w:lang w:eastAsia="en-GB"/>
        </w:rPr>
        <w:t xml:space="preserve">orthern </w:t>
      </w:r>
      <w:r w:rsidR="0042425E" w:rsidRPr="001739C6">
        <w:rPr>
          <w:rFonts w:eastAsia="Times New Roman" w:cs="Segoe UI"/>
          <w:szCs w:val="24"/>
          <w:lang w:eastAsia="en-GB"/>
        </w:rPr>
        <w:t>I</w:t>
      </w:r>
      <w:r w:rsidR="00C15B3C">
        <w:rPr>
          <w:rFonts w:eastAsia="Times New Roman" w:cs="Segoe UI"/>
          <w:szCs w:val="24"/>
          <w:lang w:eastAsia="en-GB"/>
        </w:rPr>
        <w:t>reland</w:t>
      </w:r>
      <w:r w:rsidR="0042425E" w:rsidRPr="001739C6">
        <w:rPr>
          <w:rFonts w:eastAsia="Times New Roman" w:cs="Segoe UI"/>
          <w:szCs w:val="24"/>
          <w:lang w:eastAsia="en-GB"/>
        </w:rPr>
        <w:t xml:space="preserve">, </w:t>
      </w:r>
      <w:proofErr w:type="gramStart"/>
      <w:r w:rsidR="0042425E" w:rsidRPr="001739C6">
        <w:rPr>
          <w:rFonts w:eastAsia="Times New Roman" w:cs="Segoe UI"/>
          <w:szCs w:val="24"/>
          <w:lang w:eastAsia="en-GB"/>
        </w:rPr>
        <w:t>Universal Credit is administered by the Department for Communities</w:t>
      </w:r>
      <w:r w:rsidR="00C15B3C">
        <w:rPr>
          <w:rFonts w:eastAsia="Times New Roman" w:cs="Segoe UI"/>
          <w:szCs w:val="24"/>
          <w:lang w:eastAsia="en-GB"/>
        </w:rPr>
        <w:t xml:space="preserve"> (the Department)</w:t>
      </w:r>
      <w:proofErr w:type="gramEnd"/>
      <w:r w:rsidR="0042425E" w:rsidRPr="001739C6">
        <w:rPr>
          <w:rFonts w:eastAsia="Times New Roman" w:cs="Segoe UI"/>
          <w:szCs w:val="24"/>
          <w:lang w:eastAsia="en-GB"/>
        </w:rPr>
        <w:t xml:space="preserve">. </w:t>
      </w:r>
    </w:p>
    <w:p w14:paraId="18FD581E" w14:textId="77777777" w:rsidR="001739C6" w:rsidRDefault="001739C6" w:rsidP="00E16C3B">
      <w:pPr>
        <w:pStyle w:val="ListParagraph"/>
        <w:spacing w:before="100" w:beforeAutospacing="1" w:after="240" w:line="276" w:lineRule="auto"/>
        <w:ind w:left="709" w:hanging="709"/>
        <w:rPr>
          <w:rFonts w:eastAsia="Times New Roman" w:cs="Segoe UI"/>
          <w:szCs w:val="24"/>
          <w:lang w:eastAsia="en-GB"/>
        </w:rPr>
      </w:pPr>
    </w:p>
    <w:p w14:paraId="4A2A3131" w14:textId="5C472E7F" w:rsidR="005E59AC" w:rsidRDefault="005E59AC" w:rsidP="00E16C3B">
      <w:pPr>
        <w:pStyle w:val="ListParagraph"/>
        <w:numPr>
          <w:ilvl w:val="1"/>
          <w:numId w:val="22"/>
        </w:numPr>
        <w:spacing w:before="100" w:beforeAutospacing="1" w:after="240" w:line="276" w:lineRule="auto"/>
        <w:ind w:left="709" w:hanging="709"/>
        <w:rPr>
          <w:rFonts w:eastAsia="Times New Roman" w:cs="Segoe UI"/>
          <w:szCs w:val="24"/>
          <w:lang w:eastAsia="en-GB"/>
        </w:rPr>
      </w:pPr>
      <w:r w:rsidRPr="001739C6">
        <w:rPr>
          <w:rFonts w:eastAsia="Times New Roman" w:cs="Segoe UI"/>
          <w:szCs w:val="24"/>
          <w:lang w:eastAsia="en-GB"/>
        </w:rPr>
        <w:t>The roll out of U</w:t>
      </w:r>
      <w:r>
        <w:rPr>
          <w:rFonts w:eastAsia="Times New Roman" w:cs="Segoe UI"/>
          <w:szCs w:val="24"/>
          <w:lang w:eastAsia="en-GB"/>
        </w:rPr>
        <w:t xml:space="preserve">niversal </w:t>
      </w:r>
      <w:r w:rsidRPr="001739C6">
        <w:rPr>
          <w:rFonts w:eastAsia="Times New Roman" w:cs="Segoe UI"/>
          <w:szCs w:val="24"/>
          <w:lang w:eastAsia="en-GB"/>
        </w:rPr>
        <w:t>C</w:t>
      </w:r>
      <w:r>
        <w:rPr>
          <w:rFonts w:eastAsia="Times New Roman" w:cs="Segoe UI"/>
          <w:szCs w:val="24"/>
          <w:lang w:eastAsia="en-GB"/>
        </w:rPr>
        <w:t>redit</w:t>
      </w:r>
      <w:r w:rsidRPr="001739C6">
        <w:rPr>
          <w:rFonts w:eastAsia="Times New Roman" w:cs="Segoe UI"/>
          <w:szCs w:val="24"/>
          <w:lang w:eastAsia="en-GB"/>
        </w:rPr>
        <w:t xml:space="preserve"> is less progressed in Northern Ireland than </w:t>
      </w:r>
      <w:r>
        <w:rPr>
          <w:rFonts w:eastAsia="Times New Roman" w:cs="Segoe UI"/>
          <w:szCs w:val="24"/>
          <w:lang w:eastAsia="en-GB"/>
        </w:rPr>
        <w:t>the rest of the UK, meaning limited data is available</w:t>
      </w:r>
      <w:r w:rsidRPr="001739C6">
        <w:rPr>
          <w:rFonts w:eastAsia="Times New Roman" w:cs="Segoe UI"/>
          <w:szCs w:val="24"/>
          <w:lang w:eastAsia="en-GB"/>
        </w:rPr>
        <w:t xml:space="preserve">. </w:t>
      </w:r>
      <w:r>
        <w:rPr>
          <w:rFonts w:eastAsia="Times New Roman" w:cs="Segoe UI"/>
          <w:szCs w:val="24"/>
          <w:lang w:eastAsia="en-GB"/>
        </w:rPr>
        <w:t>O</w:t>
      </w:r>
      <w:r w:rsidRPr="001739C6">
        <w:rPr>
          <w:rFonts w:eastAsia="Times New Roman" w:cs="Segoe UI"/>
          <w:szCs w:val="24"/>
          <w:lang w:eastAsia="en-GB"/>
        </w:rPr>
        <w:t>f the 12,000 new U</w:t>
      </w:r>
      <w:r>
        <w:rPr>
          <w:rFonts w:eastAsia="Times New Roman" w:cs="Segoe UI"/>
          <w:szCs w:val="24"/>
          <w:lang w:eastAsia="en-GB"/>
        </w:rPr>
        <w:t xml:space="preserve">niversal </w:t>
      </w:r>
      <w:r w:rsidRPr="001739C6">
        <w:rPr>
          <w:rFonts w:eastAsia="Times New Roman" w:cs="Segoe UI"/>
          <w:szCs w:val="24"/>
          <w:lang w:eastAsia="en-GB"/>
        </w:rPr>
        <w:t>C</w:t>
      </w:r>
      <w:r>
        <w:rPr>
          <w:rFonts w:eastAsia="Times New Roman" w:cs="Segoe UI"/>
          <w:szCs w:val="24"/>
          <w:lang w:eastAsia="en-GB"/>
        </w:rPr>
        <w:t>redit</w:t>
      </w:r>
      <w:r w:rsidRPr="001739C6">
        <w:rPr>
          <w:rFonts w:eastAsia="Times New Roman" w:cs="Segoe UI"/>
          <w:szCs w:val="24"/>
          <w:lang w:eastAsia="en-GB"/>
        </w:rPr>
        <w:t xml:space="preserve"> claims made </w:t>
      </w:r>
      <w:r>
        <w:rPr>
          <w:rFonts w:eastAsia="Times New Roman" w:cs="Segoe UI"/>
          <w:szCs w:val="24"/>
          <w:lang w:eastAsia="en-GB"/>
        </w:rPr>
        <w:t xml:space="preserve">in Northern Ireland </w:t>
      </w:r>
      <w:r w:rsidRPr="001739C6">
        <w:rPr>
          <w:rFonts w:eastAsia="Times New Roman" w:cs="Segoe UI"/>
          <w:szCs w:val="24"/>
          <w:lang w:eastAsia="en-GB"/>
        </w:rPr>
        <w:t>by June 2018, 79</w:t>
      </w:r>
      <w:r>
        <w:rPr>
          <w:rFonts w:eastAsia="Times New Roman" w:cs="Segoe UI"/>
          <w:szCs w:val="24"/>
          <w:lang w:eastAsia="en-GB"/>
        </w:rPr>
        <w:t xml:space="preserve"> per cent</w:t>
      </w:r>
      <w:r w:rsidRPr="001739C6">
        <w:rPr>
          <w:rFonts w:eastAsia="Times New Roman" w:cs="Segoe UI"/>
          <w:szCs w:val="24"/>
          <w:lang w:eastAsia="en-GB"/>
        </w:rPr>
        <w:t xml:space="preserve"> of claims </w:t>
      </w:r>
      <w:proofErr w:type="gramStart"/>
      <w:r w:rsidRPr="001739C6">
        <w:rPr>
          <w:rFonts w:eastAsia="Times New Roman" w:cs="Segoe UI"/>
          <w:szCs w:val="24"/>
          <w:lang w:eastAsia="en-GB"/>
        </w:rPr>
        <w:t>were made</w:t>
      </w:r>
      <w:proofErr w:type="gramEnd"/>
      <w:r w:rsidRPr="001739C6">
        <w:rPr>
          <w:rFonts w:eastAsia="Times New Roman" w:cs="Segoe UI"/>
          <w:szCs w:val="24"/>
          <w:lang w:eastAsia="en-GB"/>
        </w:rPr>
        <w:t xml:space="preserve"> remotely</w:t>
      </w:r>
      <w:r>
        <w:rPr>
          <w:rFonts w:eastAsia="Times New Roman" w:cs="Segoe UI"/>
          <w:szCs w:val="24"/>
          <w:lang w:eastAsia="en-GB"/>
        </w:rPr>
        <w:t xml:space="preserve"> and only </w:t>
      </w:r>
      <w:r w:rsidRPr="001739C6">
        <w:rPr>
          <w:rFonts w:eastAsia="Times New Roman" w:cs="Segoe UI"/>
          <w:szCs w:val="24"/>
          <w:lang w:eastAsia="en-GB"/>
        </w:rPr>
        <w:t>21</w:t>
      </w:r>
      <w:r>
        <w:rPr>
          <w:rFonts w:eastAsia="Times New Roman" w:cs="Segoe UI"/>
          <w:szCs w:val="24"/>
          <w:lang w:eastAsia="en-GB"/>
        </w:rPr>
        <w:t xml:space="preserve"> per cent</w:t>
      </w:r>
      <w:r w:rsidRPr="001739C6">
        <w:rPr>
          <w:rFonts w:eastAsia="Times New Roman" w:cs="Segoe UI"/>
          <w:szCs w:val="24"/>
          <w:lang w:eastAsia="en-GB"/>
        </w:rPr>
        <w:t xml:space="preserve"> of claimants attended</w:t>
      </w:r>
      <w:r w:rsidR="004942F4">
        <w:rPr>
          <w:rFonts w:eastAsia="Times New Roman" w:cs="Segoe UI"/>
          <w:szCs w:val="24"/>
          <w:lang w:eastAsia="en-GB"/>
        </w:rPr>
        <w:t xml:space="preserve"> the Jobs and Benefits Offices.</w:t>
      </w:r>
      <w:r w:rsidR="002B76C1">
        <w:rPr>
          <w:rStyle w:val="FootnoteReference"/>
          <w:rFonts w:eastAsia="Times New Roman" w:cs="Segoe UI"/>
          <w:szCs w:val="24"/>
          <w:lang w:eastAsia="en-GB"/>
        </w:rPr>
        <w:footnoteReference w:id="11"/>
      </w:r>
      <w:r w:rsidRPr="001739C6">
        <w:rPr>
          <w:rFonts w:eastAsia="Times New Roman" w:cs="Segoe UI"/>
          <w:szCs w:val="24"/>
          <w:lang w:eastAsia="en-GB"/>
        </w:rPr>
        <w:t xml:space="preserve"> </w:t>
      </w:r>
    </w:p>
    <w:p w14:paraId="4FAE0AC7" w14:textId="77777777" w:rsidR="001739C6" w:rsidRPr="001739C6" w:rsidRDefault="001739C6" w:rsidP="00E16C3B">
      <w:pPr>
        <w:pStyle w:val="ListParagraph"/>
        <w:ind w:left="709" w:hanging="709"/>
        <w:rPr>
          <w:szCs w:val="24"/>
          <w:lang w:val="en"/>
        </w:rPr>
      </w:pPr>
    </w:p>
    <w:p w14:paraId="62E0564C" w14:textId="31A4FA51" w:rsidR="005E59AC" w:rsidRPr="002B76C1" w:rsidRDefault="005E59AC" w:rsidP="00E16C3B">
      <w:pPr>
        <w:pStyle w:val="ListParagraph"/>
        <w:numPr>
          <w:ilvl w:val="1"/>
          <w:numId w:val="22"/>
        </w:numPr>
        <w:spacing w:before="100" w:beforeAutospacing="1" w:after="240" w:line="276" w:lineRule="auto"/>
        <w:ind w:left="709" w:hanging="709"/>
        <w:rPr>
          <w:rFonts w:eastAsia="Times New Roman" w:cs="Segoe UI"/>
          <w:szCs w:val="24"/>
          <w:lang w:eastAsia="en-GB"/>
        </w:rPr>
      </w:pPr>
      <w:r>
        <w:rPr>
          <w:szCs w:val="24"/>
          <w:lang w:val="en"/>
        </w:rPr>
        <w:lastRenderedPageBreak/>
        <w:t>A</w:t>
      </w:r>
      <w:r w:rsidR="00F43895" w:rsidRPr="001739C6">
        <w:rPr>
          <w:szCs w:val="24"/>
          <w:lang w:val="en"/>
        </w:rPr>
        <w:t>cross the UK, Northern Ireland continues to have the highest proportion of internet non-users.</w:t>
      </w:r>
      <w:r w:rsidR="00F43895" w:rsidRPr="00EA01C0">
        <w:rPr>
          <w:rStyle w:val="FootnoteReference"/>
          <w:szCs w:val="24"/>
          <w:lang w:val="en"/>
        </w:rPr>
        <w:footnoteReference w:id="12"/>
      </w:r>
      <w:r w:rsidR="00F43895" w:rsidRPr="001739C6">
        <w:rPr>
          <w:szCs w:val="24"/>
          <w:lang w:val="en"/>
        </w:rPr>
        <w:t xml:space="preserve"> While the number of internet non-users has declined since 2012, it is a real concern that almost 15</w:t>
      </w:r>
      <w:r>
        <w:rPr>
          <w:szCs w:val="24"/>
          <w:lang w:val="en"/>
        </w:rPr>
        <w:t xml:space="preserve"> per cent</w:t>
      </w:r>
      <w:r w:rsidRPr="001739C6">
        <w:rPr>
          <w:szCs w:val="24"/>
          <w:lang w:val="en"/>
        </w:rPr>
        <w:t xml:space="preserve"> </w:t>
      </w:r>
      <w:r w:rsidR="00F43895" w:rsidRPr="001739C6">
        <w:rPr>
          <w:szCs w:val="24"/>
          <w:lang w:val="en"/>
        </w:rPr>
        <w:t>of Northern I</w:t>
      </w:r>
      <w:r w:rsidR="00A07E56">
        <w:rPr>
          <w:szCs w:val="24"/>
          <w:lang w:val="en"/>
        </w:rPr>
        <w:t>reland do not use the internet.</w:t>
      </w:r>
      <w:r w:rsidR="00F43895" w:rsidRPr="00EA01C0">
        <w:rPr>
          <w:rStyle w:val="FootnoteReference"/>
          <w:szCs w:val="24"/>
          <w:lang w:val="en"/>
        </w:rPr>
        <w:footnoteReference w:id="13"/>
      </w:r>
      <w:r w:rsidR="00F43895" w:rsidRPr="001739C6">
        <w:rPr>
          <w:szCs w:val="24"/>
          <w:lang w:val="en"/>
        </w:rPr>
        <w:t xml:space="preserve"> </w:t>
      </w:r>
      <w:r w:rsidR="008107E1" w:rsidRPr="001739C6">
        <w:rPr>
          <w:szCs w:val="24"/>
          <w:lang w:val="en"/>
        </w:rPr>
        <w:t xml:space="preserve">Persons with disabilities are four times more likely </w:t>
      </w:r>
      <w:proofErr w:type="gramStart"/>
      <w:r w:rsidR="008107E1" w:rsidRPr="001739C6">
        <w:rPr>
          <w:szCs w:val="24"/>
          <w:lang w:val="en"/>
        </w:rPr>
        <w:t>than non-disabled persons to be offline</w:t>
      </w:r>
      <w:proofErr w:type="gramEnd"/>
      <w:r w:rsidR="008107E1" w:rsidRPr="001739C6">
        <w:rPr>
          <w:szCs w:val="24"/>
          <w:lang w:val="en"/>
        </w:rPr>
        <w:t xml:space="preserve">. Research also shows that non-internet users are likely to be female and not </w:t>
      </w:r>
      <w:r w:rsidR="00F43895" w:rsidRPr="001739C6">
        <w:rPr>
          <w:szCs w:val="24"/>
          <w:lang w:val="en"/>
        </w:rPr>
        <w:t>economically active</w:t>
      </w:r>
      <w:r w:rsidR="008107E1" w:rsidRPr="001739C6">
        <w:rPr>
          <w:szCs w:val="24"/>
          <w:lang w:val="en"/>
        </w:rPr>
        <w:t>.</w:t>
      </w:r>
      <w:r w:rsidR="00F43895" w:rsidRPr="00EA01C0">
        <w:rPr>
          <w:rStyle w:val="FootnoteReference"/>
          <w:szCs w:val="24"/>
          <w:lang w:val="en"/>
        </w:rPr>
        <w:footnoteReference w:id="14"/>
      </w:r>
      <w:r w:rsidR="00F43895" w:rsidRPr="001739C6">
        <w:rPr>
          <w:szCs w:val="24"/>
          <w:lang w:val="en"/>
        </w:rPr>
        <w:t xml:space="preserve"> </w:t>
      </w:r>
      <w:r w:rsidR="00E622C8" w:rsidRPr="001739C6">
        <w:rPr>
          <w:szCs w:val="24"/>
          <w:lang w:val="en"/>
        </w:rPr>
        <w:t xml:space="preserve">These are also the </w:t>
      </w:r>
      <w:r w:rsidR="00F43895" w:rsidRPr="001739C6">
        <w:rPr>
          <w:szCs w:val="24"/>
          <w:lang w:val="en"/>
        </w:rPr>
        <w:t xml:space="preserve">categories of people </w:t>
      </w:r>
      <w:r w:rsidR="00E622C8" w:rsidRPr="001739C6">
        <w:rPr>
          <w:szCs w:val="24"/>
          <w:lang w:val="en"/>
        </w:rPr>
        <w:t xml:space="preserve">most </w:t>
      </w:r>
      <w:r w:rsidR="00F43895" w:rsidRPr="001739C6">
        <w:rPr>
          <w:szCs w:val="24"/>
          <w:lang w:val="en"/>
        </w:rPr>
        <w:t xml:space="preserve">likely to </w:t>
      </w:r>
      <w:proofErr w:type="gramStart"/>
      <w:r w:rsidR="00F43895" w:rsidRPr="001739C6">
        <w:rPr>
          <w:szCs w:val="24"/>
          <w:lang w:val="en"/>
        </w:rPr>
        <w:t>be adversely affected</w:t>
      </w:r>
      <w:proofErr w:type="gramEnd"/>
      <w:r w:rsidR="00F43895" w:rsidRPr="001739C6">
        <w:rPr>
          <w:szCs w:val="24"/>
          <w:lang w:val="en"/>
        </w:rPr>
        <w:t xml:space="preserve"> by </w:t>
      </w:r>
      <w:r>
        <w:rPr>
          <w:szCs w:val="24"/>
          <w:lang w:val="en"/>
        </w:rPr>
        <w:t>social security</w:t>
      </w:r>
      <w:r w:rsidRPr="001739C6">
        <w:rPr>
          <w:szCs w:val="24"/>
          <w:lang w:val="en"/>
        </w:rPr>
        <w:t xml:space="preserve"> </w:t>
      </w:r>
      <w:r w:rsidR="00F43895" w:rsidRPr="001739C6">
        <w:rPr>
          <w:szCs w:val="24"/>
          <w:lang w:val="en"/>
        </w:rPr>
        <w:t>reforms.</w:t>
      </w:r>
      <w:r w:rsidR="00F43895" w:rsidRPr="00EA01C0">
        <w:rPr>
          <w:rStyle w:val="FootnoteReference"/>
          <w:szCs w:val="24"/>
          <w:lang w:val="en"/>
        </w:rPr>
        <w:footnoteReference w:id="15"/>
      </w:r>
      <w:r w:rsidR="00F43895" w:rsidRPr="001739C6">
        <w:rPr>
          <w:szCs w:val="24"/>
          <w:lang w:val="en"/>
        </w:rPr>
        <w:t xml:space="preserve"> </w:t>
      </w:r>
    </w:p>
    <w:p w14:paraId="535B91ED" w14:textId="77777777" w:rsidR="005E59AC" w:rsidRPr="005E59AC" w:rsidRDefault="005E59AC" w:rsidP="00E16C3B">
      <w:pPr>
        <w:pStyle w:val="ListParagraph"/>
        <w:ind w:left="709" w:hanging="709"/>
        <w:rPr>
          <w:szCs w:val="24"/>
          <w:lang w:val="en"/>
        </w:rPr>
      </w:pPr>
    </w:p>
    <w:p w14:paraId="7AFA15A6" w14:textId="1D01549A" w:rsidR="00B128D9" w:rsidRPr="002B76C1" w:rsidRDefault="00445478" w:rsidP="00E16C3B">
      <w:pPr>
        <w:pStyle w:val="ListParagraph"/>
        <w:numPr>
          <w:ilvl w:val="1"/>
          <w:numId w:val="22"/>
        </w:numPr>
        <w:spacing w:before="100" w:beforeAutospacing="1" w:after="240" w:line="276" w:lineRule="auto"/>
        <w:ind w:left="709" w:hanging="709"/>
        <w:rPr>
          <w:rFonts w:eastAsia="Times New Roman" w:cs="Segoe UI"/>
          <w:szCs w:val="24"/>
          <w:lang w:eastAsia="en-GB"/>
        </w:rPr>
      </w:pPr>
      <w:r w:rsidRPr="001739C6">
        <w:rPr>
          <w:szCs w:val="24"/>
          <w:lang w:val="en"/>
        </w:rPr>
        <w:t>A compounding issue in Northern Ireland is the lack of internet services in rural areas</w:t>
      </w:r>
      <w:r w:rsidR="005E59AC">
        <w:rPr>
          <w:szCs w:val="24"/>
          <w:lang w:val="en"/>
        </w:rPr>
        <w:t>.</w:t>
      </w:r>
      <w:r w:rsidRPr="001739C6">
        <w:rPr>
          <w:szCs w:val="24"/>
          <w:lang w:val="en"/>
        </w:rPr>
        <w:t xml:space="preserve"> N</w:t>
      </w:r>
      <w:r w:rsidR="005E59AC">
        <w:rPr>
          <w:szCs w:val="24"/>
          <w:lang w:val="en"/>
        </w:rPr>
        <w:t xml:space="preserve">orthern </w:t>
      </w:r>
      <w:r w:rsidRPr="001739C6">
        <w:rPr>
          <w:szCs w:val="24"/>
          <w:lang w:val="en"/>
        </w:rPr>
        <w:t>I</w:t>
      </w:r>
      <w:r w:rsidR="005E59AC">
        <w:rPr>
          <w:szCs w:val="24"/>
          <w:lang w:val="en"/>
        </w:rPr>
        <w:t>reland</w:t>
      </w:r>
      <w:r w:rsidRPr="001739C6">
        <w:rPr>
          <w:szCs w:val="24"/>
          <w:lang w:val="en"/>
        </w:rPr>
        <w:t xml:space="preserve"> </w:t>
      </w:r>
      <w:r w:rsidR="00F43895" w:rsidRPr="001739C6">
        <w:rPr>
          <w:szCs w:val="24"/>
          <w:lang w:val="en"/>
        </w:rPr>
        <w:t xml:space="preserve">has a </w:t>
      </w:r>
      <w:r w:rsidRPr="001739C6">
        <w:rPr>
          <w:szCs w:val="24"/>
          <w:lang w:val="en"/>
        </w:rPr>
        <w:t xml:space="preserve">larger </w:t>
      </w:r>
      <w:r w:rsidR="00F43895" w:rsidRPr="001739C6">
        <w:rPr>
          <w:szCs w:val="24"/>
          <w:lang w:val="en"/>
        </w:rPr>
        <w:t xml:space="preserve">rural </w:t>
      </w:r>
      <w:r w:rsidR="00AE00EB">
        <w:rPr>
          <w:szCs w:val="24"/>
          <w:lang w:val="en"/>
        </w:rPr>
        <w:t xml:space="preserve">community per head of </w:t>
      </w:r>
      <w:r w:rsidR="00F43895" w:rsidRPr="001739C6">
        <w:rPr>
          <w:szCs w:val="24"/>
          <w:lang w:val="en"/>
        </w:rPr>
        <w:t>population than other regions of the UK</w:t>
      </w:r>
      <w:r w:rsidR="005E59AC">
        <w:rPr>
          <w:szCs w:val="24"/>
          <w:lang w:val="en"/>
        </w:rPr>
        <w:t>.</w:t>
      </w:r>
      <w:r w:rsidR="00E622C8">
        <w:rPr>
          <w:rStyle w:val="FootnoteReference"/>
          <w:szCs w:val="24"/>
          <w:lang w:val="en"/>
        </w:rPr>
        <w:footnoteReference w:id="16"/>
      </w:r>
      <w:r w:rsidR="00F43895" w:rsidRPr="001739C6">
        <w:rPr>
          <w:szCs w:val="24"/>
          <w:lang w:val="en"/>
        </w:rPr>
        <w:t xml:space="preserve"> </w:t>
      </w:r>
      <w:r w:rsidR="005E59AC">
        <w:rPr>
          <w:szCs w:val="24"/>
          <w:lang w:val="en"/>
        </w:rPr>
        <w:t>A</w:t>
      </w:r>
      <w:r w:rsidR="00F80D54" w:rsidRPr="001739C6">
        <w:rPr>
          <w:szCs w:val="24"/>
          <w:lang w:val="en"/>
        </w:rPr>
        <w:t xml:space="preserve">ccording to </w:t>
      </w:r>
      <w:proofErr w:type="spellStart"/>
      <w:r w:rsidR="00F43895" w:rsidRPr="001739C6">
        <w:rPr>
          <w:szCs w:val="24"/>
          <w:lang w:val="en"/>
        </w:rPr>
        <w:t>Ofcom</w:t>
      </w:r>
      <w:proofErr w:type="spellEnd"/>
      <w:r w:rsidR="00F80D54" w:rsidRPr="001739C6">
        <w:rPr>
          <w:szCs w:val="24"/>
          <w:lang w:val="en"/>
        </w:rPr>
        <w:t xml:space="preserve">, </w:t>
      </w:r>
      <w:r w:rsidR="00F72743">
        <w:rPr>
          <w:szCs w:val="24"/>
          <w:lang w:val="en"/>
        </w:rPr>
        <w:t>23</w:t>
      </w:r>
      <w:r w:rsidR="005E59AC">
        <w:rPr>
          <w:szCs w:val="24"/>
          <w:lang w:val="en"/>
        </w:rPr>
        <w:t xml:space="preserve"> per cent</w:t>
      </w:r>
      <w:r w:rsidR="00F43895" w:rsidRPr="001739C6">
        <w:rPr>
          <w:szCs w:val="24"/>
          <w:lang w:val="en"/>
        </w:rPr>
        <w:t xml:space="preserve"> of rural premises</w:t>
      </w:r>
      <w:r w:rsidR="00F72743">
        <w:rPr>
          <w:szCs w:val="24"/>
          <w:lang w:val="en"/>
        </w:rPr>
        <w:t xml:space="preserve"> in Northern Ireland</w:t>
      </w:r>
      <w:r w:rsidR="00F43895" w:rsidRPr="001739C6">
        <w:rPr>
          <w:szCs w:val="24"/>
          <w:lang w:val="en"/>
        </w:rPr>
        <w:t xml:space="preserve"> </w:t>
      </w:r>
      <w:r w:rsidR="00F80D54" w:rsidRPr="001739C6">
        <w:rPr>
          <w:szCs w:val="24"/>
          <w:lang w:val="en"/>
        </w:rPr>
        <w:t xml:space="preserve">do </w:t>
      </w:r>
      <w:r w:rsidR="00F43895" w:rsidRPr="001739C6">
        <w:rPr>
          <w:szCs w:val="24"/>
          <w:lang w:val="en"/>
        </w:rPr>
        <w:t>not have basi</w:t>
      </w:r>
      <w:r w:rsidR="005E59AC">
        <w:rPr>
          <w:szCs w:val="24"/>
          <w:lang w:val="en"/>
        </w:rPr>
        <w:t>c</w:t>
      </w:r>
      <w:r w:rsidR="00F43895" w:rsidRPr="001739C6">
        <w:rPr>
          <w:szCs w:val="24"/>
          <w:lang w:val="en"/>
        </w:rPr>
        <w:t xml:space="preserve"> broadband services</w:t>
      </w:r>
      <w:r w:rsidR="00B128D9">
        <w:rPr>
          <w:szCs w:val="24"/>
          <w:lang w:val="en"/>
        </w:rPr>
        <w:t>,</w:t>
      </w:r>
      <w:r w:rsidR="00F43895" w:rsidRPr="001739C6">
        <w:rPr>
          <w:szCs w:val="24"/>
          <w:lang w:val="en"/>
        </w:rPr>
        <w:t xml:space="preserve"> compared to 1</w:t>
      </w:r>
      <w:r w:rsidR="005E59AC">
        <w:rPr>
          <w:szCs w:val="24"/>
          <w:lang w:val="en"/>
        </w:rPr>
        <w:t xml:space="preserve"> per cent</w:t>
      </w:r>
      <w:r w:rsidR="005E59AC" w:rsidRPr="001739C6">
        <w:rPr>
          <w:szCs w:val="24"/>
          <w:lang w:val="en"/>
        </w:rPr>
        <w:t xml:space="preserve"> </w:t>
      </w:r>
      <w:r w:rsidR="00F43895" w:rsidRPr="001739C6">
        <w:rPr>
          <w:szCs w:val="24"/>
          <w:lang w:val="en"/>
        </w:rPr>
        <w:t>in urban areas.</w:t>
      </w:r>
      <w:r w:rsidR="00F43895" w:rsidRPr="00EA01C0">
        <w:rPr>
          <w:rStyle w:val="FootnoteReference"/>
          <w:szCs w:val="24"/>
          <w:lang w:val="en"/>
        </w:rPr>
        <w:footnoteReference w:id="17"/>
      </w:r>
      <w:r w:rsidR="00F43895" w:rsidRPr="001739C6">
        <w:rPr>
          <w:szCs w:val="24"/>
          <w:lang w:val="en"/>
        </w:rPr>
        <w:t xml:space="preserve"> </w:t>
      </w:r>
    </w:p>
    <w:p w14:paraId="671D785D" w14:textId="77777777" w:rsidR="00B128D9" w:rsidRPr="00B128D9" w:rsidRDefault="00B128D9" w:rsidP="00E16C3B">
      <w:pPr>
        <w:pStyle w:val="ListParagraph"/>
        <w:ind w:left="709" w:hanging="709"/>
        <w:rPr>
          <w:szCs w:val="24"/>
          <w:lang w:val="en"/>
        </w:rPr>
      </w:pPr>
    </w:p>
    <w:p w14:paraId="709F79C0" w14:textId="77777777" w:rsidR="001739C6" w:rsidRPr="001739C6" w:rsidRDefault="005E59AC" w:rsidP="00E16C3B">
      <w:pPr>
        <w:pStyle w:val="ListParagraph"/>
        <w:numPr>
          <w:ilvl w:val="1"/>
          <w:numId w:val="22"/>
        </w:numPr>
        <w:spacing w:before="100" w:beforeAutospacing="1" w:after="240" w:line="276" w:lineRule="auto"/>
        <w:ind w:left="709" w:hanging="709"/>
        <w:rPr>
          <w:rFonts w:eastAsia="Times New Roman" w:cs="Segoe UI"/>
          <w:szCs w:val="24"/>
          <w:lang w:eastAsia="en-GB"/>
        </w:rPr>
      </w:pPr>
      <w:r>
        <w:rPr>
          <w:rFonts w:eastAsia="Times New Roman" w:cs="Segoe UI"/>
          <w:szCs w:val="24"/>
          <w:lang w:eastAsia="en-GB"/>
        </w:rPr>
        <w:t>UK-wide research</w:t>
      </w:r>
      <w:r w:rsidR="00F30669">
        <w:rPr>
          <w:rFonts w:eastAsia="Times New Roman" w:cs="Segoe UI"/>
          <w:szCs w:val="24"/>
          <w:lang w:eastAsia="en-GB"/>
        </w:rPr>
        <w:t xml:space="preserve"> conducted by DWP finds that </w:t>
      </w:r>
      <w:r w:rsidRPr="001739C6">
        <w:rPr>
          <w:rFonts w:eastAsia="Times New Roman" w:cs="Segoe UI"/>
          <w:szCs w:val="24"/>
          <w:lang w:eastAsia="en-GB"/>
        </w:rPr>
        <w:t>claimants with “irregular or no access to the internet also consistently showed signs of faring less well throughout the U</w:t>
      </w:r>
      <w:r>
        <w:rPr>
          <w:rFonts w:eastAsia="Times New Roman" w:cs="Segoe UI"/>
          <w:szCs w:val="24"/>
          <w:lang w:eastAsia="en-GB"/>
        </w:rPr>
        <w:t xml:space="preserve">niversal </w:t>
      </w:r>
      <w:r w:rsidRPr="001739C6">
        <w:rPr>
          <w:rFonts w:eastAsia="Times New Roman" w:cs="Segoe UI"/>
          <w:szCs w:val="24"/>
          <w:lang w:eastAsia="en-GB"/>
        </w:rPr>
        <w:t>C</w:t>
      </w:r>
      <w:r>
        <w:rPr>
          <w:rFonts w:eastAsia="Times New Roman" w:cs="Segoe UI"/>
          <w:szCs w:val="24"/>
          <w:lang w:eastAsia="en-GB"/>
        </w:rPr>
        <w:t>redit</w:t>
      </w:r>
      <w:r w:rsidRPr="001739C6">
        <w:rPr>
          <w:rFonts w:eastAsia="Times New Roman" w:cs="Segoe UI"/>
          <w:szCs w:val="24"/>
          <w:lang w:eastAsia="en-GB"/>
        </w:rPr>
        <w:t xml:space="preserve"> customer journey”.</w:t>
      </w:r>
      <w:r w:rsidRPr="00EA01C0">
        <w:rPr>
          <w:rStyle w:val="FootnoteReference"/>
          <w:rFonts w:eastAsia="Times New Roman" w:cs="Segoe UI"/>
          <w:szCs w:val="24"/>
          <w:lang w:eastAsia="en-GB"/>
        </w:rPr>
        <w:footnoteReference w:id="18"/>
      </w:r>
    </w:p>
    <w:p w14:paraId="310E9F28" w14:textId="77777777" w:rsidR="001739C6" w:rsidRPr="001739C6" w:rsidRDefault="001739C6" w:rsidP="00E16C3B">
      <w:pPr>
        <w:pStyle w:val="ListParagraph"/>
        <w:ind w:left="709" w:hanging="709"/>
        <w:rPr>
          <w:szCs w:val="24"/>
          <w:lang w:val="en"/>
        </w:rPr>
      </w:pPr>
    </w:p>
    <w:p w14:paraId="18FC844C" w14:textId="21ECA13C" w:rsidR="001739C6" w:rsidRPr="001739C6" w:rsidRDefault="00F43895" w:rsidP="00E16C3B">
      <w:pPr>
        <w:pStyle w:val="ListParagraph"/>
        <w:numPr>
          <w:ilvl w:val="1"/>
          <w:numId w:val="22"/>
        </w:numPr>
        <w:spacing w:before="100" w:beforeAutospacing="1" w:after="240" w:line="276" w:lineRule="auto"/>
        <w:ind w:left="709" w:hanging="709"/>
        <w:rPr>
          <w:rFonts w:eastAsia="Times New Roman" w:cs="Segoe UI"/>
          <w:szCs w:val="24"/>
          <w:lang w:eastAsia="en-GB"/>
        </w:rPr>
      </w:pPr>
      <w:r w:rsidRPr="001739C6">
        <w:rPr>
          <w:szCs w:val="24"/>
          <w:lang w:val="en"/>
        </w:rPr>
        <w:t xml:space="preserve">The Northern Ireland </w:t>
      </w:r>
      <w:r w:rsidR="001B1086">
        <w:rPr>
          <w:szCs w:val="24"/>
          <w:lang w:val="en"/>
        </w:rPr>
        <w:t xml:space="preserve">Executive’s </w:t>
      </w:r>
      <w:r w:rsidRPr="001739C6">
        <w:rPr>
          <w:szCs w:val="24"/>
          <w:lang w:val="en"/>
        </w:rPr>
        <w:t xml:space="preserve">draft </w:t>
      </w:r>
      <w:proofErr w:type="spellStart"/>
      <w:r w:rsidRPr="001739C6">
        <w:rPr>
          <w:szCs w:val="24"/>
          <w:lang w:val="en"/>
        </w:rPr>
        <w:t>Programme</w:t>
      </w:r>
      <w:proofErr w:type="spellEnd"/>
      <w:r w:rsidRPr="001739C6">
        <w:rPr>
          <w:szCs w:val="24"/>
          <w:lang w:val="en"/>
        </w:rPr>
        <w:t xml:space="preserve"> for Government commits to </w:t>
      </w:r>
      <w:r w:rsidR="00B128D9">
        <w:rPr>
          <w:szCs w:val="24"/>
          <w:lang w:val="en"/>
        </w:rPr>
        <w:t>“</w:t>
      </w:r>
      <w:r w:rsidR="00B128D9" w:rsidRPr="001739C6">
        <w:rPr>
          <w:szCs w:val="24"/>
          <w:lang w:val="en"/>
        </w:rPr>
        <w:t>improv</w:t>
      </w:r>
      <w:r w:rsidR="00B128D9">
        <w:rPr>
          <w:szCs w:val="24"/>
          <w:lang w:val="en"/>
        </w:rPr>
        <w:t>e</w:t>
      </w:r>
      <w:r w:rsidR="00B128D9" w:rsidRPr="001739C6">
        <w:rPr>
          <w:szCs w:val="24"/>
          <w:lang w:val="en"/>
        </w:rPr>
        <w:t xml:space="preserve"> </w:t>
      </w:r>
      <w:r w:rsidRPr="001739C6">
        <w:rPr>
          <w:szCs w:val="24"/>
          <w:lang w:val="en"/>
        </w:rPr>
        <w:t xml:space="preserve">internet </w:t>
      </w:r>
      <w:r w:rsidRPr="002B76C1">
        <w:rPr>
          <w:szCs w:val="24"/>
          <w:lang w:val="en"/>
        </w:rPr>
        <w:t>connectivity</w:t>
      </w:r>
      <w:r w:rsidR="00B128D9">
        <w:rPr>
          <w:szCs w:val="24"/>
          <w:lang w:val="en"/>
        </w:rPr>
        <w:t>”.</w:t>
      </w:r>
      <w:r w:rsidR="00B128D9" w:rsidRPr="00EA01C0">
        <w:rPr>
          <w:rStyle w:val="FootnoteReference"/>
          <w:szCs w:val="24"/>
          <w:lang w:val="en"/>
        </w:rPr>
        <w:footnoteReference w:id="19"/>
      </w:r>
      <w:r w:rsidRPr="001739C6">
        <w:rPr>
          <w:szCs w:val="24"/>
          <w:lang w:val="en"/>
        </w:rPr>
        <w:t xml:space="preserve"> </w:t>
      </w:r>
      <w:r w:rsidR="00B128D9">
        <w:rPr>
          <w:szCs w:val="24"/>
          <w:lang w:val="en"/>
        </w:rPr>
        <w:t xml:space="preserve">This is in recognition that “for consumers and households the continued onset of the digital age means that broadband connectivity is now increasingly relied </w:t>
      </w:r>
      <w:r w:rsidR="00EA2657">
        <w:rPr>
          <w:szCs w:val="24"/>
          <w:lang w:val="en"/>
        </w:rPr>
        <w:t>on</w:t>
      </w:r>
      <w:r w:rsidR="00B128D9">
        <w:rPr>
          <w:szCs w:val="24"/>
          <w:lang w:val="en"/>
        </w:rPr>
        <w:t xml:space="preserve"> for accessing all sorts of services, information access and storage, and various leisure and recreational activities.”</w:t>
      </w:r>
      <w:r w:rsidRPr="00EA01C0">
        <w:rPr>
          <w:rStyle w:val="FootnoteReference"/>
          <w:szCs w:val="24"/>
          <w:lang w:val="en"/>
        </w:rPr>
        <w:footnoteReference w:id="20"/>
      </w:r>
      <w:r w:rsidRPr="001739C6">
        <w:rPr>
          <w:szCs w:val="24"/>
          <w:lang w:val="en"/>
        </w:rPr>
        <w:t xml:space="preserve"> </w:t>
      </w:r>
      <w:r w:rsidR="00B128D9">
        <w:rPr>
          <w:szCs w:val="24"/>
          <w:lang w:val="en"/>
        </w:rPr>
        <w:t>T</w:t>
      </w:r>
      <w:r w:rsidRPr="001739C6">
        <w:rPr>
          <w:szCs w:val="24"/>
          <w:lang w:val="en"/>
        </w:rPr>
        <w:t xml:space="preserve">here is, however, no specific commitment to improve digital skills </w:t>
      </w:r>
      <w:r w:rsidR="00002C43" w:rsidRPr="001739C6">
        <w:rPr>
          <w:szCs w:val="24"/>
          <w:lang w:val="en"/>
        </w:rPr>
        <w:t>or</w:t>
      </w:r>
      <w:r w:rsidRPr="001739C6">
        <w:rPr>
          <w:szCs w:val="24"/>
          <w:lang w:val="en"/>
        </w:rPr>
        <w:t xml:space="preserve"> literacy</w:t>
      </w:r>
      <w:r w:rsidR="00B073A2" w:rsidRPr="001739C6">
        <w:rPr>
          <w:szCs w:val="24"/>
          <w:lang w:val="en"/>
        </w:rPr>
        <w:t xml:space="preserve"> within the population</w:t>
      </w:r>
      <w:r w:rsidRPr="001739C6">
        <w:rPr>
          <w:szCs w:val="24"/>
          <w:lang w:val="en"/>
        </w:rPr>
        <w:t xml:space="preserve">. </w:t>
      </w:r>
    </w:p>
    <w:p w14:paraId="2A6C0504" w14:textId="77777777" w:rsidR="001739C6" w:rsidRPr="001739C6" w:rsidRDefault="001739C6" w:rsidP="00E16C3B">
      <w:pPr>
        <w:pStyle w:val="ListParagraph"/>
        <w:ind w:left="709" w:hanging="709"/>
        <w:rPr>
          <w:szCs w:val="24"/>
          <w:lang w:val="en"/>
        </w:rPr>
      </w:pPr>
    </w:p>
    <w:p w14:paraId="0D094725" w14:textId="5BCC40F6" w:rsidR="00952D56" w:rsidRPr="002B76C1" w:rsidRDefault="00E622C8" w:rsidP="00E16C3B">
      <w:pPr>
        <w:pStyle w:val="ListParagraph"/>
        <w:numPr>
          <w:ilvl w:val="1"/>
          <w:numId w:val="22"/>
        </w:numPr>
        <w:spacing w:before="100" w:beforeAutospacing="1" w:after="240" w:line="276" w:lineRule="auto"/>
        <w:ind w:left="709" w:hanging="709"/>
        <w:rPr>
          <w:rFonts w:eastAsia="Times New Roman" w:cs="Segoe UI"/>
          <w:szCs w:val="24"/>
          <w:lang w:eastAsia="en-GB"/>
        </w:rPr>
      </w:pPr>
      <w:r w:rsidRPr="001739C6">
        <w:rPr>
          <w:szCs w:val="24"/>
          <w:lang w:val="en"/>
        </w:rPr>
        <w:t xml:space="preserve">The </w:t>
      </w:r>
      <w:r w:rsidR="00950860">
        <w:rPr>
          <w:szCs w:val="24"/>
          <w:lang w:val="en"/>
        </w:rPr>
        <w:t>NIHRC</w:t>
      </w:r>
      <w:r w:rsidR="00950860" w:rsidRPr="001739C6">
        <w:rPr>
          <w:szCs w:val="24"/>
          <w:lang w:val="en"/>
        </w:rPr>
        <w:t xml:space="preserve"> </w:t>
      </w:r>
      <w:r w:rsidRPr="001739C6">
        <w:rPr>
          <w:szCs w:val="24"/>
          <w:lang w:val="en"/>
        </w:rPr>
        <w:t xml:space="preserve">acknowledges that </w:t>
      </w:r>
      <w:r w:rsidR="00F3539F" w:rsidRPr="001739C6">
        <w:rPr>
          <w:szCs w:val="24"/>
          <w:lang w:val="en"/>
        </w:rPr>
        <w:t xml:space="preserve">the </w:t>
      </w:r>
      <w:r w:rsidR="009A6D94" w:rsidRPr="001739C6">
        <w:rPr>
          <w:szCs w:val="24"/>
          <w:lang w:val="en"/>
        </w:rPr>
        <w:t xml:space="preserve">UK </w:t>
      </w:r>
      <w:r w:rsidR="00950860">
        <w:rPr>
          <w:szCs w:val="24"/>
          <w:lang w:val="en"/>
        </w:rPr>
        <w:t>G</w:t>
      </w:r>
      <w:r w:rsidR="00F3539F" w:rsidRPr="001739C6">
        <w:rPr>
          <w:szCs w:val="24"/>
          <w:lang w:val="en"/>
        </w:rPr>
        <w:t xml:space="preserve">overnment </w:t>
      </w:r>
      <w:r w:rsidR="00D57DCD" w:rsidRPr="001739C6">
        <w:rPr>
          <w:szCs w:val="24"/>
          <w:lang w:val="en"/>
        </w:rPr>
        <w:t xml:space="preserve">has </w:t>
      </w:r>
      <w:r w:rsidR="00114A4B" w:rsidRPr="001739C6">
        <w:rPr>
          <w:szCs w:val="24"/>
          <w:lang w:val="en"/>
        </w:rPr>
        <w:t xml:space="preserve">taken steps </w:t>
      </w:r>
      <w:r w:rsidR="00F3539F" w:rsidRPr="001739C6">
        <w:rPr>
          <w:szCs w:val="24"/>
          <w:lang w:val="en"/>
        </w:rPr>
        <w:t>to ensure non-digital access to U</w:t>
      </w:r>
      <w:r w:rsidR="00950860">
        <w:rPr>
          <w:szCs w:val="24"/>
          <w:lang w:val="en"/>
        </w:rPr>
        <w:t xml:space="preserve">niversal </w:t>
      </w:r>
      <w:r w:rsidR="00F3539F" w:rsidRPr="001739C6">
        <w:rPr>
          <w:szCs w:val="24"/>
          <w:lang w:val="en"/>
        </w:rPr>
        <w:t>C</w:t>
      </w:r>
      <w:r w:rsidR="00950860">
        <w:rPr>
          <w:szCs w:val="24"/>
          <w:lang w:val="en"/>
        </w:rPr>
        <w:t>redit</w:t>
      </w:r>
      <w:r w:rsidR="00EC0995">
        <w:rPr>
          <w:szCs w:val="24"/>
          <w:lang w:val="en"/>
        </w:rPr>
        <w:t>,</w:t>
      </w:r>
      <w:r w:rsidR="00536AA6">
        <w:rPr>
          <w:szCs w:val="24"/>
          <w:lang w:val="en"/>
        </w:rPr>
        <w:t xml:space="preserve"> yet </w:t>
      </w:r>
      <w:r w:rsidR="009E1D56">
        <w:rPr>
          <w:szCs w:val="24"/>
          <w:lang w:val="en"/>
        </w:rPr>
        <w:t xml:space="preserve">the </w:t>
      </w:r>
      <w:r w:rsidR="00536AA6">
        <w:rPr>
          <w:szCs w:val="24"/>
          <w:lang w:val="en"/>
        </w:rPr>
        <w:t xml:space="preserve">NIHRC remains concerned </w:t>
      </w:r>
      <w:r w:rsidR="00013D63" w:rsidRPr="001739C6">
        <w:rPr>
          <w:szCs w:val="24"/>
          <w:lang w:val="en"/>
        </w:rPr>
        <w:t xml:space="preserve">about the </w:t>
      </w:r>
      <w:r w:rsidR="00950860">
        <w:rPr>
          <w:szCs w:val="24"/>
          <w:lang w:val="en"/>
        </w:rPr>
        <w:t>effectiveness</w:t>
      </w:r>
      <w:r w:rsidR="00950860" w:rsidRPr="001739C6">
        <w:rPr>
          <w:szCs w:val="24"/>
          <w:lang w:val="en"/>
        </w:rPr>
        <w:t xml:space="preserve"> </w:t>
      </w:r>
      <w:r w:rsidR="00013D63" w:rsidRPr="001739C6">
        <w:rPr>
          <w:szCs w:val="24"/>
          <w:lang w:val="en"/>
        </w:rPr>
        <w:t xml:space="preserve">of current measures. Indeed, the </w:t>
      </w:r>
      <w:r w:rsidR="00E16C3B">
        <w:rPr>
          <w:szCs w:val="24"/>
          <w:lang w:val="en"/>
        </w:rPr>
        <w:t xml:space="preserve">former </w:t>
      </w:r>
      <w:r w:rsidR="00950860">
        <w:rPr>
          <w:szCs w:val="24"/>
          <w:lang w:val="en"/>
        </w:rPr>
        <w:t>Parliamentary Under-Secretary of State for Work and Pensions, Justin Tomlinson,</w:t>
      </w:r>
      <w:r w:rsidR="00F3052F" w:rsidRPr="001739C6">
        <w:rPr>
          <w:szCs w:val="24"/>
          <w:lang w:val="en"/>
        </w:rPr>
        <w:t xml:space="preserve"> </w:t>
      </w:r>
      <w:proofErr w:type="gramStart"/>
      <w:r w:rsidR="00950860">
        <w:rPr>
          <w:szCs w:val="24"/>
          <w:lang w:val="en"/>
        </w:rPr>
        <w:t>agrees</w:t>
      </w:r>
      <w:proofErr w:type="gramEnd"/>
      <w:r w:rsidR="00950860">
        <w:rPr>
          <w:szCs w:val="24"/>
          <w:lang w:val="en"/>
        </w:rPr>
        <w:t xml:space="preserve"> “there is still </w:t>
      </w:r>
      <w:r w:rsidR="00F372FC">
        <w:rPr>
          <w:szCs w:val="24"/>
          <w:lang w:val="en"/>
        </w:rPr>
        <w:t xml:space="preserve">much </w:t>
      </w:r>
      <w:r w:rsidR="00950860">
        <w:rPr>
          <w:szCs w:val="24"/>
          <w:lang w:val="en"/>
        </w:rPr>
        <w:t>more to do” to ensure</w:t>
      </w:r>
      <w:r w:rsidR="000340D7" w:rsidRPr="001739C6">
        <w:rPr>
          <w:szCs w:val="24"/>
          <w:lang w:val="en"/>
        </w:rPr>
        <w:t xml:space="preserve"> </w:t>
      </w:r>
      <w:r w:rsidR="00F3052F" w:rsidRPr="001739C6">
        <w:rPr>
          <w:szCs w:val="24"/>
          <w:lang w:val="en"/>
        </w:rPr>
        <w:t>U</w:t>
      </w:r>
      <w:r w:rsidR="00950860">
        <w:rPr>
          <w:szCs w:val="24"/>
          <w:lang w:val="en"/>
        </w:rPr>
        <w:t xml:space="preserve">niversal </w:t>
      </w:r>
      <w:r w:rsidR="00F3052F" w:rsidRPr="001739C6">
        <w:rPr>
          <w:szCs w:val="24"/>
          <w:lang w:val="en"/>
        </w:rPr>
        <w:t>C</w:t>
      </w:r>
      <w:r w:rsidR="00950860">
        <w:rPr>
          <w:szCs w:val="24"/>
          <w:lang w:val="en"/>
        </w:rPr>
        <w:t>redit</w:t>
      </w:r>
      <w:r w:rsidR="00F3052F" w:rsidRPr="001739C6">
        <w:rPr>
          <w:szCs w:val="24"/>
          <w:lang w:val="en"/>
        </w:rPr>
        <w:t xml:space="preserve"> </w:t>
      </w:r>
      <w:r w:rsidR="00950860">
        <w:rPr>
          <w:szCs w:val="24"/>
          <w:lang w:val="en"/>
        </w:rPr>
        <w:t>is accessible and practically available to claimants</w:t>
      </w:r>
      <w:r w:rsidR="00F3052F" w:rsidRPr="001739C6">
        <w:rPr>
          <w:szCs w:val="24"/>
          <w:lang w:val="en"/>
        </w:rPr>
        <w:t>.</w:t>
      </w:r>
      <w:r w:rsidR="00F3052F">
        <w:rPr>
          <w:rStyle w:val="FootnoteReference"/>
          <w:szCs w:val="24"/>
          <w:lang w:val="en"/>
        </w:rPr>
        <w:footnoteReference w:id="21"/>
      </w:r>
      <w:r w:rsidR="00F3052F" w:rsidRPr="001739C6">
        <w:rPr>
          <w:szCs w:val="24"/>
          <w:lang w:val="en"/>
        </w:rPr>
        <w:t xml:space="preserve"> </w:t>
      </w:r>
    </w:p>
    <w:p w14:paraId="37FAFE01" w14:textId="77777777" w:rsidR="00952D56" w:rsidRPr="00952D56" w:rsidRDefault="00952D56" w:rsidP="00E16C3B">
      <w:pPr>
        <w:pStyle w:val="ListParagraph"/>
        <w:ind w:left="709" w:hanging="709"/>
        <w:rPr>
          <w:szCs w:val="24"/>
          <w:lang w:val="en"/>
        </w:rPr>
      </w:pPr>
    </w:p>
    <w:p w14:paraId="32EF429B" w14:textId="2FB744E1" w:rsidR="001739C6" w:rsidRPr="00E16C3B" w:rsidRDefault="00D57DCD" w:rsidP="00E16C3B">
      <w:pPr>
        <w:pStyle w:val="ListParagraph"/>
        <w:numPr>
          <w:ilvl w:val="1"/>
          <w:numId w:val="22"/>
        </w:numPr>
        <w:spacing w:before="100" w:beforeAutospacing="1" w:after="240" w:line="276" w:lineRule="auto"/>
        <w:ind w:left="709" w:hanging="709"/>
        <w:rPr>
          <w:rFonts w:eastAsia="Times New Roman" w:cs="Segoe UI"/>
          <w:szCs w:val="24"/>
          <w:lang w:eastAsia="en-GB"/>
        </w:rPr>
      </w:pPr>
      <w:r w:rsidRPr="001739C6">
        <w:rPr>
          <w:szCs w:val="24"/>
          <w:lang w:val="en"/>
        </w:rPr>
        <w:t>In Northern Ireland, the Make the Call service</w:t>
      </w:r>
      <w:r w:rsidR="00952D56">
        <w:rPr>
          <w:szCs w:val="24"/>
          <w:lang w:val="en"/>
        </w:rPr>
        <w:t xml:space="preserve">, a helpline to ensure people are getting the benefits they are entitled to, </w:t>
      </w:r>
      <w:proofErr w:type="gramStart"/>
      <w:r w:rsidR="00952D56">
        <w:rPr>
          <w:szCs w:val="24"/>
          <w:lang w:val="en"/>
        </w:rPr>
        <w:t>has been established</w:t>
      </w:r>
      <w:proofErr w:type="gramEnd"/>
      <w:r w:rsidR="00952D56">
        <w:rPr>
          <w:szCs w:val="24"/>
          <w:lang w:val="en"/>
        </w:rPr>
        <w:t xml:space="preserve">. However, there is lack of awareness of this option and </w:t>
      </w:r>
      <w:r w:rsidR="000725EE">
        <w:rPr>
          <w:szCs w:val="24"/>
          <w:lang w:val="en"/>
        </w:rPr>
        <w:t xml:space="preserve">there are </w:t>
      </w:r>
      <w:r w:rsidR="00952D56">
        <w:rPr>
          <w:szCs w:val="24"/>
          <w:lang w:val="en"/>
        </w:rPr>
        <w:t>concerns that it is not fully accessible for migrants and persons with disabilities.</w:t>
      </w:r>
      <w:r w:rsidR="00952D56">
        <w:rPr>
          <w:rStyle w:val="FootnoteReference"/>
          <w:szCs w:val="24"/>
          <w:lang w:val="en"/>
        </w:rPr>
        <w:footnoteReference w:id="22"/>
      </w:r>
      <w:r w:rsidRPr="001739C6">
        <w:rPr>
          <w:szCs w:val="24"/>
          <w:lang w:val="en"/>
        </w:rPr>
        <w:t xml:space="preserve"> </w:t>
      </w:r>
      <w:r w:rsidR="00952D56">
        <w:rPr>
          <w:szCs w:val="24"/>
          <w:lang w:val="en"/>
        </w:rPr>
        <w:t xml:space="preserve">Potential claimants, particularly those with disabilities, are also afraid to engage with this </w:t>
      </w:r>
      <w:proofErr w:type="spellStart"/>
      <w:r w:rsidR="00952D56">
        <w:rPr>
          <w:szCs w:val="24"/>
          <w:lang w:val="en"/>
        </w:rPr>
        <w:t>programme</w:t>
      </w:r>
      <w:proofErr w:type="spellEnd"/>
      <w:r w:rsidR="00952D56">
        <w:rPr>
          <w:szCs w:val="24"/>
          <w:lang w:val="en"/>
        </w:rPr>
        <w:t xml:space="preserve"> for fear that their benefits </w:t>
      </w:r>
      <w:proofErr w:type="gramStart"/>
      <w:r w:rsidR="00952D56">
        <w:rPr>
          <w:szCs w:val="24"/>
          <w:lang w:val="en"/>
        </w:rPr>
        <w:t>will be reduced or completely removed</w:t>
      </w:r>
      <w:proofErr w:type="gramEnd"/>
      <w:r w:rsidR="00952D56">
        <w:rPr>
          <w:szCs w:val="24"/>
          <w:lang w:val="en"/>
        </w:rPr>
        <w:t>.</w:t>
      </w:r>
      <w:r w:rsidR="00952D56">
        <w:rPr>
          <w:rStyle w:val="FootnoteReference"/>
          <w:szCs w:val="24"/>
          <w:lang w:val="en"/>
        </w:rPr>
        <w:footnoteReference w:id="23"/>
      </w:r>
      <w:r w:rsidRPr="001739C6">
        <w:rPr>
          <w:szCs w:val="24"/>
          <w:lang w:val="en"/>
        </w:rPr>
        <w:t xml:space="preserve">  </w:t>
      </w:r>
    </w:p>
    <w:p w14:paraId="50F6CDA7" w14:textId="77777777" w:rsidR="00E16C3B" w:rsidRPr="00E16C3B" w:rsidRDefault="00E16C3B" w:rsidP="00E16C3B">
      <w:pPr>
        <w:pStyle w:val="ListParagraph"/>
        <w:ind w:left="709" w:hanging="709"/>
        <w:rPr>
          <w:rFonts w:eastAsia="Times New Roman" w:cs="Segoe UI"/>
          <w:szCs w:val="24"/>
          <w:lang w:eastAsia="en-GB"/>
        </w:rPr>
      </w:pPr>
    </w:p>
    <w:p w14:paraId="06F956C3" w14:textId="77777777" w:rsidR="004C1A97" w:rsidRPr="00E16C3B" w:rsidRDefault="004C1A97" w:rsidP="004C1A97">
      <w:pPr>
        <w:pStyle w:val="ListParagraph"/>
        <w:numPr>
          <w:ilvl w:val="1"/>
          <w:numId w:val="22"/>
        </w:numPr>
        <w:ind w:left="709" w:hanging="709"/>
        <w:rPr>
          <w:rFonts w:eastAsia="Times New Roman" w:cs="Segoe UI"/>
          <w:szCs w:val="24"/>
          <w:lang w:eastAsia="en-GB"/>
        </w:rPr>
      </w:pPr>
      <w:r>
        <w:rPr>
          <w:rFonts w:eastAsia="Times New Roman" w:cs="Segoe UI"/>
          <w:szCs w:val="24"/>
          <w:lang w:eastAsia="en-GB"/>
        </w:rPr>
        <w:t>In 2016, the</w:t>
      </w:r>
      <w:r w:rsidRPr="00E16C3B">
        <w:rPr>
          <w:rFonts w:eastAsia="Times New Roman" w:cs="Segoe UI"/>
          <w:szCs w:val="24"/>
          <w:lang w:eastAsia="en-GB"/>
        </w:rPr>
        <w:t xml:space="preserve"> </w:t>
      </w:r>
      <w:r>
        <w:rPr>
          <w:rFonts w:eastAsia="Times New Roman" w:cs="Segoe UI"/>
          <w:szCs w:val="24"/>
          <w:lang w:eastAsia="en-GB"/>
        </w:rPr>
        <w:t>UK Government, with the aim of making it safe, quick and easy to verify an individual’s identity to access government services, including claiming Universal Credit, introduced the ‘Verify’ online service. Yet, only 38 per cent</w:t>
      </w:r>
      <w:r w:rsidRPr="00E16C3B">
        <w:rPr>
          <w:rFonts w:eastAsia="Times New Roman" w:cs="Segoe UI"/>
          <w:szCs w:val="24"/>
          <w:lang w:eastAsia="en-GB"/>
        </w:rPr>
        <w:t xml:space="preserve"> of Universal Credit claimants have been able to </w:t>
      </w:r>
      <w:r>
        <w:rPr>
          <w:rFonts w:eastAsia="Times New Roman" w:cs="Segoe UI"/>
          <w:szCs w:val="24"/>
          <w:lang w:eastAsia="en-GB"/>
        </w:rPr>
        <w:t>create a Verify user account.</w:t>
      </w:r>
      <w:r>
        <w:rPr>
          <w:rStyle w:val="FootnoteReference"/>
          <w:rFonts w:eastAsia="Times New Roman" w:cs="Segoe UI"/>
          <w:szCs w:val="24"/>
          <w:lang w:eastAsia="en-GB"/>
        </w:rPr>
        <w:footnoteReference w:id="24"/>
      </w:r>
      <w:r>
        <w:rPr>
          <w:rFonts w:eastAsia="Times New Roman" w:cs="Segoe UI"/>
          <w:szCs w:val="24"/>
          <w:lang w:eastAsia="en-GB"/>
        </w:rPr>
        <w:t xml:space="preserve"> </w:t>
      </w:r>
      <w:r w:rsidRPr="00E16C3B">
        <w:rPr>
          <w:rFonts w:eastAsia="Times New Roman" w:cs="Segoe UI"/>
          <w:szCs w:val="24"/>
          <w:lang w:eastAsia="en-GB"/>
        </w:rPr>
        <w:t xml:space="preserve">Claimants unable to use Verify must instead </w:t>
      </w:r>
      <w:r>
        <w:rPr>
          <w:rFonts w:eastAsia="Times New Roman" w:cs="Segoe UI"/>
          <w:szCs w:val="24"/>
          <w:lang w:eastAsia="en-GB"/>
        </w:rPr>
        <w:t>confirm their identity in person, for example, at the Jobs &amp; Benefits Office. The limited availability of Verify</w:t>
      </w:r>
      <w:r w:rsidRPr="00E16C3B">
        <w:rPr>
          <w:rFonts w:eastAsia="Times New Roman" w:cs="Segoe UI"/>
          <w:szCs w:val="24"/>
          <w:lang w:eastAsia="en-GB"/>
        </w:rPr>
        <w:t xml:space="preserve"> </w:t>
      </w:r>
      <w:proofErr w:type="gramStart"/>
      <w:r>
        <w:rPr>
          <w:rFonts w:eastAsia="Times New Roman" w:cs="Segoe UI"/>
          <w:szCs w:val="24"/>
          <w:lang w:eastAsia="en-GB"/>
        </w:rPr>
        <w:t>is attributed</w:t>
      </w:r>
      <w:proofErr w:type="gramEnd"/>
      <w:r>
        <w:rPr>
          <w:rFonts w:eastAsia="Times New Roman" w:cs="Segoe UI"/>
          <w:szCs w:val="24"/>
          <w:lang w:eastAsia="en-GB"/>
        </w:rPr>
        <w:t xml:space="preserve"> </w:t>
      </w:r>
      <w:r w:rsidRPr="00E16C3B">
        <w:rPr>
          <w:rFonts w:eastAsia="Times New Roman" w:cs="Segoe UI"/>
          <w:szCs w:val="24"/>
          <w:lang w:eastAsia="en-GB"/>
        </w:rPr>
        <w:t xml:space="preserve">to Universal Credit </w:t>
      </w:r>
      <w:r>
        <w:rPr>
          <w:rFonts w:eastAsia="Times New Roman" w:cs="Segoe UI"/>
          <w:szCs w:val="24"/>
          <w:lang w:eastAsia="en-GB"/>
        </w:rPr>
        <w:t xml:space="preserve">claimants </w:t>
      </w:r>
      <w:r w:rsidRPr="00E16C3B">
        <w:rPr>
          <w:rFonts w:eastAsia="Times New Roman" w:cs="Segoe UI"/>
          <w:szCs w:val="24"/>
          <w:lang w:eastAsia="en-GB"/>
        </w:rPr>
        <w:t>not having strong digital footprints.</w:t>
      </w:r>
      <w:r>
        <w:rPr>
          <w:rStyle w:val="FootnoteReference"/>
          <w:rFonts w:eastAsia="Times New Roman" w:cs="Segoe UI"/>
          <w:szCs w:val="24"/>
          <w:lang w:eastAsia="en-GB"/>
        </w:rPr>
        <w:footnoteReference w:id="25"/>
      </w:r>
      <w:r w:rsidRPr="00E16C3B">
        <w:rPr>
          <w:rFonts w:eastAsia="Times New Roman" w:cs="Segoe UI"/>
          <w:szCs w:val="24"/>
          <w:lang w:eastAsia="en-GB"/>
        </w:rPr>
        <w:t xml:space="preserve"> The Public Affairs Committee concludes that the Verify service is “oner</w:t>
      </w:r>
      <w:r>
        <w:rPr>
          <w:rFonts w:eastAsia="Times New Roman" w:cs="Segoe UI"/>
          <w:szCs w:val="24"/>
          <w:lang w:eastAsia="en-GB"/>
        </w:rPr>
        <w:t>ous” and “not fit for purpose”.</w:t>
      </w:r>
      <w:r>
        <w:rPr>
          <w:rStyle w:val="FootnoteReference"/>
          <w:rFonts w:eastAsia="Times New Roman" w:cs="Segoe UI"/>
          <w:szCs w:val="24"/>
          <w:lang w:eastAsia="en-GB"/>
        </w:rPr>
        <w:footnoteReference w:id="26"/>
      </w:r>
    </w:p>
    <w:p w14:paraId="1FDB10C6" w14:textId="77777777" w:rsidR="001739C6" w:rsidRPr="001739C6" w:rsidRDefault="001739C6" w:rsidP="00E16C3B">
      <w:pPr>
        <w:pStyle w:val="ListParagraph"/>
        <w:ind w:left="709" w:hanging="709"/>
        <w:rPr>
          <w:szCs w:val="24"/>
          <w:lang w:val="en"/>
        </w:rPr>
      </w:pPr>
    </w:p>
    <w:p w14:paraId="321F34F4" w14:textId="6FC969FC" w:rsidR="00952D56" w:rsidRPr="00C73773" w:rsidRDefault="00806C75" w:rsidP="00E16C3B">
      <w:pPr>
        <w:pStyle w:val="ListParagraph"/>
        <w:numPr>
          <w:ilvl w:val="1"/>
          <w:numId w:val="22"/>
        </w:numPr>
        <w:spacing w:before="100" w:beforeAutospacing="1" w:after="240" w:line="276" w:lineRule="auto"/>
        <w:ind w:left="709" w:hanging="709"/>
        <w:rPr>
          <w:rFonts w:eastAsia="Times New Roman" w:cs="Segoe UI"/>
          <w:szCs w:val="24"/>
          <w:lang w:eastAsia="en-GB"/>
        </w:rPr>
      </w:pPr>
      <w:r w:rsidRPr="00C73773">
        <w:rPr>
          <w:szCs w:val="24"/>
          <w:lang w:val="en"/>
        </w:rPr>
        <w:t>Maki</w:t>
      </w:r>
      <w:r w:rsidR="00EE5D16" w:rsidRPr="00C73773">
        <w:rPr>
          <w:szCs w:val="24"/>
          <w:lang w:val="en"/>
        </w:rPr>
        <w:t>ng a U</w:t>
      </w:r>
      <w:r w:rsidR="00952D56" w:rsidRPr="00C73773">
        <w:rPr>
          <w:szCs w:val="24"/>
          <w:lang w:val="en"/>
        </w:rPr>
        <w:t xml:space="preserve">niversal </w:t>
      </w:r>
      <w:r w:rsidR="00EE5D16" w:rsidRPr="00C73773">
        <w:rPr>
          <w:szCs w:val="24"/>
          <w:lang w:val="en"/>
        </w:rPr>
        <w:t>C</w:t>
      </w:r>
      <w:r w:rsidR="00952D56" w:rsidRPr="00C73773">
        <w:rPr>
          <w:szCs w:val="24"/>
          <w:lang w:val="en"/>
        </w:rPr>
        <w:t>redit</w:t>
      </w:r>
      <w:r w:rsidR="00EE5D16" w:rsidRPr="00C73773">
        <w:rPr>
          <w:szCs w:val="24"/>
          <w:lang w:val="en"/>
        </w:rPr>
        <w:t xml:space="preserve"> claim is one challenge</w:t>
      </w:r>
      <w:r w:rsidRPr="00C73773">
        <w:rPr>
          <w:szCs w:val="24"/>
          <w:lang w:val="en"/>
        </w:rPr>
        <w:t xml:space="preserve">, maintaining </w:t>
      </w:r>
      <w:r w:rsidR="00106A2C" w:rsidRPr="00C73773">
        <w:rPr>
          <w:szCs w:val="24"/>
          <w:lang w:val="en"/>
        </w:rPr>
        <w:t>a claim is another.</w:t>
      </w:r>
      <w:r w:rsidR="005C2B6F" w:rsidRPr="00C73773">
        <w:rPr>
          <w:szCs w:val="24"/>
          <w:lang w:val="en"/>
        </w:rPr>
        <w:t xml:space="preserve"> </w:t>
      </w:r>
      <w:r w:rsidR="00CA4CD3">
        <w:rPr>
          <w:szCs w:val="24"/>
          <w:lang w:val="en"/>
        </w:rPr>
        <w:t>Many c</w:t>
      </w:r>
      <w:r w:rsidR="00E21FAD">
        <w:rPr>
          <w:szCs w:val="24"/>
          <w:lang w:val="en"/>
        </w:rPr>
        <w:t xml:space="preserve">laimants </w:t>
      </w:r>
      <w:proofErr w:type="gramStart"/>
      <w:r w:rsidR="00E21FAD">
        <w:rPr>
          <w:szCs w:val="24"/>
          <w:lang w:val="en"/>
        </w:rPr>
        <w:t>are expected</w:t>
      </w:r>
      <w:proofErr w:type="gramEnd"/>
      <w:r w:rsidR="00E21FAD">
        <w:rPr>
          <w:szCs w:val="24"/>
          <w:lang w:val="en"/>
        </w:rPr>
        <w:t xml:space="preserve"> to be able to demonstrate that they have spent up to 35 hours a week actively searching for work</w:t>
      </w:r>
      <w:r w:rsidR="00CA4CD3">
        <w:rPr>
          <w:szCs w:val="24"/>
          <w:lang w:val="en"/>
        </w:rPr>
        <w:t xml:space="preserve">. Claimants </w:t>
      </w:r>
      <w:proofErr w:type="gramStart"/>
      <w:r w:rsidR="00CA4CD3">
        <w:rPr>
          <w:szCs w:val="24"/>
          <w:lang w:val="en"/>
        </w:rPr>
        <w:t>are also expected</w:t>
      </w:r>
      <w:proofErr w:type="gramEnd"/>
      <w:r w:rsidR="00CA4CD3">
        <w:rPr>
          <w:szCs w:val="24"/>
          <w:lang w:val="en"/>
        </w:rPr>
        <w:t xml:space="preserve"> to log</w:t>
      </w:r>
      <w:r w:rsidR="000725EE">
        <w:rPr>
          <w:szCs w:val="24"/>
          <w:lang w:val="en"/>
        </w:rPr>
        <w:t xml:space="preserve"> on to their </w:t>
      </w:r>
      <w:r w:rsidR="000725EE">
        <w:rPr>
          <w:szCs w:val="24"/>
          <w:lang w:val="en"/>
        </w:rPr>
        <w:lastRenderedPageBreak/>
        <w:t xml:space="preserve">Universal Credit account and </w:t>
      </w:r>
      <w:r w:rsidR="00CA4CD3">
        <w:rPr>
          <w:szCs w:val="24"/>
          <w:lang w:val="en"/>
        </w:rPr>
        <w:t>use</w:t>
      </w:r>
      <w:r w:rsidR="000725EE">
        <w:rPr>
          <w:szCs w:val="24"/>
          <w:lang w:val="en"/>
        </w:rPr>
        <w:t xml:space="preserve"> their online journal regularly.</w:t>
      </w:r>
      <w:r w:rsidR="002B76C1">
        <w:rPr>
          <w:rStyle w:val="FootnoteReference"/>
          <w:szCs w:val="24"/>
          <w:lang w:val="en"/>
        </w:rPr>
        <w:footnoteReference w:id="27"/>
      </w:r>
      <w:r w:rsidR="005C2B6F" w:rsidRPr="00C73773">
        <w:rPr>
          <w:szCs w:val="24"/>
          <w:lang w:val="en"/>
        </w:rPr>
        <w:t xml:space="preserve"> While a </w:t>
      </w:r>
      <w:r w:rsidR="00B74512" w:rsidRPr="00C73773">
        <w:rPr>
          <w:szCs w:val="24"/>
          <w:lang w:val="en"/>
        </w:rPr>
        <w:t xml:space="preserve">claimant </w:t>
      </w:r>
      <w:r w:rsidR="005C2B6F" w:rsidRPr="00C73773">
        <w:rPr>
          <w:szCs w:val="24"/>
          <w:lang w:val="en"/>
        </w:rPr>
        <w:t>who lacks digital skills might obtain assistance in making the initial claim</w:t>
      </w:r>
      <w:r w:rsidR="00B74512" w:rsidRPr="00C73773">
        <w:rPr>
          <w:szCs w:val="24"/>
          <w:lang w:val="en"/>
        </w:rPr>
        <w:t xml:space="preserve"> (</w:t>
      </w:r>
      <w:r w:rsidR="00952D56" w:rsidRPr="00C73773">
        <w:rPr>
          <w:szCs w:val="24"/>
          <w:lang w:val="en"/>
        </w:rPr>
        <w:t>for example,</w:t>
      </w:r>
      <w:r w:rsidR="00B74512" w:rsidRPr="00C73773">
        <w:rPr>
          <w:szCs w:val="24"/>
          <w:lang w:val="en"/>
        </w:rPr>
        <w:t xml:space="preserve"> by attending a J</w:t>
      </w:r>
      <w:r w:rsidR="00952D56" w:rsidRPr="00C73773">
        <w:rPr>
          <w:szCs w:val="24"/>
          <w:lang w:val="en"/>
        </w:rPr>
        <w:t xml:space="preserve">ob and </w:t>
      </w:r>
      <w:r w:rsidR="00B74512" w:rsidRPr="00C73773">
        <w:rPr>
          <w:szCs w:val="24"/>
          <w:lang w:val="en"/>
        </w:rPr>
        <w:t>B</w:t>
      </w:r>
      <w:r w:rsidR="00952D56" w:rsidRPr="00C73773">
        <w:rPr>
          <w:szCs w:val="24"/>
          <w:lang w:val="en"/>
        </w:rPr>
        <w:t xml:space="preserve">enefits </w:t>
      </w:r>
      <w:r w:rsidR="00B74512" w:rsidRPr="00C73773">
        <w:rPr>
          <w:szCs w:val="24"/>
          <w:lang w:val="en"/>
        </w:rPr>
        <w:t>O</w:t>
      </w:r>
      <w:r w:rsidR="00952D56" w:rsidRPr="00C73773">
        <w:rPr>
          <w:szCs w:val="24"/>
          <w:lang w:val="en"/>
        </w:rPr>
        <w:t>ffice</w:t>
      </w:r>
      <w:r w:rsidR="00B74512" w:rsidRPr="00C73773">
        <w:rPr>
          <w:szCs w:val="24"/>
          <w:lang w:val="en"/>
        </w:rPr>
        <w:t>)</w:t>
      </w:r>
      <w:r w:rsidR="00952D56" w:rsidRPr="00C73773">
        <w:rPr>
          <w:szCs w:val="24"/>
          <w:lang w:val="en"/>
        </w:rPr>
        <w:t>,</w:t>
      </w:r>
      <w:r w:rsidR="00B74512" w:rsidRPr="00C73773">
        <w:rPr>
          <w:szCs w:val="24"/>
          <w:lang w:val="en"/>
        </w:rPr>
        <w:t xml:space="preserve"> obtaining such assistance every time </w:t>
      </w:r>
      <w:r w:rsidR="00952D56" w:rsidRPr="00C73773">
        <w:rPr>
          <w:szCs w:val="24"/>
          <w:lang w:val="en"/>
        </w:rPr>
        <w:t>an update is needed to an</w:t>
      </w:r>
      <w:r w:rsidR="00B74512" w:rsidRPr="00C73773">
        <w:rPr>
          <w:szCs w:val="24"/>
          <w:lang w:val="en"/>
        </w:rPr>
        <w:t xml:space="preserve"> online journal </w:t>
      </w:r>
      <w:r w:rsidR="00952D56" w:rsidRPr="00C73773">
        <w:rPr>
          <w:szCs w:val="24"/>
          <w:lang w:val="en"/>
        </w:rPr>
        <w:t>may be</w:t>
      </w:r>
      <w:r w:rsidR="00614D0E" w:rsidRPr="00C73773">
        <w:rPr>
          <w:szCs w:val="24"/>
          <w:lang w:val="en"/>
        </w:rPr>
        <w:t xml:space="preserve"> </w:t>
      </w:r>
      <w:r w:rsidR="00B74512" w:rsidRPr="00C73773">
        <w:rPr>
          <w:szCs w:val="24"/>
          <w:lang w:val="en"/>
        </w:rPr>
        <w:t>impractical.</w:t>
      </w:r>
      <w:r w:rsidR="00737BE3" w:rsidRPr="00C73773">
        <w:rPr>
          <w:szCs w:val="24"/>
          <w:lang w:val="en"/>
        </w:rPr>
        <w:t xml:space="preserve"> </w:t>
      </w:r>
    </w:p>
    <w:p w14:paraId="723F30E1" w14:textId="77777777" w:rsidR="00952D56" w:rsidRPr="00952D56" w:rsidRDefault="00952D56" w:rsidP="00E16C3B">
      <w:pPr>
        <w:pStyle w:val="ListParagraph"/>
        <w:ind w:left="709" w:hanging="709"/>
        <w:rPr>
          <w:szCs w:val="24"/>
          <w:lang w:val="en"/>
        </w:rPr>
      </w:pPr>
    </w:p>
    <w:p w14:paraId="7D432970" w14:textId="30D3F83F" w:rsidR="004141D8" w:rsidRPr="002B76C1" w:rsidRDefault="00E25966" w:rsidP="00E16C3B">
      <w:pPr>
        <w:pStyle w:val="ListParagraph"/>
        <w:numPr>
          <w:ilvl w:val="1"/>
          <w:numId w:val="22"/>
        </w:numPr>
        <w:spacing w:line="276" w:lineRule="auto"/>
        <w:ind w:left="709" w:hanging="709"/>
        <w:rPr>
          <w:rFonts w:eastAsia="Times New Roman" w:cs="Segoe UI"/>
          <w:szCs w:val="24"/>
          <w:lang w:eastAsia="en-GB"/>
        </w:rPr>
      </w:pPr>
      <w:r w:rsidRPr="001739C6">
        <w:rPr>
          <w:szCs w:val="24"/>
          <w:lang w:val="en"/>
        </w:rPr>
        <w:t>U</w:t>
      </w:r>
      <w:r w:rsidR="00952D56">
        <w:rPr>
          <w:szCs w:val="24"/>
          <w:lang w:val="en"/>
        </w:rPr>
        <w:t xml:space="preserve">niversal </w:t>
      </w:r>
      <w:r w:rsidRPr="001739C6">
        <w:rPr>
          <w:szCs w:val="24"/>
          <w:lang w:val="en"/>
        </w:rPr>
        <w:t>C</w:t>
      </w:r>
      <w:r w:rsidR="00952D56">
        <w:rPr>
          <w:szCs w:val="24"/>
          <w:lang w:val="en"/>
        </w:rPr>
        <w:t>redit</w:t>
      </w:r>
      <w:r w:rsidRPr="001739C6">
        <w:rPr>
          <w:szCs w:val="24"/>
          <w:lang w:val="en"/>
        </w:rPr>
        <w:t xml:space="preserve"> claimants </w:t>
      </w:r>
      <w:r w:rsidR="00CB212A" w:rsidRPr="001739C6">
        <w:rPr>
          <w:szCs w:val="24"/>
          <w:lang w:val="en"/>
        </w:rPr>
        <w:t xml:space="preserve">with limited English language skills </w:t>
      </w:r>
      <w:r w:rsidR="00614D0E" w:rsidRPr="001739C6">
        <w:rPr>
          <w:szCs w:val="24"/>
          <w:lang w:val="en"/>
        </w:rPr>
        <w:t xml:space="preserve">face additional </w:t>
      </w:r>
      <w:r w:rsidRPr="001739C6">
        <w:rPr>
          <w:szCs w:val="24"/>
          <w:lang w:val="en"/>
        </w:rPr>
        <w:t>difficulties</w:t>
      </w:r>
      <w:r w:rsidR="00952D56">
        <w:rPr>
          <w:szCs w:val="24"/>
          <w:lang w:val="en"/>
        </w:rPr>
        <w:t>.</w:t>
      </w:r>
      <w:r w:rsidRPr="001739C6">
        <w:rPr>
          <w:szCs w:val="24"/>
          <w:lang w:val="en"/>
        </w:rPr>
        <w:t xml:space="preserve"> </w:t>
      </w:r>
      <w:r w:rsidR="00952D56">
        <w:rPr>
          <w:szCs w:val="24"/>
          <w:lang w:val="en"/>
        </w:rPr>
        <w:t>I</w:t>
      </w:r>
      <w:r w:rsidRPr="001739C6">
        <w:rPr>
          <w:szCs w:val="24"/>
          <w:lang w:val="en"/>
        </w:rPr>
        <w:t xml:space="preserve">nterpretation </w:t>
      </w:r>
      <w:proofErr w:type="gramStart"/>
      <w:r w:rsidRPr="001739C6">
        <w:rPr>
          <w:szCs w:val="24"/>
          <w:lang w:val="en"/>
        </w:rPr>
        <w:t>can be provided</w:t>
      </w:r>
      <w:proofErr w:type="gramEnd"/>
      <w:r w:rsidRPr="001739C6">
        <w:rPr>
          <w:szCs w:val="24"/>
          <w:lang w:val="en"/>
        </w:rPr>
        <w:t xml:space="preserve"> at the point of U</w:t>
      </w:r>
      <w:r w:rsidR="00952D56">
        <w:rPr>
          <w:szCs w:val="24"/>
          <w:lang w:val="en"/>
        </w:rPr>
        <w:t xml:space="preserve">niversal </w:t>
      </w:r>
      <w:r w:rsidRPr="001739C6">
        <w:rPr>
          <w:szCs w:val="24"/>
          <w:lang w:val="en"/>
        </w:rPr>
        <w:t>C</w:t>
      </w:r>
      <w:r w:rsidR="00952D56">
        <w:rPr>
          <w:szCs w:val="24"/>
          <w:lang w:val="en"/>
        </w:rPr>
        <w:t>redit</w:t>
      </w:r>
      <w:r w:rsidRPr="001739C6">
        <w:rPr>
          <w:szCs w:val="24"/>
          <w:lang w:val="en"/>
        </w:rPr>
        <w:t xml:space="preserve"> claim</w:t>
      </w:r>
      <w:r w:rsidR="00E21FAD">
        <w:rPr>
          <w:szCs w:val="24"/>
          <w:lang w:val="en"/>
        </w:rPr>
        <w:t>,</w:t>
      </w:r>
      <w:r w:rsidR="00273F78">
        <w:rPr>
          <w:szCs w:val="24"/>
          <w:lang w:val="en"/>
        </w:rPr>
        <w:t xml:space="preserve"> but completing the </w:t>
      </w:r>
      <w:r w:rsidRPr="001739C6">
        <w:rPr>
          <w:szCs w:val="24"/>
          <w:lang w:val="en"/>
        </w:rPr>
        <w:t>online journal</w:t>
      </w:r>
      <w:r w:rsidR="0000553D">
        <w:rPr>
          <w:szCs w:val="24"/>
          <w:lang w:val="en"/>
        </w:rPr>
        <w:t xml:space="preserve"> in English requires regular language support, which may be difficult </w:t>
      </w:r>
      <w:r w:rsidR="00E21FAD">
        <w:rPr>
          <w:szCs w:val="24"/>
          <w:lang w:val="en"/>
        </w:rPr>
        <w:t xml:space="preserve">to </w:t>
      </w:r>
      <w:r w:rsidR="0000553D">
        <w:rPr>
          <w:szCs w:val="24"/>
          <w:lang w:val="en"/>
        </w:rPr>
        <w:t>obtain</w:t>
      </w:r>
      <w:r w:rsidRPr="001739C6">
        <w:rPr>
          <w:szCs w:val="24"/>
          <w:lang w:val="en"/>
        </w:rPr>
        <w:t xml:space="preserve">. </w:t>
      </w:r>
      <w:r w:rsidR="00E21FAD">
        <w:rPr>
          <w:szCs w:val="24"/>
          <w:lang w:val="en"/>
        </w:rPr>
        <w:t>The NIHRC is aware of ongoing problems, for example, Farsi speaking refugees in N</w:t>
      </w:r>
      <w:r w:rsidR="002D01A4">
        <w:rPr>
          <w:szCs w:val="24"/>
          <w:lang w:val="en"/>
        </w:rPr>
        <w:t xml:space="preserve">orthern </w:t>
      </w:r>
      <w:r w:rsidR="00E21FAD">
        <w:rPr>
          <w:szCs w:val="24"/>
          <w:lang w:val="en"/>
        </w:rPr>
        <w:t>I</w:t>
      </w:r>
      <w:r w:rsidR="002D01A4">
        <w:rPr>
          <w:szCs w:val="24"/>
          <w:lang w:val="en"/>
        </w:rPr>
        <w:t>reland</w:t>
      </w:r>
      <w:r w:rsidR="00E21FAD">
        <w:rPr>
          <w:szCs w:val="24"/>
          <w:lang w:val="en"/>
        </w:rPr>
        <w:t xml:space="preserve"> are struggling to keep journals due to lack of support. </w:t>
      </w:r>
      <w:r w:rsidR="00614D0E" w:rsidRPr="001739C6">
        <w:rPr>
          <w:szCs w:val="24"/>
          <w:lang w:val="en"/>
        </w:rPr>
        <w:t xml:space="preserve">Failure </w:t>
      </w:r>
      <w:r w:rsidR="00214EE1">
        <w:rPr>
          <w:szCs w:val="24"/>
          <w:lang w:val="en"/>
        </w:rPr>
        <w:t xml:space="preserve">to </w:t>
      </w:r>
      <w:r w:rsidR="00273F78">
        <w:rPr>
          <w:szCs w:val="24"/>
          <w:lang w:val="en"/>
        </w:rPr>
        <w:t xml:space="preserve">maintain the journal </w:t>
      </w:r>
      <w:r w:rsidR="00614D0E" w:rsidRPr="001739C6">
        <w:rPr>
          <w:szCs w:val="24"/>
          <w:lang w:val="en"/>
        </w:rPr>
        <w:t>give</w:t>
      </w:r>
      <w:r w:rsidR="0000553D">
        <w:rPr>
          <w:szCs w:val="24"/>
          <w:lang w:val="en"/>
        </w:rPr>
        <w:t>s</w:t>
      </w:r>
      <w:r w:rsidR="00614D0E" w:rsidRPr="001739C6">
        <w:rPr>
          <w:szCs w:val="24"/>
          <w:lang w:val="en"/>
        </w:rPr>
        <w:t xml:space="preserve"> rise to the risk of sanctions.</w:t>
      </w:r>
      <w:r w:rsidR="002B76C1">
        <w:rPr>
          <w:rStyle w:val="FootnoteReference"/>
          <w:szCs w:val="24"/>
          <w:lang w:val="en"/>
        </w:rPr>
        <w:footnoteReference w:id="28"/>
      </w:r>
      <w:r w:rsidR="006E217B">
        <w:rPr>
          <w:szCs w:val="24"/>
          <w:lang w:val="en"/>
        </w:rPr>
        <w:t xml:space="preserve"> </w:t>
      </w:r>
      <w:r w:rsidR="00E21FAD">
        <w:rPr>
          <w:szCs w:val="24"/>
          <w:lang w:val="en"/>
        </w:rPr>
        <w:t xml:space="preserve">The NIHRC has raised this issue with the Department for Communities. </w:t>
      </w:r>
      <w:r w:rsidR="006E217B">
        <w:rPr>
          <w:szCs w:val="24"/>
          <w:lang w:val="en"/>
        </w:rPr>
        <w:t xml:space="preserve">Other groups are also more likely to struggle with a digital approach include individuals with literacy problems, learning difficulties, those who cannot afford a computer or smartphone of their own, etc. </w:t>
      </w:r>
    </w:p>
    <w:p w14:paraId="149997B7" w14:textId="77777777" w:rsidR="004141D8" w:rsidRPr="001739C6" w:rsidRDefault="004141D8" w:rsidP="00E16C3B">
      <w:pPr>
        <w:ind w:left="709" w:hanging="709"/>
        <w:rPr>
          <w:rFonts w:eastAsia="Times New Roman" w:cs="Segoe UI"/>
          <w:lang w:eastAsia="en-GB"/>
        </w:rPr>
      </w:pPr>
    </w:p>
    <w:p w14:paraId="635DFBDB" w14:textId="5D4DDD25" w:rsidR="00962457" w:rsidRPr="004424B8" w:rsidRDefault="001B36EE" w:rsidP="00E16C3B">
      <w:pPr>
        <w:pStyle w:val="ListParagraph"/>
        <w:numPr>
          <w:ilvl w:val="1"/>
          <w:numId w:val="22"/>
        </w:numPr>
        <w:spacing w:line="276" w:lineRule="auto"/>
        <w:ind w:left="709" w:hanging="709"/>
        <w:rPr>
          <w:rFonts w:eastAsia="Times New Roman" w:cs="Segoe UI"/>
          <w:lang w:eastAsia="en-GB"/>
        </w:rPr>
      </w:pPr>
      <w:r>
        <w:rPr>
          <w:lang w:val="en"/>
        </w:rPr>
        <w:t xml:space="preserve">The </w:t>
      </w:r>
      <w:r w:rsidR="00737BE3" w:rsidRPr="002A69DF">
        <w:rPr>
          <w:lang w:val="en"/>
        </w:rPr>
        <w:t xml:space="preserve">DWP guidance </w:t>
      </w:r>
      <w:r w:rsidR="007A52CA" w:rsidRPr="002A69DF">
        <w:rPr>
          <w:lang w:val="en"/>
        </w:rPr>
        <w:t xml:space="preserve">outlines different types of support </w:t>
      </w:r>
      <w:r w:rsidR="00531CC1" w:rsidRPr="002A69DF">
        <w:rPr>
          <w:lang w:val="en"/>
        </w:rPr>
        <w:t xml:space="preserve">that </w:t>
      </w:r>
      <w:proofErr w:type="gramStart"/>
      <w:r w:rsidR="007A52CA" w:rsidRPr="002A69DF">
        <w:rPr>
          <w:lang w:val="en"/>
        </w:rPr>
        <w:t>can be provided</w:t>
      </w:r>
      <w:proofErr w:type="gramEnd"/>
      <w:r w:rsidR="007A52CA" w:rsidRPr="002A69DF">
        <w:rPr>
          <w:lang w:val="en"/>
        </w:rPr>
        <w:t xml:space="preserve"> to claimants</w:t>
      </w:r>
      <w:r w:rsidR="00245A14">
        <w:rPr>
          <w:lang w:val="en"/>
        </w:rPr>
        <w:t>.</w:t>
      </w:r>
      <w:r w:rsidR="00245A14">
        <w:rPr>
          <w:rStyle w:val="FootnoteReference"/>
          <w:szCs w:val="24"/>
          <w:lang w:val="en"/>
        </w:rPr>
        <w:footnoteReference w:id="29"/>
      </w:r>
      <w:r w:rsidR="00245A14" w:rsidRPr="002A69DF">
        <w:rPr>
          <w:lang w:val="en"/>
        </w:rPr>
        <w:t xml:space="preserve"> </w:t>
      </w:r>
      <w:r w:rsidR="00245A14">
        <w:rPr>
          <w:lang w:val="en"/>
        </w:rPr>
        <w:t xml:space="preserve">However, guidance specifies that assistance such as telephone or home visits should </w:t>
      </w:r>
      <w:r w:rsidR="00214EE1" w:rsidRPr="002A69DF">
        <w:rPr>
          <w:lang w:val="en"/>
        </w:rPr>
        <w:t>only be “offered in exceptional circumstances”</w:t>
      </w:r>
      <w:r w:rsidR="00EC0995">
        <w:rPr>
          <w:lang w:val="en"/>
        </w:rPr>
        <w:t>,</w:t>
      </w:r>
      <w:r w:rsidR="007A52CA">
        <w:rPr>
          <w:rStyle w:val="FootnoteReference"/>
          <w:szCs w:val="24"/>
          <w:lang w:val="en"/>
        </w:rPr>
        <w:footnoteReference w:id="30"/>
      </w:r>
      <w:r w:rsidR="00A52165">
        <w:rPr>
          <w:lang w:val="en"/>
        </w:rPr>
        <w:t xml:space="preserve"> </w:t>
      </w:r>
      <w:r w:rsidR="00E96A37">
        <w:rPr>
          <w:lang w:val="en"/>
        </w:rPr>
        <w:t xml:space="preserve">and </w:t>
      </w:r>
      <w:r w:rsidR="00C9250E" w:rsidRPr="002A69DF">
        <w:rPr>
          <w:lang w:val="en"/>
        </w:rPr>
        <w:t xml:space="preserve">indicates that claimants facing difficulties should seek assistance from family and friends. The </w:t>
      </w:r>
      <w:r w:rsidR="00214EE1" w:rsidRPr="002A69DF">
        <w:rPr>
          <w:lang w:val="en"/>
        </w:rPr>
        <w:t xml:space="preserve">NIHRC </w:t>
      </w:r>
      <w:r w:rsidR="00C9250E" w:rsidRPr="002A69DF">
        <w:rPr>
          <w:lang w:val="en"/>
        </w:rPr>
        <w:t xml:space="preserve">is concerned that this </w:t>
      </w:r>
      <w:r w:rsidR="002A69DF" w:rsidRPr="002A69DF">
        <w:rPr>
          <w:lang w:val="en"/>
        </w:rPr>
        <w:t xml:space="preserve">runs counter to the ethos of </w:t>
      </w:r>
      <w:r w:rsidR="00EC0995">
        <w:rPr>
          <w:lang w:val="en"/>
        </w:rPr>
        <w:t xml:space="preserve">the </w:t>
      </w:r>
      <w:r w:rsidR="002A69DF" w:rsidRPr="002A69DF">
        <w:rPr>
          <w:lang w:val="en"/>
        </w:rPr>
        <w:t>UN</w:t>
      </w:r>
      <w:r w:rsidR="00EC0995">
        <w:rPr>
          <w:lang w:val="en"/>
        </w:rPr>
        <w:t xml:space="preserve"> </w:t>
      </w:r>
      <w:r w:rsidR="002A69DF" w:rsidRPr="002A69DF">
        <w:rPr>
          <w:lang w:val="en"/>
        </w:rPr>
        <w:t>C</w:t>
      </w:r>
      <w:r w:rsidR="00EC0995">
        <w:rPr>
          <w:lang w:val="en"/>
        </w:rPr>
        <w:t xml:space="preserve">onvention on the </w:t>
      </w:r>
      <w:r w:rsidR="002A69DF" w:rsidRPr="002A69DF">
        <w:rPr>
          <w:lang w:val="en"/>
        </w:rPr>
        <w:t>R</w:t>
      </w:r>
      <w:r w:rsidR="00EC0995">
        <w:rPr>
          <w:lang w:val="en"/>
        </w:rPr>
        <w:t xml:space="preserve">ights of </w:t>
      </w:r>
      <w:r w:rsidR="002A69DF" w:rsidRPr="002A69DF">
        <w:rPr>
          <w:lang w:val="en"/>
        </w:rPr>
        <w:t>P</w:t>
      </w:r>
      <w:r w:rsidR="00EC0995">
        <w:rPr>
          <w:lang w:val="en"/>
        </w:rPr>
        <w:t xml:space="preserve">ersons with </w:t>
      </w:r>
      <w:r w:rsidR="002A69DF" w:rsidRPr="002A69DF">
        <w:rPr>
          <w:lang w:val="en"/>
        </w:rPr>
        <w:t>D</w:t>
      </w:r>
      <w:r w:rsidR="00EC0995">
        <w:rPr>
          <w:lang w:val="en"/>
        </w:rPr>
        <w:t xml:space="preserve">isabilities </w:t>
      </w:r>
      <w:r w:rsidR="002A69DF" w:rsidRPr="002A69DF">
        <w:rPr>
          <w:lang w:val="en"/>
        </w:rPr>
        <w:t xml:space="preserve">of </w:t>
      </w:r>
      <w:r w:rsidR="002A69DF">
        <w:rPr>
          <w:lang w:val="en"/>
        </w:rPr>
        <w:t xml:space="preserve">respecting </w:t>
      </w:r>
      <w:r w:rsidR="009B2426">
        <w:rPr>
          <w:lang w:val="en"/>
        </w:rPr>
        <w:t xml:space="preserve">the </w:t>
      </w:r>
      <w:r w:rsidR="002A69DF">
        <w:rPr>
          <w:lang w:val="en"/>
        </w:rPr>
        <w:t>individual autonomy</w:t>
      </w:r>
      <w:r w:rsidR="009B2426">
        <w:rPr>
          <w:lang w:val="en"/>
        </w:rPr>
        <w:t xml:space="preserve"> of persons with disabilities</w:t>
      </w:r>
      <w:r w:rsidR="00C73773">
        <w:rPr>
          <w:rStyle w:val="FootnoteReference"/>
          <w:lang w:val="en"/>
        </w:rPr>
        <w:footnoteReference w:id="31"/>
      </w:r>
      <w:r w:rsidR="002A69DF">
        <w:rPr>
          <w:lang w:val="en"/>
        </w:rPr>
        <w:t xml:space="preserve"> </w:t>
      </w:r>
      <w:r w:rsidR="002A69DF" w:rsidRPr="002A69DF">
        <w:rPr>
          <w:lang w:val="en"/>
        </w:rPr>
        <w:t xml:space="preserve">and </w:t>
      </w:r>
      <w:r w:rsidR="00C9250E" w:rsidRPr="002A69DF">
        <w:rPr>
          <w:lang w:val="en"/>
        </w:rPr>
        <w:t xml:space="preserve">could </w:t>
      </w:r>
      <w:r w:rsidR="00B4170A" w:rsidRPr="002A69DF">
        <w:rPr>
          <w:lang w:val="en"/>
        </w:rPr>
        <w:t xml:space="preserve">leave </w:t>
      </w:r>
      <w:r w:rsidR="002A69DF" w:rsidRPr="002A69DF">
        <w:rPr>
          <w:lang w:val="en"/>
        </w:rPr>
        <w:t xml:space="preserve">some </w:t>
      </w:r>
      <w:r w:rsidR="00C9250E" w:rsidRPr="002A69DF">
        <w:rPr>
          <w:lang w:val="en"/>
        </w:rPr>
        <w:t>claimants vulnerable to economic abuse.</w:t>
      </w:r>
      <w:r w:rsidR="00554FE3">
        <w:rPr>
          <w:rStyle w:val="FootnoteReference"/>
          <w:szCs w:val="24"/>
          <w:lang w:val="en"/>
        </w:rPr>
        <w:footnoteReference w:id="32"/>
      </w:r>
      <w:r w:rsidR="00C9250E" w:rsidRPr="002A69DF">
        <w:rPr>
          <w:lang w:val="en"/>
        </w:rPr>
        <w:t xml:space="preserve"> </w:t>
      </w:r>
    </w:p>
    <w:p w14:paraId="2793D920" w14:textId="77777777" w:rsidR="00962457" w:rsidRPr="00F57F5C" w:rsidRDefault="00962457" w:rsidP="00E16C3B">
      <w:pPr>
        <w:pStyle w:val="ListParagraph"/>
        <w:ind w:left="709" w:hanging="709"/>
        <w:rPr>
          <w:rFonts w:cs="Calibri"/>
        </w:rPr>
      </w:pPr>
    </w:p>
    <w:p w14:paraId="6DFD6EEC" w14:textId="77777777" w:rsidR="00195536" w:rsidRPr="004424B8" w:rsidRDefault="00962457" w:rsidP="00E16C3B">
      <w:pPr>
        <w:pStyle w:val="ListParagraph"/>
        <w:numPr>
          <w:ilvl w:val="1"/>
          <w:numId w:val="22"/>
        </w:numPr>
        <w:spacing w:line="276" w:lineRule="auto"/>
        <w:ind w:left="709" w:hanging="709"/>
        <w:rPr>
          <w:rFonts w:eastAsia="Times New Roman" w:cs="Segoe UI"/>
          <w:lang w:eastAsia="en-GB"/>
        </w:rPr>
      </w:pPr>
      <w:r w:rsidRPr="001539E9">
        <w:rPr>
          <w:rFonts w:cs="Calibri"/>
        </w:rPr>
        <w:lastRenderedPageBreak/>
        <w:t>Household payments are the default for Universal Credit.</w:t>
      </w:r>
      <w:r>
        <w:rPr>
          <w:rStyle w:val="FootnoteReference"/>
          <w:rFonts w:cs="Calibri"/>
        </w:rPr>
        <w:footnoteReference w:id="33"/>
      </w:r>
      <w:r w:rsidRPr="00F57F5C">
        <w:rPr>
          <w:rFonts w:cs="Calibri"/>
        </w:rPr>
        <w:t xml:space="preserve"> </w:t>
      </w:r>
      <w:r w:rsidRPr="001539E9">
        <w:rPr>
          <w:rFonts w:cs="Calibri"/>
        </w:rPr>
        <w:t xml:space="preserve">In Northern Ireland, separate Universal </w:t>
      </w:r>
      <w:r w:rsidRPr="006F1244">
        <w:rPr>
          <w:rFonts w:cs="Calibri"/>
        </w:rPr>
        <w:t>Credit payments</w:t>
      </w:r>
      <w:r w:rsidR="006E217B">
        <w:rPr>
          <w:rFonts w:cs="Calibri"/>
        </w:rPr>
        <w:t xml:space="preserve"> to an individual partner</w:t>
      </w:r>
      <w:r w:rsidRPr="006F1244">
        <w:rPr>
          <w:rFonts w:cs="Calibri"/>
        </w:rPr>
        <w:t xml:space="preserve"> </w:t>
      </w:r>
      <w:proofErr w:type="gramStart"/>
      <w:r w:rsidRPr="006F1244">
        <w:rPr>
          <w:rFonts w:cs="Calibri"/>
        </w:rPr>
        <w:t>are permitted</w:t>
      </w:r>
      <w:proofErr w:type="gramEnd"/>
      <w:r w:rsidRPr="006F1244">
        <w:rPr>
          <w:rFonts w:cs="Calibri"/>
        </w:rPr>
        <w:t xml:space="preserve"> in exceptional circumstances. Domestic violence is a recognised exception, but the burden is on the claimant to declare their circumstances.</w:t>
      </w:r>
      <w:r>
        <w:rPr>
          <w:rStyle w:val="FootnoteReference"/>
          <w:rFonts w:cs="Calibri"/>
        </w:rPr>
        <w:footnoteReference w:id="34"/>
      </w:r>
      <w:r w:rsidRPr="00F57F5C">
        <w:rPr>
          <w:rFonts w:cs="Calibri"/>
        </w:rPr>
        <w:t xml:space="preserve"> </w:t>
      </w:r>
      <w:r w:rsidR="00D4198E">
        <w:rPr>
          <w:rFonts w:cs="Calibri"/>
        </w:rPr>
        <w:t>The existence of this exception is also not clear within the Department for Communities guidance on Universal Credit.</w:t>
      </w:r>
      <w:r w:rsidR="00D4198E">
        <w:rPr>
          <w:rStyle w:val="FootnoteReference"/>
          <w:rFonts w:cs="Calibri"/>
        </w:rPr>
        <w:footnoteReference w:id="35"/>
      </w:r>
      <w:r w:rsidR="00D4198E">
        <w:rPr>
          <w:rFonts w:cs="Calibri"/>
        </w:rPr>
        <w:t xml:space="preserve"> </w:t>
      </w:r>
      <w:r w:rsidRPr="00962457">
        <w:rPr>
          <w:szCs w:val="24"/>
        </w:rPr>
        <w:t xml:space="preserve">Currently separate payments are practically unavailable, as the </w:t>
      </w:r>
      <w:proofErr w:type="gramStart"/>
      <w:r w:rsidRPr="00962457">
        <w:rPr>
          <w:szCs w:val="24"/>
        </w:rPr>
        <w:t>computer</w:t>
      </w:r>
      <w:proofErr w:type="gramEnd"/>
      <w:r w:rsidRPr="00962457">
        <w:rPr>
          <w:szCs w:val="24"/>
        </w:rPr>
        <w:t xml:space="preserve"> system is not able to process such requests</w:t>
      </w:r>
      <w:r w:rsidR="00EC0995">
        <w:rPr>
          <w:szCs w:val="24"/>
        </w:rPr>
        <w:t xml:space="preserve">. </w:t>
      </w:r>
      <w:r w:rsidR="00195536">
        <w:rPr>
          <w:szCs w:val="24"/>
        </w:rPr>
        <w:t xml:space="preserve">NIHRC understand that just four separate payments </w:t>
      </w:r>
      <w:proofErr w:type="gramStart"/>
      <w:r w:rsidR="00195536">
        <w:rPr>
          <w:szCs w:val="24"/>
        </w:rPr>
        <w:t>have been made</w:t>
      </w:r>
      <w:proofErr w:type="gramEnd"/>
      <w:r w:rsidR="00195536">
        <w:rPr>
          <w:szCs w:val="24"/>
        </w:rPr>
        <w:t xml:space="preserve"> in Northern Ireland to date.</w:t>
      </w:r>
      <w:r w:rsidR="00195536">
        <w:rPr>
          <w:rStyle w:val="FootnoteReference"/>
          <w:szCs w:val="24"/>
        </w:rPr>
        <w:footnoteReference w:id="36"/>
      </w:r>
    </w:p>
    <w:p w14:paraId="2E954CD2" w14:textId="77777777" w:rsidR="00195536" w:rsidRPr="004424B8" w:rsidRDefault="00195536" w:rsidP="00E16C3B">
      <w:pPr>
        <w:pStyle w:val="ListParagraph"/>
        <w:ind w:left="709" w:hanging="709"/>
        <w:rPr>
          <w:szCs w:val="24"/>
        </w:rPr>
      </w:pPr>
    </w:p>
    <w:p w14:paraId="30B0DC26" w14:textId="77777777" w:rsidR="00962457" w:rsidRPr="004424B8" w:rsidRDefault="00962457" w:rsidP="00E16C3B">
      <w:pPr>
        <w:pStyle w:val="ListParagraph"/>
        <w:numPr>
          <w:ilvl w:val="1"/>
          <w:numId w:val="22"/>
        </w:numPr>
        <w:spacing w:line="276" w:lineRule="auto"/>
        <w:ind w:left="709" w:hanging="709"/>
        <w:rPr>
          <w:rFonts w:eastAsia="Times New Roman" w:cs="Segoe UI"/>
          <w:lang w:eastAsia="en-GB"/>
        </w:rPr>
      </w:pPr>
      <w:r w:rsidRPr="00962457">
        <w:rPr>
          <w:szCs w:val="24"/>
        </w:rPr>
        <w:t xml:space="preserve"> Those that make applications in person may be able to available of an unofficial system, where separate payments are calculated and facilitated by hand, but this depends on awareness of this option within the Jobs and Benefits staff. Such an option is not available to online claimants.</w:t>
      </w:r>
      <w:r>
        <w:rPr>
          <w:rStyle w:val="FootnoteReference"/>
          <w:rFonts w:cs="Calibri"/>
        </w:rPr>
        <w:footnoteReference w:id="37"/>
      </w:r>
    </w:p>
    <w:p w14:paraId="0BFA58B4" w14:textId="77777777" w:rsidR="00962457" w:rsidRDefault="00962457" w:rsidP="00E16C3B">
      <w:pPr>
        <w:pStyle w:val="ListParagraph"/>
        <w:ind w:left="709" w:hanging="709"/>
        <w:rPr>
          <w:b/>
          <w:szCs w:val="24"/>
        </w:rPr>
      </w:pPr>
    </w:p>
    <w:p w14:paraId="1E299C07" w14:textId="77777777" w:rsidR="004424B8" w:rsidRPr="00962457" w:rsidRDefault="004424B8" w:rsidP="00E16C3B">
      <w:pPr>
        <w:pStyle w:val="ListParagraph"/>
        <w:ind w:left="709" w:hanging="709"/>
        <w:rPr>
          <w:b/>
          <w:szCs w:val="24"/>
        </w:rPr>
      </w:pPr>
    </w:p>
    <w:p w14:paraId="3D537995" w14:textId="77777777" w:rsidR="0065584A" w:rsidRPr="004424B8" w:rsidRDefault="004141D8" w:rsidP="00E16C3B">
      <w:pPr>
        <w:pStyle w:val="ListParagraph"/>
        <w:numPr>
          <w:ilvl w:val="1"/>
          <w:numId w:val="22"/>
        </w:numPr>
        <w:spacing w:before="100" w:beforeAutospacing="1" w:after="240" w:line="276" w:lineRule="auto"/>
        <w:ind w:left="709" w:hanging="709"/>
        <w:rPr>
          <w:b/>
          <w:lang w:val="en"/>
        </w:rPr>
      </w:pPr>
      <w:r w:rsidRPr="004141D8">
        <w:rPr>
          <w:rFonts w:eastAsia="Times New Roman" w:cs="Segoe UI"/>
          <w:b/>
          <w:lang w:eastAsia="en-GB"/>
        </w:rPr>
        <w:t xml:space="preserve">The NIHRC </w:t>
      </w:r>
      <w:r w:rsidRPr="004424B8">
        <w:rPr>
          <w:rFonts w:eastAsia="Times New Roman" w:cs="Segoe UI"/>
          <w:b/>
          <w:lang w:eastAsia="en-GB"/>
        </w:rPr>
        <w:t>recommends</w:t>
      </w:r>
      <w:r w:rsidR="0065584A">
        <w:rPr>
          <w:rFonts w:eastAsia="Times New Roman" w:cs="Segoe UI"/>
          <w:b/>
          <w:lang w:eastAsia="en-GB"/>
        </w:rPr>
        <w:t xml:space="preserve"> that:</w:t>
      </w:r>
    </w:p>
    <w:p w14:paraId="466C1615" w14:textId="77777777" w:rsidR="0065584A" w:rsidRDefault="0065584A" w:rsidP="004424B8">
      <w:pPr>
        <w:pStyle w:val="ListParagraph"/>
        <w:spacing w:before="100" w:beforeAutospacing="1" w:after="240" w:line="276" w:lineRule="auto"/>
        <w:ind w:left="567"/>
        <w:rPr>
          <w:rFonts w:eastAsia="Times New Roman" w:cs="Segoe UI"/>
          <w:b/>
          <w:lang w:eastAsia="en-GB"/>
        </w:rPr>
      </w:pPr>
    </w:p>
    <w:p w14:paraId="3B97EC03" w14:textId="77777777" w:rsidR="00EC0995" w:rsidRPr="004424B8" w:rsidRDefault="004141D8" w:rsidP="00E16C3B">
      <w:pPr>
        <w:pStyle w:val="ListParagraph"/>
        <w:numPr>
          <w:ilvl w:val="0"/>
          <w:numId w:val="25"/>
        </w:numPr>
        <w:spacing w:before="100" w:beforeAutospacing="1" w:after="240" w:line="276" w:lineRule="auto"/>
        <w:ind w:left="1134" w:hanging="425"/>
        <w:rPr>
          <w:b/>
          <w:szCs w:val="24"/>
          <w:lang w:val="en"/>
        </w:rPr>
      </w:pPr>
      <w:r w:rsidRPr="004424B8">
        <w:rPr>
          <w:rFonts w:eastAsia="Times New Roman" w:cs="Segoe UI"/>
          <w:b/>
          <w:lang w:eastAsia="en-GB"/>
        </w:rPr>
        <w:t xml:space="preserve"> </w:t>
      </w:r>
      <w:r w:rsidR="0065584A">
        <w:rPr>
          <w:rFonts w:eastAsia="Times New Roman" w:cs="Segoe UI"/>
          <w:b/>
          <w:lang w:eastAsia="en-GB"/>
        </w:rPr>
        <w:t>T</w:t>
      </w:r>
      <w:r w:rsidRPr="004424B8">
        <w:rPr>
          <w:rFonts w:cs="MinionPro-Regular"/>
          <w:b/>
        </w:rPr>
        <w:t xml:space="preserve">he prevalence of digital exclusion </w:t>
      </w:r>
      <w:proofErr w:type="gramStart"/>
      <w:r w:rsidRPr="004424B8">
        <w:rPr>
          <w:rFonts w:cs="MinionPro-Regular"/>
          <w:b/>
        </w:rPr>
        <w:t>is taken</w:t>
      </w:r>
      <w:proofErr w:type="gramEnd"/>
      <w:r w:rsidRPr="004424B8">
        <w:rPr>
          <w:rFonts w:cs="MinionPro-Regular"/>
          <w:b/>
        </w:rPr>
        <w:t xml:space="preserve"> into account at all stages in policy design, including the requirement to consider reasonable accommodation that may be </w:t>
      </w:r>
      <w:r w:rsidRPr="004424B8">
        <w:rPr>
          <w:rFonts w:cs="MinionPro-Regular"/>
          <w:b/>
        </w:rPr>
        <w:lastRenderedPageBreak/>
        <w:t xml:space="preserve">required, particularly for persons with disabilities and migrants. </w:t>
      </w:r>
    </w:p>
    <w:p w14:paraId="4E45F466" w14:textId="77777777" w:rsidR="0065584A" w:rsidRPr="00960C9F" w:rsidRDefault="0065584A" w:rsidP="00E16C3B">
      <w:pPr>
        <w:pStyle w:val="ListParagraph"/>
        <w:spacing w:before="100" w:beforeAutospacing="1" w:after="240" w:line="276" w:lineRule="auto"/>
        <w:ind w:left="1134" w:hanging="425"/>
        <w:rPr>
          <w:b/>
          <w:szCs w:val="24"/>
          <w:lang w:val="en"/>
        </w:rPr>
      </w:pPr>
    </w:p>
    <w:p w14:paraId="6CBDC791" w14:textId="77777777" w:rsidR="00EC0995" w:rsidRDefault="0065584A" w:rsidP="00E16C3B">
      <w:pPr>
        <w:pStyle w:val="ListParagraph"/>
        <w:numPr>
          <w:ilvl w:val="0"/>
          <w:numId w:val="25"/>
        </w:numPr>
        <w:ind w:left="1134" w:hanging="425"/>
        <w:rPr>
          <w:lang w:val="en"/>
        </w:rPr>
      </w:pPr>
      <w:r w:rsidRPr="004424B8">
        <w:rPr>
          <w:b/>
          <w:lang w:val="en"/>
        </w:rPr>
        <w:t xml:space="preserve">Effective education and training </w:t>
      </w:r>
      <w:proofErr w:type="spellStart"/>
      <w:r w:rsidRPr="004424B8">
        <w:rPr>
          <w:b/>
          <w:lang w:val="en"/>
        </w:rPr>
        <w:t>programmes</w:t>
      </w:r>
      <w:proofErr w:type="spellEnd"/>
      <w:r w:rsidRPr="004424B8">
        <w:rPr>
          <w:b/>
          <w:lang w:val="en"/>
        </w:rPr>
        <w:t xml:space="preserve"> are developed, implemented and adequately funded to improve digital literacy.</w:t>
      </w:r>
    </w:p>
    <w:p w14:paraId="479DEFB3" w14:textId="77777777" w:rsidR="0065584A" w:rsidRDefault="0065584A" w:rsidP="00E16C3B">
      <w:pPr>
        <w:pStyle w:val="ListParagraph"/>
        <w:ind w:left="1134" w:hanging="425"/>
        <w:rPr>
          <w:lang w:val="en"/>
        </w:rPr>
      </w:pPr>
    </w:p>
    <w:p w14:paraId="110180C5" w14:textId="77777777" w:rsidR="00944B4E" w:rsidRDefault="00296F4D" w:rsidP="00E16C3B">
      <w:pPr>
        <w:pStyle w:val="ListParagraph"/>
        <w:numPr>
          <w:ilvl w:val="0"/>
          <w:numId w:val="25"/>
        </w:numPr>
        <w:spacing w:before="100" w:beforeAutospacing="1" w:after="240" w:line="276" w:lineRule="auto"/>
        <w:ind w:left="1134" w:hanging="425"/>
        <w:rPr>
          <w:b/>
          <w:lang w:val="en"/>
        </w:rPr>
      </w:pPr>
      <w:r>
        <w:rPr>
          <w:b/>
          <w:lang w:val="en"/>
        </w:rPr>
        <w:t>S</w:t>
      </w:r>
      <w:r w:rsidR="0065584A" w:rsidRPr="004424B8">
        <w:rPr>
          <w:b/>
          <w:lang w:val="en"/>
        </w:rPr>
        <w:t xml:space="preserve">teps </w:t>
      </w:r>
      <w:proofErr w:type="gramStart"/>
      <w:r w:rsidR="0065584A" w:rsidRPr="004424B8">
        <w:rPr>
          <w:b/>
          <w:lang w:val="en"/>
        </w:rPr>
        <w:t>are taken</w:t>
      </w:r>
      <w:proofErr w:type="gramEnd"/>
      <w:r w:rsidR="0065584A" w:rsidRPr="004424B8">
        <w:rPr>
          <w:b/>
          <w:lang w:val="en"/>
        </w:rPr>
        <w:t xml:space="preserve"> to ensure everyone has access to effective and affordable digital services. This may include offering free, accessible public internet services.</w:t>
      </w:r>
    </w:p>
    <w:p w14:paraId="01B5B7C6" w14:textId="77777777" w:rsidR="0065584A" w:rsidRPr="004424B8" w:rsidRDefault="0065584A" w:rsidP="00E16C3B">
      <w:pPr>
        <w:pStyle w:val="ListParagraph"/>
        <w:ind w:left="1134" w:hanging="425"/>
        <w:rPr>
          <w:b/>
          <w:lang w:val="en"/>
        </w:rPr>
      </w:pPr>
    </w:p>
    <w:p w14:paraId="3357CEDE" w14:textId="77777777" w:rsidR="00944B4E" w:rsidRDefault="00296F4D" w:rsidP="00E16C3B">
      <w:pPr>
        <w:pStyle w:val="ListParagraph"/>
        <w:numPr>
          <w:ilvl w:val="0"/>
          <w:numId w:val="25"/>
        </w:numPr>
        <w:ind w:left="1134" w:hanging="425"/>
        <w:rPr>
          <w:b/>
          <w:szCs w:val="24"/>
          <w:lang w:val="en"/>
        </w:rPr>
      </w:pPr>
      <w:r>
        <w:rPr>
          <w:b/>
          <w:lang w:val="en"/>
        </w:rPr>
        <w:t>D</w:t>
      </w:r>
      <w:r w:rsidR="005A29BF" w:rsidRPr="004424B8">
        <w:rPr>
          <w:b/>
          <w:lang w:val="en"/>
        </w:rPr>
        <w:t xml:space="preserve">isaggregated data is collected, monitored and evaluated on </w:t>
      </w:r>
      <w:r w:rsidR="00806C75" w:rsidRPr="004424B8">
        <w:rPr>
          <w:b/>
          <w:szCs w:val="24"/>
          <w:lang w:val="en"/>
        </w:rPr>
        <w:t xml:space="preserve">instances where </w:t>
      </w:r>
      <w:r w:rsidR="005A29BF" w:rsidRPr="004424B8">
        <w:rPr>
          <w:b/>
          <w:szCs w:val="24"/>
          <w:lang w:val="en"/>
        </w:rPr>
        <w:t xml:space="preserve">and reasons why </w:t>
      </w:r>
      <w:r w:rsidR="00DD00C6" w:rsidRPr="004424B8">
        <w:rPr>
          <w:b/>
          <w:szCs w:val="24"/>
          <w:lang w:val="en"/>
        </w:rPr>
        <w:t>social security</w:t>
      </w:r>
      <w:r w:rsidR="00806C75" w:rsidRPr="004424B8">
        <w:rPr>
          <w:b/>
          <w:szCs w:val="24"/>
          <w:lang w:val="en"/>
        </w:rPr>
        <w:t xml:space="preserve"> claimants have not been able to make </w:t>
      </w:r>
      <w:r w:rsidR="0089613E" w:rsidRPr="004424B8">
        <w:rPr>
          <w:b/>
          <w:szCs w:val="24"/>
          <w:lang w:val="en"/>
        </w:rPr>
        <w:t xml:space="preserve">or maintain </w:t>
      </w:r>
      <w:r w:rsidR="00806C75" w:rsidRPr="004424B8">
        <w:rPr>
          <w:b/>
          <w:szCs w:val="24"/>
          <w:lang w:val="en"/>
        </w:rPr>
        <w:t xml:space="preserve">a </w:t>
      </w:r>
      <w:r w:rsidR="00DD00C6" w:rsidRPr="004424B8">
        <w:rPr>
          <w:b/>
          <w:szCs w:val="24"/>
          <w:lang w:val="en"/>
        </w:rPr>
        <w:t>social security</w:t>
      </w:r>
      <w:r w:rsidR="00806C75" w:rsidRPr="004424B8">
        <w:rPr>
          <w:b/>
          <w:szCs w:val="24"/>
          <w:lang w:val="en"/>
        </w:rPr>
        <w:t xml:space="preserve"> claim</w:t>
      </w:r>
      <w:r w:rsidR="005A29BF" w:rsidRPr="004424B8">
        <w:rPr>
          <w:b/>
          <w:szCs w:val="24"/>
          <w:lang w:val="en"/>
        </w:rPr>
        <w:t>.</w:t>
      </w:r>
    </w:p>
    <w:p w14:paraId="4AA7ED5F" w14:textId="77777777" w:rsidR="0065584A" w:rsidRPr="004424B8" w:rsidRDefault="0065584A" w:rsidP="00E16C3B">
      <w:pPr>
        <w:pStyle w:val="ListParagraph"/>
        <w:ind w:left="1134" w:hanging="425"/>
        <w:rPr>
          <w:b/>
          <w:szCs w:val="24"/>
          <w:lang w:val="en"/>
        </w:rPr>
      </w:pPr>
    </w:p>
    <w:p w14:paraId="274A345F" w14:textId="77777777" w:rsidR="00944B4E" w:rsidRPr="004424B8" w:rsidRDefault="00296F4D" w:rsidP="00E16C3B">
      <w:pPr>
        <w:pStyle w:val="ListParagraph"/>
        <w:numPr>
          <w:ilvl w:val="0"/>
          <w:numId w:val="25"/>
        </w:numPr>
        <w:ind w:left="1134" w:hanging="425"/>
        <w:rPr>
          <w:b/>
          <w:lang w:val="en"/>
        </w:rPr>
      </w:pPr>
      <w:r>
        <w:rPr>
          <w:b/>
          <w:lang w:val="en"/>
        </w:rPr>
        <w:t>E</w:t>
      </w:r>
      <w:r w:rsidR="005A29BF" w:rsidRPr="001539E9">
        <w:rPr>
          <w:b/>
          <w:lang w:val="en"/>
        </w:rPr>
        <w:t xml:space="preserve">ffective steps </w:t>
      </w:r>
      <w:proofErr w:type="gramStart"/>
      <w:r w:rsidR="005A29BF" w:rsidRPr="001539E9">
        <w:rPr>
          <w:b/>
          <w:lang w:val="en"/>
        </w:rPr>
        <w:t>are taken</w:t>
      </w:r>
      <w:proofErr w:type="gramEnd"/>
      <w:r w:rsidR="005A29BF" w:rsidRPr="001539E9">
        <w:rPr>
          <w:b/>
          <w:lang w:val="en"/>
        </w:rPr>
        <w:t xml:space="preserve"> to raise awareness of and ensure </w:t>
      </w:r>
      <w:r w:rsidR="00554FE3" w:rsidRPr="006F1244">
        <w:rPr>
          <w:b/>
          <w:lang w:val="en"/>
        </w:rPr>
        <w:t>non</w:t>
      </w:r>
      <w:r w:rsidR="005A29BF" w:rsidRPr="006F1244">
        <w:rPr>
          <w:b/>
          <w:lang w:val="en"/>
        </w:rPr>
        <w:t>-</w:t>
      </w:r>
      <w:r w:rsidR="00554FE3" w:rsidRPr="006F1244">
        <w:rPr>
          <w:b/>
          <w:lang w:val="en"/>
        </w:rPr>
        <w:t xml:space="preserve">digital channels and support </w:t>
      </w:r>
      <w:r w:rsidR="00C9250E" w:rsidRPr="006F1244">
        <w:rPr>
          <w:b/>
          <w:lang w:val="en"/>
        </w:rPr>
        <w:t>for</w:t>
      </w:r>
      <w:r w:rsidR="00C9250E" w:rsidRPr="009A2BD6">
        <w:rPr>
          <w:b/>
          <w:lang w:val="en"/>
        </w:rPr>
        <w:t xml:space="preserve"> U</w:t>
      </w:r>
      <w:r w:rsidR="005A29BF" w:rsidRPr="009A2BD6">
        <w:rPr>
          <w:b/>
          <w:lang w:val="en"/>
        </w:rPr>
        <w:t xml:space="preserve">niversal </w:t>
      </w:r>
      <w:r w:rsidR="00C9250E" w:rsidRPr="009A2BD6">
        <w:rPr>
          <w:b/>
          <w:lang w:val="en"/>
        </w:rPr>
        <w:t>C</w:t>
      </w:r>
      <w:r w:rsidR="005A29BF" w:rsidRPr="009A2BD6">
        <w:rPr>
          <w:b/>
          <w:lang w:val="en"/>
        </w:rPr>
        <w:t>redit</w:t>
      </w:r>
      <w:r w:rsidR="00C9250E" w:rsidRPr="00944B4E">
        <w:rPr>
          <w:b/>
          <w:lang w:val="en"/>
        </w:rPr>
        <w:t xml:space="preserve"> claimants</w:t>
      </w:r>
      <w:r w:rsidR="005A29BF" w:rsidRPr="00944B4E">
        <w:rPr>
          <w:b/>
          <w:lang w:val="en"/>
        </w:rPr>
        <w:t xml:space="preserve"> are fully </w:t>
      </w:r>
      <w:r w:rsidR="009B0BFC" w:rsidRPr="00944B4E">
        <w:rPr>
          <w:b/>
          <w:lang w:val="en"/>
        </w:rPr>
        <w:t xml:space="preserve">available and </w:t>
      </w:r>
      <w:r w:rsidR="005A29BF" w:rsidRPr="000D3F45">
        <w:rPr>
          <w:b/>
          <w:lang w:val="en"/>
        </w:rPr>
        <w:t>accessible</w:t>
      </w:r>
      <w:r w:rsidR="00BC773A" w:rsidRPr="000D3F45">
        <w:rPr>
          <w:b/>
          <w:lang w:val="en"/>
        </w:rPr>
        <w:t xml:space="preserve">. </w:t>
      </w:r>
      <w:r w:rsidR="0065584A" w:rsidRPr="004424B8">
        <w:rPr>
          <w:b/>
          <w:lang w:val="en"/>
        </w:rPr>
        <w:t>T</w:t>
      </w:r>
      <w:r w:rsidR="00BC773A" w:rsidRPr="004424B8">
        <w:rPr>
          <w:b/>
          <w:lang w:val="en"/>
        </w:rPr>
        <w:t xml:space="preserve">he </w:t>
      </w:r>
      <w:r w:rsidR="008D2857" w:rsidRPr="004424B8">
        <w:rPr>
          <w:b/>
          <w:lang w:val="en"/>
        </w:rPr>
        <w:t xml:space="preserve">exceptionality threshold necessary to access digital support </w:t>
      </w:r>
      <w:proofErr w:type="gramStart"/>
      <w:r w:rsidR="00BC773A" w:rsidRPr="004424B8">
        <w:rPr>
          <w:b/>
          <w:lang w:val="en"/>
        </w:rPr>
        <w:t>should be removed</w:t>
      </w:r>
      <w:proofErr w:type="gramEnd"/>
      <w:r w:rsidR="00BC773A" w:rsidRPr="004424B8">
        <w:rPr>
          <w:b/>
          <w:lang w:val="en"/>
        </w:rPr>
        <w:t>.</w:t>
      </w:r>
    </w:p>
    <w:p w14:paraId="64C7F8B3" w14:textId="77777777" w:rsidR="009B0BFC" w:rsidRPr="00F57F5C" w:rsidRDefault="009B0BFC" w:rsidP="00E16C3B">
      <w:pPr>
        <w:pStyle w:val="ListParagraph"/>
        <w:ind w:left="1134" w:hanging="425"/>
        <w:rPr>
          <w:b/>
          <w:lang w:val="en"/>
        </w:rPr>
      </w:pPr>
    </w:p>
    <w:p w14:paraId="669CE336" w14:textId="77777777" w:rsidR="00962457" w:rsidRDefault="00296F4D" w:rsidP="00E16C3B">
      <w:pPr>
        <w:pStyle w:val="ListParagraph"/>
        <w:numPr>
          <w:ilvl w:val="0"/>
          <w:numId w:val="25"/>
        </w:numPr>
        <w:spacing w:before="100" w:beforeAutospacing="1" w:after="240" w:line="276" w:lineRule="auto"/>
        <w:ind w:left="1134" w:hanging="425"/>
        <w:rPr>
          <w:b/>
          <w:szCs w:val="24"/>
          <w:lang w:val="en"/>
        </w:rPr>
      </w:pPr>
      <w:r>
        <w:rPr>
          <w:b/>
          <w:szCs w:val="24"/>
          <w:lang w:val="en"/>
        </w:rPr>
        <w:t>S</w:t>
      </w:r>
      <w:r w:rsidR="009B0BFC">
        <w:rPr>
          <w:b/>
          <w:szCs w:val="24"/>
          <w:lang w:val="en"/>
        </w:rPr>
        <w:t xml:space="preserve">anctions </w:t>
      </w:r>
      <w:proofErr w:type="gramStart"/>
      <w:r w:rsidR="009B0BFC">
        <w:rPr>
          <w:b/>
          <w:szCs w:val="24"/>
          <w:lang w:val="en"/>
        </w:rPr>
        <w:t>are not</w:t>
      </w:r>
      <w:r w:rsidR="009B0BFC" w:rsidRPr="002B76C1">
        <w:rPr>
          <w:b/>
          <w:szCs w:val="24"/>
          <w:lang w:val="en"/>
        </w:rPr>
        <w:t xml:space="preserve"> impose</w:t>
      </w:r>
      <w:r w:rsidR="009B0BFC">
        <w:rPr>
          <w:b/>
          <w:szCs w:val="24"/>
          <w:lang w:val="en"/>
        </w:rPr>
        <w:t>d</w:t>
      </w:r>
      <w:proofErr w:type="gramEnd"/>
      <w:r w:rsidR="009B0BFC" w:rsidRPr="002B76C1">
        <w:rPr>
          <w:b/>
          <w:szCs w:val="24"/>
          <w:lang w:val="en"/>
        </w:rPr>
        <w:t xml:space="preserve"> for non-compliance with government requirement</w:t>
      </w:r>
      <w:r w:rsidR="009B0BFC" w:rsidRPr="009B0BFC">
        <w:rPr>
          <w:b/>
          <w:szCs w:val="24"/>
          <w:lang w:val="en"/>
        </w:rPr>
        <w:t>s due to lack of digital skills.</w:t>
      </w:r>
    </w:p>
    <w:p w14:paraId="2BC575F2" w14:textId="77777777" w:rsidR="00944B4E" w:rsidRDefault="00944B4E" w:rsidP="00E16C3B">
      <w:pPr>
        <w:pStyle w:val="ListParagraph"/>
        <w:spacing w:before="100" w:beforeAutospacing="1" w:after="240" w:line="276" w:lineRule="auto"/>
        <w:ind w:left="1134" w:hanging="425"/>
        <w:rPr>
          <w:b/>
          <w:szCs w:val="24"/>
          <w:lang w:val="en"/>
        </w:rPr>
      </w:pPr>
    </w:p>
    <w:p w14:paraId="514A8AE5" w14:textId="77777777" w:rsidR="00962457" w:rsidRPr="004424B8" w:rsidRDefault="00296F4D" w:rsidP="00E16C3B">
      <w:pPr>
        <w:pStyle w:val="ListParagraph"/>
        <w:numPr>
          <w:ilvl w:val="0"/>
          <w:numId w:val="25"/>
        </w:numPr>
        <w:spacing w:before="100" w:beforeAutospacing="1" w:after="240" w:line="276" w:lineRule="auto"/>
        <w:ind w:left="1134" w:hanging="425"/>
        <w:rPr>
          <w:b/>
          <w:szCs w:val="24"/>
          <w:lang w:val="en"/>
        </w:rPr>
      </w:pPr>
      <w:r>
        <w:rPr>
          <w:b/>
          <w:szCs w:val="24"/>
        </w:rPr>
        <w:t>S</w:t>
      </w:r>
      <w:r w:rsidR="00962457" w:rsidRPr="004424B8">
        <w:rPr>
          <w:b/>
          <w:szCs w:val="24"/>
        </w:rPr>
        <w:t>eparate social security payments are the primary option</w:t>
      </w:r>
      <w:r w:rsidR="0065584A" w:rsidRPr="004424B8">
        <w:rPr>
          <w:b/>
          <w:szCs w:val="24"/>
        </w:rPr>
        <w:t xml:space="preserve"> for Universal Credit</w:t>
      </w:r>
      <w:r w:rsidR="00962457" w:rsidRPr="004424B8">
        <w:rPr>
          <w:b/>
          <w:szCs w:val="24"/>
        </w:rPr>
        <w:t>.</w:t>
      </w:r>
    </w:p>
    <w:p w14:paraId="33BF660F" w14:textId="77777777" w:rsidR="009B0BFC" w:rsidRPr="002B76C1" w:rsidRDefault="009B0BFC" w:rsidP="00C93BB7">
      <w:pPr>
        <w:pStyle w:val="ListParagraph"/>
        <w:rPr>
          <w:b/>
          <w:szCs w:val="24"/>
          <w:lang w:val="en"/>
        </w:rPr>
      </w:pPr>
    </w:p>
    <w:p w14:paraId="50BB1262" w14:textId="77777777" w:rsidR="00016985" w:rsidRDefault="00016985" w:rsidP="004424B8">
      <w:pPr>
        <w:pStyle w:val="Heading1"/>
        <w:numPr>
          <w:ilvl w:val="0"/>
          <w:numId w:val="22"/>
        </w:numPr>
        <w:rPr>
          <w:lang w:val="en"/>
        </w:rPr>
      </w:pPr>
      <w:bookmarkStart w:id="3" w:name="_Toc8296982"/>
      <w:r>
        <w:rPr>
          <w:lang w:val="en"/>
        </w:rPr>
        <w:t>Personal Independent Payment</w:t>
      </w:r>
      <w:bookmarkEnd w:id="3"/>
    </w:p>
    <w:p w14:paraId="33BD17A3" w14:textId="77777777" w:rsidR="00960C9F" w:rsidRDefault="00884C6E" w:rsidP="004424B8">
      <w:pPr>
        <w:pStyle w:val="ListParagraph"/>
        <w:numPr>
          <w:ilvl w:val="1"/>
          <w:numId w:val="22"/>
        </w:numPr>
        <w:ind w:left="709" w:hanging="709"/>
        <w:rPr>
          <w:rFonts w:eastAsia="Times New Roman" w:cs="Segoe UI"/>
          <w:szCs w:val="24"/>
          <w:lang w:eastAsia="en-GB"/>
        </w:rPr>
      </w:pPr>
      <w:r w:rsidRPr="004424B8">
        <w:rPr>
          <w:rFonts w:eastAsia="Times New Roman" w:cs="Segoe UI"/>
          <w:szCs w:val="24"/>
          <w:lang w:eastAsia="en-GB"/>
        </w:rPr>
        <w:t>While</w:t>
      </w:r>
      <w:r w:rsidR="009006A2" w:rsidRPr="004424B8">
        <w:rPr>
          <w:rFonts w:eastAsia="Times New Roman" w:cs="Segoe UI"/>
          <w:szCs w:val="24"/>
          <w:lang w:eastAsia="en-GB"/>
        </w:rPr>
        <w:t xml:space="preserve"> </w:t>
      </w:r>
      <w:r w:rsidRPr="004424B8">
        <w:rPr>
          <w:rFonts w:eastAsia="Times New Roman" w:cs="Segoe UI"/>
          <w:szCs w:val="24"/>
          <w:lang w:eastAsia="en-GB"/>
        </w:rPr>
        <w:t>the digital nature</w:t>
      </w:r>
      <w:r w:rsidR="009006A2" w:rsidRPr="004424B8">
        <w:rPr>
          <w:rFonts w:eastAsia="Times New Roman" w:cs="Segoe UI"/>
          <w:szCs w:val="24"/>
          <w:lang w:eastAsia="en-GB"/>
        </w:rPr>
        <w:t xml:space="preserve"> of Universal Credit poses some difficulties for claimants (as highlighted above), the lack of digital access for other social security benefits </w:t>
      </w:r>
      <w:r w:rsidR="00446B9A" w:rsidRPr="004424B8">
        <w:rPr>
          <w:rFonts w:eastAsia="Times New Roman" w:cs="Segoe UI"/>
          <w:szCs w:val="24"/>
          <w:lang w:eastAsia="en-GB"/>
        </w:rPr>
        <w:t xml:space="preserve">can equally </w:t>
      </w:r>
      <w:r w:rsidR="009006A2" w:rsidRPr="004424B8">
        <w:rPr>
          <w:rFonts w:eastAsia="Times New Roman" w:cs="Segoe UI"/>
          <w:szCs w:val="24"/>
          <w:lang w:eastAsia="en-GB"/>
        </w:rPr>
        <w:t>hamper accessibility. A particular example is Personal Independence Payment, which is a benefit for persons who are of working age and who need daily help because of a long-term illness, disability or mental health condition.</w:t>
      </w:r>
    </w:p>
    <w:p w14:paraId="7840A07A" w14:textId="77777777" w:rsidR="00960C9F" w:rsidRPr="004424B8" w:rsidRDefault="00960C9F" w:rsidP="004424B8">
      <w:pPr>
        <w:pStyle w:val="ListParagraph"/>
        <w:ind w:left="709"/>
        <w:rPr>
          <w:rFonts w:eastAsia="Times New Roman" w:cs="Segoe UI"/>
          <w:szCs w:val="24"/>
          <w:lang w:eastAsia="en-GB"/>
        </w:rPr>
      </w:pPr>
    </w:p>
    <w:p w14:paraId="62596779" w14:textId="77777777" w:rsidR="00960C9F" w:rsidRDefault="009006A2" w:rsidP="004424B8">
      <w:pPr>
        <w:pStyle w:val="ListParagraph"/>
        <w:numPr>
          <w:ilvl w:val="1"/>
          <w:numId w:val="22"/>
        </w:numPr>
        <w:ind w:left="709" w:hanging="709"/>
        <w:rPr>
          <w:lang w:eastAsia="en-GB"/>
        </w:rPr>
      </w:pPr>
      <w:r w:rsidRPr="004424B8">
        <w:rPr>
          <w:lang w:eastAsia="en-GB"/>
        </w:rPr>
        <w:t xml:space="preserve">In Northern Ireland, the </w:t>
      </w:r>
      <w:r w:rsidRPr="006871D2">
        <w:t xml:space="preserve">initial stage of the </w:t>
      </w:r>
      <w:r w:rsidR="00F2725D">
        <w:t>Personal Independence</w:t>
      </w:r>
      <w:r>
        <w:t xml:space="preserve"> Payment </w:t>
      </w:r>
      <w:r w:rsidRPr="006871D2">
        <w:t xml:space="preserve">application </w:t>
      </w:r>
      <w:r w:rsidR="00F2725D">
        <w:t xml:space="preserve">requires telephone communication, which is </w:t>
      </w:r>
      <w:r w:rsidR="00F2725D">
        <w:lastRenderedPageBreak/>
        <w:t xml:space="preserve">frustrating </w:t>
      </w:r>
      <w:r w:rsidR="00FF206F">
        <w:t xml:space="preserve">for </w:t>
      </w:r>
      <w:r w:rsidR="00F2725D">
        <w:t xml:space="preserve">claimants with certain </w:t>
      </w:r>
      <w:r w:rsidR="00223EF5" w:rsidRPr="006871D2">
        <w:t xml:space="preserve">medical conditions and those with speech and/or hearing impairments. </w:t>
      </w:r>
      <w:r w:rsidR="00F2725D">
        <w:t xml:space="preserve">Having </w:t>
      </w:r>
      <w:r w:rsidR="0023023C">
        <w:t>undertaken</w:t>
      </w:r>
      <w:r w:rsidR="00F2725D">
        <w:t xml:space="preserve"> the initial telephone conversation, the claimant is then required to complete an application </w:t>
      </w:r>
      <w:r w:rsidR="0023023C">
        <w:t xml:space="preserve">form </w:t>
      </w:r>
      <w:r w:rsidR="00F2725D">
        <w:t>by hand and return it by post.</w:t>
      </w:r>
      <w:r w:rsidR="0023023C">
        <w:rPr>
          <w:rStyle w:val="FootnoteReference"/>
        </w:rPr>
        <w:footnoteReference w:id="38"/>
      </w:r>
    </w:p>
    <w:p w14:paraId="1AE3703D" w14:textId="77777777" w:rsidR="00960C9F" w:rsidRDefault="00960C9F" w:rsidP="004424B8">
      <w:pPr>
        <w:pStyle w:val="ListParagraph"/>
        <w:ind w:left="709"/>
        <w:rPr>
          <w:lang w:eastAsia="en-GB"/>
        </w:rPr>
      </w:pPr>
    </w:p>
    <w:p w14:paraId="2255A17D" w14:textId="1D59FA10" w:rsidR="00960C9F" w:rsidRDefault="0023023C" w:rsidP="004424B8">
      <w:pPr>
        <w:pStyle w:val="ListParagraph"/>
        <w:numPr>
          <w:ilvl w:val="1"/>
          <w:numId w:val="22"/>
        </w:numPr>
        <w:ind w:left="709" w:hanging="709"/>
        <w:rPr>
          <w:lang w:eastAsia="en-GB"/>
        </w:rPr>
      </w:pPr>
      <w:r w:rsidRPr="00960C9F">
        <w:rPr>
          <w:lang w:eastAsia="en-GB"/>
        </w:rPr>
        <w:t xml:space="preserve">Respondents to the Independent Reviewer of the PIP Assessment Process highlighted the difficulties they encountered in making a claim due to the lack of digital options. This prompted the Independent Reviewer to recommend that the Department </w:t>
      </w:r>
      <w:r w:rsidR="00402EFA">
        <w:rPr>
          <w:lang w:eastAsia="en-GB"/>
        </w:rPr>
        <w:t xml:space="preserve">for Communities </w:t>
      </w:r>
      <w:r w:rsidRPr="00960C9F">
        <w:rPr>
          <w:lang w:eastAsia="en-GB"/>
        </w:rPr>
        <w:t xml:space="preserve">provides </w:t>
      </w:r>
      <w:r>
        <w:t xml:space="preserve">“suitable, accessible options” for claimants wishing to apply and that </w:t>
      </w:r>
      <w:r w:rsidR="00446B9A">
        <w:t xml:space="preserve">training </w:t>
      </w:r>
      <w:proofErr w:type="gramStart"/>
      <w:r w:rsidR="00446B9A">
        <w:t>is reviewed</w:t>
      </w:r>
      <w:proofErr w:type="gramEnd"/>
      <w:r w:rsidR="00446B9A">
        <w:t xml:space="preserve"> to ensure that staff are </w:t>
      </w:r>
      <w:r>
        <w:t>fully aware of the “options available for claimants who find it challenging or impossible to communicate by telephone”.</w:t>
      </w:r>
      <w:r>
        <w:rPr>
          <w:rStyle w:val="FootnoteReference"/>
        </w:rPr>
        <w:footnoteReference w:id="39"/>
      </w:r>
      <w:r>
        <w:t xml:space="preserve"> The Department has accepted this recommendation.</w:t>
      </w:r>
      <w:r>
        <w:rPr>
          <w:rStyle w:val="FootnoteReference"/>
        </w:rPr>
        <w:footnoteReference w:id="40"/>
      </w:r>
      <w:r w:rsidR="00960C9F">
        <w:rPr>
          <w:lang w:eastAsia="en-GB"/>
        </w:rPr>
        <w:t xml:space="preserve"> </w:t>
      </w:r>
    </w:p>
    <w:p w14:paraId="4A20FD45" w14:textId="77777777" w:rsidR="00960C9F" w:rsidRPr="00960C9F" w:rsidRDefault="00960C9F" w:rsidP="004424B8">
      <w:pPr>
        <w:pStyle w:val="ListParagraph"/>
        <w:ind w:left="709"/>
        <w:rPr>
          <w:lang w:eastAsia="en-GB"/>
        </w:rPr>
      </w:pPr>
    </w:p>
    <w:p w14:paraId="6EA11721" w14:textId="31C9CDFD" w:rsidR="00960C9F" w:rsidRDefault="001B36EE" w:rsidP="004424B8">
      <w:pPr>
        <w:pStyle w:val="ListParagraph"/>
        <w:numPr>
          <w:ilvl w:val="1"/>
          <w:numId w:val="22"/>
        </w:numPr>
        <w:ind w:left="709" w:hanging="709"/>
        <w:rPr>
          <w:lang w:eastAsia="en-GB"/>
        </w:rPr>
      </w:pPr>
      <w:r>
        <w:rPr>
          <w:lang w:eastAsia="en-GB"/>
        </w:rPr>
        <w:t xml:space="preserve">The </w:t>
      </w:r>
      <w:r w:rsidR="005051C5" w:rsidRPr="00960C9F">
        <w:rPr>
          <w:lang w:eastAsia="en-GB"/>
        </w:rPr>
        <w:t xml:space="preserve">NIHRC further notes that other </w:t>
      </w:r>
      <w:r w:rsidR="00FB4BDE" w:rsidRPr="00960C9F">
        <w:rPr>
          <w:lang w:eastAsia="en-GB"/>
        </w:rPr>
        <w:t>types of financial support</w:t>
      </w:r>
      <w:r w:rsidR="005051C5" w:rsidRPr="00960C9F">
        <w:rPr>
          <w:lang w:eastAsia="en-GB"/>
        </w:rPr>
        <w:t>– such as Discretionary Support</w:t>
      </w:r>
      <w:r w:rsidR="00FB4BDE">
        <w:rPr>
          <w:rStyle w:val="FootnoteReference"/>
          <w:rFonts w:eastAsia="Times New Roman" w:cs="Segoe UI"/>
          <w:szCs w:val="24"/>
          <w:lang w:eastAsia="en-GB"/>
        </w:rPr>
        <w:footnoteReference w:id="41"/>
      </w:r>
      <w:r w:rsidR="005051C5" w:rsidRPr="00960C9F">
        <w:rPr>
          <w:lang w:eastAsia="en-GB"/>
        </w:rPr>
        <w:t xml:space="preserve"> – </w:t>
      </w:r>
      <w:r w:rsidR="00FB4BDE" w:rsidRPr="00960C9F">
        <w:rPr>
          <w:lang w:eastAsia="en-GB"/>
        </w:rPr>
        <w:t xml:space="preserve">are not </w:t>
      </w:r>
      <w:r w:rsidR="00446B9A" w:rsidRPr="00960C9F">
        <w:rPr>
          <w:lang w:eastAsia="en-GB"/>
        </w:rPr>
        <w:t xml:space="preserve">currently </w:t>
      </w:r>
      <w:r w:rsidR="00FB4BDE" w:rsidRPr="00960C9F">
        <w:rPr>
          <w:lang w:eastAsia="en-GB"/>
        </w:rPr>
        <w:t>a</w:t>
      </w:r>
      <w:r w:rsidR="006F71C4">
        <w:rPr>
          <w:lang w:eastAsia="en-GB"/>
        </w:rPr>
        <w:t xml:space="preserve">ccessible through digital means; </w:t>
      </w:r>
      <w:proofErr w:type="gramStart"/>
      <w:r w:rsidR="006F71C4">
        <w:rPr>
          <w:lang w:eastAsia="en-GB"/>
        </w:rPr>
        <w:t>instead</w:t>
      </w:r>
      <w:proofErr w:type="gramEnd"/>
      <w:r w:rsidR="006F71C4">
        <w:rPr>
          <w:lang w:eastAsia="en-GB"/>
        </w:rPr>
        <w:t xml:space="preserve"> claimants are directed to apply by telephone. </w:t>
      </w:r>
    </w:p>
    <w:p w14:paraId="35014FBD" w14:textId="77777777" w:rsidR="00960C9F" w:rsidRPr="00960C9F" w:rsidRDefault="00FB4BDE" w:rsidP="004424B8">
      <w:pPr>
        <w:pStyle w:val="ListParagraph"/>
        <w:ind w:left="709"/>
        <w:rPr>
          <w:lang w:eastAsia="en-GB"/>
        </w:rPr>
      </w:pPr>
      <w:r w:rsidRPr="00960C9F">
        <w:rPr>
          <w:lang w:eastAsia="en-GB"/>
        </w:rPr>
        <w:t xml:space="preserve"> </w:t>
      </w:r>
    </w:p>
    <w:p w14:paraId="0E5CDE27" w14:textId="77777777" w:rsidR="005C7496" w:rsidRPr="004424B8" w:rsidRDefault="00223EF5" w:rsidP="004424B8">
      <w:pPr>
        <w:pStyle w:val="ListParagraph"/>
        <w:numPr>
          <w:ilvl w:val="1"/>
          <w:numId w:val="22"/>
        </w:numPr>
        <w:ind w:left="709" w:hanging="709"/>
        <w:rPr>
          <w:b/>
          <w:lang w:eastAsia="en-GB"/>
        </w:rPr>
      </w:pPr>
      <w:r w:rsidRPr="004424B8">
        <w:rPr>
          <w:b/>
          <w:lang w:eastAsia="en-GB"/>
        </w:rPr>
        <w:t>The NIHRC recommends that</w:t>
      </w:r>
      <w:r w:rsidR="005C7496" w:rsidRPr="004424B8">
        <w:rPr>
          <w:b/>
          <w:lang w:eastAsia="en-GB"/>
        </w:rPr>
        <w:t>:</w:t>
      </w:r>
    </w:p>
    <w:p w14:paraId="1BC34581" w14:textId="77777777" w:rsidR="005C7496" w:rsidRPr="004424B8" w:rsidRDefault="005C7496" w:rsidP="004424B8">
      <w:pPr>
        <w:pStyle w:val="ListParagraph"/>
        <w:rPr>
          <w:rFonts w:eastAsia="Times New Roman" w:cs="Segoe UI"/>
          <w:b/>
          <w:szCs w:val="24"/>
          <w:lang w:eastAsia="en-GB"/>
        </w:rPr>
      </w:pPr>
    </w:p>
    <w:p w14:paraId="2D4E1658" w14:textId="77777777" w:rsidR="00944B4E" w:rsidRPr="004424B8" w:rsidRDefault="005C7496" w:rsidP="004424B8">
      <w:pPr>
        <w:pStyle w:val="ListParagraph"/>
        <w:numPr>
          <w:ilvl w:val="0"/>
          <w:numId w:val="26"/>
        </w:numPr>
        <w:spacing w:before="100" w:beforeAutospacing="1" w:after="240" w:line="276" w:lineRule="auto"/>
        <w:ind w:left="1134" w:hanging="425"/>
        <w:rPr>
          <w:rFonts w:eastAsia="Times New Roman" w:cs="Segoe UI"/>
          <w:szCs w:val="24"/>
          <w:lang w:eastAsia="en-GB"/>
        </w:rPr>
      </w:pPr>
      <w:r>
        <w:rPr>
          <w:rFonts w:eastAsia="Times New Roman" w:cs="Segoe UI"/>
          <w:b/>
          <w:szCs w:val="24"/>
          <w:lang w:eastAsia="en-GB"/>
        </w:rPr>
        <w:t>T</w:t>
      </w:r>
      <w:r w:rsidR="00223EF5" w:rsidRPr="004424B8">
        <w:rPr>
          <w:rFonts w:eastAsia="Times New Roman" w:cs="Segoe UI"/>
          <w:b/>
          <w:szCs w:val="24"/>
          <w:lang w:eastAsia="en-GB"/>
        </w:rPr>
        <w:t>he application process for social security benefits, particularly those concerning persons with disabilities</w:t>
      </w:r>
      <w:r w:rsidR="00446B9A">
        <w:rPr>
          <w:rFonts w:eastAsia="Times New Roman" w:cs="Segoe UI"/>
          <w:b/>
          <w:szCs w:val="24"/>
          <w:lang w:eastAsia="en-GB"/>
        </w:rPr>
        <w:t>,</w:t>
      </w:r>
      <w:r w:rsidR="00223EF5" w:rsidRPr="004424B8">
        <w:rPr>
          <w:rFonts w:eastAsia="Times New Roman" w:cs="Segoe UI"/>
          <w:b/>
          <w:szCs w:val="24"/>
          <w:lang w:eastAsia="en-GB"/>
        </w:rPr>
        <w:t xml:space="preserve"> is fully accessible and provides for reasonable accommodation. This includes periodically monitoring and evaluating these processes and taking the required actions to address any inaccessibility issues.</w:t>
      </w:r>
    </w:p>
    <w:p w14:paraId="27BBF574" w14:textId="77777777" w:rsidR="005C7496" w:rsidRDefault="00223EF5" w:rsidP="004424B8">
      <w:pPr>
        <w:pStyle w:val="ListParagraph"/>
        <w:spacing w:before="100" w:beforeAutospacing="1" w:after="240" w:line="276" w:lineRule="auto"/>
        <w:ind w:left="1418" w:hanging="709"/>
        <w:rPr>
          <w:rFonts w:eastAsia="Times New Roman" w:cs="Segoe UI"/>
          <w:b/>
          <w:szCs w:val="24"/>
          <w:lang w:eastAsia="en-GB"/>
        </w:rPr>
      </w:pPr>
      <w:r w:rsidRPr="004424B8">
        <w:rPr>
          <w:rFonts w:eastAsia="Times New Roman" w:cs="Segoe UI"/>
          <w:b/>
          <w:szCs w:val="24"/>
          <w:lang w:eastAsia="en-GB"/>
        </w:rPr>
        <w:t xml:space="preserve"> </w:t>
      </w:r>
    </w:p>
    <w:p w14:paraId="70C4218E" w14:textId="77777777" w:rsidR="00223EF5" w:rsidRPr="00A02FCD" w:rsidRDefault="005C7496" w:rsidP="004424B8">
      <w:pPr>
        <w:pStyle w:val="ListParagraph"/>
        <w:numPr>
          <w:ilvl w:val="0"/>
          <w:numId w:val="26"/>
        </w:numPr>
        <w:spacing w:before="100" w:beforeAutospacing="1" w:after="240" w:line="276" w:lineRule="auto"/>
        <w:ind w:left="1134" w:hanging="425"/>
        <w:rPr>
          <w:rFonts w:eastAsia="Times New Roman" w:cs="Segoe UI"/>
          <w:b/>
          <w:szCs w:val="24"/>
          <w:lang w:eastAsia="en-GB"/>
        </w:rPr>
      </w:pPr>
      <w:r>
        <w:rPr>
          <w:rFonts w:eastAsia="Times New Roman" w:cs="Segoe UI"/>
          <w:b/>
          <w:szCs w:val="24"/>
          <w:lang w:eastAsia="en-GB"/>
        </w:rPr>
        <w:t>E</w:t>
      </w:r>
      <w:r w:rsidR="00A02FCD" w:rsidRPr="00A02FCD">
        <w:rPr>
          <w:rFonts w:eastAsia="Times New Roman" w:cs="Segoe UI"/>
          <w:b/>
          <w:szCs w:val="24"/>
          <w:lang w:eastAsia="en-GB"/>
        </w:rPr>
        <w:t xml:space="preserve">ffective training on accessibility </w:t>
      </w:r>
      <w:proofErr w:type="gramStart"/>
      <w:r w:rsidR="00A02FCD" w:rsidRPr="00A02FCD">
        <w:rPr>
          <w:rFonts w:eastAsia="Times New Roman" w:cs="Segoe UI"/>
          <w:b/>
          <w:szCs w:val="24"/>
          <w:lang w:eastAsia="en-GB"/>
        </w:rPr>
        <w:t>is provided</w:t>
      </w:r>
      <w:proofErr w:type="gramEnd"/>
      <w:r w:rsidR="00A02FCD" w:rsidRPr="00A02FCD">
        <w:rPr>
          <w:rFonts w:eastAsia="Times New Roman" w:cs="Segoe UI"/>
          <w:b/>
          <w:szCs w:val="24"/>
          <w:lang w:eastAsia="en-GB"/>
        </w:rPr>
        <w:t xml:space="preserve"> to all staff that interact with social security claimants, with a particular focus on persons with disabilities.</w:t>
      </w:r>
    </w:p>
    <w:p w14:paraId="2F482A31" w14:textId="77777777" w:rsidR="00223EF5" w:rsidRDefault="00223EF5" w:rsidP="00223EF5">
      <w:pPr>
        <w:pStyle w:val="ListParagraph"/>
        <w:spacing w:before="100" w:beforeAutospacing="1" w:after="240" w:line="276" w:lineRule="auto"/>
        <w:ind w:left="709"/>
        <w:rPr>
          <w:rFonts w:eastAsia="Times New Roman" w:cs="Segoe UI"/>
          <w:szCs w:val="24"/>
          <w:lang w:eastAsia="en-GB"/>
        </w:rPr>
      </w:pPr>
    </w:p>
    <w:p w14:paraId="7E8758F6" w14:textId="77777777" w:rsidR="00223EF5" w:rsidRPr="00EA01C0" w:rsidRDefault="00223EF5" w:rsidP="004424B8">
      <w:pPr>
        <w:pStyle w:val="Heading1"/>
        <w:numPr>
          <w:ilvl w:val="0"/>
          <w:numId w:val="22"/>
        </w:numPr>
        <w:rPr>
          <w:rFonts w:eastAsia="Times New Roman"/>
          <w:lang w:eastAsia="en-GB"/>
        </w:rPr>
      </w:pPr>
      <w:bookmarkStart w:id="4" w:name="_Toc8296983"/>
      <w:r w:rsidRPr="00EA01C0">
        <w:rPr>
          <w:rFonts w:eastAsia="Times New Roman"/>
          <w:lang w:eastAsia="en-GB"/>
        </w:rPr>
        <w:lastRenderedPageBreak/>
        <w:t>EU Settlement Scheme</w:t>
      </w:r>
      <w:bookmarkEnd w:id="4"/>
    </w:p>
    <w:p w14:paraId="296CDA4B" w14:textId="6B267659" w:rsidR="00960C9F" w:rsidRDefault="004C1A97">
      <w:pPr>
        <w:pStyle w:val="ListParagraph"/>
        <w:numPr>
          <w:ilvl w:val="1"/>
          <w:numId w:val="22"/>
        </w:numPr>
        <w:spacing w:before="100" w:beforeAutospacing="1" w:after="240" w:line="276" w:lineRule="auto"/>
        <w:ind w:left="709" w:hanging="709"/>
        <w:rPr>
          <w:rFonts w:eastAsia="Times New Roman" w:cs="Segoe UI"/>
          <w:szCs w:val="24"/>
          <w:lang w:eastAsia="en-GB"/>
        </w:rPr>
      </w:pPr>
      <w:r>
        <w:rPr>
          <w:rFonts w:eastAsia="Times New Roman" w:cs="Segoe UI"/>
          <w:szCs w:val="24"/>
          <w:lang w:eastAsia="en-GB"/>
        </w:rPr>
        <w:t>Due to</w:t>
      </w:r>
      <w:r w:rsidR="00D84DD7" w:rsidRPr="004424B8">
        <w:rPr>
          <w:rFonts w:eastAsia="Times New Roman" w:cs="Segoe UI"/>
          <w:szCs w:val="24"/>
          <w:lang w:eastAsia="en-GB"/>
        </w:rPr>
        <w:t xml:space="preserve"> the UK leaving the </w:t>
      </w:r>
      <w:r w:rsidR="00E31312" w:rsidRPr="004424B8">
        <w:rPr>
          <w:rFonts w:eastAsia="Times New Roman" w:cs="Segoe UI"/>
          <w:szCs w:val="24"/>
          <w:lang w:eastAsia="en-GB"/>
        </w:rPr>
        <w:t xml:space="preserve">European </w:t>
      </w:r>
      <w:r w:rsidR="00D84DD7" w:rsidRPr="004424B8">
        <w:rPr>
          <w:rFonts w:eastAsia="Times New Roman" w:cs="Segoe UI"/>
          <w:szCs w:val="24"/>
          <w:lang w:eastAsia="en-GB"/>
        </w:rPr>
        <w:t>U</w:t>
      </w:r>
      <w:r w:rsidR="00E31312" w:rsidRPr="004424B8">
        <w:rPr>
          <w:rFonts w:eastAsia="Times New Roman" w:cs="Segoe UI"/>
          <w:szCs w:val="24"/>
          <w:lang w:eastAsia="en-GB"/>
        </w:rPr>
        <w:t>nion (EU)</w:t>
      </w:r>
      <w:r w:rsidR="00D84DD7" w:rsidRPr="004424B8">
        <w:rPr>
          <w:rFonts w:eastAsia="Times New Roman" w:cs="Segoe UI"/>
          <w:szCs w:val="24"/>
          <w:lang w:eastAsia="en-GB"/>
        </w:rPr>
        <w:t>, all E</w:t>
      </w:r>
      <w:r w:rsidR="00E31312" w:rsidRPr="004424B8">
        <w:rPr>
          <w:rFonts w:eastAsia="Times New Roman" w:cs="Segoe UI"/>
          <w:szCs w:val="24"/>
          <w:lang w:eastAsia="en-GB"/>
        </w:rPr>
        <w:t xml:space="preserve">uropean </w:t>
      </w:r>
      <w:r w:rsidR="00D84DD7" w:rsidRPr="004424B8">
        <w:rPr>
          <w:rFonts w:eastAsia="Times New Roman" w:cs="Segoe UI"/>
          <w:szCs w:val="24"/>
          <w:lang w:eastAsia="en-GB"/>
        </w:rPr>
        <w:t>E</w:t>
      </w:r>
      <w:r w:rsidR="00E31312" w:rsidRPr="004424B8">
        <w:rPr>
          <w:rFonts w:eastAsia="Times New Roman" w:cs="Segoe UI"/>
          <w:szCs w:val="24"/>
          <w:lang w:eastAsia="en-GB"/>
        </w:rPr>
        <w:t xml:space="preserve">conomic </w:t>
      </w:r>
      <w:r w:rsidR="00D84DD7" w:rsidRPr="004424B8">
        <w:rPr>
          <w:rFonts w:eastAsia="Times New Roman" w:cs="Segoe UI"/>
          <w:szCs w:val="24"/>
          <w:lang w:eastAsia="en-GB"/>
        </w:rPr>
        <w:t>A</w:t>
      </w:r>
      <w:r w:rsidR="00E31312" w:rsidRPr="004424B8">
        <w:rPr>
          <w:rFonts w:eastAsia="Times New Roman" w:cs="Segoe UI"/>
          <w:szCs w:val="24"/>
          <w:lang w:eastAsia="en-GB"/>
        </w:rPr>
        <w:t>rea (EEA)</w:t>
      </w:r>
      <w:r w:rsidR="00D84DD7" w:rsidRPr="004424B8">
        <w:rPr>
          <w:rFonts w:eastAsia="Times New Roman" w:cs="Segoe UI"/>
          <w:szCs w:val="24"/>
          <w:lang w:eastAsia="en-GB"/>
        </w:rPr>
        <w:t xml:space="preserve"> citizens living in the UK will be required to register with the EU Settlement Scheme in order to secure their entitlements post</w:t>
      </w:r>
      <w:r w:rsidR="00E31312" w:rsidRPr="004424B8">
        <w:rPr>
          <w:rFonts w:eastAsia="Times New Roman" w:cs="Segoe UI"/>
          <w:szCs w:val="24"/>
          <w:lang w:eastAsia="en-GB"/>
        </w:rPr>
        <w:t>-</w:t>
      </w:r>
      <w:proofErr w:type="spellStart"/>
      <w:r w:rsidR="00D84DD7" w:rsidRPr="004424B8">
        <w:rPr>
          <w:rFonts w:eastAsia="Times New Roman" w:cs="Segoe UI"/>
          <w:szCs w:val="24"/>
          <w:lang w:eastAsia="en-GB"/>
        </w:rPr>
        <w:t>Brexit</w:t>
      </w:r>
      <w:proofErr w:type="spellEnd"/>
      <w:r w:rsidR="00D84DD7" w:rsidRPr="004424B8">
        <w:rPr>
          <w:rFonts w:eastAsia="Times New Roman" w:cs="Segoe UI"/>
          <w:szCs w:val="24"/>
          <w:lang w:eastAsia="en-GB"/>
        </w:rPr>
        <w:t xml:space="preserve">. The </w:t>
      </w:r>
      <w:proofErr w:type="gramStart"/>
      <w:r w:rsidR="00D84DD7" w:rsidRPr="004424B8">
        <w:rPr>
          <w:rFonts w:eastAsia="Times New Roman" w:cs="Segoe UI"/>
          <w:szCs w:val="24"/>
          <w:lang w:eastAsia="en-GB"/>
        </w:rPr>
        <w:t>EU Settlement Scheme</w:t>
      </w:r>
      <w:r w:rsidR="00E31312" w:rsidRPr="004424B8">
        <w:rPr>
          <w:rFonts w:eastAsia="Times New Roman" w:cs="Segoe UI"/>
          <w:szCs w:val="24"/>
          <w:lang w:eastAsia="en-GB"/>
        </w:rPr>
        <w:t>, which went live on 30 March 3019,</w:t>
      </w:r>
      <w:r w:rsidR="00D84DD7" w:rsidRPr="004424B8">
        <w:rPr>
          <w:rFonts w:eastAsia="Times New Roman" w:cs="Segoe UI"/>
          <w:szCs w:val="24"/>
          <w:lang w:eastAsia="en-GB"/>
        </w:rPr>
        <w:t xml:space="preserve"> is managed by the Home Office</w:t>
      </w:r>
      <w:proofErr w:type="gramEnd"/>
      <w:r w:rsidR="00D84DD7" w:rsidRPr="004424B8">
        <w:rPr>
          <w:rFonts w:eastAsia="Times New Roman" w:cs="Segoe UI"/>
          <w:szCs w:val="24"/>
          <w:lang w:eastAsia="en-GB"/>
        </w:rPr>
        <w:t xml:space="preserve">. </w:t>
      </w:r>
      <w:r w:rsidR="00E3383D" w:rsidRPr="004424B8">
        <w:rPr>
          <w:rFonts w:eastAsia="Times New Roman" w:cs="Segoe UI"/>
          <w:szCs w:val="24"/>
          <w:lang w:eastAsia="en-GB"/>
        </w:rPr>
        <w:t xml:space="preserve">The deadline for applying to the scheme is </w:t>
      </w:r>
      <w:r w:rsidR="005113A7" w:rsidRPr="004424B8">
        <w:rPr>
          <w:rFonts w:eastAsia="Times New Roman" w:cs="Segoe UI"/>
          <w:szCs w:val="24"/>
          <w:lang w:eastAsia="en-GB"/>
        </w:rPr>
        <w:t xml:space="preserve">either 30 June </w:t>
      </w:r>
      <w:r w:rsidR="00E3383D" w:rsidRPr="004424B8">
        <w:rPr>
          <w:rFonts w:eastAsia="Times New Roman" w:cs="Segoe UI"/>
          <w:szCs w:val="24"/>
          <w:lang w:eastAsia="en-GB"/>
        </w:rPr>
        <w:t>2021 or 31 December 2020</w:t>
      </w:r>
      <w:r w:rsidR="005113A7" w:rsidRPr="004424B8">
        <w:rPr>
          <w:rFonts w:eastAsia="Times New Roman" w:cs="Segoe UI"/>
          <w:szCs w:val="24"/>
          <w:lang w:eastAsia="en-GB"/>
        </w:rPr>
        <w:t xml:space="preserve">, depending on whether </w:t>
      </w:r>
      <w:r w:rsidR="00E3383D" w:rsidRPr="004424B8">
        <w:rPr>
          <w:rFonts w:eastAsia="Times New Roman" w:cs="Segoe UI"/>
          <w:szCs w:val="24"/>
          <w:lang w:eastAsia="en-GB"/>
        </w:rPr>
        <w:t xml:space="preserve">the UK leaves the EU </w:t>
      </w:r>
      <w:r w:rsidR="00FE271B" w:rsidRPr="004424B8">
        <w:rPr>
          <w:rFonts w:eastAsia="Times New Roman" w:cs="Segoe UI"/>
          <w:szCs w:val="24"/>
          <w:lang w:eastAsia="en-GB"/>
        </w:rPr>
        <w:t xml:space="preserve">with </w:t>
      </w:r>
      <w:r w:rsidR="00E3383D" w:rsidRPr="004424B8">
        <w:rPr>
          <w:rFonts w:eastAsia="Times New Roman" w:cs="Segoe UI"/>
          <w:szCs w:val="24"/>
          <w:lang w:eastAsia="en-GB"/>
        </w:rPr>
        <w:t>a deal.</w:t>
      </w:r>
    </w:p>
    <w:p w14:paraId="4FFF2BB6" w14:textId="77777777" w:rsidR="00960C9F" w:rsidRPr="004424B8" w:rsidRDefault="00E3383D" w:rsidP="004424B8">
      <w:pPr>
        <w:pStyle w:val="ListParagraph"/>
        <w:spacing w:before="100" w:beforeAutospacing="1" w:after="240" w:line="276" w:lineRule="auto"/>
        <w:ind w:left="709"/>
        <w:rPr>
          <w:rFonts w:eastAsia="Times New Roman" w:cs="Segoe UI"/>
          <w:szCs w:val="24"/>
          <w:lang w:eastAsia="en-GB"/>
        </w:rPr>
      </w:pPr>
      <w:r w:rsidRPr="004424B8">
        <w:rPr>
          <w:rFonts w:eastAsia="Times New Roman" w:cs="Segoe UI"/>
          <w:szCs w:val="24"/>
          <w:lang w:eastAsia="en-GB"/>
        </w:rPr>
        <w:t xml:space="preserve"> </w:t>
      </w:r>
    </w:p>
    <w:p w14:paraId="0B3CD55D" w14:textId="77777777" w:rsidR="00960C9F" w:rsidRDefault="008C3F23" w:rsidP="004424B8">
      <w:pPr>
        <w:pStyle w:val="ListParagraph"/>
        <w:numPr>
          <w:ilvl w:val="1"/>
          <w:numId w:val="22"/>
        </w:numPr>
        <w:ind w:left="709" w:hanging="709"/>
        <w:rPr>
          <w:lang w:eastAsia="en-GB"/>
        </w:rPr>
      </w:pPr>
      <w:r w:rsidRPr="00960C9F">
        <w:rPr>
          <w:lang w:eastAsia="en-GB"/>
        </w:rPr>
        <w:t xml:space="preserve">EEA citizens who do not apply for settled status before the deadline </w:t>
      </w:r>
      <w:r w:rsidR="007A579C">
        <w:rPr>
          <w:lang w:eastAsia="en-GB"/>
        </w:rPr>
        <w:t>may</w:t>
      </w:r>
      <w:r w:rsidRPr="00960C9F">
        <w:rPr>
          <w:lang w:eastAsia="en-GB"/>
        </w:rPr>
        <w:t xml:space="preserve"> lose their right to live, work and access social security in the UK. Therefore, the ability to secure Settled Status is essential for EEA nationals in safeguarding their futu</w:t>
      </w:r>
      <w:r w:rsidR="001739C6" w:rsidRPr="00960C9F">
        <w:rPr>
          <w:lang w:eastAsia="en-GB"/>
        </w:rPr>
        <w:t>re access to social protections</w:t>
      </w:r>
      <w:r w:rsidR="00960C9F">
        <w:rPr>
          <w:lang w:eastAsia="en-GB"/>
        </w:rPr>
        <w:t>.</w:t>
      </w:r>
    </w:p>
    <w:p w14:paraId="37D20802" w14:textId="77777777" w:rsidR="00960C9F" w:rsidRDefault="00960C9F" w:rsidP="004424B8">
      <w:pPr>
        <w:pStyle w:val="ListParagraph"/>
        <w:ind w:left="709"/>
        <w:rPr>
          <w:lang w:eastAsia="en-GB"/>
        </w:rPr>
      </w:pPr>
      <w:r>
        <w:rPr>
          <w:lang w:eastAsia="en-GB"/>
        </w:rPr>
        <w:t xml:space="preserve"> </w:t>
      </w:r>
    </w:p>
    <w:p w14:paraId="0F8A098C" w14:textId="77777777" w:rsidR="001C3E6F" w:rsidRDefault="00D84DD7" w:rsidP="004424B8">
      <w:pPr>
        <w:pStyle w:val="ListParagraph"/>
        <w:numPr>
          <w:ilvl w:val="1"/>
          <w:numId w:val="22"/>
        </w:numPr>
        <w:ind w:left="709" w:hanging="709"/>
        <w:rPr>
          <w:lang w:eastAsia="en-GB"/>
        </w:rPr>
      </w:pPr>
      <w:r w:rsidRPr="00960C9F">
        <w:rPr>
          <w:lang w:eastAsia="en-GB"/>
        </w:rPr>
        <w:t>The EU Settlement Scheme application process is online</w:t>
      </w:r>
      <w:r w:rsidR="004D47FA" w:rsidRPr="00960C9F">
        <w:rPr>
          <w:lang w:eastAsia="en-GB"/>
        </w:rPr>
        <w:t xml:space="preserve"> and </w:t>
      </w:r>
      <w:r w:rsidRPr="00960C9F">
        <w:rPr>
          <w:lang w:eastAsia="en-GB"/>
        </w:rPr>
        <w:t xml:space="preserve">applicants must download an app to make the application. </w:t>
      </w:r>
      <w:r w:rsidR="007C419C" w:rsidRPr="00960C9F">
        <w:rPr>
          <w:lang w:eastAsia="en-GB"/>
        </w:rPr>
        <w:t xml:space="preserve">The application process marks a significant departure from </w:t>
      </w:r>
      <w:r w:rsidR="004D47FA" w:rsidRPr="00960C9F">
        <w:rPr>
          <w:lang w:eastAsia="en-GB"/>
        </w:rPr>
        <w:t xml:space="preserve">previous </w:t>
      </w:r>
      <w:r w:rsidR="007C419C" w:rsidRPr="00960C9F">
        <w:rPr>
          <w:lang w:eastAsia="en-GB"/>
        </w:rPr>
        <w:t xml:space="preserve">Home Office </w:t>
      </w:r>
      <w:r w:rsidR="00AE0E0D" w:rsidRPr="00960C9F">
        <w:rPr>
          <w:lang w:eastAsia="en-GB"/>
        </w:rPr>
        <w:t>applications, which often involve lengthy application forms</w:t>
      </w:r>
      <w:r w:rsidR="000716AC" w:rsidRPr="00960C9F">
        <w:rPr>
          <w:lang w:eastAsia="en-GB"/>
        </w:rPr>
        <w:t xml:space="preserve">. By comparison, </w:t>
      </w:r>
      <w:r w:rsidRPr="00960C9F">
        <w:rPr>
          <w:lang w:eastAsia="en-GB"/>
        </w:rPr>
        <w:t xml:space="preserve">most applicants to the </w:t>
      </w:r>
      <w:r w:rsidR="000716AC" w:rsidRPr="00960C9F">
        <w:rPr>
          <w:lang w:eastAsia="en-GB"/>
        </w:rPr>
        <w:t xml:space="preserve">EU Settlement Scheme </w:t>
      </w:r>
      <w:r w:rsidRPr="00960C9F">
        <w:rPr>
          <w:lang w:eastAsia="en-GB"/>
        </w:rPr>
        <w:t xml:space="preserve">will find it </w:t>
      </w:r>
      <w:r w:rsidR="00056E04" w:rsidRPr="00960C9F">
        <w:rPr>
          <w:lang w:eastAsia="en-GB"/>
        </w:rPr>
        <w:t xml:space="preserve">relatively </w:t>
      </w:r>
      <w:r w:rsidRPr="00960C9F">
        <w:rPr>
          <w:lang w:eastAsia="en-GB"/>
        </w:rPr>
        <w:t xml:space="preserve">faster and simpler. </w:t>
      </w:r>
      <w:r w:rsidR="00053B6D" w:rsidRPr="00960C9F">
        <w:rPr>
          <w:lang w:eastAsia="en-GB"/>
        </w:rPr>
        <w:t xml:space="preserve">In determining EU Settlement applications, the Home Office has also adopted </w:t>
      </w:r>
      <w:r w:rsidR="002D0DF9" w:rsidRPr="00960C9F">
        <w:rPr>
          <w:lang w:eastAsia="en-GB"/>
        </w:rPr>
        <w:t>the principle of “evidential flexibility”</w:t>
      </w:r>
      <w:r w:rsidR="00053B6D" w:rsidRPr="00960C9F">
        <w:rPr>
          <w:lang w:eastAsia="en-GB"/>
        </w:rPr>
        <w:t xml:space="preserve"> </w:t>
      </w:r>
      <w:r w:rsidR="002D0DF9" w:rsidRPr="00960C9F">
        <w:rPr>
          <w:lang w:eastAsia="en-GB"/>
        </w:rPr>
        <w:t xml:space="preserve">whereby </w:t>
      </w:r>
      <w:r w:rsidR="00053B6D" w:rsidRPr="00960C9F">
        <w:rPr>
          <w:lang w:eastAsia="en-GB"/>
        </w:rPr>
        <w:t xml:space="preserve">decision makers </w:t>
      </w:r>
      <w:r w:rsidR="002D0DF9" w:rsidRPr="00960C9F">
        <w:rPr>
          <w:lang w:eastAsia="en-GB"/>
        </w:rPr>
        <w:t xml:space="preserve">work with </w:t>
      </w:r>
      <w:r w:rsidR="00053B6D" w:rsidRPr="00960C9F">
        <w:rPr>
          <w:lang w:eastAsia="en-GB"/>
        </w:rPr>
        <w:t>claimants</w:t>
      </w:r>
      <w:r w:rsidR="00EC3835" w:rsidRPr="00960C9F">
        <w:rPr>
          <w:lang w:eastAsia="en-GB"/>
        </w:rPr>
        <w:t xml:space="preserve"> to avoid “any errors or omissions” and to obtain </w:t>
      </w:r>
      <w:r w:rsidR="002D0DF9" w:rsidRPr="00960C9F">
        <w:rPr>
          <w:lang w:eastAsia="en-GB"/>
        </w:rPr>
        <w:t>supplementary</w:t>
      </w:r>
      <w:r w:rsidR="00053B6D" w:rsidRPr="00960C9F">
        <w:rPr>
          <w:lang w:eastAsia="en-GB"/>
        </w:rPr>
        <w:t xml:space="preserve"> documentation i</w:t>
      </w:r>
      <w:r w:rsidR="00EC3835" w:rsidRPr="00960C9F">
        <w:rPr>
          <w:lang w:eastAsia="en-GB"/>
        </w:rPr>
        <w:t>f</w:t>
      </w:r>
      <w:r w:rsidR="00053B6D" w:rsidRPr="00960C9F">
        <w:rPr>
          <w:lang w:eastAsia="en-GB"/>
        </w:rPr>
        <w:t xml:space="preserve"> required.</w:t>
      </w:r>
      <w:r w:rsidR="002D0DF9">
        <w:rPr>
          <w:rStyle w:val="FootnoteReference"/>
          <w:rFonts w:eastAsia="Times New Roman" w:cs="Segoe UI"/>
          <w:szCs w:val="24"/>
          <w:lang w:eastAsia="en-GB"/>
        </w:rPr>
        <w:footnoteReference w:id="42"/>
      </w:r>
    </w:p>
    <w:p w14:paraId="3D9D0B03" w14:textId="77777777" w:rsidR="001C3E6F" w:rsidRDefault="001C3E6F" w:rsidP="004424B8">
      <w:pPr>
        <w:pStyle w:val="ListParagraph"/>
        <w:ind w:left="709"/>
        <w:rPr>
          <w:lang w:eastAsia="en-GB"/>
        </w:rPr>
      </w:pPr>
      <w:r>
        <w:rPr>
          <w:lang w:eastAsia="en-GB"/>
        </w:rPr>
        <w:t xml:space="preserve"> </w:t>
      </w:r>
    </w:p>
    <w:p w14:paraId="4CBC530C" w14:textId="77777777" w:rsidR="001C3E6F" w:rsidRDefault="000716AC" w:rsidP="004424B8">
      <w:pPr>
        <w:pStyle w:val="ListParagraph"/>
        <w:numPr>
          <w:ilvl w:val="1"/>
          <w:numId w:val="22"/>
        </w:numPr>
        <w:ind w:left="709" w:hanging="709"/>
        <w:rPr>
          <w:lang w:eastAsia="en-GB"/>
        </w:rPr>
      </w:pPr>
      <w:r w:rsidRPr="00960C9F">
        <w:rPr>
          <w:lang w:eastAsia="en-GB"/>
        </w:rPr>
        <w:t xml:space="preserve">The Home Office has established an ‘Assisted Digital Service’, which can provide telephone and face-to-face assistance to EEA citizens who lack the digital skills to complete the application process. This is welcomed. </w:t>
      </w:r>
      <w:r w:rsidR="00F470A3" w:rsidRPr="00960C9F">
        <w:rPr>
          <w:lang w:eastAsia="en-GB"/>
        </w:rPr>
        <w:t>However, the</w:t>
      </w:r>
      <w:r w:rsidRPr="00960C9F">
        <w:rPr>
          <w:lang w:eastAsia="en-GB"/>
        </w:rPr>
        <w:t xml:space="preserve"> service is currently only available in two locations in Northern Ireland</w:t>
      </w:r>
      <w:r w:rsidR="008C3F23" w:rsidRPr="00960C9F">
        <w:rPr>
          <w:lang w:eastAsia="en-GB"/>
        </w:rPr>
        <w:t xml:space="preserve">: Lisburn and </w:t>
      </w:r>
      <w:proofErr w:type="spellStart"/>
      <w:r w:rsidR="008C3F23" w:rsidRPr="00960C9F">
        <w:rPr>
          <w:lang w:eastAsia="en-GB"/>
        </w:rPr>
        <w:t>Dundonald</w:t>
      </w:r>
      <w:proofErr w:type="spellEnd"/>
      <w:r w:rsidR="00446B9A" w:rsidRPr="00960C9F">
        <w:rPr>
          <w:lang w:eastAsia="en-GB"/>
        </w:rPr>
        <w:t>,</w:t>
      </w:r>
      <w:r w:rsidR="008C3F23" w:rsidRPr="00EA01C0">
        <w:rPr>
          <w:rStyle w:val="FootnoteReference"/>
          <w:rFonts w:eastAsia="Times New Roman" w:cs="Segoe UI"/>
          <w:szCs w:val="24"/>
          <w:lang w:eastAsia="en-GB"/>
        </w:rPr>
        <w:footnoteReference w:id="43"/>
      </w:r>
      <w:r w:rsidR="008C3F23" w:rsidRPr="00960C9F">
        <w:rPr>
          <w:lang w:eastAsia="en-GB"/>
        </w:rPr>
        <w:t xml:space="preserve"> </w:t>
      </w:r>
      <w:r w:rsidR="00446B9A" w:rsidRPr="00960C9F">
        <w:rPr>
          <w:lang w:eastAsia="en-GB"/>
        </w:rPr>
        <w:t>with a</w:t>
      </w:r>
      <w:r w:rsidR="008C3F23" w:rsidRPr="00960C9F">
        <w:rPr>
          <w:lang w:eastAsia="en-GB"/>
        </w:rPr>
        <w:t xml:space="preserve">n outreach service available </w:t>
      </w:r>
      <w:r w:rsidR="00BB5D7C" w:rsidRPr="00960C9F">
        <w:rPr>
          <w:lang w:eastAsia="en-GB"/>
        </w:rPr>
        <w:t>from</w:t>
      </w:r>
      <w:r w:rsidR="008C3F23" w:rsidRPr="00960C9F">
        <w:rPr>
          <w:lang w:eastAsia="en-GB"/>
        </w:rPr>
        <w:t xml:space="preserve"> a </w:t>
      </w:r>
      <w:r w:rsidR="00446B9A" w:rsidRPr="00960C9F">
        <w:rPr>
          <w:lang w:eastAsia="en-GB"/>
        </w:rPr>
        <w:t xml:space="preserve">further </w:t>
      </w:r>
      <w:r w:rsidR="008C3F23" w:rsidRPr="00960C9F">
        <w:rPr>
          <w:lang w:eastAsia="en-GB"/>
        </w:rPr>
        <w:t>location.</w:t>
      </w:r>
      <w:r w:rsidRPr="00EA01C0">
        <w:rPr>
          <w:rStyle w:val="FootnoteReference"/>
          <w:rFonts w:eastAsia="Times New Roman" w:cs="Segoe UI"/>
          <w:szCs w:val="24"/>
          <w:lang w:eastAsia="en-GB"/>
        </w:rPr>
        <w:footnoteReference w:id="44"/>
      </w:r>
      <w:r w:rsidR="0031061E" w:rsidRPr="00960C9F">
        <w:rPr>
          <w:lang w:eastAsia="en-GB"/>
        </w:rPr>
        <w:t xml:space="preserve"> None of these locations </w:t>
      </w:r>
      <w:proofErr w:type="gramStart"/>
      <w:r w:rsidR="0031061E" w:rsidRPr="00960C9F">
        <w:rPr>
          <w:lang w:eastAsia="en-GB"/>
        </w:rPr>
        <w:t>are</w:t>
      </w:r>
      <w:proofErr w:type="gramEnd"/>
      <w:r w:rsidR="0031061E" w:rsidRPr="00960C9F">
        <w:rPr>
          <w:lang w:eastAsia="en-GB"/>
        </w:rPr>
        <w:t xml:space="preserve"> home to significant migrant populations.</w:t>
      </w:r>
      <w:r w:rsidR="0031061E" w:rsidRPr="00EA01C0">
        <w:rPr>
          <w:rStyle w:val="FootnoteReference"/>
          <w:rFonts w:eastAsia="Times New Roman" w:cs="Segoe UI"/>
          <w:szCs w:val="24"/>
          <w:lang w:eastAsia="en-GB"/>
        </w:rPr>
        <w:footnoteReference w:id="45"/>
      </w:r>
      <w:r w:rsidR="0031061E" w:rsidRPr="00960C9F">
        <w:rPr>
          <w:lang w:eastAsia="en-GB"/>
        </w:rPr>
        <w:t xml:space="preserve"> </w:t>
      </w:r>
      <w:r w:rsidR="008C3F23" w:rsidRPr="00960C9F">
        <w:rPr>
          <w:lang w:eastAsia="en-GB"/>
        </w:rPr>
        <w:t xml:space="preserve">The Home </w:t>
      </w:r>
      <w:r w:rsidR="008C3F23" w:rsidRPr="00960C9F">
        <w:rPr>
          <w:lang w:eastAsia="en-GB"/>
        </w:rPr>
        <w:lastRenderedPageBreak/>
        <w:t xml:space="preserve">Office </w:t>
      </w:r>
      <w:r w:rsidR="002E3519" w:rsidRPr="00960C9F">
        <w:rPr>
          <w:lang w:eastAsia="en-GB"/>
        </w:rPr>
        <w:t>is currently</w:t>
      </w:r>
      <w:r w:rsidR="008C3F23" w:rsidRPr="00960C9F">
        <w:rPr>
          <w:lang w:eastAsia="en-GB"/>
        </w:rPr>
        <w:t xml:space="preserve"> “</w:t>
      </w:r>
      <w:r w:rsidR="0089613E" w:rsidRPr="00960C9F">
        <w:rPr>
          <w:lang w:eastAsia="en-GB"/>
        </w:rPr>
        <w:t>unable to advis</w:t>
      </w:r>
      <w:r w:rsidR="008C3F23" w:rsidRPr="00960C9F">
        <w:rPr>
          <w:lang w:eastAsia="en-GB"/>
        </w:rPr>
        <w:t>e</w:t>
      </w:r>
      <w:r w:rsidR="002E3519" w:rsidRPr="00960C9F">
        <w:rPr>
          <w:lang w:eastAsia="en-GB"/>
        </w:rPr>
        <w:t xml:space="preserve">… </w:t>
      </w:r>
      <w:r w:rsidR="008C3F23" w:rsidRPr="00960C9F">
        <w:rPr>
          <w:lang w:eastAsia="en-GB"/>
        </w:rPr>
        <w:t>on whether there are plans to open up any further locations”</w:t>
      </w:r>
      <w:r w:rsidR="001C3E6F">
        <w:rPr>
          <w:lang w:eastAsia="en-GB"/>
        </w:rPr>
        <w:t>.</w:t>
      </w:r>
      <w:r w:rsidR="008C3F23">
        <w:rPr>
          <w:rStyle w:val="FootnoteReference"/>
          <w:rFonts w:eastAsia="Times New Roman" w:cs="Segoe UI"/>
          <w:szCs w:val="24"/>
          <w:lang w:eastAsia="en-GB"/>
        </w:rPr>
        <w:footnoteReference w:id="46"/>
      </w:r>
    </w:p>
    <w:p w14:paraId="6FCACED8" w14:textId="77777777" w:rsidR="001C3E6F" w:rsidRPr="00960C9F" w:rsidRDefault="008C3F23" w:rsidP="004424B8">
      <w:pPr>
        <w:pStyle w:val="ListParagraph"/>
        <w:ind w:left="709"/>
        <w:rPr>
          <w:lang w:eastAsia="en-GB"/>
        </w:rPr>
      </w:pPr>
      <w:r w:rsidRPr="00960C9F">
        <w:rPr>
          <w:lang w:eastAsia="en-GB"/>
        </w:rPr>
        <w:t xml:space="preserve"> </w:t>
      </w:r>
    </w:p>
    <w:p w14:paraId="526E2C5A" w14:textId="1973AD19" w:rsidR="001C3E6F" w:rsidRDefault="00781122" w:rsidP="004424B8">
      <w:pPr>
        <w:pStyle w:val="ListParagraph"/>
        <w:numPr>
          <w:ilvl w:val="1"/>
          <w:numId w:val="22"/>
        </w:numPr>
        <w:ind w:left="709" w:hanging="709"/>
        <w:rPr>
          <w:lang w:eastAsia="en-GB"/>
        </w:rPr>
      </w:pPr>
      <w:r w:rsidRPr="001C3E6F">
        <w:rPr>
          <w:lang w:eastAsia="en-GB"/>
        </w:rPr>
        <w:t xml:space="preserve">Registration to the EU Settlement Scheme is relatively straightforward for those who have a continuous record of </w:t>
      </w:r>
      <w:r w:rsidR="005A55E4">
        <w:rPr>
          <w:lang w:eastAsia="en-GB"/>
        </w:rPr>
        <w:t>n</w:t>
      </w:r>
      <w:r w:rsidRPr="001C3E6F">
        <w:rPr>
          <w:lang w:eastAsia="en-GB"/>
        </w:rPr>
        <w:t xml:space="preserve">ational </w:t>
      </w:r>
      <w:r w:rsidR="005A55E4">
        <w:rPr>
          <w:lang w:eastAsia="en-GB"/>
        </w:rPr>
        <w:t>i</w:t>
      </w:r>
      <w:r w:rsidRPr="001C3E6F">
        <w:rPr>
          <w:lang w:eastAsia="en-GB"/>
        </w:rPr>
        <w:t>nsurance contributions</w:t>
      </w:r>
      <w:r w:rsidR="00286106" w:rsidRPr="001C3E6F">
        <w:rPr>
          <w:lang w:eastAsia="en-GB"/>
        </w:rPr>
        <w:t xml:space="preserve"> through employment</w:t>
      </w:r>
      <w:r w:rsidRPr="001C3E6F">
        <w:rPr>
          <w:lang w:eastAsia="en-GB"/>
        </w:rPr>
        <w:t>. However,</w:t>
      </w:r>
      <w:r w:rsidR="003A311D" w:rsidRPr="001C3E6F">
        <w:rPr>
          <w:lang w:eastAsia="en-GB"/>
        </w:rPr>
        <w:t xml:space="preserve"> registration is more difficult for </w:t>
      </w:r>
      <w:r w:rsidRPr="001C3E6F">
        <w:rPr>
          <w:lang w:eastAsia="en-GB"/>
        </w:rPr>
        <w:t xml:space="preserve">EEA migrants who </w:t>
      </w:r>
      <w:r w:rsidR="003A311D" w:rsidRPr="001C3E6F">
        <w:rPr>
          <w:lang w:eastAsia="en-GB"/>
        </w:rPr>
        <w:t xml:space="preserve">cannot prove their work history or proof of address </w:t>
      </w:r>
      <w:r w:rsidR="007B051E" w:rsidRPr="001C3E6F">
        <w:rPr>
          <w:lang w:eastAsia="en-GB"/>
        </w:rPr>
        <w:t xml:space="preserve">and </w:t>
      </w:r>
      <w:r w:rsidR="00557331" w:rsidRPr="001C3E6F">
        <w:rPr>
          <w:lang w:eastAsia="en-GB"/>
        </w:rPr>
        <w:t>who do not have bank accounts</w:t>
      </w:r>
      <w:r w:rsidR="003A311D" w:rsidRPr="001C3E6F">
        <w:rPr>
          <w:lang w:eastAsia="en-GB"/>
        </w:rPr>
        <w:t xml:space="preserve">. A 2017 study estimated </w:t>
      </w:r>
      <w:r w:rsidR="00690C36" w:rsidRPr="001C3E6F">
        <w:rPr>
          <w:lang w:eastAsia="en-GB"/>
        </w:rPr>
        <w:t xml:space="preserve">that </w:t>
      </w:r>
      <w:r w:rsidR="009D2983">
        <w:rPr>
          <w:lang w:eastAsia="en-GB"/>
        </w:rPr>
        <w:t>150</w:t>
      </w:r>
      <w:r w:rsidR="003A311D" w:rsidRPr="001C3E6F">
        <w:rPr>
          <w:lang w:eastAsia="en-GB"/>
        </w:rPr>
        <w:t xml:space="preserve">,000 non-Irish EU citizens </w:t>
      </w:r>
      <w:r w:rsidR="00690C36" w:rsidRPr="001C3E6F">
        <w:rPr>
          <w:lang w:eastAsia="en-GB"/>
        </w:rPr>
        <w:t xml:space="preserve">living in the UK </w:t>
      </w:r>
      <w:r w:rsidR="003A311D" w:rsidRPr="001C3E6F">
        <w:rPr>
          <w:lang w:eastAsia="en-GB"/>
        </w:rPr>
        <w:t>were economically inactive, primarily because they were looking after family members (9</w:t>
      </w:r>
      <w:r w:rsidR="00AC5846" w:rsidRPr="001C3E6F">
        <w:rPr>
          <w:lang w:eastAsia="en-GB"/>
        </w:rPr>
        <w:t>0 per cent</w:t>
      </w:r>
      <w:r w:rsidR="003A311D" w:rsidRPr="001C3E6F">
        <w:rPr>
          <w:lang w:eastAsia="en-GB"/>
        </w:rPr>
        <w:t xml:space="preserve"> of these people were women); such citizens may struggle to provide the necessary documentation</w:t>
      </w:r>
      <w:r w:rsidR="00A270B2" w:rsidRPr="001C3E6F">
        <w:rPr>
          <w:lang w:eastAsia="en-GB"/>
        </w:rPr>
        <w:t xml:space="preserve"> for registration</w:t>
      </w:r>
      <w:r w:rsidR="003A311D" w:rsidRPr="001C3E6F">
        <w:rPr>
          <w:lang w:eastAsia="en-GB"/>
        </w:rPr>
        <w:t>.</w:t>
      </w:r>
      <w:r w:rsidR="00A270B2">
        <w:rPr>
          <w:rStyle w:val="FootnoteReference"/>
          <w:rFonts w:eastAsia="Times New Roman" w:cs="Segoe UI"/>
          <w:szCs w:val="24"/>
          <w:lang w:eastAsia="en-GB"/>
        </w:rPr>
        <w:footnoteReference w:id="47"/>
      </w:r>
    </w:p>
    <w:p w14:paraId="67A86A82" w14:textId="77777777" w:rsidR="001C3E6F" w:rsidRDefault="001C3E6F" w:rsidP="004424B8">
      <w:pPr>
        <w:pStyle w:val="ListParagraph"/>
        <w:ind w:left="709"/>
        <w:rPr>
          <w:lang w:eastAsia="en-GB"/>
        </w:rPr>
      </w:pPr>
      <w:r>
        <w:rPr>
          <w:lang w:eastAsia="en-GB"/>
        </w:rPr>
        <w:t xml:space="preserve"> </w:t>
      </w:r>
    </w:p>
    <w:p w14:paraId="430AFA0F" w14:textId="77777777" w:rsidR="001C3E6F" w:rsidRDefault="00AC5846" w:rsidP="004424B8">
      <w:pPr>
        <w:pStyle w:val="ListParagraph"/>
        <w:numPr>
          <w:ilvl w:val="1"/>
          <w:numId w:val="22"/>
        </w:numPr>
        <w:ind w:left="709" w:hanging="709"/>
        <w:rPr>
          <w:rFonts w:eastAsia="Times New Roman" w:cs="Segoe UI"/>
          <w:szCs w:val="24"/>
          <w:lang w:eastAsia="en-GB"/>
        </w:rPr>
      </w:pPr>
      <w:r>
        <w:rPr>
          <w:rFonts w:eastAsia="Times New Roman" w:cs="Segoe UI"/>
          <w:szCs w:val="24"/>
          <w:lang w:eastAsia="en-GB"/>
        </w:rPr>
        <w:t>The NIHRC</w:t>
      </w:r>
      <w:r w:rsidR="004A2FBA" w:rsidRPr="001739C6">
        <w:rPr>
          <w:rFonts w:eastAsia="Times New Roman" w:cs="Segoe UI"/>
          <w:szCs w:val="24"/>
          <w:lang w:eastAsia="en-GB"/>
        </w:rPr>
        <w:t xml:space="preserve"> is aware </w:t>
      </w:r>
      <w:r w:rsidR="00557331" w:rsidRPr="001739C6">
        <w:rPr>
          <w:rFonts w:eastAsia="Times New Roman" w:cs="Segoe UI"/>
          <w:szCs w:val="24"/>
          <w:lang w:eastAsia="en-GB"/>
        </w:rPr>
        <w:t xml:space="preserve">that members of the </w:t>
      </w:r>
      <w:r w:rsidR="004A2FBA" w:rsidRPr="001739C6">
        <w:rPr>
          <w:rFonts w:eastAsia="Times New Roman" w:cs="Segoe UI"/>
          <w:szCs w:val="24"/>
          <w:lang w:eastAsia="en-GB"/>
        </w:rPr>
        <w:t xml:space="preserve">Roma </w:t>
      </w:r>
      <w:r w:rsidR="00C462B4" w:rsidRPr="001739C6">
        <w:rPr>
          <w:rFonts w:eastAsia="Times New Roman" w:cs="Segoe UI"/>
          <w:szCs w:val="24"/>
          <w:lang w:eastAsia="en-GB"/>
        </w:rPr>
        <w:t xml:space="preserve">community </w:t>
      </w:r>
      <w:r w:rsidR="00557331" w:rsidRPr="001739C6">
        <w:rPr>
          <w:rFonts w:eastAsia="Times New Roman" w:cs="Segoe UI"/>
          <w:szCs w:val="24"/>
          <w:lang w:eastAsia="en-GB"/>
        </w:rPr>
        <w:t xml:space="preserve">are wary about </w:t>
      </w:r>
      <w:r w:rsidR="004A2FBA" w:rsidRPr="001739C6">
        <w:rPr>
          <w:rFonts w:eastAsia="Times New Roman" w:cs="Segoe UI"/>
          <w:szCs w:val="24"/>
          <w:lang w:eastAsia="en-GB"/>
        </w:rPr>
        <w:t>applying.</w:t>
      </w:r>
      <w:r w:rsidR="004A2FBA" w:rsidRPr="00EA01C0">
        <w:rPr>
          <w:rStyle w:val="FootnoteReference"/>
          <w:rFonts w:eastAsia="Times New Roman" w:cs="Segoe UI"/>
          <w:szCs w:val="24"/>
          <w:lang w:eastAsia="en-GB"/>
        </w:rPr>
        <w:footnoteReference w:id="48"/>
      </w:r>
      <w:r w:rsidR="003A311D" w:rsidRPr="001739C6">
        <w:rPr>
          <w:rFonts w:eastAsia="Times New Roman" w:cs="Segoe UI"/>
          <w:szCs w:val="24"/>
          <w:lang w:eastAsia="en-GB"/>
        </w:rPr>
        <w:t xml:space="preserve"> Evidence shows that Roma </w:t>
      </w:r>
      <w:proofErr w:type="gramStart"/>
      <w:r w:rsidR="003A311D" w:rsidRPr="001739C6">
        <w:rPr>
          <w:rFonts w:eastAsia="Times New Roman" w:cs="Segoe UI"/>
          <w:szCs w:val="24"/>
          <w:lang w:eastAsia="en-GB"/>
        </w:rPr>
        <w:t>are over-represented</w:t>
      </w:r>
      <w:proofErr w:type="gramEnd"/>
      <w:r w:rsidR="003A311D" w:rsidRPr="001739C6">
        <w:rPr>
          <w:rFonts w:eastAsia="Times New Roman" w:cs="Segoe UI"/>
          <w:szCs w:val="24"/>
          <w:lang w:eastAsia="en-GB"/>
        </w:rPr>
        <w:t xml:space="preserve"> in precarious low-paid jobs and that </w:t>
      </w:r>
      <w:r w:rsidR="00251321" w:rsidRPr="001739C6">
        <w:rPr>
          <w:rFonts w:eastAsia="Times New Roman" w:cs="Segoe UI"/>
          <w:szCs w:val="24"/>
          <w:lang w:eastAsia="en-GB"/>
        </w:rPr>
        <w:t>overcrowding in substandard accommodation is prevalent.</w:t>
      </w:r>
      <w:r w:rsidR="00251321">
        <w:rPr>
          <w:rStyle w:val="FootnoteReference"/>
          <w:rFonts w:eastAsia="Times New Roman" w:cs="Segoe UI"/>
          <w:szCs w:val="24"/>
          <w:lang w:eastAsia="en-GB"/>
        </w:rPr>
        <w:footnoteReference w:id="49"/>
      </w:r>
      <w:r w:rsidR="00251321" w:rsidRPr="001739C6">
        <w:rPr>
          <w:rFonts w:eastAsia="Times New Roman" w:cs="Segoe UI"/>
          <w:szCs w:val="24"/>
          <w:lang w:eastAsia="en-GB"/>
        </w:rPr>
        <w:t xml:space="preserve"> Both factors </w:t>
      </w:r>
      <w:r w:rsidR="00A270B2" w:rsidRPr="001739C6">
        <w:rPr>
          <w:rFonts w:eastAsia="Times New Roman" w:cs="Segoe UI"/>
          <w:szCs w:val="24"/>
          <w:lang w:eastAsia="en-GB"/>
        </w:rPr>
        <w:t xml:space="preserve">would point to a </w:t>
      </w:r>
      <w:r w:rsidR="000D5BFC">
        <w:rPr>
          <w:rFonts w:eastAsia="Times New Roman" w:cs="Segoe UI"/>
          <w:szCs w:val="24"/>
          <w:lang w:eastAsia="en-GB"/>
        </w:rPr>
        <w:t xml:space="preserve">difficulty in producing required </w:t>
      </w:r>
      <w:r w:rsidR="00FE61E7" w:rsidRPr="001739C6">
        <w:rPr>
          <w:rFonts w:eastAsia="Times New Roman" w:cs="Segoe UI"/>
          <w:szCs w:val="24"/>
          <w:lang w:eastAsia="en-GB"/>
        </w:rPr>
        <w:t xml:space="preserve">documentation of </w:t>
      </w:r>
      <w:r w:rsidR="00A270B2" w:rsidRPr="001739C6">
        <w:rPr>
          <w:rFonts w:eastAsia="Times New Roman" w:cs="Segoe UI"/>
          <w:szCs w:val="24"/>
          <w:lang w:eastAsia="en-GB"/>
        </w:rPr>
        <w:t xml:space="preserve">employment </w:t>
      </w:r>
      <w:r w:rsidR="00FE61E7" w:rsidRPr="001739C6">
        <w:rPr>
          <w:rFonts w:eastAsia="Times New Roman" w:cs="Segoe UI"/>
          <w:szCs w:val="24"/>
          <w:lang w:eastAsia="en-GB"/>
        </w:rPr>
        <w:t xml:space="preserve">and </w:t>
      </w:r>
      <w:r w:rsidR="00A270B2" w:rsidRPr="001739C6">
        <w:rPr>
          <w:rFonts w:eastAsia="Times New Roman" w:cs="Segoe UI"/>
          <w:szCs w:val="24"/>
          <w:lang w:eastAsia="en-GB"/>
        </w:rPr>
        <w:t xml:space="preserve">residence, which will hinder eligibility to EU Settlement. </w:t>
      </w:r>
      <w:r w:rsidR="00301FAE" w:rsidRPr="001739C6">
        <w:rPr>
          <w:rFonts w:eastAsia="Times New Roman" w:cs="Segoe UI"/>
          <w:szCs w:val="24"/>
          <w:lang w:eastAsia="en-GB"/>
        </w:rPr>
        <w:t xml:space="preserve">The </w:t>
      </w:r>
      <w:r>
        <w:rPr>
          <w:rFonts w:eastAsia="Times New Roman" w:cs="Segoe UI"/>
          <w:szCs w:val="24"/>
          <w:lang w:eastAsia="en-GB"/>
        </w:rPr>
        <w:t>NIHRC</w:t>
      </w:r>
      <w:r w:rsidRPr="001739C6">
        <w:rPr>
          <w:rFonts w:eastAsia="Times New Roman" w:cs="Segoe UI"/>
          <w:szCs w:val="24"/>
          <w:lang w:eastAsia="en-GB"/>
        </w:rPr>
        <w:t xml:space="preserve"> </w:t>
      </w:r>
      <w:r w:rsidR="00301FAE" w:rsidRPr="001739C6">
        <w:rPr>
          <w:rFonts w:eastAsia="Times New Roman" w:cs="Segoe UI"/>
          <w:szCs w:val="24"/>
          <w:lang w:eastAsia="en-GB"/>
        </w:rPr>
        <w:t xml:space="preserve">welcomes the Home Office’s funding of £9 million </w:t>
      </w:r>
      <w:r w:rsidR="004E50DA" w:rsidRPr="001739C6">
        <w:rPr>
          <w:rFonts w:eastAsia="Times New Roman" w:cs="Segoe UI"/>
          <w:szCs w:val="24"/>
          <w:lang w:eastAsia="en-GB"/>
        </w:rPr>
        <w:t xml:space="preserve">for community </w:t>
      </w:r>
      <w:r w:rsidR="00301FAE" w:rsidRPr="001739C6">
        <w:rPr>
          <w:rFonts w:eastAsia="Times New Roman" w:cs="Segoe UI"/>
          <w:szCs w:val="24"/>
          <w:lang w:eastAsia="en-GB"/>
        </w:rPr>
        <w:t xml:space="preserve">organisations </w:t>
      </w:r>
      <w:r>
        <w:rPr>
          <w:rFonts w:eastAsia="Times New Roman" w:cs="Segoe UI"/>
          <w:szCs w:val="24"/>
          <w:lang w:eastAsia="en-GB"/>
        </w:rPr>
        <w:t xml:space="preserve">to </w:t>
      </w:r>
      <w:r w:rsidR="00301FAE" w:rsidRPr="001739C6">
        <w:rPr>
          <w:rFonts w:eastAsia="Times New Roman" w:cs="Segoe UI"/>
          <w:szCs w:val="24"/>
          <w:lang w:eastAsia="en-GB"/>
        </w:rPr>
        <w:t>support vulnerable individuals apply</w:t>
      </w:r>
      <w:r>
        <w:rPr>
          <w:rFonts w:eastAsia="Times New Roman" w:cs="Segoe UI"/>
          <w:szCs w:val="24"/>
          <w:lang w:eastAsia="en-GB"/>
        </w:rPr>
        <w:t>ing</w:t>
      </w:r>
      <w:r w:rsidR="00301FAE" w:rsidRPr="001739C6">
        <w:rPr>
          <w:rFonts w:eastAsia="Times New Roman" w:cs="Segoe UI"/>
          <w:szCs w:val="24"/>
          <w:lang w:eastAsia="en-GB"/>
        </w:rPr>
        <w:t xml:space="preserve"> for Settled Status.</w:t>
      </w:r>
      <w:r w:rsidR="00301FAE">
        <w:rPr>
          <w:rStyle w:val="FootnoteReference"/>
          <w:rFonts w:eastAsia="Times New Roman" w:cs="Segoe UI"/>
          <w:szCs w:val="24"/>
          <w:lang w:eastAsia="en-GB"/>
        </w:rPr>
        <w:footnoteReference w:id="50"/>
      </w:r>
    </w:p>
    <w:p w14:paraId="1727DC75" w14:textId="77777777" w:rsidR="001C3E6F" w:rsidRDefault="00301FAE" w:rsidP="004424B8">
      <w:pPr>
        <w:pStyle w:val="ListParagraph"/>
        <w:ind w:left="709"/>
        <w:rPr>
          <w:rFonts w:eastAsia="Times New Roman" w:cs="Segoe UI"/>
          <w:szCs w:val="24"/>
          <w:lang w:eastAsia="en-GB"/>
        </w:rPr>
      </w:pPr>
      <w:r w:rsidRPr="001739C6">
        <w:rPr>
          <w:rFonts w:eastAsia="Times New Roman" w:cs="Segoe UI"/>
          <w:szCs w:val="24"/>
          <w:lang w:eastAsia="en-GB"/>
        </w:rPr>
        <w:t xml:space="preserve"> </w:t>
      </w:r>
    </w:p>
    <w:p w14:paraId="6F412129" w14:textId="77777777" w:rsidR="001C3E6F" w:rsidRDefault="00A270B2" w:rsidP="004424B8">
      <w:pPr>
        <w:pStyle w:val="ListParagraph"/>
        <w:numPr>
          <w:ilvl w:val="1"/>
          <w:numId w:val="22"/>
        </w:numPr>
        <w:ind w:left="709" w:hanging="709"/>
        <w:rPr>
          <w:lang w:eastAsia="en-GB"/>
        </w:rPr>
      </w:pPr>
      <w:r w:rsidRPr="001C3E6F">
        <w:rPr>
          <w:lang w:eastAsia="en-GB"/>
        </w:rPr>
        <w:t>The Joint Committee on Human Rights,</w:t>
      </w:r>
      <w:r w:rsidR="00B12E38">
        <w:rPr>
          <w:rStyle w:val="FootnoteReference"/>
          <w:rFonts w:eastAsia="Times New Roman" w:cs="Segoe UI"/>
          <w:szCs w:val="24"/>
          <w:lang w:eastAsia="en-GB"/>
        </w:rPr>
        <w:footnoteReference w:id="51"/>
      </w:r>
      <w:r w:rsidRPr="001C3E6F">
        <w:rPr>
          <w:lang w:eastAsia="en-GB"/>
        </w:rPr>
        <w:t xml:space="preserve"> the House of Lords EU Justice Sub Committee</w:t>
      </w:r>
      <w:r w:rsidR="00B12E38">
        <w:rPr>
          <w:rStyle w:val="FootnoteReference"/>
          <w:rFonts w:eastAsia="Times New Roman" w:cs="Segoe UI"/>
          <w:szCs w:val="24"/>
          <w:lang w:eastAsia="en-GB"/>
        </w:rPr>
        <w:footnoteReference w:id="52"/>
      </w:r>
      <w:r w:rsidRPr="001C3E6F">
        <w:rPr>
          <w:lang w:eastAsia="en-GB"/>
        </w:rPr>
        <w:t xml:space="preserve"> and </w:t>
      </w:r>
      <w:r w:rsidR="00B12E38" w:rsidRPr="001C3E6F">
        <w:rPr>
          <w:lang w:eastAsia="en-GB"/>
        </w:rPr>
        <w:t>the Exiting the EU Committee</w:t>
      </w:r>
      <w:r w:rsidR="00B12E38">
        <w:rPr>
          <w:rStyle w:val="FootnoteReference"/>
          <w:rFonts w:eastAsia="Times New Roman" w:cs="Segoe UI"/>
          <w:szCs w:val="24"/>
          <w:lang w:eastAsia="en-GB"/>
        </w:rPr>
        <w:footnoteReference w:id="53"/>
      </w:r>
      <w:r w:rsidR="00506C25" w:rsidRPr="001C3E6F">
        <w:rPr>
          <w:lang w:eastAsia="en-GB"/>
        </w:rPr>
        <w:t xml:space="preserve"> have all raised concerns that physical proof of status will not be issued to applicants; instead, applicants will receive an electronic code that proves their status. </w:t>
      </w:r>
      <w:r w:rsidR="00AC5846" w:rsidRPr="001C3E6F">
        <w:rPr>
          <w:lang w:eastAsia="en-GB"/>
        </w:rPr>
        <w:t>I</w:t>
      </w:r>
      <w:r w:rsidR="00506C25" w:rsidRPr="001C3E6F">
        <w:rPr>
          <w:lang w:eastAsia="en-GB"/>
        </w:rPr>
        <w:t xml:space="preserve">ndividuals should have the opportunity to </w:t>
      </w:r>
      <w:r w:rsidR="00506C25" w:rsidRPr="001C3E6F">
        <w:rPr>
          <w:lang w:eastAsia="en-GB"/>
        </w:rPr>
        <w:lastRenderedPageBreak/>
        <w:t xml:space="preserve">acquire a physical document as evidence of their right. This is particularly important for persons who have limited digital skills. </w:t>
      </w:r>
      <w:r w:rsidR="00D648AB" w:rsidRPr="001C3E6F">
        <w:rPr>
          <w:lang w:eastAsia="en-GB"/>
        </w:rPr>
        <w:t xml:space="preserve">Physical proof </w:t>
      </w:r>
      <w:r w:rsidR="00137525" w:rsidRPr="001C3E6F">
        <w:rPr>
          <w:lang w:eastAsia="en-GB"/>
        </w:rPr>
        <w:t>will</w:t>
      </w:r>
      <w:r w:rsidR="00D648AB" w:rsidRPr="001C3E6F">
        <w:rPr>
          <w:lang w:eastAsia="en-GB"/>
        </w:rPr>
        <w:t xml:space="preserve"> also provide some reassurance to EU citizens who are worried about their status. </w:t>
      </w:r>
      <w:r w:rsidR="00AC5846" w:rsidRPr="001C3E6F">
        <w:rPr>
          <w:lang w:eastAsia="en-GB"/>
        </w:rPr>
        <w:t>S</w:t>
      </w:r>
      <w:r w:rsidR="00D648AB" w:rsidRPr="001C3E6F">
        <w:rPr>
          <w:lang w:eastAsia="en-GB"/>
        </w:rPr>
        <w:t xml:space="preserve">imilarities </w:t>
      </w:r>
      <w:proofErr w:type="gramStart"/>
      <w:r w:rsidR="00AC5846" w:rsidRPr="001C3E6F">
        <w:rPr>
          <w:lang w:eastAsia="en-GB"/>
        </w:rPr>
        <w:t>have been drawn</w:t>
      </w:r>
      <w:proofErr w:type="gramEnd"/>
      <w:r w:rsidR="00AC5846" w:rsidRPr="001C3E6F">
        <w:rPr>
          <w:lang w:eastAsia="en-GB"/>
        </w:rPr>
        <w:t xml:space="preserve"> </w:t>
      </w:r>
      <w:r w:rsidR="00D648AB" w:rsidRPr="001C3E6F">
        <w:rPr>
          <w:lang w:eastAsia="en-GB"/>
        </w:rPr>
        <w:t xml:space="preserve">with the </w:t>
      </w:r>
      <w:proofErr w:type="spellStart"/>
      <w:r w:rsidR="00D648AB" w:rsidRPr="001C3E6F">
        <w:rPr>
          <w:lang w:eastAsia="en-GB"/>
        </w:rPr>
        <w:t>Windrush</w:t>
      </w:r>
      <w:proofErr w:type="spellEnd"/>
      <w:r w:rsidR="00D648AB" w:rsidRPr="001C3E6F">
        <w:rPr>
          <w:lang w:eastAsia="en-GB"/>
        </w:rPr>
        <w:t xml:space="preserve"> Generation who had difficulties in proving their rights and entitlements and </w:t>
      </w:r>
      <w:r w:rsidR="00AC5846" w:rsidRPr="001C3E6F">
        <w:rPr>
          <w:lang w:eastAsia="en-GB"/>
        </w:rPr>
        <w:t>the UK</w:t>
      </w:r>
      <w:r w:rsidR="00D648AB" w:rsidRPr="001C3E6F">
        <w:rPr>
          <w:lang w:eastAsia="en-GB"/>
        </w:rPr>
        <w:t xml:space="preserve"> </w:t>
      </w:r>
      <w:r w:rsidR="00AC5846" w:rsidRPr="001C3E6F">
        <w:rPr>
          <w:lang w:eastAsia="en-GB"/>
        </w:rPr>
        <w:t>G</w:t>
      </w:r>
      <w:r w:rsidR="00D648AB" w:rsidRPr="001C3E6F">
        <w:rPr>
          <w:lang w:eastAsia="en-GB"/>
        </w:rPr>
        <w:t xml:space="preserve">overnment </w:t>
      </w:r>
      <w:r w:rsidR="00AC5846" w:rsidRPr="001C3E6F">
        <w:rPr>
          <w:lang w:eastAsia="en-GB"/>
        </w:rPr>
        <w:t xml:space="preserve">is urged </w:t>
      </w:r>
      <w:r w:rsidR="00D648AB" w:rsidRPr="001C3E6F">
        <w:rPr>
          <w:lang w:eastAsia="en-GB"/>
        </w:rPr>
        <w:t xml:space="preserve">to </w:t>
      </w:r>
      <w:r w:rsidR="00AC5846" w:rsidRPr="001C3E6F">
        <w:rPr>
          <w:lang w:eastAsia="en-GB"/>
        </w:rPr>
        <w:t xml:space="preserve">act </w:t>
      </w:r>
      <w:r w:rsidR="00F150C2" w:rsidRPr="001C3E6F">
        <w:rPr>
          <w:lang w:eastAsia="en-GB"/>
        </w:rPr>
        <w:t>now</w:t>
      </w:r>
      <w:r w:rsidR="00D648AB" w:rsidRPr="001C3E6F">
        <w:rPr>
          <w:lang w:eastAsia="en-GB"/>
        </w:rPr>
        <w:t xml:space="preserve"> to avoid a similar issue arising</w:t>
      </w:r>
      <w:r w:rsidR="00F150C2" w:rsidRPr="001C3E6F">
        <w:rPr>
          <w:lang w:eastAsia="en-GB"/>
        </w:rPr>
        <w:t xml:space="preserve"> for EU citizens</w:t>
      </w:r>
      <w:r w:rsidR="00D648AB" w:rsidRPr="001C3E6F">
        <w:rPr>
          <w:lang w:eastAsia="en-GB"/>
        </w:rPr>
        <w:t>.</w:t>
      </w:r>
      <w:r w:rsidR="00D648AB" w:rsidRPr="00301FAE">
        <w:rPr>
          <w:rStyle w:val="FootnoteReference"/>
          <w:rFonts w:eastAsia="Times New Roman" w:cs="Segoe UI"/>
          <w:szCs w:val="24"/>
          <w:lang w:eastAsia="en-GB"/>
        </w:rPr>
        <w:footnoteReference w:id="54"/>
      </w:r>
    </w:p>
    <w:p w14:paraId="30A205A0" w14:textId="77777777" w:rsidR="001C3E6F" w:rsidRPr="001C3E6F" w:rsidRDefault="00D648AB" w:rsidP="004424B8">
      <w:pPr>
        <w:pStyle w:val="ListParagraph"/>
        <w:ind w:left="709"/>
        <w:rPr>
          <w:lang w:eastAsia="en-GB"/>
        </w:rPr>
      </w:pPr>
      <w:r w:rsidRPr="001C3E6F">
        <w:rPr>
          <w:lang w:eastAsia="en-GB"/>
        </w:rPr>
        <w:t xml:space="preserve"> </w:t>
      </w:r>
    </w:p>
    <w:p w14:paraId="52BE9BF9" w14:textId="77777777" w:rsidR="001C3E6F" w:rsidRPr="004424B8" w:rsidRDefault="002D0DF9" w:rsidP="004424B8">
      <w:pPr>
        <w:pStyle w:val="ListParagraph"/>
        <w:numPr>
          <w:ilvl w:val="1"/>
          <w:numId w:val="22"/>
        </w:numPr>
        <w:ind w:left="709" w:hanging="709"/>
        <w:rPr>
          <w:rFonts w:eastAsia="Times New Roman" w:cs="Segoe UI"/>
          <w:lang w:eastAsia="en-GB"/>
        </w:rPr>
      </w:pPr>
      <w:r w:rsidRPr="001C3E6F">
        <w:t xml:space="preserve">The Home Office has not yet set out </w:t>
      </w:r>
      <w:r w:rsidR="00EC3835" w:rsidRPr="001C3E6F">
        <w:t xml:space="preserve">how it will respond </w:t>
      </w:r>
      <w:r w:rsidR="00E63FC6" w:rsidRPr="001C3E6F">
        <w:t>post</w:t>
      </w:r>
      <w:r w:rsidR="00AC5846" w:rsidRPr="001C3E6F">
        <w:t>-</w:t>
      </w:r>
      <w:proofErr w:type="spellStart"/>
      <w:r w:rsidR="00E63FC6" w:rsidRPr="001C3E6F">
        <w:t>Brexit</w:t>
      </w:r>
      <w:proofErr w:type="spellEnd"/>
      <w:r w:rsidR="00E63FC6" w:rsidRPr="001C3E6F">
        <w:t xml:space="preserve"> </w:t>
      </w:r>
      <w:r w:rsidR="00EC3835" w:rsidRPr="001C3E6F">
        <w:t xml:space="preserve">to EEA citizens who have not applied </w:t>
      </w:r>
      <w:r w:rsidR="00E63FC6" w:rsidRPr="001C3E6F">
        <w:t>to the EU Settlement scheme</w:t>
      </w:r>
      <w:r w:rsidR="00AC5846" w:rsidRPr="001C3E6F">
        <w:t>,</w:t>
      </w:r>
      <w:r w:rsidR="00E63FC6" w:rsidRPr="001C3E6F">
        <w:t xml:space="preserve"> due to </w:t>
      </w:r>
      <w:r w:rsidR="007F2DD0" w:rsidRPr="001C3E6F">
        <w:t xml:space="preserve">a </w:t>
      </w:r>
      <w:r w:rsidR="00E63FC6" w:rsidRPr="001C3E6F">
        <w:t>lack of digital skills.</w:t>
      </w:r>
    </w:p>
    <w:p w14:paraId="757278EB" w14:textId="77777777" w:rsidR="001C3E6F" w:rsidRPr="001C3E6F" w:rsidRDefault="00E63FC6" w:rsidP="004424B8">
      <w:pPr>
        <w:pStyle w:val="ListParagraph"/>
        <w:ind w:left="709"/>
        <w:rPr>
          <w:rFonts w:eastAsia="Times New Roman" w:cs="Segoe UI"/>
          <w:lang w:eastAsia="en-GB"/>
        </w:rPr>
      </w:pPr>
      <w:r w:rsidRPr="001C3E6F">
        <w:t xml:space="preserve"> </w:t>
      </w:r>
    </w:p>
    <w:p w14:paraId="4395CAEE" w14:textId="77777777" w:rsidR="005C7496" w:rsidRPr="004424B8" w:rsidRDefault="00AC5846" w:rsidP="004424B8">
      <w:pPr>
        <w:pStyle w:val="ListParagraph"/>
        <w:numPr>
          <w:ilvl w:val="1"/>
          <w:numId w:val="22"/>
        </w:numPr>
        <w:ind w:left="709" w:hanging="709"/>
        <w:rPr>
          <w:b/>
        </w:rPr>
      </w:pPr>
      <w:r w:rsidRPr="004424B8">
        <w:rPr>
          <w:b/>
        </w:rPr>
        <w:t>The NIHRC recommends that</w:t>
      </w:r>
      <w:r w:rsidR="005C7496" w:rsidRPr="004424B8">
        <w:rPr>
          <w:b/>
        </w:rPr>
        <w:t>:</w:t>
      </w:r>
    </w:p>
    <w:p w14:paraId="6496D42A" w14:textId="77777777" w:rsidR="005C7496" w:rsidRPr="004424B8" w:rsidRDefault="005C7496" w:rsidP="004424B8">
      <w:pPr>
        <w:pStyle w:val="ListParagraph"/>
        <w:rPr>
          <w:rFonts w:cs="MinionPro-Regular"/>
          <w:b/>
          <w:szCs w:val="24"/>
        </w:rPr>
      </w:pPr>
    </w:p>
    <w:p w14:paraId="095648F2" w14:textId="77777777" w:rsidR="00944B4E" w:rsidRPr="005C7496" w:rsidRDefault="00AC5846" w:rsidP="004424B8">
      <w:pPr>
        <w:pStyle w:val="ListParagraph"/>
        <w:numPr>
          <w:ilvl w:val="0"/>
          <w:numId w:val="27"/>
        </w:numPr>
        <w:spacing w:before="100" w:beforeAutospacing="1" w:after="240" w:line="276" w:lineRule="auto"/>
        <w:rPr>
          <w:b/>
        </w:rPr>
      </w:pPr>
      <w:proofErr w:type="gramStart"/>
      <w:r w:rsidRPr="005C7496">
        <w:rPr>
          <w:rFonts w:cs="MinionPro-Regular"/>
          <w:b/>
          <w:szCs w:val="24"/>
        </w:rPr>
        <w:t>sufficient</w:t>
      </w:r>
      <w:proofErr w:type="gramEnd"/>
      <w:r w:rsidRPr="005C7496">
        <w:rPr>
          <w:rFonts w:cs="MinionPro-Regular"/>
          <w:b/>
          <w:szCs w:val="24"/>
        </w:rPr>
        <w:t xml:space="preserve"> </w:t>
      </w:r>
      <w:r w:rsidR="008E599A" w:rsidRPr="005C7496">
        <w:rPr>
          <w:b/>
        </w:rPr>
        <w:t>assisted digital s</w:t>
      </w:r>
      <w:r w:rsidR="00301FAE" w:rsidRPr="005C7496">
        <w:rPr>
          <w:b/>
        </w:rPr>
        <w:t xml:space="preserve">upport locations </w:t>
      </w:r>
      <w:r w:rsidRPr="005C7496">
        <w:rPr>
          <w:b/>
        </w:rPr>
        <w:t xml:space="preserve">are </w:t>
      </w:r>
      <w:r w:rsidR="00DD00C6" w:rsidRPr="005C7496">
        <w:rPr>
          <w:b/>
        </w:rPr>
        <w:t>available</w:t>
      </w:r>
      <w:r w:rsidRPr="005C7496">
        <w:rPr>
          <w:b/>
        </w:rPr>
        <w:t>.</w:t>
      </w:r>
    </w:p>
    <w:p w14:paraId="4E391ECA" w14:textId="77777777" w:rsidR="005C7496" w:rsidRPr="005C7496" w:rsidRDefault="005C7496" w:rsidP="004424B8">
      <w:pPr>
        <w:pStyle w:val="ListParagraph"/>
        <w:spacing w:before="100" w:beforeAutospacing="1" w:after="240" w:line="276" w:lineRule="auto"/>
        <w:ind w:left="1440"/>
        <w:rPr>
          <w:b/>
        </w:rPr>
      </w:pPr>
    </w:p>
    <w:p w14:paraId="005F120A" w14:textId="3E667C69" w:rsidR="00944B4E" w:rsidRPr="004424B8" w:rsidRDefault="00266194" w:rsidP="004424B8">
      <w:pPr>
        <w:pStyle w:val="ListParagraph"/>
        <w:numPr>
          <w:ilvl w:val="0"/>
          <w:numId w:val="27"/>
        </w:numPr>
        <w:spacing w:before="100" w:beforeAutospacing="1" w:after="240" w:line="276" w:lineRule="auto"/>
        <w:rPr>
          <w:b/>
        </w:rPr>
      </w:pPr>
      <w:proofErr w:type="gramStart"/>
      <w:r>
        <w:rPr>
          <w:b/>
        </w:rPr>
        <w:t>p</w:t>
      </w:r>
      <w:r w:rsidR="00AC5846" w:rsidRPr="004424B8">
        <w:rPr>
          <w:b/>
        </w:rPr>
        <w:t>hysical</w:t>
      </w:r>
      <w:proofErr w:type="gramEnd"/>
      <w:r w:rsidR="00AC5846" w:rsidRPr="004424B8">
        <w:rPr>
          <w:b/>
        </w:rPr>
        <w:t xml:space="preserve"> proof of Settled Status is provided.</w:t>
      </w:r>
    </w:p>
    <w:p w14:paraId="5A43B743" w14:textId="77777777" w:rsidR="005C7496" w:rsidRPr="004424B8" w:rsidRDefault="005C7496" w:rsidP="004424B8">
      <w:pPr>
        <w:pStyle w:val="ListParagraph"/>
        <w:spacing w:before="100" w:beforeAutospacing="1" w:after="240" w:line="276" w:lineRule="auto"/>
        <w:ind w:left="1440"/>
        <w:rPr>
          <w:b/>
        </w:rPr>
      </w:pPr>
    </w:p>
    <w:p w14:paraId="72DA76EE" w14:textId="6EE7A3D9" w:rsidR="00944B4E" w:rsidRPr="004424B8" w:rsidRDefault="00266194" w:rsidP="004424B8">
      <w:pPr>
        <w:pStyle w:val="ListParagraph"/>
        <w:numPr>
          <w:ilvl w:val="0"/>
          <w:numId w:val="27"/>
        </w:numPr>
        <w:spacing w:before="100" w:beforeAutospacing="1" w:after="240" w:line="276" w:lineRule="auto"/>
        <w:rPr>
          <w:b/>
        </w:rPr>
      </w:pPr>
      <w:proofErr w:type="gramStart"/>
      <w:r>
        <w:rPr>
          <w:b/>
        </w:rPr>
        <w:t>f</w:t>
      </w:r>
      <w:r w:rsidR="00AC5846" w:rsidRPr="004424B8">
        <w:rPr>
          <w:b/>
        </w:rPr>
        <w:t>unding</w:t>
      </w:r>
      <w:proofErr w:type="gramEnd"/>
      <w:r w:rsidR="00AC5846" w:rsidRPr="004424B8">
        <w:rPr>
          <w:b/>
        </w:rPr>
        <w:t xml:space="preserve"> for </w:t>
      </w:r>
      <w:r w:rsidR="004C1A97">
        <w:rPr>
          <w:b/>
        </w:rPr>
        <w:t xml:space="preserve">independent, culturally sensitive advice and support for vulnerable individuals applying for Settled Status </w:t>
      </w:r>
      <w:r w:rsidR="00AC5846" w:rsidRPr="004424B8">
        <w:rPr>
          <w:b/>
        </w:rPr>
        <w:t>is adequate and effectively monitored.</w:t>
      </w:r>
      <w:r w:rsidR="00276A08">
        <w:rPr>
          <w:b/>
        </w:rPr>
        <w:br/>
      </w:r>
    </w:p>
    <w:p w14:paraId="42117EC6" w14:textId="77777777" w:rsidR="007F2DD0" w:rsidRPr="005C7496" w:rsidRDefault="005C7496" w:rsidP="004424B8">
      <w:pPr>
        <w:pStyle w:val="ListParagraph"/>
        <w:numPr>
          <w:ilvl w:val="0"/>
          <w:numId w:val="27"/>
        </w:numPr>
        <w:spacing w:before="100" w:beforeAutospacing="1" w:after="240" w:line="276" w:lineRule="auto"/>
        <w:rPr>
          <w:rFonts w:cs="MinionPro-Regular"/>
          <w:b/>
          <w:szCs w:val="24"/>
        </w:rPr>
      </w:pPr>
      <w:r w:rsidRPr="005C7496">
        <w:rPr>
          <w:rFonts w:cs="MinionPro-Regular"/>
          <w:b/>
          <w:szCs w:val="24"/>
        </w:rPr>
        <w:t>A</w:t>
      </w:r>
      <w:r w:rsidR="00AC5846" w:rsidRPr="005C7496">
        <w:rPr>
          <w:rFonts w:cs="MinionPro-Regular"/>
          <w:b/>
          <w:szCs w:val="24"/>
        </w:rPr>
        <w:t xml:space="preserve"> commitment is given that</w:t>
      </w:r>
      <w:r w:rsidR="007F2DD0" w:rsidRPr="005C7496">
        <w:rPr>
          <w:rFonts w:cs="MinionPro-Regular"/>
          <w:b/>
          <w:szCs w:val="24"/>
        </w:rPr>
        <w:t xml:space="preserve">, post </w:t>
      </w:r>
      <w:proofErr w:type="spellStart"/>
      <w:proofErr w:type="gramStart"/>
      <w:r w:rsidR="007F2DD0" w:rsidRPr="005C7496">
        <w:rPr>
          <w:rFonts w:cs="MinionPro-Regular"/>
          <w:b/>
          <w:szCs w:val="24"/>
        </w:rPr>
        <w:t>Brexit</w:t>
      </w:r>
      <w:proofErr w:type="spellEnd"/>
      <w:r w:rsidR="007F2DD0" w:rsidRPr="005C7496">
        <w:rPr>
          <w:rFonts w:cs="MinionPro-Regular"/>
          <w:b/>
          <w:szCs w:val="24"/>
        </w:rPr>
        <w:t>,</w:t>
      </w:r>
      <w:proofErr w:type="gramEnd"/>
      <w:r w:rsidR="007F2DD0" w:rsidRPr="005C7496">
        <w:rPr>
          <w:rFonts w:cs="MinionPro-Regular"/>
          <w:b/>
          <w:szCs w:val="24"/>
        </w:rPr>
        <w:t xml:space="preserve"> EEA citizens who lack digital skills will be </w:t>
      </w:r>
      <w:r w:rsidR="00AC5846" w:rsidRPr="005C7496">
        <w:rPr>
          <w:rFonts w:cs="MinionPro-Regular"/>
          <w:b/>
          <w:szCs w:val="24"/>
        </w:rPr>
        <w:t xml:space="preserve">provided with the required assistance and </w:t>
      </w:r>
      <w:r w:rsidR="007F2DD0" w:rsidRPr="005C7496">
        <w:rPr>
          <w:rFonts w:cs="MinionPro-Regular"/>
          <w:b/>
          <w:szCs w:val="24"/>
        </w:rPr>
        <w:t xml:space="preserve">protected from immigration enforcement while they </w:t>
      </w:r>
      <w:r w:rsidR="009B0BFC" w:rsidRPr="005C7496">
        <w:rPr>
          <w:rFonts w:cs="MinionPro-Regular"/>
          <w:b/>
          <w:szCs w:val="24"/>
        </w:rPr>
        <w:t xml:space="preserve">assisted with </w:t>
      </w:r>
      <w:r w:rsidR="007F2DD0" w:rsidRPr="005C7496">
        <w:rPr>
          <w:rFonts w:cs="MinionPro-Regular"/>
          <w:b/>
          <w:szCs w:val="24"/>
        </w:rPr>
        <w:t>register</w:t>
      </w:r>
      <w:r w:rsidR="005A1F58" w:rsidRPr="005C7496">
        <w:rPr>
          <w:rFonts w:cs="MinionPro-Regular"/>
          <w:b/>
          <w:szCs w:val="24"/>
        </w:rPr>
        <w:t>ing</w:t>
      </w:r>
      <w:r w:rsidR="007F2DD0" w:rsidRPr="005C7496">
        <w:rPr>
          <w:rFonts w:cs="MinionPro-Regular"/>
          <w:b/>
          <w:szCs w:val="24"/>
        </w:rPr>
        <w:t xml:space="preserve"> with the EU Settlement scheme. </w:t>
      </w:r>
    </w:p>
    <w:p w14:paraId="34394494" w14:textId="77777777" w:rsidR="00FF206F" w:rsidRDefault="00FF206F">
      <w:pPr>
        <w:spacing w:after="160" w:line="259" w:lineRule="auto"/>
        <w:rPr>
          <w:rFonts w:cs="MinionPro-Regular"/>
          <w:szCs w:val="24"/>
        </w:rPr>
      </w:pPr>
    </w:p>
    <w:p w14:paraId="1408A2A8" w14:textId="77777777" w:rsidR="00D4198E" w:rsidRDefault="00D4198E">
      <w:pPr>
        <w:spacing w:after="160" w:line="259" w:lineRule="auto"/>
        <w:rPr>
          <w:rFonts w:cs="MinionPro-Regular"/>
          <w:szCs w:val="24"/>
        </w:rPr>
      </w:pPr>
      <w:r>
        <w:rPr>
          <w:rFonts w:cs="MinionPro-Regular"/>
          <w:szCs w:val="24"/>
        </w:rPr>
        <w:br w:type="page"/>
      </w:r>
    </w:p>
    <w:p w14:paraId="1AA456F3" w14:textId="40CE6BA5" w:rsidR="00D4198E" w:rsidRDefault="00D4198E" w:rsidP="00276A08">
      <w:pPr>
        <w:spacing w:after="160" w:line="259" w:lineRule="auto"/>
        <w:rPr>
          <w:rFonts w:cs="Arial"/>
          <w:b/>
          <w:bCs/>
          <w:color w:val="77328A"/>
          <w:sz w:val="44"/>
          <w:szCs w:val="44"/>
        </w:rPr>
      </w:pPr>
    </w:p>
    <w:p w14:paraId="4A048271" w14:textId="61221ABE" w:rsidR="00E16C3B" w:rsidRDefault="00E16C3B" w:rsidP="00276A08">
      <w:pPr>
        <w:spacing w:after="160" w:line="259" w:lineRule="auto"/>
        <w:rPr>
          <w:rFonts w:cs="Arial"/>
          <w:b/>
          <w:bCs/>
          <w:color w:val="77328A"/>
          <w:sz w:val="44"/>
          <w:szCs w:val="44"/>
        </w:rPr>
      </w:pPr>
    </w:p>
    <w:p w14:paraId="7468D844" w14:textId="77777777" w:rsidR="004C1A97" w:rsidRDefault="004C1A97" w:rsidP="00276A08">
      <w:pPr>
        <w:spacing w:after="160" w:line="259" w:lineRule="auto"/>
        <w:rPr>
          <w:rFonts w:cs="Arial"/>
          <w:b/>
          <w:bCs/>
          <w:color w:val="77328A"/>
          <w:sz w:val="44"/>
          <w:szCs w:val="44"/>
        </w:rPr>
      </w:pPr>
    </w:p>
    <w:p w14:paraId="12D08D3D" w14:textId="3321B51A" w:rsidR="00E16C3B" w:rsidRDefault="00E16C3B" w:rsidP="00276A08">
      <w:pPr>
        <w:spacing w:after="160" w:line="259" w:lineRule="auto"/>
        <w:rPr>
          <w:rFonts w:cs="Arial"/>
          <w:b/>
          <w:bCs/>
          <w:color w:val="77328A"/>
          <w:sz w:val="44"/>
          <w:szCs w:val="44"/>
        </w:rPr>
      </w:pPr>
    </w:p>
    <w:p w14:paraId="2F2D7F9D" w14:textId="77777777" w:rsidR="00E16C3B" w:rsidRDefault="00E16C3B" w:rsidP="00276A08">
      <w:pPr>
        <w:spacing w:after="160" w:line="259" w:lineRule="auto"/>
        <w:rPr>
          <w:rFonts w:cs="Arial"/>
          <w:b/>
          <w:bCs/>
          <w:color w:val="77328A"/>
          <w:sz w:val="44"/>
          <w:szCs w:val="44"/>
        </w:rPr>
      </w:pPr>
    </w:p>
    <w:p w14:paraId="2DA876BB" w14:textId="77777777" w:rsidR="009B0BFC" w:rsidRPr="003428C9" w:rsidRDefault="009B0BFC" w:rsidP="00665816">
      <w:pPr>
        <w:spacing w:after="160" w:line="259" w:lineRule="auto"/>
        <w:jc w:val="center"/>
        <w:rPr>
          <w:rFonts w:cs="Arial"/>
          <w:b/>
          <w:bCs/>
          <w:color w:val="77328A"/>
          <w:sz w:val="44"/>
          <w:szCs w:val="44"/>
        </w:rPr>
      </w:pPr>
      <w:r w:rsidRPr="003428C9">
        <w:rPr>
          <w:rFonts w:cs="Arial"/>
          <w:b/>
          <w:bCs/>
          <w:color w:val="77328A"/>
          <w:sz w:val="44"/>
          <w:szCs w:val="44"/>
        </w:rPr>
        <w:t>Contact Us</w:t>
      </w:r>
    </w:p>
    <w:p w14:paraId="32DF9E3B" w14:textId="77777777" w:rsidR="009B0BFC" w:rsidRPr="003428C9" w:rsidRDefault="009B0BFC" w:rsidP="009B0BFC">
      <w:pPr>
        <w:jc w:val="center"/>
        <w:rPr>
          <w:b/>
          <w:color w:val="232120"/>
          <w:sz w:val="30"/>
          <w:szCs w:val="30"/>
        </w:rPr>
      </w:pPr>
    </w:p>
    <w:p w14:paraId="5480D1FD" w14:textId="77777777" w:rsidR="00E16C3B" w:rsidRDefault="009B0BFC" w:rsidP="009B0BFC">
      <w:pPr>
        <w:jc w:val="center"/>
        <w:rPr>
          <w:b/>
          <w:color w:val="232120"/>
          <w:sz w:val="30"/>
          <w:szCs w:val="30"/>
        </w:rPr>
      </w:pPr>
      <w:r w:rsidRPr="003428C9">
        <w:rPr>
          <w:b/>
          <w:color w:val="232120"/>
          <w:sz w:val="30"/>
          <w:szCs w:val="30"/>
        </w:rPr>
        <w:t>For further queries</w:t>
      </w:r>
      <w:r w:rsidR="00E16C3B">
        <w:rPr>
          <w:b/>
          <w:color w:val="232120"/>
          <w:sz w:val="30"/>
          <w:szCs w:val="30"/>
        </w:rPr>
        <w:t>,</w:t>
      </w:r>
      <w:r w:rsidRPr="003428C9">
        <w:rPr>
          <w:b/>
          <w:color w:val="232120"/>
          <w:sz w:val="30"/>
          <w:szCs w:val="30"/>
        </w:rPr>
        <w:t xml:space="preserve"> please email: </w:t>
      </w:r>
    </w:p>
    <w:p w14:paraId="47C5FD0C" w14:textId="439C0BE3" w:rsidR="009B0BFC" w:rsidRPr="00E16C3B" w:rsidRDefault="00507A7F" w:rsidP="009B0BFC">
      <w:pPr>
        <w:jc w:val="center"/>
        <w:rPr>
          <w:b/>
          <w:color w:val="232120"/>
          <w:sz w:val="30"/>
          <w:szCs w:val="30"/>
        </w:rPr>
      </w:pPr>
      <w:hyperlink r:id="rId9" w:history="1">
        <w:r w:rsidR="009B0BFC" w:rsidRPr="00E16C3B">
          <w:rPr>
            <w:rStyle w:val="Hyperlink"/>
            <w:sz w:val="30"/>
            <w:szCs w:val="30"/>
          </w:rPr>
          <w:t>Colin.Caughey@nihrc.org</w:t>
        </w:r>
      </w:hyperlink>
    </w:p>
    <w:p w14:paraId="1189975E" w14:textId="77777777" w:rsidR="009B0BFC" w:rsidRPr="003428C9" w:rsidRDefault="009B0BFC" w:rsidP="009B0BFC">
      <w:pPr>
        <w:jc w:val="center"/>
        <w:rPr>
          <w:b/>
          <w:color w:val="232120"/>
          <w:sz w:val="30"/>
          <w:szCs w:val="30"/>
        </w:rPr>
      </w:pPr>
    </w:p>
    <w:p w14:paraId="6680BB1A" w14:textId="77777777" w:rsidR="009B0BFC" w:rsidRPr="003428C9" w:rsidRDefault="00507A7F" w:rsidP="009B0BFC">
      <w:pPr>
        <w:jc w:val="center"/>
        <w:rPr>
          <w:color w:val="232120"/>
          <w:sz w:val="28"/>
          <w:szCs w:val="28"/>
        </w:rPr>
      </w:pPr>
      <w:hyperlink r:id="rId10" w:history="1">
        <w:r w:rsidR="009B0BFC" w:rsidRPr="003428C9">
          <w:rPr>
            <w:rStyle w:val="Hyperlink"/>
            <w:color w:val="232120"/>
            <w:sz w:val="28"/>
            <w:szCs w:val="28"/>
            <w:lang w:val="en-US"/>
          </w:rPr>
          <w:t>www.nihrc.org</w:t>
        </w:r>
      </w:hyperlink>
      <w:r w:rsidR="009B0BFC" w:rsidRPr="003428C9">
        <w:rPr>
          <w:color w:val="232120"/>
          <w:sz w:val="28"/>
          <w:szCs w:val="28"/>
          <w:lang w:val="en-US"/>
        </w:rPr>
        <w:t xml:space="preserve">  </w:t>
      </w:r>
      <w:proofErr w:type="gramStart"/>
      <w:r w:rsidR="009B0BFC" w:rsidRPr="003428C9">
        <w:rPr>
          <w:color w:val="232120"/>
          <w:sz w:val="28"/>
          <w:szCs w:val="28"/>
          <w:lang w:val="en-US"/>
        </w:rPr>
        <w:t xml:space="preserve">|  </w:t>
      </w:r>
      <w:proofErr w:type="gramEnd"/>
      <w:hyperlink r:id="rId11" w:history="1">
        <w:r w:rsidR="009B0BFC" w:rsidRPr="003428C9">
          <w:rPr>
            <w:rStyle w:val="Hyperlink"/>
            <w:color w:val="232120"/>
            <w:sz w:val="28"/>
            <w:szCs w:val="28"/>
            <w:lang w:val="en-US"/>
          </w:rPr>
          <w:t>info@nihrc.org</w:t>
        </w:r>
      </w:hyperlink>
      <w:r w:rsidR="009B0BFC" w:rsidRPr="003428C9">
        <w:rPr>
          <w:color w:val="232120"/>
          <w:sz w:val="28"/>
          <w:szCs w:val="28"/>
          <w:lang w:val="en-US"/>
        </w:rPr>
        <w:t xml:space="preserve">  |  +44 (0)28 9024 3987</w:t>
      </w:r>
    </w:p>
    <w:p w14:paraId="7396B8FF" w14:textId="77777777" w:rsidR="009B0BFC" w:rsidRPr="003428C9" w:rsidRDefault="009B0BFC" w:rsidP="009B0BFC">
      <w:pPr>
        <w:jc w:val="center"/>
        <w:rPr>
          <w:color w:val="232120"/>
          <w:sz w:val="28"/>
          <w:szCs w:val="28"/>
        </w:rPr>
      </w:pPr>
      <w:r w:rsidRPr="003428C9">
        <w:rPr>
          <w:color w:val="232120"/>
          <w:sz w:val="28"/>
          <w:szCs w:val="28"/>
          <w:lang w:val="en-US"/>
        </w:rPr>
        <w:t>Temple Court, 39 North Street, Belfast, BT1NA</w:t>
      </w:r>
    </w:p>
    <w:p w14:paraId="784405B2" w14:textId="77777777" w:rsidR="009B0BFC" w:rsidRPr="003428C9" w:rsidRDefault="009B0BFC" w:rsidP="009B0BFC">
      <w:pPr>
        <w:jc w:val="center"/>
        <w:rPr>
          <w:b/>
          <w:color w:val="232120"/>
          <w:sz w:val="28"/>
          <w:szCs w:val="28"/>
        </w:rPr>
      </w:pPr>
    </w:p>
    <w:p w14:paraId="649B6FA1" w14:textId="77777777" w:rsidR="009B0BFC" w:rsidRPr="003428C9" w:rsidRDefault="009B0BFC" w:rsidP="009B0BFC">
      <w:pPr>
        <w:rPr>
          <w:color w:val="232120"/>
          <w:sz w:val="20"/>
          <w:szCs w:val="20"/>
        </w:rPr>
      </w:pPr>
    </w:p>
    <w:p w14:paraId="3A1657F8" w14:textId="77777777" w:rsidR="009B0BFC" w:rsidRPr="003428C9" w:rsidRDefault="009B0BFC" w:rsidP="009B0BFC">
      <w:pPr>
        <w:pStyle w:val="BasicParagraph"/>
        <w:suppressAutoHyphens/>
        <w:spacing w:line="240" w:lineRule="auto"/>
        <w:jc w:val="center"/>
        <w:rPr>
          <w:rFonts w:ascii="Verdana" w:hAnsi="Verdana" w:cs="Arial"/>
          <w:color w:val="232120"/>
          <w:sz w:val="28"/>
          <w:szCs w:val="28"/>
        </w:rPr>
      </w:pPr>
      <w:r w:rsidRPr="003428C9">
        <w:rPr>
          <w:rFonts w:ascii="Verdana" w:hAnsi="Verdana" w:cs="Arial"/>
          <w:noProof/>
          <w:color w:val="232120"/>
          <w:sz w:val="28"/>
          <w:szCs w:val="28"/>
          <w:lang w:eastAsia="en-GB"/>
        </w:rPr>
        <w:drawing>
          <wp:inline distT="0" distB="0" distL="0" distR="0" wp14:anchorId="675DB2AC" wp14:editId="109C587D">
            <wp:extent cx="1515406" cy="274540"/>
            <wp:effectExtent l="0" t="0" r="8890" b="508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p w14:paraId="06398ED4" w14:textId="77777777" w:rsidR="00C139E0" w:rsidRPr="00C139E0" w:rsidRDefault="00C139E0" w:rsidP="009B0BFC"/>
    <w:sectPr w:rsidR="00C139E0" w:rsidRPr="00C139E0" w:rsidSect="005D5471">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ABB5A4" w14:textId="77777777" w:rsidR="005B2A50" w:rsidRDefault="005B2A50" w:rsidP="000716AC">
      <w:pPr>
        <w:spacing w:line="240" w:lineRule="auto"/>
      </w:pPr>
      <w:r>
        <w:separator/>
      </w:r>
    </w:p>
  </w:endnote>
  <w:endnote w:type="continuationSeparator" w:id="0">
    <w:p w14:paraId="60A9184D" w14:textId="77777777" w:rsidR="005B2A50" w:rsidRDefault="005B2A50" w:rsidP="000716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ZurichBT-LightCondense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Cs w:val="24"/>
      </w:rPr>
      <w:id w:val="757413285"/>
      <w:docPartObj>
        <w:docPartGallery w:val="Page Numbers (Bottom of Page)"/>
        <w:docPartUnique/>
      </w:docPartObj>
    </w:sdtPr>
    <w:sdtEndPr>
      <w:rPr>
        <w:noProof/>
        <w:color w:val="7030A0"/>
        <w:sz w:val="16"/>
        <w:szCs w:val="16"/>
      </w:rPr>
    </w:sdtEndPr>
    <w:sdtContent>
      <w:p w14:paraId="37B3EF86" w14:textId="7966E0B4" w:rsidR="009006A2" w:rsidRPr="005F5AE0" w:rsidRDefault="009006A2">
        <w:pPr>
          <w:pStyle w:val="Footer"/>
          <w:jc w:val="right"/>
          <w:rPr>
            <w:color w:val="7030A0"/>
            <w:sz w:val="16"/>
            <w:szCs w:val="16"/>
          </w:rPr>
        </w:pPr>
        <w:r w:rsidRPr="005F5AE0">
          <w:rPr>
            <w:color w:val="7030A0"/>
            <w:sz w:val="16"/>
            <w:szCs w:val="16"/>
          </w:rPr>
          <w:fldChar w:fldCharType="begin"/>
        </w:r>
        <w:r w:rsidRPr="005F5AE0">
          <w:rPr>
            <w:color w:val="7030A0"/>
            <w:sz w:val="16"/>
            <w:szCs w:val="16"/>
          </w:rPr>
          <w:instrText xml:space="preserve"> PAGE   \* MERGEFORMAT </w:instrText>
        </w:r>
        <w:r w:rsidRPr="005F5AE0">
          <w:rPr>
            <w:color w:val="7030A0"/>
            <w:sz w:val="16"/>
            <w:szCs w:val="16"/>
          </w:rPr>
          <w:fldChar w:fldCharType="separate"/>
        </w:r>
        <w:r w:rsidR="00507A7F">
          <w:rPr>
            <w:noProof/>
            <w:color w:val="7030A0"/>
            <w:sz w:val="16"/>
            <w:szCs w:val="16"/>
          </w:rPr>
          <w:t>2</w:t>
        </w:r>
        <w:r w:rsidRPr="005F5AE0">
          <w:rPr>
            <w:noProof/>
            <w:color w:val="7030A0"/>
            <w:sz w:val="16"/>
            <w:szCs w:val="16"/>
          </w:rPr>
          <w:fldChar w:fldCharType="end"/>
        </w:r>
      </w:p>
    </w:sdtContent>
  </w:sdt>
  <w:p w14:paraId="0CF8C6EB" w14:textId="77777777" w:rsidR="009006A2" w:rsidRPr="001739C6" w:rsidRDefault="009006A2">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F4474" w14:textId="77777777" w:rsidR="005B2A50" w:rsidRDefault="005B2A50" w:rsidP="000716AC">
      <w:pPr>
        <w:spacing w:line="240" w:lineRule="auto"/>
      </w:pPr>
      <w:r>
        <w:separator/>
      </w:r>
    </w:p>
  </w:footnote>
  <w:footnote w:type="continuationSeparator" w:id="0">
    <w:p w14:paraId="1B207385" w14:textId="77777777" w:rsidR="005B2A50" w:rsidRDefault="005B2A50" w:rsidP="000716AC">
      <w:pPr>
        <w:spacing w:line="240" w:lineRule="auto"/>
      </w:pPr>
      <w:r>
        <w:continuationSeparator/>
      </w:r>
    </w:p>
  </w:footnote>
  <w:footnote w:id="1">
    <w:p w14:paraId="184E79CD" w14:textId="3BF01CFB" w:rsidR="009006A2" w:rsidRPr="00266194" w:rsidRDefault="009006A2" w:rsidP="00E16C3B">
      <w:pPr>
        <w:spacing w:line="240" w:lineRule="auto"/>
        <w:rPr>
          <w:color w:val="77328A"/>
          <w:sz w:val="16"/>
          <w:szCs w:val="16"/>
        </w:rPr>
      </w:pPr>
      <w:r w:rsidRPr="00266194">
        <w:rPr>
          <w:rStyle w:val="FootnoteReference"/>
          <w:color w:val="77328A"/>
          <w:sz w:val="16"/>
          <w:szCs w:val="16"/>
        </w:rPr>
        <w:footnoteRef/>
      </w:r>
      <w:r w:rsidR="00CA383B" w:rsidRPr="00266194">
        <w:rPr>
          <w:color w:val="77328A"/>
          <w:sz w:val="16"/>
          <w:szCs w:val="16"/>
        </w:rPr>
        <w:t xml:space="preserve"> </w:t>
      </w:r>
      <w:r w:rsidRPr="00266194">
        <w:rPr>
          <w:color w:val="77328A"/>
          <w:sz w:val="16"/>
          <w:szCs w:val="16"/>
        </w:rPr>
        <w:t xml:space="preserve">Cabinet Office, ‘Government </w:t>
      </w:r>
      <w:r w:rsidR="00530D6D" w:rsidRPr="00266194">
        <w:rPr>
          <w:color w:val="77328A"/>
          <w:sz w:val="16"/>
          <w:szCs w:val="16"/>
        </w:rPr>
        <w:t>Digital Strategy’ (</w:t>
      </w:r>
      <w:r w:rsidR="00CA383B" w:rsidRPr="00266194">
        <w:rPr>
          <w:color w:val="77328A"/>
          <w:sz w:val="16"/>
          <w:szCs w:val="16"/>
        </w:rPr>
        <w:t xml:space="preserve">CO, </w:t>
      </w:r>
      <w:r w:rsidR="00530D6D" w:rsidRPr="00266194">
        <w:rPr>
          <w:color w:val="77328A"/>
          <w:sz w:val="16"/>
          <w:szCs w:val="16"/>
        </w:rPr>
        <w:t>2012</w:t>
      </w:r>
      <w:r w:rsidRPr="00266194">
        <w:rPr>
          <w:color w:val="77328A"/>
          <w:sz w:val="16"/>
          <w:szCs w:val="16"/>
        </w:rPr>
        <w:t>)</w:t>
      </w:r>
      <w:r w:rsidR="00530D6D" w:rsidRPr="00266194">
        <w:rPr>
          <w:color w:val="77328A"/>
          <w:sz w:val="16"/>
          <w:szCs w:val="16"/>
        </w:rPr>
        <w:t>.</w:t>
      </w:r>
    </w:p>
  </w:footnote>
  <w:footnote w:id="2">
    <w:p w14:paraId="15A361DA" w14:textId="1B74A4C3" w:rsidR="009006A2" w:rsidRPr="00266194" w:rsidRDefault="009006A2" w:rsidP="00E16C3B">
      <w:pPr>
        <w:spacing w:line="240" w:lineRule="auto"/>
        <w:rPr>
          <w:color w:val="77328A"/>
          <w:sz w:val="16"/>
          <w:szCs w:val="16"/>
        </w:rPr>
      </w:pPr>
      <w:r w:rsidRPr="00266194">
        <w:rPr>
          <w:rStyle w:val="FootnoteReference"/>
          <w:color w:val="77328A"/>
          <w:sz w:val="16"/>
          <w:szCs w:val="16"/>
        </w:rPr>
        <w:footnoteRef/>
      </w:r>
      <w:r w:rsidRPr="00266194">
        <w:rPr>
          <w:color w:val="77328A"/>
          <w:sz w:val="16"/>
          <w:szCs w:val="16"/>
          <w:vertAlign w:val="superscript"/>
        </w:rPr>
        <w:t xml:space="preserve"> </w:t>
      </w:r>
      <w:r w:rsidRPr="00266194">
        <w:rPr>
          <w:color w:val="77328A"/>
          <w:sz w:val="16"/>
          <w:szCs w:val="16"/>
        </w:rPr>
        <w:t>Cabinet Office</w:t>
      </w:r>
      <w:r w:rsidR="00C83656" w:rsidRPr="00266194">
        <w:rPr>
          <w:color w:val="77328A"/>
          <w:sz w:val="16"/>
          <w:szCs w:val="16"/>
        </w:rPr>
        <w:t xml:space="preserve"> and the Government Digital Service</w:t>
      </w:r>
      <w:r w:rsidRPr="00266194">
        <w:rPr>
          <w:color w:val="77328A"/>
          <w:sz w:val="16"/>
          <w:szCs w:val="16"/>
        </w:rPr>
        <w:t>, ‘Government Transformation Service (</w:t>
      </w:r>
      <w:r w:rsidR="00C83656" w:rsidRPr="00266194">
        <w:rPr>
          <w:color w:val="77328A"/>
          <w:sz w:val="16"/>
          <w:szCs w:val="16"/>
        </w:rPr>
        <w:t>C</w:t>
      </w:r>
      <w:r w:rsidR="008A10C1" w:rsidRPr="00266194">
        <w:rPr>
          <w:color w:val="77328A"/>
          <w:sz w:val="16"/>
          <w:szCs w:val="16"/>
        </w:rPr>
        <w:t>O</w:t>
      </w:r>
      <w:r w:rsidR="00C83656" w:rsidRPr="00266194">
        <w:rPr>
          <w:color w:val="77328A"/>
          <w:sz w:val="16"/>
          <w:szCs w:val="16"/>
        </w:rPr>
        <w:t xml:space="preserve"> and GDS, 2017</w:t>
      </w:r>
      <w:r w:rsidRPr="00266194">
        <w:rPr>
          <w:color w:val="77328A"/>
          <w:sz w:val="16"/>
          <w:szCs w:val="16"/>
        </w:rPr>
        <w:t>)</w:t>
      </w:r>
      <w:r w:rsidR="00C83656" w:rsidRPr="00266194">
        <w:rPr>
          <w:color w:val="77328A"/>
          <w:sz w:val="16"/>
          <w:szCs w:val="16"/>
        </w:rPr>
        <w:t>, at 16.</w:t>
      </w:r>
    </w:p>
  </w:footnote>
  <w:footnote w:id="3">
    <w:p w14:paraId="37ED9A66" w14:textId="375D85ED" w:rsidR="009006A2" w:rsidRPr="00266194" w:rsidRDefault="009006A2" w:rsidP="00E16C3B">
      <w:pPr>
        <w:spacing w:line="240" w:lineRule="auto"/>
        <w:rPr>
          <w:color w:val="77328A"/>
          <w:sz w:val="16"/>
          <w:szCs w:val="16"/>
        </w:rPr>
      </w:pPr>
      <w:r w:rsidRPr="00266194">
        <w:rPr>
          <w:rStyle w:val="FootnoteReference"/>
          <w:color w:val="77328A"/>
          <w:sz w:val="16"/>
          <w:szCs w:val="16"/>
        </w:rPr>
        <w:footnoteRef/>
      </w:r>
      <w:r w:rsidRPr="00266194">
        <w:rPr>
          <w:color w:val="77328A"/>
          <w:sz w:val="16"/>
          <w:szCs w:val="16"/>
          <w:vertAlign w:val="superscript"/>
        </w:rPr>
        <w:t xml:space="preserve"> </w:t>
      </w:r>
      <w:r w:rsidR="00C83656" w:rsidRPr="00266194">
        <w:rPr>
          <w:color w:val="77328A"/>
          <w:sz w:val="16"/>
          <w:szCs w:val="16"/>
        </w:rPr>
        <w:t>Ibid, at</w:t>
      </w:r>
      <w:r w:rsidRPr="00266194">
        <w:rPr>
          <w:color w:val="77328A"/>
          <w:sz w:val="16"/>
          <w:szCs w:val="16"/>
        </w:rPr>
        <w:t xml:space="preserve"> 79</w:t>
      </w:r>
      <w:r w:rsidR="00C83656" w:rsidRPr="00266194">
        <w:rPr>
          <w:color w:val="77328A"/>
          <w:sz w:val="16"/>
          <w:szCs w:val="16"/>
        </w:rPr>
        <w:t>.</w:t>
      </w:r>
    </w:p>
  </w:footnote>
  <w:footnote w:id="4">
    <w:p w14:paraId="3149095B" w14:textId="77777777" w:rsidR="00FF206F" w:rsidRPr="00266194" w:rsidRDefault="00FF206F" w:rsidP="00E16C3B">
      <w:pPr>
        <w:spacing w:line="240" w:lineRule="auto"/>
        <w:rPr>
          <w:color w:val="77328A"/>
          <w:sz w:val="16"/>
          <w:szCs w:val="16"/>
        </w:rPr>
      </w:pPr>
      <w:r w:rsidRPr="00266194">
        <w:rPr>
          <w:rStyle w:val="FootnoteReference"/>
          <w:color w:val="77328A"/>
          <w:sz w:val="16"/>
          <w:szCs w:val="16"/>
        </w:rPr>
        <w:footnoteRef/>
      </w:r>
      <w:r w:rsidRPr="00266194">
        <w:rPr>
          <w:color w:val="77328A"/>
          <w:sz w:val="16"/>
          <w:szCs w:val="16"/>
          <w:vertAlign w:val="superscript"/>
        </w:rPr>
        <w:t xml:space="preserve"> </w:t>
      </w:r>
      <w:r w:rsidRPr="00266194">
        <w:rPr>
          <w:color w:val="77328A"/>
          <w:sz w:val="16"/>
          <w:szCs w:val="16"/>
        </w:rPr>
        <w:t>E/C.12/GBR/CO/6, ‘UN Committee on Economic, Social and Cultural Rights, Concluding Observations on the Sixth Periodic Report of the UK of Great Britain and NI’, 14 July 2016.</w:t>
      </w:r>
    </w:p>
  </w:footnote>
  <w:footnote w:id="5">
    <w:p w14:paraId="59F8BAC7" w14:textId="2A81081B" w:rsidR="00FF206F" w:rsidRPr="00266194" w:rsidRDefault="00FF206F" w:rsidP="00E16C3B">
      <w:pPr>
        <w:spacing w:line="240" w:lineRule="auto"/>
        <w:rPr>
          <w:color w:val="77328A"/>
          <w:sz w:val="16"/>
          <w:szCs w:val="16"/>
        </w:rPr>
      </w:pPr>
      <w:r w:rsidRPr="00266194">
        <w:rPr>
          <w:rStyle w:val="FootnoteReference"/>
          <w:color w:val="77328A"/>
          <w:sz w:val="16"/>
          <w:szCs w:val="16"/>
        </w:rPr>
        <w:footnoteRef/>
      </w:r>
      <w:r w:rsidRPr="00266194">
        <w:rPr>
          <w:color w:val="77328A"/>
          <w:sz w:val="16"/>
          <w:szCs w:val="16"/>
          <w:vertAlign w:val="superscript"/>
        </w:rPr>
        <w:t xml:space="preserve"> </w:t>
      </w:r>
      <w:r w:rsidRPr="00266194">
        <w:rPr>
          <w:color w:val="77328A"/>
          <w:sz w:val="16"/>
          <w:szCs w:val="16"/>
        </w:rPr>
        <w:t>CRC/C/GBR/CO/5, ‘UN Committee on the Rights of the Child, Concluding Observations on the Fifth Periodic Report of the UK of Great Britain and NI’, 3 June 2016</w:t>
      </w:r>
      <w:r w:rsidR="00CA383B" w:rsidRPr="00266194">
        <w:rPr>
          <w:rFonts w:eastAsia="Verdana"/>
          <w:color w:val="77328A"/>
          <w:sz w:val="16"/>
          <w:szCs w:val="16"/>
        </w:rPr>
        <w:t>.</w:t>
      </w:r>
    </w:p>
  </w:footnote>
  <w:footnote w:id="6">
    <w:p w14:paraId="36225283" w14:textId="58EB794E" w:rsidR="00FF206F" w:rsidRPr="00266194" w:rsidRDefault="00FF206F" w:rsidP="00E16C3B">
      <w:pPr>
        <w:spacing w:line="240" w:lineRule="auto"/>
        <w:rPr>
          <w:color w:val="77328A"/>
          <w:sz w:val="16"/>
          <w:szCs w:val="16"/>
        </w:rPr>
      </w:pPr>
      <w:r w:rsidRPr="00266194">
        <w:rPr>
          <w:rStyle w:val="FootnoteReference"/>
          <w:color w:val="77328A"/>
          <w:sz w:val="16"/>
          <w:szCs w:val="16"/>
        </w:rPr>
        <w:footnoteRef/>
      </w:r>
      <w:r w:rsidRPr="00266194">
        <w:rPr>
          <w:color w:val="77328A"/>
          <w:sz w:val="16"/>
          <w:szCs w:val="16"/>
          <w:vertAlign w:val="superscript"/>
        </w:rPr>
        <w:t xml:space="preserve"> </w:t>
      </w:r>
      <w:proofErr w:type="gramStart"/>
      <w:r w:rsidRPr="00266194">
        <w:rPr>
          <w:color w:val="77328A"/>
          <w:sz w:val="16"/>
          <w:szCs w:val="16"/>
        </w:rPr>
        <w:t>CRPD/C/15/R.2/Rev. 1, ‘Inquiry concerning the United Kingdom of Great Britain and Northern Ireland carried out by the Committee under Article 6 of the Optional Protocol to the Convention’, 6 October 2016</w:t>
      </w:r>
      <w:r w:rsidR="008A10C1" w:rsidRPr="00266194">
        <w:rPr>
          <w:color w:val="77328A"/>
          <w:sz w:val="16"/>
          <w:szCs w:val="16"/>
        </w:rPr>
        <w:t>; see also</w:t>
      </w:r>
      <w:r w:rsidR="0065584A" w:rsidRPr="00266194">
        <w:rPr>
          <w:color w:val="77328A"/>
          <w:sz w:val="16"/>
          <w:szCs w:val="16"/>
        </w:rPr>
        <w:t xml:space="preserve"> CRPD/C/GBR/CO/1, ‘UN Committee on Rights of Persons with Disabilities Concluding Observations on the Initial Report of the United Kingdom of Great Britain and Northern Ireland’, 3 October 2017.</w:t>
      </w:r>
      <w:proofErr w:type="gramEnd"/>
    </w:p>
  </w:footnote>
  <w:footnote w:id="7">
    <w:p w14:paraId="5DC44CD8" w14:textId="2954AD4C" w:rsidR="00FF206F" w:rsidRPr="00266194" w:rsidRDefault="00FF206F" w:rsidP="00E16C3B">
      <w:pPr>
        <w:spacing w:line="240" w:lineRule="auto"/>
        <w:rPr>
          <w:color w:val="77328A"/>
          <w:sz w:val="16"/>
          <w:szCs w:val="16"/>
        </w:rPr>
      </w:pPr>
      <w:r w:rsidRPr="00266194">
        <w:rPr>
          <w:rStyle w:val="FootnoteReference"/>
          <w:color w:val="77328A"/>
          <w:sz w:val="16"/>
          <w:szCs w:val="16"/>
        </w:rPr>
        <w:footnoteRef/>
      </w:r>
      <w:r w:rsidRPr="00266194">
        <w:rPr>
          <w:color w:val="77328A"/>
          <w:sz w:val="16"/>
          <w:szCs w:val="16"/>
        </w:rPr>
        <w:t xml:space="preserve"> </w:t>
      </w:r>
      <w:r w:rsidR="001A6CA4" w:rsidRPr="00266194">
        <w:rPr>
          <w:color w:val="77328A"/>
          <w:sz w:val="16"/>
          <w:szCs w:val="16"/>
        </w:rPr>
        <w:t>CEDAW/C/GBR/CO/8, ‘UN Committee on the Elimination of Discrimination against Women, Concluding Observations on the eight periodic report of the United Kingdom of Great Britain and NI’, 8 March 2019.</w:t>
      </w:r>
      <w:r w:rsidRPr="00266194">
        <w:rPr>
          <w:color w:val="77328A"/>
          <w:sz w:val="16"/>
          <w:szCs w:val="16"/>
        </w:rPr>
        <w:t xml:space="preserve"> </w:t>
      </w:r>
    </w:p>
  </w:footnote>
  <w:footnote w:id="8">
    <w:p w14:paraId="4EC4F1D4" w14:textId="5C1A9ACA" w:rsidR="00FF206F" w:rsidRPr="00266194" w:rsidRDefault="00FF206F" w:rsidP="00E16C3B">
      <w:pPr>
        <w:spacing w:line="240" w:lineRule="auto"/>
        <w:rPr>
          <w:color w:val="77328A"/>
          <w:sz w:val="16"/>
          <w:szCs w:val="16"/>
        </w:rPr>
      </w:pPr>
      <w:r w:rsidRPr="00266194">
        <w:rPr>
          <w:rStyle w:val="FootnoteReference"/>
          <w:color w:val="77328A"/>
          <w:sz w:val="16"/>
          <w:szCs w:val="16"/>
        </w:rPr>
        <w:footnoteRef/>
      </w:r>
      <w:r w:rsidRPr="00266194">
        <w:rPr>
          <w:color w:val="77328A"/>
          <w:sz w:val="16"/>
          <w:szCs w:val="16"/>
        </w:rPr>
        <w:t xml:space="preserve"> </w:t>
      </w:r>
      <w:proofErr w:type="gramStart"/>
      <w:r w:rsidR="001A6CA4" w:rsidRPr="00266194">
        <w:rPr>
          <w:color w:val="77328A"/>
          <w:sz w:val="16"/>
          <w:szCs w:val="16"/>
        </w:rPr>
        <w:t>NI Human Rights Commission, ‘Submission to the UN CEDAW Committee: Parallel Report to the Eighth Periodic Report Submitted by the United Kingdom of Great Britain and NI’ (NIHRC, 2019); NI Human Rights Commission, ‘Briefing Paper: NI Human Rights Commission to the Committee on Discrimination Against Women during the 72</w:t>
      </w:r>
      <w:r w:rsidR="001A6CA4" w:rsidRPr="00266194">
        <w:rPr>
          <w:color w:val="77328A"/>
          <w:sz w:val="16"/>
          <w:szCs w:val="16"/>
          <w:vertAlign w:val="superscript"/>
        </w:rPr>
        <w:t>nd</w:t>
      </w:r>
      <w:r w:rsidR="001A6CA4" w:rsidRPr="00266194">
        <w:rPr>
          <w:color w:val="77328A"/>
          <w:sz w:val="16"/>
          <w:szCs w:val="16"/>
        </w:rPr>
        <w:t xml:space="preserve"> Session’s Pre-Sessional Working Group on the Examination of the United Kingdom’s Compliance with the UN CEDAW’ (NIHRC, 2019); NI Human Rights Commission</w:t>
      </w:r>
      <w:r w:rsidR="00FC00EB" w:rsidRPr="00266194">
        <w:rPr>
          <w:color w:val="77328A"/>
          <w:sz w:val="16"/>
          <w:szCs w:val="16"/>
        </w:rPr>
        <w:t>,</w:t>
      </w:r>
      <w:r w:rsidR="001A6CA4" w:rsidRPr="00266194">
        <w:rPr>
          <w:color w:val="77328A"/>
          <w:sz w:val="16"/>
          <w:szCs w:val="16"/>
        </w:rPr>
        <w:t xml:space="preserve"> ‘</w:t>
      </w:r>
      <w:r w:rsidR="00FC00EB" w:rsidRPr="00266194">
        <w:rPr>
          <w:color w:val="77328A"/>
          <w:sz w:val="16"/>
          <w:szCs w:val="16"/>
        </w:rPr>
        <w:t xml:space="preserve">Submission to the UN Committee on the Elimination of Discrimination against Women: Parallel Report to the Eighth Periodic Report Submitted by the United Kingdom of Great Britain and NI’ </w:t>
      </w:r>
      <w:r w:rsidR="001A6CA4" w:rsidRPr="00266194">
        <w:rPr>
          <w:color w:val="77328A"/>
          <w:sz w:val="16"/>
          <w:szCs w:val="16"/>
        </w:rPr>
        <w:t>(</w:t>
      </w:r>
      <w:r w:rsidR="00FC00EB" w:rsidRPr="00266194">
        <w:rPr>
          <w:color w:val="77328A"/>
          <w:sz w:val="16"/>
          <w:szCs w:val="16"/>
        </w:rPr>
        <w:t>NIHRC, 2018</w:t>
      </w:r>
      <w:r w:rsidR="001A6CA4" w:rsidRPr="00266194">
        <w:rPr>
          <w:color w:val="77328A"/>
          <w:sz w:val="16"/>
          <w:szCs w:val="16"/>
        </w:rPr>
        <w:t>); NI</w:t>
      </w:r>
      <w:r w:rsidR="00FC00EB" w:rsidRPr="00266194">
        <w:rPr>
          <w:color w:val="77328A"/>
          <w:sz w:val="16"/>
          <w:szCs w:val="16"/>
        </w:rPr>
        <w:t xml:space="preserve"> </w:t>
      </w:r>
      <w:r w:rsidR="001A6CA4" w:rsidRPr="00266194">
        <w:rPr>
          <w:color w:val="77328A"/>
          <w:sz w:val="16"/>
          <w:szCs w:val="16"/>
        </w:rPr>
        <w:t>H</w:t>
      </w:r>
      <w:r w:rsidR="00FC00EB" w:rsidRPr="00266194">
        <w:rPr>
          <w:color w:val="77328A"/>
          <w:sz w:val="16"/>
          <w:szCs w:val="16"/>
        </w:rPr>
        <w:t xml:space="preserve">uman </w:t>
      </w:r>
      <w:r w:rsidR="001A6CA4" w:rsidRPr="00266194">
        <w:rPr>
          <w:color w:val="77328A"/>
          <w:sz w:val="16"/>
          <w:szCs w:val="16"/>
        </w:rPr>
        <w:t>R</w:t>
      </w:r>
      <w:r w:rsidR="00FC00EB" w:rsidRPr="00266194">
        <w:rPr>
          <w:color w:val="77328A"/>
          <w:sz w:val="16"/>
          <w:szCs w:val="16"/>
        </w:rPr>
        <w:t xml:space="preserve">ights </w:t>
      </w:r>
      <w:r w:rsidR="001A6CA4" w:rsidRPr="00266194">
        <w:rPr>
          <w:color w:val="77328A"/>
          <w:sz w:val="16"/>
          <w:szCs w:val="16"/>
        </w:rPr>
        <w:t>C</w:t>
      </w:r>
      <w:r w:rsidR="00FC00EB" w:rsidRPr="00266194">
        <w:rPr>
          <w:color w:val="77328A"/>
          <w:sz w:val="16"/>
          <w:szCs w:val="16"/>
        </w:rPr>
        <w:t>ommission</w:t>
      </w:r>
      <w:r w:rsidR="001A6CA4" w:rsidRPr="00266194">
        <w:rPr>
          <w:color w:val="77328A"/>
          <w:sz w:val="16"/>
          <w:szCs w:val="16"/>
        </w:rPr>
        <w:t xml:space="preserve">, ‘Submission to </w:t>
      </w:r>
      <w:r w:rsidR="00FC00EB" w:rsidRPr="00266194">
        <w:rPr>
          <w:color w:val="77328A"/>
          <w:sz w:val="16"/>
          <w:szCs w:val="16"/>
        </w:rPr>
        <w:t xml:space="preserve">the UN </w:t>
      </w:r>
      <w:r w:rsidR="001A6CA4" w:rsidRPr="00266194">
        <w:rPr>
          <w:color w:val="77328A"/>
          <w:sz w:val="16"/>
          <w:szCs w:val="16"/>
        </w:rPr>
        <w:t>Committee on Economic, Social and Cultural Rights</w:t>
      </w:r>
      <w:r w:rsidR="00FC00EB" w:rsidRPr="00266194">
        <w:rPr>
          <w:color w:val="77328A"/>
          <w:sz w:val="16"/>
          <w:szCs w:val="16"/>
        </w:rPr>
        <w:t xml:space="preserve"> 58</w:t>
      </w:r>
      <w:r w:rsidR="00FC00EB" w:rsidRPr="00266194">
        <w:rPr>
          <w:color w:val="77328A"/>
          <w:sz w:val="16"/>
          <w:szCs w:val="16"/>
          <w:vertAlign w:val="superscript"/>
        </w:rPr>
        <w:t>th</w:t>
      </w:r>
      <w:r w:rsidR="00FC00EB" w:rsidRPr="00266194">
        <w:rPr>
          <w:color w:val="77328A"/>
          <w:sz w:val="16"/>
          <w:szCs w:val="16"/>
        </w:rPr>
        <w:t xml:space="preserve"> Session on the Sixth Periodic Report of the United Kingdom’s Compliance with ICESCR’ (NIHRC, 2016</w:t>
      </w:r>
      <w:r w:rsidR="001A6CA4" w:rsidRPr="00266194">
        <w:rPr>
          <w:color w:val="77328A"/>
          <w:sz w:val="16"/>
          <w:szCs w:val="16"/>
        </w:rPr>
        <w:t>); NI</w:t>
      </w:r>
      <w:r w:rsidR="00FC00EB" w:rsidRPr="00266194">
        <w:rPr>
          <w:color w:val="77328A"/>
          <w:sz w:val="16"/>
          <w:szCs w:val="16"/>
        </w:rPr>
        <w:t xml:space="preserve"> </w:t>
      </w:r>
      <w:r w:rsidR="001A6CA4" w:rsidRPr="00266194">
        <w:rPr>
          <w:color w:val="77328A"/>
          <w:sz w:val="16"/>
          <w:szCs w:val="16"/>
        </w:rPr>
        <w:t>H</w:t>
      </w:r>
      <w:r w:rsidR="00FC00EB" w:rsidRPr="00266194">
        <w:rPr>
          <w:color w:val="77328A"/>
          <w:sz w:val="16"/>
          <w:szCs w:val="16"/>
        </w:rPr>
        <w:t xml:space="preserve">uman </w:t>
      </w:r>
      <w:r w:rsidR="001A6CA4" w:rsidRPr="00266194">
        <w:rPr>
          <w:color w:val="77328A"/>
          <w:sz w:val="16"/>
          <w:szCs w:val="16"/>
        </w:rPr>
        <w:t>R</w:t>
      </w:r>
      <w:r w:rsidR="00FC00EB" w:rsidRPr="00266194">
        <w:rPr>
          <w:color w:val="77328A"/>
          <w:sz w:val="16"/>
          <w:szCs w:val="16"/>
        </w:rPr>
        <w:t xml:space="preserve">ights </w:t>
      </w:r>
      <w:r w:rsidR="001A6CA4" w:rsidRPr="00266194">
        <w:rPr>
          <w:color w:val="77328A"/>
          <w:sz w:val="16"/>
          <w:szCs w:val="16"/>
        </w:rPr>
        <w:t>C</w:t>
      </w:r>
      <w:r w:rsidR="00FC00EB" w:rsidRPr="00266194">
        <w:rPr>
          <w:color w:val="77328A"/>
          <w:sz w:val="16"/>
          <w:szCs w:val="16"/>
        </w:rPr>
        <w:t>ommission</w:t>
      </w:r>
      <w:r w:rsidR="001A6CA4" w:rsidRPr="00266194">
        <w:rPr>
          <w:color w:val="77328A"/>
          <w:sz w:val="16"/>
          <w:szCs w:val="16"/>
        </w:rPr>
        <w:t xml:space="preserve">, ‘Submission to the </w:t>
      </w:r>
      <w:r w:rsidR="006B5C5E" w:rsidRPr="00266194">
        <w:rPr>
          <w:color w:val="77328A"/>
          <w:sz w:val="16"/>
          <w:szCs w:val="16"/>
        </w:rPr>
        <w:t xml:space="preserve">UN </w:t>
      </w:r>
      <w:r w:rsidR="001A6CA4" w:rsidRPr="00266194">
        <w:rPr>
          <w:color w:val="77328A"/>
          <w:sz w:val="16"/>
          <w:szCs w:val="16"/>
        </w:rPr>
        <w:t xml:space="preserve">Committee </w:t>
      </w:r>
      <w:r w:rsidR="006B5C5E" w:rsidRPr="00266194">
        <w:rPr>
          <w:color w:val="77328A"/>
          <w:sz w:val="16"/>
          <w:szCs w:val="16"/>
        </w:rPr>
        <w:t>on the Rights of the Child 72</w:t>
      </w:r>
      <w:r w:rsidR="006B5C5E" w:rsidRPr="00266194">
        <w:rPr>
          <w:color w:val="77328A"/>
          <w:sz w:val="16"/>
          <w:szCs w:val="16"/>
          <w:vertAlign w:val="superscript"/>
        </w:rPr>
        <w:t>nd</w:t>
      </w:r>
      <w:r w:rsidR="006B5C5E" w:rsidRPr="00266194">
        <w:rPr>
          <w:color w:val="77328A"/>
          <w:sz w:val="16"/>
          <w:szCs w:val="16"/>
        </w:rPr>
        <w:t xml:space="preserve"> Session on the Periodic Report of the United Kingdom of Great Britain and NI’, (NIHRC, 2016); </w:t>
      </w:r>
      <w:r w:rsidR="001A6CA4" w:rsidRPr="00266194">
        <w:rPr>
          <w:color w:val="77328A"/>
          <w:sz w:val="16"/>
          <w:szCs w:val="16"/>
        </w:rPr>
        <w:t>NI</w:t>
      </w:r>
      <w:r w:rsidR="00414BA0" w:rsidRPr="00266194">
        <w:rPr>
          <w:color w:val="77328A"/>
          <w:sz w:val="16"/>
          <w:szCs w:val="16"/>
        </w:rPr>
        <w:t xml:space="preserve"> </w:t>
      </w:r>
      <w:r w:rsidR="001A6CA4" w:rsidRPr="00266194">
        <w:rPr>
          <w:color w:val="77328A"/>
          <w:sz w:val="16"/>
          <w:szCs w:val="16"/>
        </w:rPr>
        <w:t>H</w:t>
      </w:r>
      <w:r w:rsidR="00414BA0" w:rsidRPr="00266194">
        <w:rPr>
          <w:color w:val="77328A"/>
          <w:sz w:val="16"/>
          <w:szCs w:val="16"/>
        </w:rPr>
        <w:t xml:space="preserve">uman </w:t>
      </w:r>
      <w:r w:rsidR="001A6CA4" w:rsidRPr="00266194">
        <w:rPr>
          <w:color w:val="77328A"/>
          <w:sz w:val="16"/>
          <w:szCs w:val="16"/>
        </w:rPr>
        <w:t>R</w:t>
      </w:r>
      <w:r w:rsidR="00414BA0" w:rsidRPr="00266194">
        <w:rPr>
          <w:color w:val="77328A"/>
          <w:sz w:val="16"/>
          <w:szCs w:val="16"/>
        </w:rPr>
        <w:t xml:space="preserve">ights </w:t>
      </w:r>
      <w:r w:rsidR="001A6CA4" w:rsidRPr="00266194">
        <w:rPr>
          <w:color w:val="77328A"/>
          <w:sz w:val="16"/>
          <w:szCs w:val="16"/>
        </w:rPr>
        <w:t>C</w:t>
      </w:r>
      <w:r w:rsidR="00414BA0" w:rsidRPr="00266194">
        <w:rPr>
          <w:color w:val="77328A"/>
          <w:sz w:val="16"/>
          <w:szCs w:val="16"/>
        </w:rPr>
        <w:t>ommission</w:t>
      </w:r>
      <w:r w:rsidR="001A6CA4" w:rsidRPr="00266194">
        <w:rPr>
          <w:color w:val="77328A"/>
          <w:sz w:val="16"/>
          <w:szCs w:val="16"/>
        </w:rPr>
        <w:t>, ‘</w:t>
      </w:r>
      <w:r w:rsidR="001B6A00" w:rsidRPr="00266194">
        <w:rPr>
          <w:color w:val="77328A"/>
          <w:sz w:val="16"/>
          <w:szCs w:val="16"/>
        </w:rPr>
        <w:t xml:space="preserve">Submission to </w:t>
      </w:r>
      <w:r w:rsidR="001A6CA4" w:rsidRPr="00266194">
        <w:rPr>
          <w:color w:val="77328A"/>
          <w:sz w:val="16"/>
          <w:szCs w:val="16"/>
        </w:rPr>
        <w:t xml:space="preserve">the </w:t>
      </w:r>
      <w:r w:rsidR="001B6A00" w:rsidRPr="00266194">
        <w:rPr>
          <w:color w:val="77328A"/>
          <w:sz w:val="16"/>
          <w:szCs w:val="16"/>
        </w:rPr>
        <w:t xml:space="preserve">UN </w:t>
      </w:r>
      <w:r w:rsidR="001A6CA4" w:rsidRPr="00266194">
        <w:rPr>
          <w:color w:val="77328A"/>
          <w:sz w:val="16"/>
          <w:szCs w:val="16"/>
        </w:rPr>
        <w:t>Commit</w:t>
      </w:r>
      <w:r w:rsidR="001B6A00" w:rsidRPr="00266194">
        <w:rPr>
          <w:color w:val="77328A"/>
          <w:sz w:val="16"/>
          <w:szCs w:val="16"/>
        </w:rPr>
        <w:t xml:space="preserve">tee on the Rights of the Child on the United Kingdom’s Fifth Periodic Report on compliance with the UN Convention on the Rights of the Child’ (NIHRC, 2015); </w:t>
      </w:r>
      <w:r w:rsidR="00C2332F" w:rsidRPr="00266194">
        <w:rPr>
          <w:color w:val="77328A"/>
          <w:sz w:val="16"/>
          <w:szCs w:val="16"/>
        </w:rPr>
        <w:t xml:space="preserve">UK Independent Mechanism, ‘Disability rights in the UK: UK Independent Mechanism Submission to inform the CRPD List of Issues on the UK’ (UKIM, 2017); Independent Mechanism for NI, ‘Disability rights in NI: Supplementary submission to inform the CRPD List of Issues on the UK’ (IMNI, 2017); </w:t>
      </w:r>
      <w:r w:rsidR="001A6CA4" w:rsidRPr="00266194">
        <w:rPr>
          <w:color w:val="77328A"/>
          <w:sz w:val="16"/>
          <w:szCs w:val="16"/>
        </w:rPr>
        <w:t>UK Independent Mechanism, ‘</w:t>
      </w:r>
      <w:r w:rsidR="004A2D31" w:rsidRPr="00266194">
        <w:rPr>
          <w:color w:val="77328A"/>
          <w:sz w:val="16"/>
          <w:szCs w:val="16"/>
        </w:rPr>
        <w:t>Monitoring the Implementation of the UN Convention on the Rights of Persons with Disabilities: the UK Independent mechanism list of issues interim report’ (UKIM, 2</w:t>
      </w:r>
      <w:r w:rsidR="001A6CA4" w:rsidRPr="00266194">
        <w:rPr>
          <w:color w:val="77328A"/>
          <w:sz w:val="16"/>
          <w:szCs w:val="16"/>
        </w:rPr>
        <w:t>014).</w:t>
      </w:r>
      <w:proofErr w:type="gramEnd"/>
      <w:r w:rsidR="001A6CA4" w:rsidRPr="00266194">
        <w:rPr>
          <w:color w:val="77328A"/>
          <w:sz w:val="16"/>
          <w:szCs w:val="16"/>
        </w:rPr>
        <w:t xml:space="preserve"> All submissions available on </w:t>
      </w:r>
      <w:r w:rsidR="001B6A00" w:rsidRPr="00266194">
        <w:rPr>
          <w:color w:val="77328A"/>
          <w:sz w:val="16"/>
          <w:szCs w:val="16"/>
        </w:rPr>
        <w:t>the Commission’s</w:t>
      </w:r>
      <w:r w:rsidR="001A6CA4" w:rsidRPr="00266194">
        <w:rPr>
          <w:color w:val="77328A"/>
          <w:sz w:val="16"/>
          <w:szCs w:val="16"/>
        </w:rPr>
        <w:t xml:space="preserve"> website </w:t>
      </w:r>
      <w:hyperlink r:id="rId1" w:history="1">
        <w:r w:rsidR="001A6CA4" w:rsidRPr="00266194">
          <w:rPr>
            <w:rStyle w:val="Hyperlink"/>
            <w:color w:val="77328A"/>
            <w:sz w:val="16"/>
            <w:szCs w:val="16"/>
          </w:rPr>
          <w:t>www.nihrc.org</w:t>
        </w:r>
      </w:hyperlink>
      <w:r w:rsidR="001A6CA4" w:rsidRPr="00266194">
        <w:rPr>
          <w:color w:val="77328A"/>
          <w:sz w:val="16"/>
          <w:szCs w:val="16"/>
        </w:rPr>
        <w:t xml:space="preserve"> </w:t>
      </w:r>
    </w:p>
  </w:footnote>
  <w:footnote w:id="9">
    <w:p w14:paraId="747E396A" w14:textId="55452A6A" w:rsidR="009006A2" w:rsidRPr="00266194" w:rsidRDefault="009006A2" w:rsidP="00E16C3B">
      <w:pPr>
        <w:spacing w:line="240" w:lineRule="auto"/>
        <w:rPr>
          <w:color w:val="77328A"/>
          <w:sz w:val="16"/>
          <w:szCs w:val="16"/>
        </w:rPr>
      </w:pPr>
      <w:r w:rsidRPr="00266194">
        <w:rPr>
          <w:rStyle w:val="FootnoteReference"/>
          <w:color w:val="77328A"/>
          <w:sz w:val="16"/>
          <w:szCs w:val="16"/>
        </w:rPr>
        <w:footnoteRef/>
      </w:r>
      <w:r w:rsidRPr="00266194">
        <w:rPr>
          <w:color w:val="77328A"/>
          <w:sz w:val="16"/>
          <w:szCs w:val="16"/>
          <w:vertAlign w:val="superscript"/>
        </w:rPr>
        <w:t xml:space="preserve"> </w:t>
      </w:r>
      <w:r w:rsidRPr="00266194">
        <w:rPr>
          <w:color w:val="77328A"/>
          <w:sz w:val="16"/>
          <w:szCs w:val="16"/>
        </w:rPr>
        <w:t>Universal Credit replaces Child and Working Tax Credits, Housing Benefit, income-based Jobseeker’s Allowa</w:t>
      </w:r>
      <w:r w:rsidR="00666889" w:rsidRPr="00266194">
        <w:rPr>
          <w:color w:val="77328A"/>
          <w:sz w:val="16"/>
          <w:szCs w:val="16"/>
        </w:rPr>
        <w:t>nce, income-related Employment and</w:t>
      </w:r>
      <w:r w:rsidRPr="00266194">
        <w:rPr>
          <w:color w:val="77328A"/>
          <w:sz w:val="16"/>
          <w:szCs w:val="16"/>
        </w:rPr>
        <w:t xml:space="preserve"> Support Allowance and Income Support.</w:t>
      </w:r>
    </w:p>
  </w:footnote>
  <w:footnote w:id="10">
    <w:p w14:paraId="296D8AD3" w14:textId="0D519F14" w:rsidR="009006A2" w:rsidRPr="00266194" w:rsidRDefault="009006A2" w:rsidP="00E16C3B">
      <w:pPr>
        <w:spacing w:line="240" w:lineRule="auto"/>
        <w:rPr>
          <w:color w:val="77328A"/>
          <w:sz w:val="16"/>
          <w:szCs w:val="16"/>
        </w:rPr>
      </w:pPr>
      <w:r w:rsidRPr="00266194">
        <w:rPr>
          <w:rStyle w:val="FootnoteReference"/>
          <w:color w:val="77328A"/>
          <w:sz w:val="16"/>
          <w:szCs w:val="16"/>
        </w:rPr>
        <w:footnoteRef/>
      </w:r>
      <w:r w:rsidRPr="00266194">
        <w:rPr>
          <w:color w:val="77328A"/>
          <w:sz w:val="16"/>
          <w:szCs w:val="16"/>
          <w:vertAlign w:val="superscript"/>
        </w:rPr>
        <w:t xml:space="preserve"> </w:t>
      </w:r>
      <w:r w:rsidRPr="00266194">
        <w:rPr>
          <w:color w:val="77328A"/>
          <w:sz w:val="16"/>
          <w:szCs w:val="16"/>
        </w:rPr>
        <w:t>House of Commons</w:t>
      </w:r>
      <w:r w:rsidR="00C56214" w:rsidRPr="00266194">
        <w:rPr>
          <w:color w:val="77328A"/>
          <w:sz w:val="16"/>
          <w:szCs w:val="16"/>
        </w:rPr>
        <w:t xml:space="preserve"> Library</w:t>
      </w:r>
      <w:r w:rsidRPr="00266194">
        <w:rPr>
          <w:color w:val="77328A"/>
          <w:sz w:val="16"/>
          <w:szCs w:val="16"/>
        </w:rPr>
        <w:t>, ‘</w:t>
      </w:r>
      <w:r w:rsidR="00C56214" w:rsidRPr="00266194">
        <w:rPr>
          <w:color w:val="77328A"/>
          <w:sz w:val="16"/>
          <w:szCs w:val="16"/>
        </w:rPr>
        <w:t xml:space="preserve">Briefing Paper Number 8299: </w:t>
      </w:r>
      <w:r w:rsidRPr="00266194">
        <w:rPr>
          <w:color w:val="77328A"/>
          <w:sz w:val="16"/>
          <w:szCs w:val="16"/>
        </w:rPr>
        <w:t xml:space="preserve">Universal </w:t>
      </w:r>
      <w:r w:rsidR="00C56214" w:rsidRPr="00266194">
        <w:rPr>
          <w:color w:val="77328A"/>
          <w:sz w:val="16"/>
          <w:szCs w:val="16"/>
        </w:rPr>
        <w:t xml:space="preserve">Credit </w:t>
      </w:r>
      <w:proofErr w:type="gramStart"/>
      <w:r w:rsidR="00C56214" w:rsidRPr="00266194">
        <w:rPr>
          <w:color w:val="77328A"/>
          <w:sz w:val="16"/>
          <w:szCs w:val="16"/>
        </w:rPr>
        <w:t>roll-out</w:t>
      </w:r>
      <w:proofErr w:type="gramEnd"/>
      <w:r w:rsidR="00C56214" w:rsidRPr="00266194">
        <w:rPr>
          <w:color w:val="77328A"/>
          <w:sz w:val="16"/>
          <w:szCs w:val="16"/>
        </w:rPr>
        <w:t>: 2018-19’ (</w:t>
      </w:r>
      <w:proofErr w:type="spellStart"/>
      <w:r w:rsidR="00C56214" w:rsidRPr="00266194">
        <w:rPr>
          <w:color w:val="77328A"/>
          <w:sz w:val="16"/>
          <w:szCs w:val="16"/>
        </w:rPr>
        <w:t>HoC</w:t>
      </w:r>
      <w:proofErr w:type="spellEnd"/>
      <w:r w:rsidR="00C56214" w:rsidRPr="00266194">
        <w:rPr>
          <w:color w:val="77328A"/>
          <w:sz w:val="16"/>
          <w:szCs w:val="16"/>
        </w:rPr>
        <w:t>, 2018), at 3.</w:t>
      </w:r>
    </w:p>
  </w:footnote>
  <w:footnote w:id="11">
    <w:p w14:paraId="6A73891B" w14:textId="5F119BD5" w:rsidR="009006A2" w:rsidRPr="00266194" w:rsidRDefault="009006A2" w:rsidP="00E16C3B">
      <w:pPr>
        <w:spacing w:line="240" w:lineRule="auto"/>
        <w:rPr>
          <w:color w:val="77328A"/>
          <w:sz w:val="16"/>
          <w:szCs w:val="16"/>
        </w:rPr>
      </w:pPr>
      <w:r w:rsidRPr="00266194">
        <w:rPr>
          <w:rStyle w:val="FootnoteReference"/>
          <w:color w:val="77328A"/>
          <w:sz w:val="16"/>
          <w:szCs w:val="16"/>
        </w:rPr>
        <w:footnoteRef/>
      </w:r>
      <w:r w:rsidRPr="00266194">
        <w:rPr>
          <w:color w:val="77328A"/>
          <w:sz w:val="16"/>
          <w:szCs w:val="16"/>
          <w:vertAlign w:val="superscript"/>
        </w:rPr>
        <w:t xml:space="preserve"> </w:t>
      </w:r>
      <w:r w:rsidR="004942F4" w:rsidRPr="00266194">
        <w:rPr>
          <w:color w:val="77328A"/>
          <w:sz w:val="16"/>
          <w:szCs w:val="16"/>
        </w:rPr>
        <w:t>NI</w:t>
      </w:r>
      <w:r w:rsidRPr="00266194">
        <w:rPr>
          <w:color w:val="77328A"/>
          <w:sz w:val="16"/>
          <w:szCs w:val="16"/>
        </w:rPr>
        <w:t xml:space="preserve"> Audit Office, ‘Welfare R</w:t>
      </w:r>
      <w:r w:rsidR="004942F4" w:rsidRPr="00266194">
        <w:rPr>
          <w:color w:val="77328A"/>
          <w:sz w:val="16"/>
          <w:szCs w:val="16"/>
        </w:rPr>
        <w:t xml:space="preserve">eforms in Northern Ireland’ (NIAO, </w:t>
      </w:r>
      <w:r w:rsidRPr="00266194">
        <w:rPr>
          <w:color w:val="77328A"/>
          <w:sz w:val="16"/>
          <w:szCs w:val="16"/>
        </w:rPr>
        <w:t>2019), at 39.</w:t>
      </w:r>
    </w:p>
  </w:footnote>
  <w:footnote w:id="12">
    <w:p w14:paraId="6D5FC372" w14:textId="309E1CFB" w:rsidR="009006A2" w:rsidRPr="00266194" w:rsidRDefault="009006A2" w:rsidP="00E16C3B">
      <w:pPr>
        <w:spacing w:line="240" w:lineRule="auto"/>
        <w:rPr>
          <w:color w:val="77328A"/>
          <w:sz w:val="16"/>
          <w:szCs w:val="16"/>
        </w:rPr>
      </w:pPr>
      <w:r w:rsidRPr="00266194">
        <w:rPr>
          <w:rStyle w:val="FootnoteReference"/>
          <w:color w:val="77328A"/>
          <w:sz w:val="16"/>
          <w:szCs w:val="16"/>
        </w:rPr>
        <w:footnoteRef/>
      </w:r>
      <w:r w:rsidRPr="00266194">
        <w:rPr>
          <w:color w:val="77328A"/>
          <w:sz w:val="16"/>
          <w:szCs w:val="16"/>
          <w:vertAlign w:val="superscript"/>
        </w:rPr>
        <w:t xml:space="preserve">  </w:t>
      </w:r>
      <w:r w:rsidRPr="00266194">
        <w:rPr>
          <w:color w:val="77328A"/>
          <w:sz w:val="16"/>
          <w:szCs w:val="16"/>
        </w:rPr>
        <w:t>Office for National Statistics, ‘Exploring the UK’s digital divide’ (</w:t>
      </w:r>
      <w:r w:rsidR="00A07E56" w:rsidRPr="00266194">
        <w:rPr>
          <w:color w:val="77328A"/>
          <w:sz w:val="16"/>
          <w:szCs w:val="16"/>
        </w:rPr>
        <w:t>ONS,</w:t>
      </w:r>
      <w:r w:rsidRPr="00266194">
        <w:rPr>
          <w:color w:val="77328A"/>
          <w:sz w:val="16"/>
          <w:szCs w:val="16"/>
        </w:rPr>
        <w:t xml:space="preserve"> 2019) </w:t>
      </w:r>
      <w:r w:rsidR="00A07E56" w:rsidRPr="00266194">
        <w:rPr>
          <w:color w:val="77328A"/>
          <w:sz w:val="16"/>
          <w:szCs w:val="16"/>
        </w:rPr>
        <w:t xml:space="preserve">at </w:t>
      </w:r>
      <w:proofErr w:type="gramStart"/>
      <w:r w:rsidR="00A07E56" w:rsidRPr="00266194">
        <w:rPr>
          <w:color w:val="77328A"/>
          <w:sz w:val="16"/>
          <w:szCs w:val="16"/>
        </w:rPr>
        <w:t>7</w:t>
      </w:r>
      <w:proofErr w:type="gramEnd"/>
      <w:r w:rsidR="00A07E56" w:rsidRPr="00266194">
        <w:rPr>
          <w:color w:val="77328A"/>
          <w:sz w:val="16"/>
          <w:szCs w:val="16"/>
        </w:rPr>
        <w:t>.</w:t>
      </w:r>
    </w:p>
  </w:footnote>
  <w:footnote w:id="13">
    <w:p w14:paraId="0DD9E92C" w14:textId="7A730DAD" w:rsidR="009006A2" w:rsidRPr="00266194" w:rsidRDefault="009006A2" w:rsidP="00E16C3B">
      <w:pPr>
        <w:spacing w:line="240" w:lineRule="auto"/>
        <w:rPr>
          <w:color w:val="77328A"/>
          <w:sz w:val="16"/>
          <w:szCs w:val="16"/>
        </w:rPr>
      </w:pPr>
      <w:r w:rsidRPr="00266194">
        <w:rPr>
          <w:rStyle w:val="FootnoteReference"/>
          <w:color w:val="77328A"/>
          <w:sz w:val="16"/>
          <w:szCs w:val="16"/>
        </w:rPr>
        <w:footnoteRef/>
      </w:r>
      <w:r w:rsidRPr="00266194">
        <w:rPr>
          <w:color w:val="77328A"/>
          <w:sz w:val="16"/>
          <w:szCs w:val="16"/>
          <w:vertAlign w:val="superscript"/>
        </w:rPr>
        <w:t xml:space="preserve"> </w:t>
      </w:r>
      <w:r w:rsidR="006304D8" w:rsidRPr="00266194">
        <w:rPr>
          <w:color w:val="77328A"/>
          <w:sz w:val="16"/>
          <w:szCs w:val="16"/>
        </w:rPr>
        <w:t>Ibid.</w:t>
      </w:r>
      <w:r w:rsidRPr="00266194">
        <w:rPr>
          <w:color w:val="77328A"/>
          <w:sz w:val="16"/>
          <w:szCs w:val="16"/>
        </w:rPr>
        <w:t xml:space="preserve"> </w:t>
      </w:r>
    </w:p>
  </w:footnote>
  <w:footnote w:id="14">
    <w:p w14:paraId="7BD30117" w14:textId="54FA6121" w:rsidR="009006A2" w:rsidRPr="00266194" w:rsidRDefault="009006A2" w:rsidP="00E16C3B">
      <w:pPr>
        <w:spacing w:line="240" w:lineRule="auto"/>
        <w:rPr>
          <w:color w:val="77328A"/>
          <w:sz w:val="16"/>
          <w:szCs w:val="16"/>
        </w:rPr>
      </w:pPr>
      <w:r w:rsidRPr="00266194">
        <w:rPr>
          <w:rStyle w:val="FootnoteReference"/>
          <w:color w:val="77328A"/>
          <w:sz w:val="16"/>
          <w:szCs w:val="16"/>
        </w:rPr>
        <w:footnoteRef/>
      </w:r>
      <w:r w:rsidRPr="00266194">
        <w:rPr>
          <w:color w:val="77328A"/>
          <w:sz w:val="16"/>
          <w:szCs w:val="16"/>
          <w:vertAlign w:val="superscript"/>
        </w:rPr>
        <w:t xml:space="preserve"> </w:t>
      </w:r>
      <w:r w:rsidR="006304D8" w:rsidRPr="00266194">
        <w:rPr>
          <w:color w:val="77328A"/>
          <w:sz w:val="16"/>
          <w:szCs w:val="16"/>
        </w:rPr>
        <w:t xml:space="preserve">Ibid, at 14 and 10. </w:t>
      </w:r>
      <w:r w:rsidR="002F0406" w:rsidRPr="00266194">
        <w:rPr>
          <w:color w:val="77328A"/>
          <w:sz w:val="16"/>
          <w:szCs w:val="16"/>
        </w:rPr>
        <w:t>22.5 per cent</w:t>
      </w:r>
      <w:r w:rsidRPr="00266194">
        <w:rPr>
          <w:color w:val="77328A"/>
          <w:sz w:val="16"/>
          <w:szCs w:val="16"/>
        </w:rPr>
        <w:t xml:space="preserve"> of internet non-users are in the economically inactive (long-term sick/disabled 12months+) category. Other categories i.e. </w:t>
      </w:r>
      <w:r w:rsidR="00FE65FA" w:rsidRPr="00266194">
        <w:rPr>
          <w:color w:val="77328A"/>
          <w:sz w:val="16"/>
          <w:szCs w:val="16"/>
        </w:rPr>
        <w:t>employees, self-</w:t>
      </w:r>
      <w:r w:rsidRPr="00266194">
        <w:rPr>
          <w:color w:val="77328A"/>
          <w:sz w:val="16"/>
          <w:szCs w:val="16"/>
        </w:rPr>
        <w:t xml:space="preserve">employed, ILO unemployed </w:t>
      </w:r>
      <w:r w:rsidR="00FE65FA" w:rsidRPr="00266194">
        <w:rPr>
          <w:color w:val="77328A"/>
          <w:sz w:val="16"/>
          <w:szCs w:val="16"/>
        </w:rPr>
        <w:t>comprise</w:t>
      </w:r>
      <w:r w:rsidR="002F0406" w:rsidRPr="00266194">
        <w:rPr>
          <w:color w:val="77328A"/>
          <w:sz w:val="16"/>
          <w:szCs w:val="16"/>
        </w:rPr>
        <w:t xml:space="preserve"> under 3 per cent</w:t>
      </w:r>
      <w:r w:rsidRPr="00266194">
        <w:rPr>
          <w:color w:val="77328A"/>
          <w:sz w:val="16"/>
          <w:szCs w:val="16"/>
        </w:rPr>
        <w:t xml:space="preserve"> of other internet </w:t>
      </w:r>
      <w:proofErr w:type="gramStart"/>
      <w:r w:rsidRPr="00266194">
        <w:rPr>
          <w:color w:val="77328A"/>
          <w:sz w:val="16"/>
          <w:szCs w:val="16"/>
        </w:rPr>
        <w:t>non users</w:t>
      </w:r>
      <w:proofErr w:type="gramEnd"/>
      <w:r w:rsidRPr="00266194">
        <w:rPr>
          <w:color w:val="77328A"/>
          <w:sz w:val="16"/>
          <w:szCs w:val="16"/>
        </w:rPr>
        <w:t xml:space="preserve">).  </w:t>
      </w:r>
    </w:p>
  </w:footnote>
  <w:footnote w:id="15">
    <w:p w14:paraId="68DDD3D4" w14:textId="732CE7D6" w:rsidR="009006A2" w:rsidRPr="00266194" w:rsidRDefault="009006A2" w:rsidP="00E16C3B">
      <w:pPr>
        <w:spacing w:line="240" w:lineRule="auto"/>
        <w:rPr>
          <w:color w:val="77328A"/>
          <w:sz w:val="16"/>
          <w:szCs w:val="16"/>
        </w:rPr>
      </w:pPr>
      <w:r w:rsidRPr="00266194">
        <w:rPr>
          <w:rStyle w:val="FootnoteReference"/>
          <w:color w:val="77328A"/>
          <w:sz w:val="16"/>
          <w:szCs w:val="16"/>
        </w:rPr>
        <w:footnoteRef/>
      </w:r>
      <w:r w:rsidRPr="00266194">
        <w:rPr>
          <w:color w:val="77328A"/>
          <w:sz w:val="16"/>
          <w:szCs w:val="16"/>
        </w:rPr>
        <w:t xml:space="preserve"> Equality and Human Rights Commission, ‘The cumulative impact o</w:t>
      </w:r>
      <w:r w:rsidR="006304D8" w:rsidRPr="00266194">
        <w:rPr>
          <w:color w:val="77328A"/>
          <w:sz w:val="16"/>
          <w:szCs w:val="16"/>
        </w:rPr>
        <w:t>f tax and welfare reforms’ (EHRC, 2018), at 173.</w:t>
      </w:r>
    </w:p>
  </w:footnote>
  <w:footnote w:id="16">
    <w:p w14:paraId="21144B40" w14:textId="3E4DF225" w:rsidR="009006A2" w:rsidRPr="00266194" w:rsidRDefault="009006A2" w:rsidP="00E16C3B">
      <w:pPr>
        <w:spacing w:line="240" w:lineRule="auto"/>
        <w:rPr>
          <w:color w:val="77328A"/>
          <w:sz w:val="16"/>
          <w:szCs w:val="16"/>
        </w:rPr>
      </w:pPr>
      <w:r w:rsidRPr="00266194">
        <w:rPr>
          <w:rStyle w:val="FootnoteReference"/>
          <w:color w:val="77328A"/>
          <w:sz w:val="16"/>
          <w:szCs w:val="16"/>
        </w:rPr>
        <w:footnoteRef/>
      </w:r>
      <w:r w:rsidRPr="00266194">
        <w:rPr>
          <w:color w:val="77328A"/>
          <w:sz w:val="16"/>
          <w:szCs w:val="16"/>
          <w:vertAlign w:val="superscript"/>
        </w:rPr>
        <w:t xml:space="preserve"> </w:t>
      </w:r>
      <w:r w:rsidRPr="00266194">
        <w:rPr>
          <w:color w:val="77328A"/>
          <w:sz w:val="16"/>
          <w:szCs w:val="16"/>
        </w:rPr>
        <w:t>The latest statistics from the Department of Agriculture, Environment and Rural Affairs show that 37 per cent of the NI population live in rural areas and 63 per cent live in urban areas. Department of Agriculture, Environment and Rural Affairs, ‘NI Rural-Urban Statistics’ (DAERA, 2018).In comparison, the latest UK Government statistics show 17 per cent of the population in England live in rural areas and 83</w:t>
      </w:r>
      <w:r w:rsidR="00544FEF" w:rsidRPr="00266194">
        <w:rPr>
          <w:color w:val="77328A"/>
          <w:sz w:val="16"/>
          <w:szCs w:val="16"/>
        </w:rPr>
        <w:t xml:space="preserve"> per cent live in urban areas; see </w:t>
      </w:r>
      <w:r w:rsidRPr="00266194">
        <w:rPr>
          <w:color w:val="77328A"/>
          <w:sz w:val="16"/>
          <w:szCs w:val="16"/>
        </w:rPr>
        <w:t xml:space="preserve">Department for Environment, Food, and Rural Affairs, ‘Rural Population and migration </w:t>
      </w:r>
      <w:proofErr w:type="spellStart"/>
      <w:r w:rsidRPr="00266194">
        <w:rPr>
          <w:color w:val="77328A"/>
          <w:sz w:val="16"/>
          <w:szCs w:val="16"/>
        </w:rPr>
        <w:t>mid year</w:t>
      </w:r>
      <w:proofErr w:type="spellEnd"/>
      <w:r w:rsidRPr="00266194">
        <w:rPr>
          <w:color w:val="77328A"/>
          <w:sz w:val="16"/>
          <w:szCs w:val="16"/>
        </w:rPr>
        <w:t xml:space="preserve"> population 2017’ </w:t>
      </w:r>
      <w:r w:rsidR="00544FEF" w:rsidRPr="00266194">
        <w:rPr>
          <w:color w:val="77328A"/>
          <w:sz w:val="16"/>
          <w:szCs w:val="16"/>
        </w:rPr>
        <w:t xml:space="preserve">(DEFRA, 2018) </w:t>
      </w:r>
      <w:r w:rsidRPr="00266194">
        <w:rPr>
          <w:color w:val="77328A"/>
          <w:sz w:val="16"/>
          <w:szCs w:val="16"/>
        </w:rPr>
        <w:t>at 1.</w:t>
      </w:r>
    </w:p>
  </w:footnote>
  <w:footnote w:id="17">
    <w:p w14:paraId="2297AAEC" w14:textId="2EA7AE73" w:rsidR="009006A2" w:rsidRPr="00266194" w:rsidRDefault="009006A2" w:rsidP="00E16C3B">
      <w:pPr>
        <w:spacing w:line="240" w:lineRule="auto"/>
        <w:rPr>
          <w:color w:val="77328A"/>
          <w:sz w:val="16"/>
          <w:szCs w:val="16"/>
        </w:rPr>
      </w:pPr>
      <w:r w:rsidRPr="00266194">
        <w:rPr>
          <w:rStyle w:val="FootnoteReference"/>
          <w:color w:val="77328A"/>
          <w:sz w:val="16"/>
          <w:szCs w:val="16"/>
        </w:rPr>
        <w:footnoteRef/>
      </w:r>
      <w:r w:rsidRPr="00266194">
        <w:rPr>
          <w:color w:val="77328A"/>
          <w:sz w:val="16"/>
          <w:szCs w:val="16"/>
          <w:vertAlign w:val="superscript"/>
        </w:rPr>
        <w:t xml:space="preserve"> </w:t>
      </w:r>
      <w:r w:rsidR="00F72743" w:rsidRPr="00266194">
        <w:rPr>
          <w:color w:val="77328A"/>
          <w:sz w:val="16"/>
          <w:szCs w:val="16"/>
        </w:rPr>
        <w:t>Ofcom, ‘Connected Nations 2017</w:t>
      </w:r>
      <w:r w:rsidRPr="00266194">
        <w:rPr>
          <w:color w:val="77328A"/>
          <w:sz w:val="16"/>
          <w:szCs w:val="16"/>
        </w:rPr>
        <w:t xml:space="preserve"> report</w:t>
      </w:r>
      <w:r w:rsidR="00F72743" w:rsidRPr="00266194">
        <w:rPr>
          <w:color w:val="77328A"/>
          <w:sz w:val="16"/>
          <w:szCs w:val="16"/>
        </w:rPr>
        <w:t>’ (Ofcom,</w:t>
      </w:r>
      <w:r w:rsidRPr="00266194">
        <w:rPr>
          <w:color w:val="77328A"/>
          <w:sz w:val="16"/>
          <w:szCs w:val="16"/>
        </w:rPr>
        <w:t xml:space="preserve"> 2017)</w:t>
      </w:r>
      <w:r w:rsidR="00F72743" w:rsidRPr="00266194">
        <w:rPr>
          <w:color w:val="77328A"/>
          <w:sz w:val="16"/>
          <w:szCs w:val="16"/>
        </w:rPr>
        <w:t xml:space="preserve"> at para 2.5.</w:t>
      </w:r>
    </w:p>
  </w:footnote>
  <w:footnote w:id="18">
    <w:p w14:paraId="2F84DCF4" w14:textId="267749E6" w:rsidR="009006A2" w:rsidRPr="00266194" w:rsidRDefault="009006A2" w:rsidP="00E16C3B">
      <w:pPr>
        <w:spacing w:line="240" w:lineRule="auto"/>
        <w:rPr>
          <w:color w:val="77328A"/>
          <w:sz w:val="16"/>
          <w:szCs w:val="16"/>
        </w:rPr>
      </w:pPr>
      <w:r w:rsidRPr="00266194">
        <w:rPr>
          <w:rStyle w:val="FootnoteReference"/>
          <w:color w:val="77328A"/>
          <w:sz w:val="16"/>
          <w:szCs w:val="16"/>
        </w:rPr>
        <w:footnoteRef/>
      </w:r>
      <w:r w:rsidRPr="00266194">
        <w:rPr>
          <w:color w:val="77328A"/>
          <w:sz w:val="16"/>
          <w:szCs w:val="16"/>
        </w:rPr>
        <w:t xml:space="preserve"> D</w:t>
      </w:r>
      <w:r w:rsidR="00784186" w:rsidRPr="00266194">
        <w:rPr>
          <w:color w:val="77328A"/>
          <w:sz w:val="16"/>
          <w:szCs w:val="16"/>
        </w:rPr>
        <w:t xml:space="preserve">epartment for </w:t>
      </w:r>
      <w:r w:rsidRPr="00266194">
        <w:rPr>
          <w:color w:val="77328A"/>
          <w:sz w:val="16"/>
          <w:szCs w:val="16"/>
        </w:rPr>
        <w:t>W</w:t>
      </w:r>
      <w:r w:rsidR="00784186" w:rsidRPr="00266194">
        <w:rPr>
          <w:color w:val="77328A"/>
          <w:sz w:val="16"/>
          <w:szCs w:val="16"/>
        </w:rPr>
        <w:t xml:space="preserve">ork and </w:t>
      </w:r>
      <w:r w:rsidRPr="00266194">
        <w:rPr>
          <w:color w:val="77328A"/>
          <w:sz w:val="16"/>
          <w:szCs w:val="16"/>
        </w:rPr>
        <w:t>P</w:t>
      </w:r>
      <w:r w:rsidR="00784186" w:rsidRPr="00266194">
        <w:rPr>
          <w:color w:val="77328A"/>
          <w:sz w:val="16"/>
          <w:szCs w:val="16"/>
        </w:rPr>
        <w:t>ensions</w:t>
      </w:r>
      <w:r w:rsidRPr="00266194">
        <w:rPr>
          <w:color w:val="77328A"/>
          <w:sz w:val="16"/>
          <w:szCs w:val="16"/>
        </w:rPr>
        <w:t>, ‘Universal Credit Full Service Survey</w:t>
      </w:r>
      <w:r w:rsidR="00784186" w:rsidRPr="00266194">
        <w:rPr>
          <w:color w:val="77328A"/>
          <w:sz w:val="16"/>
          <w:szCs w:val="16"/>
        </w:rPr>
        <w:t xml:space="preserve"> June 2018</w:t>
      </w:r>
      <w:r w:rsidRPr="00266194">
        <w:rPr>
          <w:color w:val="77328A"/>
          <w:sz w:val="16"/>
          <w:szCs w:val="16"/>
        </w:rPr>
        <w:t>’ (</w:t>
      </w:r>
      <w:r w:rsidR="00784186" w:rsidRPr="00266194">
        <w:rPr>
          <w:color w:val="77328A"/>
          <w:sz w:val="16"/>
          <w:szCs w:val="16"/>
        </w:rPr>
        <w:t xml:space="preserve">DWP, 2018), at </w:t>
      </w:r>
      <w:r w:rsidRPr="00266194">
        <w:rPr>
          <w:color w:val="77328A"/>
          <w:sz w:val="16"/>
          <w:szCs w:val="16"/>
        </w:rPr>
        <w:t>17.</w:t>
      </w:r>
    </w:p>
  </w:footnote>
  <w:footnote w:id="19">
    <w:p w14:paraId="171D3F7B" w14:textId="7C496D9B" w:rsidR="009006A2" w:rsidRPr="00266194" w:rsidRDefault="009006A2" w:rsidP="00E16C3B">
      <w:pPr>
        <w:spacing w:line="240" w:lineRule="auto"/>
        <w:rPr>
          <w:color w:val="77328A"/>
          <w:sz w:val="16"/>
          <w:szCs w:val="16"/>
        </w:rPr>
      </w:pPr>
      <w:r w:rsidRPr="00266194">
        <w:rPr>
          <w:rStyle w:val="FootnoteReference"/>
          <w:color w:val="77328A"/>
          <w:sz w:val="16"/>
          <w:szCs w:val="16"/>
        </w:rPr>
        <w:footnoteRef/>
      </w:r>
      <w:r w:rsidRPr="00266194">
        <w:rPr>
          <w:color w:val="77328A"/>
          <w:sz w:val="16"/>
          <w:szCs w:val="16"/>
          <w:vertAlign w:val="superscript"/>
        </w:rPr>
        <w:t xml:space="preserve"> </w:t>
      </w:r>
      <w:r w:rsidRPr="00266194">
        <w:rPr>
          <w:color w:val="77328A"/>
          <w:sz w:val="16"/>
          <w:szCs w:val="16"/>
        </w:rPr>
        <w:t>Northern Ireland Executive, ‘Draft Pro</w:t>
      </w:r>
      <w:r w:rsidR="00784186" w:rsidRPr="00266194">
        <w:rPr>
          <w:color w:val="77328A"/>
          <w:sz w:val="16"/>
          <w:szCs w:val="16"/>
        </w:rPr>
        <w:t>gramme for Government Framework 2016-21’ (NI Executive,</w:t>
      </w:r>
      <w:r w:rsidRPr="00266194">
        <w:rPr>
          <w:color w:val="77328A"/>
          <w:sz w:val="16"/>
          <w:szCs w:val="16"/>
        </w:rPr>
        <w:t xml:space="preserve"> 2016) </w:t>
      </w:r>
      <w:r w:rsidR="00784186" w:rsidRPr="00266194">
        <w:rPr>
          <w:color w:val="77328A"/>
          <w:sz w:val="16"/>
          <w:szCs w:val="16"/>
        </w:rPr>
        <w:t xml:space="preserve">at </w:t>
      </w:r>
      <w:r w:rsidRPr="00266194">
        <w:rPr>
          <w:color w:val="77328A"/>
          <w:sz w:val="16"/>
          <w:szCs w:val="16"/>
        </w:rPr>
        <w:t>85</w:t>
      </w:r>
      <w:r w:rsidR="00784186" w:rsidRPr="00266194">
        <w:rPr>
          <w:color w:val="77328A"/>
          <w:sz w:val="16"/>
          <w:szCs w:val="16"/>
        </w:rPr>
        <w:t>.</w:t>
      </w:r>
    </w:p>
  </w:footnote>
  <w:footnote w:id="20">
    <w:p w14:paraId="5819060F" w14:textId="52AC51AD" w:rsidR="009006A2" w:rsidRPr="00266194" w:rsidRDefault="009006A2" w:rsidP="00E16C3B">
      <w:pPr>
        <w:spacing w:line="240" w:lineRule="auto"/>
        <w:rPr>
          <w:color w:val="77328A"/>
          <w:sz w:val="16"/>
          <w:szCs w:val="16"/>
        </w:rPr>
      </w:pPr>
      <w:r w:rsidRPr="00266194">
        <w:rPr>
          <w:rStyle w:val="FootnoteReference"/>
          <w:color w:val="77328A"/>
          <w:sz w:val="16"/>
          <w:szCs w:val="16"/>
        </w:rPr>
        <w:footnoteRef/>
      </w:r>
      <w:r w:rsidRPr="00266194">
        <w:rPr>
          <w:color w:val="77328A"/>
          <w:sz w:val="16"/>
          <w:szCs w:val="16"/>
          <w:vertAlign w:val="superscript"/>
        </w:rPr>
        <w:t xml:space="preserve"> </w:t>
      </w:r>
      <w:r w:rsidR="007029BF" w:rsidRPr="00266194">
        <w:rPr>
          <w:color w:val="77328A"/>
          <w:sz w:val="16"/>
          <w:szCs w:val="16"/>
        </w:rPr>
        <w:t>Ibid.</w:t>
      </w:r>
    </w:p>
  </w:footnote>
  <w:footnote w:id="21">
    <w:p w14:paraId="530A4603" w14:textId="02B3A36E" w:rsidR="009006A2" w:rsidRPr="00266194" w:rsidRDefault="009006A2" w:rsidP="00E16C3B">
      <w:pPr>
        <w:spacing w:line="240" w:lineRule="auto"/>
        <w:rPr>
          <w:color w:val="77328A"/>
          <w:sz w:val="16"/>
          <w:szCs w:val="16"/>
        </w:rPr>
      </w:pPr>
      <w:r w:rsidRPr="00266194">
        <w:rPr>
          <w:rStyle w:val="FootnoteReference"/>
          <w:color w:val="77328A"/>
          <w:sz w:val="16"/>
          <w:szCs w:val="16"/>
        </w:rPr>
        <w:footnoteRef/>
      </w:r>
      <w:r w:rsidRPr="00266194">
        <w:rPr>
          <w:color w:val="77328A"/>
          <w:sz w:val="16"/>
          <w:szCs w:val="16"/>
          <w:vertAlign w:val="superscript"/>
        </w:rPr>
        <w:t xml:space="preserve"> </w:t>
      </w:r>
      <w:r w:rsidR="00F372FC" w:rsidRPr="00266194">
        <w:rPr>
          <w:color w:val="77328A"/>
          <w:sz w:val="16"/>
          <w:szCs w:val="16"/>
        </w:rPr>
        <w:t xml:space="preserve">Parliamentary Business, ‘Department for Work and Pensions: Members’ Representations’, Westminster Hall, 16 January 2019, at column </w:t>
      </w:r>
      <w:r w:rsidRPr="00266194">
        <w:rPr>
          <w:color w:val="77328A"/>
          <w:sz w:val="16"/>
          <w:szCs w:val="16"/>
        </w:rPr>
        <w:t>40</w:t>
      </w:r>
      <w:r w:rsidR="00F372FC" w:rsidRPr="00266194">
        <w:rPr>
          <w:color w:val="77328A"/>
          <w:sz w:val="16"/>
          <w:szCs w:val="16"/>
        </w:rPr>
        <w:t>7</w:t>
      </w:r>
      <w:r w:rsidRPr="00266194">
        <w:rPr>
          <w:color w:val="77328A"/>
          <w:sz w:val="16"/>
          <w:szCs w:val="16"/>
        </w:rPr>
        <w:t>WH</w:t>
      </w:r>
      <w:r w:rsidR="00F372FC" w:rsidRPr="00266194">
        <w:rPr>
          <w:color w:val="77328A"/>
          <w:sz w:val="16"/>
          <w:szCs w:val="16"/>
        </w:rPr>
        <w:t>.</w:t>
      </w:r>
    </w:p>
  </w:footnote>
  <w:footnote w:id="22">
    <w:p w14:paraId="4C2CD5C1" w14:textId="77777777" w:rsidR="009006A2" w:rsidRPr="00266194" w:rsidRDefault="009006A2" w:rsidP="00E16C3B">
      <w:pPr>
        <w:spacing w:line="240" w:lineRule="auto"/>
        <w:rPr>
          <w:color w:val="77328A"/>
          <w:sz w:val="16"/>
          <w:szCs w:val="16"/>
        </w:rPr>
      </w:pPr>
      <w:r w:rsidRPr="00266194">
        <w:rPr>
          <w:rStyle w:val="FootnoteReference"/>
          <w:color w:val="77328A"/>
          <w:sz w:val="16"/>
          <w:szCs w:val="16"/>
        </w:rPr>
        <w:footnoteRef/>
      </w:r>
      <w:r w:rsidRPr="00266194">
        <w:rPr>
          <w:color w:val="77328A"/>
          <w:sz w:val="16"/>
          <w:szCs w:val="16"/>
        </w:rPr>
        <w:t xml:space="preserve"> </w:t>
      </w:r>
      <w:proofErr w:type="gramStart"/>
      <w:r w:rsidRPr="00266194">
        <w:rPr>
          <w:color w:val="77328A"/>
          <w:sz w:val="16"/>
          <w:szCs w:val="16"/>
        </w:rPr>
        <w:t>NI Human Rights Commission, ‘Submission to the UN CEDAW Committee: Parallel Report to the Eighth Periodic Report Submitted by the United Kingdom of Great Britain and Northern Ireland’ (NIHRC, 2019), at 34; UK Independent Mechanism, ‘Progress on Disability Rights in the United Kingdom: UK Independent Mechanism Update Report to the UN Committee on the Rights of Persons with Disabilities’ (UKIM, 2018), at 23.</w:t>
      </w:r>
      <w:proofErr w:type="gramEnd"/>
    </w:p>
  </w:footnote>
  <w:footnote w:id="23">
    <w:p w14:paraId="6F111FD5" w14:textId="77777777" w:rsidR="009006A2" w:rsidRPr="00266194" w:rsidRDefault="009006A2" w:rsidP="00E16C3B">
      <w:pPr>
        <w:spacing w:line="240" w:lineRule="auto"/>
        <w:rPr>
          <w:color w:val="77328A"/>
          <w:sz w:val="16"/>
          <w:szCs w:val="16"/>
        </w:rPr>
      </w:pPr>
      <w:r w:rsidRPr="00266194">
        <w:rPr>
          <w:rStyle w:val="FootnoteReference"/>
          <w:color w:val="77328A"/>
          <w:sz w:val="16"/>
          <w:szCs w:val="16"/>
        </w:rPr>
        <w:footnoteRef/>
      </w:r>
      <w:r w:rsidRPr="00266194">
        <w:rPr>
          <w:color w:val="77328A"/>
          <w:sz w:val="16"/>
          <w:szCs w:val="16"/>
        </w:rPr>
        <w:t xml:space="preserve"> UK Independent Mechanism, ‘Progress on Disability Rights in the United Kingdom: UK Independent Mechanism Update Report to the UN Committee on the Rights of Persons with Disabilities’ (UKIM, 2018), at 23.</w:t>
      </w:r>
    </w:p>
  </w:footnote>
  <w:footnote w:id="24">
    <w:p w14:paraId="268221A0" w14:textId="77777777" w:rsidR="004C1A97" w:rsidRPr="00266194" w:rsidRDefault="004C1A97" w:rsidP="004C1A97">
      <w:pPr>
        <w:pStyle w:val="FootnoteText"/>
        <w:rPr>
          <w:color w:val="77328A"/>
          <w:sz w:val="16"/>
          <w:szCs w:val="16"/>
        </w:rPr>
      </w:pPr>
      <w:r w:rsidRPr="00266194">
        <w:rPr>
          <w:rStyle w:val="FootnoteReference"/>
          <w:color w:val="77328A"/>
          <w:sz w:val="16"/>
          <w:szCs w:val="16"/>
        </w:rPr>
        <w:footnoteRef/>
      </w:r>
      <w:r w:rsidRPr="00266194">
        <w:rPr>
          <w:color w:val="77328A"/>
          <w:sz w:val="16"/>
          <w:szCs w:val="16"/>
        </w:rPr>
        <w:t xml:space="preserve"> </w:t>
      </w:r>
      <w:r w:rsidRPr="00266194">
        <w:rPr>
          <w:rFonts w:eastAsia="Times New Roman" w:cs="Segoe UI"/>
          <w:color w:val="77328A"/>
          <w:sz w:val="16"/>
          <w:szCs w:val="16"/>
          <w:lang w:eastAsia="en-GB"/>
        </w:rPr>
        <w:t>Public Accounts Committee, ‘Accessing public services through the Government’s Verify digital system’ (PAC, 2019) at para 16.</w:t>
      </w:r>
    </w:p>
  </w:footnote>
  <w:footnote w:id="25">
    <w:p w14:paraId="6950C619" w14:textId="77777777" w:rsidR="004C1A97" w:rsidRPr="00266194" w:rsidRDefault="004C1A97" w:rsidP="004C1A97">
      <w:pPr>
        <w:pStyle w:val="FootnoteText"/>
        <w:rPr>
          <w:color w:val="77328A"/>
          <w:sz w:val="16"/>
          <w:szCs w:val="16"/>
        </w:rPr>
      </w:pPr>
      <w:r w:rsidRPr="00266194">
        <w:rPr>
          <w:rStyle w:val="FootnoteReference"/>
          <w:color w:val="77328A"/>
          <w:sz w:val="16"/>
          <w:szCs w:val="16"/>
        </w:rPr>
        <w:footnoteRef/>
      </w:r>
      <w:r w:rsidRPr="00266194">
        <w:rPr>
          <w:color w:val="77328A"/>
          <w:sz w:val="16"/>
          <w:szCs w:val="16"/>
        </w:rPr>
        <w:t xml:space="preserve"> </w:t>
      </w:r>
      <w:r>
        <w:rPr>
          <w:rFonts w:eastAsia="Times New Roman" w:cs="Segoe UI"/>
          <w:color w:val="77328A"/>
          <w:sz w:val="16"/>
          <w:szCs w:val="16"/>
          <w:lang w:eastAsia="en-GB"/>
        </w:rPr>
        <w:t>Ibid</w:t>
      </w:r>
      <w:r w:rsidRPr="00266194">
        <w:rPr>
          <w:rFonts w:eastAsia="Times New Roman" w:cs="Segoe UI"/>
          <w:color w:val="77328A"/>
          <w:sz w:val="16"/>
          <w:szCs w:val="16"/>
          <w:lang w:eastAsia="en-GB"/>
        </w:rPr>
        <w:t>.</w:t>
      </w:r>
    </w:p>
  </w:footnote>
  <w:footnote w:id="26">
    <w:p w14:paraId="5ACC9827" w14:textId="77777777" w:rsidR="004C1A97" w:rsidRPr="00266194" w:rsidRDefault="004C1A97" w:rsidP="004C1A97">
      <w:pPr>
        <w:pStyle w:val="FootnoteText"/>
        <w:rPr>
          <w:color w:val="77328A"/>
          <w:sz w:val="16"/>
          <w:szCs w:val="16"/>
        </w:rPr>
      </w:pPr>
      <w:r w:rsidRPr="00266194">
        <w:rPr>
          <w:rStyle w:val="FootnoteReference"/>
          <w:color w:val="77328A"/>
          <w:sz w:val="16"/>
          <w:szCs w:val="16"/>
        </w:rPr>
        <w:footnoteRef/>
      </w:r>
      <w:r w:rsidRPr="00266194">
        <w:rPr>
          <w:color w:val="77328A"/>
          <w:sz w:val="16"/>
          <w:szCs w:val="16"/>
        </w:rPr>
        <w:t xml:space="preserve"> </w:t>
      </w:r>
      <w:r w:rsidRPr="00266194">
        <w:rPr>
          <w:rFonts w:eastAsia="Times New Roman" w:cs="Segoe UI"/>
          <w:color w:val="77328A"/>
          <w:sz w:val="16"/>
          <w:szCs w:val="16"/>
          <w:lang w:eastAsia="en-GB"/>
        </w:rPr>
        <w:t xml:space="preserve">Public Accounts Committee, ‘Accessing public services through the Government’s Verify digital system’ (PAC, 2019) at para </w:t>
      </w:r>
      <w:proofErr w:type="gramStart"/>
      <w:r w:rsidRPr="00266194">
        <w:rPr>
          <w:rFonts w:eastAsia="Times New Roman" w:cs="Segoe UI"/>
          <w:color w:val="77328A"/>
          <w:sz w:val="16"/>
          <w:szCs w:val="16"/>
          <w:lang w:eastAsia="en-GB"/>
        </w:rPr>
        <w:t>2</w:t>
      </w:r>
      <w:proofErr w:type="gramEnd"/>
      <w:r w:rsidRPr="00266194">
        <w:rPr>
          <w:rFonts w:eastAsia="Times New Roman" w:cs="Segoe UI"/>
          <w:color w:val="77328A"/>
          <w:sz w:val="16"/>
          <w:szCs w:val="16"/>
          <w:lang w:eastAsia="en-GB"/>
        </w:rPr>
        <w:t>.</w:t>
      </w:r>
    </w:p>
  </w:footnote>
  <w:footnote w:id="27">
    <w:p w14:paraId="1BF8FAEB" w14:textId="5A91EB1F" w:rsidR="009006A2" w:rsidRPr="00266194" w:rsidRDefault="009006A2" w:rsidP="00E16C3B">
      <w:pPr>
        <w:spacing w:line="240" w:lineRule="auto"/>
        <w:rPr>
          <w:color w:val="77328A"/>
          <w:sz w:val="16"/>
          <w:szCs w:val="16"/>
        </w:rPr>
      </w:pPr>
      <w:r w:rsidRPr="00266194">
        <w:rPr>
          <w:rStyle w:val="FootnoteReference"/>
          <w:color w:val="77328A"/>
          <w:sz w:val="16"/>
          <w:szCs w:val="16"/>
        </w:rPr>
        <w:footnoteRef/>
      </w:r>
      <w:r w:rsidRPr="00266194">
        <w:rPr>
          <w:color w:val="77328A"/>
          <w:sz w:val="16"/>
          <w:szCs w:val="16"/>
        </w:rPr>
        <w:t xml:space="preserve"> </w:t>
      </w:r>
      <w:r w:rsidR="000725EE" w:rsidRPr="00266194">
        <w:rPr>
          <w:color w:val="77328A"/>
          <w:sz w:val="16"/>
          <w:szCs w:val="16"/>
          <w:lang w:val="en"/>
        </w:rPr>
        <w:t>Claimants should use their online journal to respond to their To Do list, record job searches, keep in touch with their Work Coach and report any changes in circumstances</w:t>
      </w:r>
      <w:r w:rsidR="00D51EA1" w:rsidRPr="00266194">
        <w:rPr>
          <w:color w:val="77328A"/>
          <w:sz w:val="16"/>
          <w:szCs w:val="16"/>
          <w:lang w:val="en"/>
        </w:rPr>
        <w:t>;</w:t>
      </w:r>
      <w:r w:rsidR="00D51EA1" w:rsidRPr="00266194">
        <w:rPr>
          <w:color w:val="77328A"/>
          <w:sz w:val="16"/>
          <w:szCs w:val="16"/>
        </w:rPr>
        <w:t xml:space="preserve"> s</w:t>
      </w:r>
      <w:r w:rsidRPr="00266194">
        <w:rPr>
          <w:color w:val="77328A"/>
          <w:sz w:val="16"/>
          <w:szCs w:val="16"/>
        </w:rPr>
        <w:t xml:space="preserve">ee Universal Credit / Learn My Way, ‘Leaflet: Universal Credit Your Online Journal’ available online: </w:t>
      </w:r>
      <w:hyperlink r:id="rId2" w:history="1">
        <w:r w:rsidRPr="00266194">
          <w:rPr>
            <w:rStyle w:val="Hyperlink"/>
            <w:color w:val="77328A"/>
            <w:sz w:val="16"/>
            <w:szCs w:val="16"/>
            <w:u w:val="none"/>
          </w:rPr>
          <w:t>https://www.learnmyway.com/files/Universal-Credit-Your-Online-Journal.pdf</w:t>
        </w:r>
      </w:hyperlink>
      <w:r w:rsidRPr="00266194">
        <w:rPr>
          <w:color w:val="77328A"/>
          <w:sz w:val="16"/>
          <w:szCs w:val="16"/>
        </w:rPr>
        <w:t xml:space="preserve"> </w:t>
      </w:r>
    </w:p>
  </w:footnote>
  <w:footnote w:id="28">
    <w:p w14:paraId="39BEBB0D" w14:textId="20FF79FB" w:rsidR="009006A2" w:rsidRPr="00266194" w:rsidRDefault="009006A2" w:rsidP="00E16C3B">
      <w:pPr>
        <w:spacing w:line="240" w:lineRule="auto"/>
        <w:rPr>
          <w:color w:val="77328A"/>
          <w:sz w:val="16"/>
          <w:szCs w:val="16"/>
        </w:rPr>
      </w:pPr>
      <w:r w:rsidRPr="00266194">
        <w:rPr>
          <w:rStyle w:val="FootnoteReference"/>
          <w:color w:val="77328A"/>
          <w:sz w:val="16"/>
          <w:szCs w:val="16"/>
        </w:rPr>
        <w:footnoteRef/>
      </w:r>
      <w:r w:rsidRPr="00266194">
        <w:rPr>
          <w:color w:val="77328A"/>
          <w:sz w:val="16"/>
          <w:szCs w:val="16"/>
        </w:rPr>
        <w:t xml:space="preserve"> A claimant fails to comply for no good reason with a requirement connected to a work related activity / outlined in Claima</w:t>
      </w:r>
      <w:r w:rsidR="00C322D7" w:rsidRPr="00266194">
        <w:rPr>
          <w:color w:val="77328A"/>
          <w:sz w:val="16"/>
          <w:szCs w:val="16"/>
        </w:rPr>
        <w:t>nt Commitment may be sanctioned, see</w:t>
      </w:r>
      <w:r w:rsidRPr="00266194">
        <w:rPr>
          <w:color w:val="77328A"/>
          <w:sz w:val="16"/>
          <w:szCs w:val="16"/>
        </w:rPr>
        <w:t xml:space="preserve"> </w:t>
      </w:r>
      <w:r w:rsidR="00C322D7" w:rsidRPr="00266194">
        <w:rPr>
          <w:color w:val="77328A"/>
          <w:sz w:val="16"/>
          <w:szCs w:val="16"/>
        </w:rPr>
        <w:t>Department for Work and Pensions, ‘</w:t>
      </w:r>
      <w:r w:rsidRPr="00266194">
        <w:rPr>
          <w:color w:val="77328A"/>
          <w:sz w:val="16"/>
          <w:szCs w:val="16"/>
        </w:rPr>
        <w:t xml:space="preserve">Advice for Decision </w:t>
      </w:r>
      <w:r w:rsidR="00C322D7" w:rsidRPr="00266194">
        <w:rPr>
          <w:color w:val="77328A"/>
          <w:sz w:val="16"/>
          <w:szCs w:val="16"/>
        </w:rPr>
        <w:t xml:space="preserve">Making: </w:t>
      </w:r>
      <w:r w:rsidRPr="00266194">
        <w:rPr>
          <w:color w:val="77328A"/>
          <w:sz w:val="16"/>
          <w:szCs w:val="16"/>
        </w:rPr>
        <w:t>Chapter K1: Sanctions – general principles’ (</w:t>
      </w:r>
      <w:r w:rsidR="00C322D7" w:rsidRPr="00266194">
        <w:rPr>
          <w:color w:val="77328A"/>
          <w:sz w:val="16"/>
          <w:szCs w:val="16"/>
        </w:rPr>
        <w:t>DWP, 2019</w:t>
      </w:r>
      <w:r w:rsidRPr="00266194">
        <w:rPr>
          <w:color w:val="77328A"/>
          <w:sz w:val="16"/>
          <w:szCs w:val="16"/>
        </w:rPr>
        <w:t>)</w:t>
      </w:r>
      <w:r w:rsidR="00C322D7" w:rsidRPr="00266194">
        <w:rPr>
          <w:color w:val="77328A"/>
          <w:sz w:val="16"/>
          <w:szCs w:val="16"/>
        </w:rPr>
        <w:t>.</w:t>
      </w:r>
    </w:p>
  </w:footnote>
  <w:footnote w:id="29">
    <w:p w14:paraId="651AA59B" w14:textId="555D81BD" w:rsidR="00245A14" w:rsidRPr="00266194" w:rsidRDefault="00245A14" w:rsidP="00E16C3B">
      <w:pPr>
        <w:spacing w:line="240" w:lineRule="auto"/>
        <w:rPr>
          <w:color w:val="77328A"/>
          <w:sz w:val="16"/>
          <w:szCs w:val="16"/>
        </w:rPr>
      </w:pPr>
      <w:r w:rsidRPr="00266194">
        <w:rPr>
          <w:rStyle w:val="FootnoteReference"/>
          <w:color w:val="77328A"/>
          <w:sz w:val="16"/>
          <w:szCs w:val="16"/>
        </w:rPr>
        <w:footnoteRef/>
      </w:r>
      <w:r w:rsidRPr="00266194">
        <w:rPr>
          <w:color w:val="77328A"/>
          <w:sz w:val="16"/>
          <w:szCs w:val="16"/>
        </w:rPr>
        <w:t xml:space="preserve"> D</w:t>
      </w:r>
      <w:r w:rsidR="00972DE7" w:rsidRPr="00266194">
        <w:rPr>
          <w:color w:val="77328A"/>
          <w:sz w:val="16"/>
          <w:szCs w:val="16"/>
        </w:rPr>
        <w:t xml:space="preserve">epartment for </w:t>
      </w:r>
      <w:r w:rsidRPr="00266194">
        <w:rPr>
          <w:color w:val="77328A"/>
          <w:sz w:val="16"/>
          <w:szCs w:val="16"/>
        </w:rPr>
        <w:t>W</w:t>
      </w:r>
      <w:r w:rsidR="00972DE7" w:rsidRPr="00266194">
        <w:rPr>
          <w:color w:val="77328A"/>
          <w:sz w:val="16"/>
          <w:szCs w:val="16"/>
        </w:rPr>
        <w:t xml:space="preserve">ork and </w:t>
      </w:r>
      <w:r w:rsidRPr="00266194">
        <w:rPr>
          <w:color w:val="77328A"/>
          <w:sz w:val="16"/>
          <w:szCs w:val="16"/>
        </w:rPr>
        <w:t>P</w:t>
      </w:r>
      <w:r w:rsidR="00972DE7" w:rsidRPr="00266194">
        <w:rPr>
          <w:color w:val="77328A"/>
          <w:sz w:val="16"/>
          <w:szCs w:val="16"/>
        </w:rPr>
        <w:t>ensions</w:t>
      </w:r>
      <w:r w:rsidRPr="00266194">
        <w:rPr>
          <w:color w:val="77328A"/>
          <w:sz w:val="16"/>
          <w:szCs w:val="16"/>
        </w:rPr>
        <w:t>, ‘UC Full Service guidance: Assisted digital overview’ (</w:t>
      </w:r>
      <w:r w:rsidR="00972DE7" w:rsidRPr="00266194">
        <w:rPr>
          <w:color w:val="77328A"/>
          <w:sz w:val="16"/>
          <w:szCs w:val="16"/>
        </w:rPr>
        <w:t>DWP, 2018</w:t>
      </w:r>
      <w:r w:rsidRPr="00266194">
        <w:rPr>
          <w:color w:val="77328A"/>
          <w:sz w:val="16"/>
          <w:szCs w:val="16"/>
        </w:rPr>
        <w:t>)</w:t>
      </w:r>
      <w:r w:rsidR="00972DE7" w:rsidRPr="00266194">
        <w:rPr>
          <w:color w:val="77328A"/>
          <w:sz w:val="16"/>
          <w:szCs w:val="16"/>
        </w:rPr>
        <w:t>;</w:t>
      </w:r>
      <w:r w:rsidRPr="00266194">
        <w:rPr>
          <w:color w:val="77328A"/>
          <w:sz w:val="16"/>
          <w:szCs w:val="16"/>
        </w:rPr>
        <w:t xml:space="preserve"> accessible here: </w:t>
      </w:r>
      <w:hyperlink r:id="rId3" w:history="1">
        <w:r w:rsidRPr="00266194">
          <w:rPr>
            <w:rStyle w:val="Hyperlink"/>
            <w:color w:val="77328A"/>
            <w:sz w:val="16"/>
            <w:szCs w:val="16"/>
            <w:u w:val="none"/>
          </w:rPr>
          <w:t>http://data.parliament.uk/DepositedPapers/Files/DEP2019-0465/Assisted_Digital_v9.0.pdf</w:t>
        </w:r>
      </w:hyperlink>
      <w:r w:rsidRPr="00266194">
        <w:rPr>
          <w:color w:val="77328A"/>
          <w:sz w:val="16"/>
          <w:szCs w:val="16"/>
        </w:rPr>
        <w:t xml:space="preserve"> </w:t>
      </w:r>
    </w:p>
  </w:footnote>
  <w:footnote w:id="30">
    <w:p w14:paraId="4A501AE0" w14:textId="187714E0" w:rsidR="009006A2" w:rsidRPr="00266194" w:rsidRDefault="009006A2" w:rsidP="00E16C3B">
      <w:pPr>
        <w:spacing w:line="240" w:lineRule="auto"/>
        <w:rPr>
          <w:color w:val="77328A"/>
          <w:sz w:val="16"/>
          <w:szCs w:val="16"/>
        </w:rPr>
      </w:pPr>
      <w:r w:rsidRPr="00266194">
        <w:rPr>
          <w:rStyle w:val="FootnoteReference"/>
          <w:color w:val="77328A"/>
          <w:sz w:val="16"/>
          <w:szCs w:val="16"/>
        </w:rPr>
        <w:footnoteRef/>
      </w:r>
      <w:r w:rsidRPr="00266194">
        <w:rPr>
          <w:color w:val="77328A"/>
          <w:sz w:val="16"/>
          <w:szCs w:val="16"/>
        </w:rPr>
        <w:t xml:space="preserve"> </w:t>
      </w:r>
      <w:r w:rsidR="00A52165" w:rsidRPr="00266194">
        <w:rPr>
          <w:color w:val="77328A"/>
          <w:sz w:val="16"/>
          <w:szCs w:val="16"/>
        </w:rPr>
        <w:t>Ibid.</w:t>
      </w:r>
      <w:r w:rsidRPr="00266194">
        <w:rPr>
          <w:color w:val="77328A"/>
          <w:sz w:val="16"/>
          <w:szCs w:val="16"/>
        </w:rPr>
        <w:t xml:space="preserve"> </w:t>
      </w:r>
    </w:p>
  </w:footnote>
  <w:footnote w:id="31">
    <w:p w14:paraId="7E23EEF8" w14:textId="71BACA47" w:rsidR="009006A2" w:rsidRPr="00266194" w:rsidRDefault="009006A2" w:rsidP="00E16C3B">
      <w:pPr>
        <w:spacing w:line="240" w:lineRule="auto"/>
        <w:rPr>
          <w:color w:val="77328A"/>
          <w:sz w:val="16"/>
          <w:szCs w:val="16"/>
        </w:rPr>
      </w:pPr>
      <w:r w:rsidRPr="00266194">
        <w:rPr>
          <w:rStyle w:val="FootnoteReference"/>
          <w:color w:val="77328A"/>
          <w:sz w:val="16"/>
          <w:szCs w:val="16"/>
        </w:rPr>
        <w:footnoteRef/>
      </w:r>
      <w:r w:rsidRPr="00266194">
        <w:rPr>
          <w:color w:val="77328A"/>
          <w:sz w:val="16"/>
          <w:szCs w:val="16"/>
          <w:vertAlign w:val="superscript"/>
        </w:rPr>
        <w:t xml:space="preserve"> </w:t>
      </w:r>
      <w:r w:rsidRPr="00266194">
        <w:rPr>
          <w:color w:val="77328A"/>
          <w:sz w:val="16"/>
          <w:szCs w:val="16"/>
        </w:rPr>
        <w:t>Article 3</w:t>
      </w:r>
      <w:r w:rsidR="00E16C3B" w:rsidRPr="00266194">
        <w:rPr>
          <w:color w:val="77328A"/>
          <w:sz w:val="16"/>
          <w:szCs w:val="16"/>
        </w:rPr>
        <w:t>, UN Convention on the Rights of Persons with Disabilities</w:t>
      </w:r>
      <w:r w:rsidR="00661B4A" w:rsidRPr="00266194">
        <w:rPr>
          <w:color w:val="77328A"/>
          <w:sz w:val="16"/>
          <w:szCs w:val="16"/>
        </w:rPr>
        <w:t>.</w:t>
      </w:r>
    </w:p>
  </w:footnote>
  <w:footnote w:id="32">
    <w:p w14:paraId="43939A01" w14:textId="5B57EB19" w:rsidR="009006A2" w:rsidRPr="00266194" w:rsidRDefault="009006A2" w:rsidP="00E16C3B">
      <w:pPr>
        <w:spacing w:line="240" w:lineRule="auto"/>
        <w:rPr>
          <w:color w:val="77328A"/>
          <w:sz w:val="16"/>
          <w:szCs w:val="16"/>
        </w:rPr>
      </w:pPr>
      <w:r w:rsidRPr="00266194">
        <w:rPr>
          <w:rStyle w:val="FootnoteReference"/>
          <w:color w:val="77328A"/>
          <w:sz w:val="16"/>
          <w:szCs w:val="16"/>
        </w:rPr>
        <w:footnoteRef/>
      </w:r>
      <w:r w:rsidRPr="00266194">
        <w:rPr>
          <w:color w:val="77328A"/>
          <w:sz w:val="16"/>
          <w:szCs w:val="16"/>
          <w:vertAlign w:val="superscript"/>
        </w:rPr>
        <w:t xml:space="preserve"> </w:t>
      </w:r>
      <w:r w:rsidRPr="00266194">
        <w:rPr>
          <w:color w:val="77328A"/>
          <w:sz w:val="16"/>
          <w:szCs w:val="16"/>
        </w:rPr>
        <w:t>The UK is working towards ratification of the Istanbul Convention, which requires States to provide protections against all forms of domestic violence includin</w:t>
      </w:r>
      <w:r w:rsidR="000103DD" w:rsidRPr="00266194">
        <w:rPr>
          <w:color w:val="77328A"/>
          <w:sz w:val="16"/>
          <w:szCs w:val="16"/>
        </w:rPr>
        <w:t>g economic abuse at Article 3; s</w:t>
      </w:r>
      <w:r w:rsidRPr="00266194">
        <w:rPr>
          <w:color w:val="77328A"/>
          <w:sz w:val="16"/>
          <w:szCs w:val="16"/>
        </w:rPr>
        <w:t>ee Council of Europe Convention on Preventing and Combating Violence against Women and Domestic Violence</w:t>
      </w:r>
      <w:r w:rsidR="000103DD" w:rsidRPr="00266194">
        <w:rPr>
          <w:color w:val="77328A"/>
          <w:sz w:val="16"/>
          <w:szCs w:val="16"/>
        </w:rPr>
        <w:t>,</w:t>
      </w:r>
      <w:r w:rsidRPr="00266194">
        <w:rPr>
          <w:color w:val="77328A"/>
          <w:sz w:val="16"/>
          <w:szCs w:val="16"/>
        </w:rPr>
        <w:t xml:space="preserve"> 2011.</w:t>
      </w:r>
    </w:p>
  </w:footnote>
  <w:footnote w:id="33">
    <w:p w14:paraId="1087E039" w14:textId="77777777" w:rsidR="00962457" w:rsidRPr="00266194" w:rsidRDefault="00962457" w:rsidP="00E16C3B">
      <w:pPr>
        <w:spacing w:line="240" w:lineRule="auto"/>
        <w:rPr>
          <w:color w:val="77328A"/>
          <w:sz w:val="16"/>
          <w:szCs w:val="16"/>
        </w:rPr>
      </w:pPr>
      <w:r w:rsidRPr="00266194">
        <w:rPr>
          <w:rStyle w:val="FootnoteReference"/>
          <w:color w:val="77328A"/>
          <w:sz w:val="16"/>
          <w:szCs w:val="16"/>
        </w:rPr>
        <w:footnoteRef/>
      </w:r>
      <w:r w:rsidRPr="00266194">
        <w:rPr>
          <w:color w:val="77328A"/>
          <w:sz w:val="16"/>
          <w:szCs w:val="16"/>
          <w:vertAlign w:val="superscript"/>
        </w:rPr>
        <w:t xml:space="preserve"> </w:t>
      </w:r>
      <w:r w:rsidRPr="00266194">
        <w:rPr>
          <w:color w:val="77328A"/>
          <w:sz w:val="16"/>
          <w:szCs w:val="16"/>
        </w:rPr>
        <w:t xml:space="preserve">The default option for couples applying for Universal Credit is to make a joint application. If successful, Universal Credit </w:t>
      </w:r>
      <w:proofErr w:type="gramStart"/>
      <w:r w:rsidRPr="00266194">
        <w:rPr>
          <w:color w:val="77328A"/>
          <w:sz w:val="16"/>
          <w:szCs w:val="16"/>
        </w:rPr>
        <w:t>will be paid</w:t>
      </w:r>
      <w:proofErr w:type="gramEnd"/>
      <w:r w:rsidRPr="00266194">
        <w:rPr>
          <w:color w:val="77328A"/>
          <w:sz w:val="16"/>
          <w:szCs w:val="16"/>
        </w:rPr>
        <w:t xml:space="preserve"> in single payments into one bank account. This can be an individual or joint bank account.</w:t>
      </w:r>
    </w:p>
  </w:footnote>
  <w:footnote w:id="34">
    <w:p w14:paraId="47B1A59A" w14:textId="6CC9535C" w:rsidR="00962457" w:rsidRPr="00266194" w:rsidRDefault="00962457" w:rsidP="00E16C3B">
      <w:pPr>
        <w:spacing w:line="240" w:lineRule="auto"/>
        <w:rPr>
          <w:color w:val="77328A"/>
          <w:sz w:val="16"/>
          <w:szCs w:val="16"/>
        </w:rPr>
      </w:pPr>
      <w:r w:rsidRPr="00266194">
        <w:rPr>
          <w:rStyle w:val="FootnoteReference"/>
          <w:color w:val="77328A"/>
          <w:sz w:val="16"/>
          <w:szCs w:val="16"/>
        </w:rPr>
        <w:footnoteRef/>
      </w:r>
      <w:r w:rsidRPr="00266194">
        <w:rPr>
          <w:color w:val="77328A"/>
          <w:sz w:val="16"/>
          <w:szCs w:val="16"/>
          <w:vertAlign w:val="superscript"/>
        </w:rPr>
        <w:t xml:space="preserve"> </w:t>
      </w:r>
      <w:r w:rsidRPr="00266194">
        <w:rPr>
          <w:color w:val="77328A"/>
          <w:sz w:val="16"/>
          <w:szCs w:val="16"/>
        </w:rPr>
        <w:t xml:space="preserve">To ensure the financial responsibilities in the home are adequately reflected and to protect victims of domestic </w:t>
      </w:r>
      <w:proofErr w:type="gramStart"/>
      <w:r w:rsidRPr="00266194">
        <w:rPr>
          <w:color w:val="77328A"/>
          <w:sz w:val="16"/>
          <w:szCs w:val="16"/>
        </w:rPr>
        <w:t>violence,</w:t>
      </w:r>
      <w:proofErr w:type="gramEnd"/>
      <w:r w:rsidRPr="00266194">
        <w:rPr>
          <w:color w:val="77328A"/>
          <w:sz w:val="16"/>
          <w:szCs w:val="16"/>
        </w:rPr>
        <w:t xml:space="preserve"> split Universal Credit payments should be the default option. The nature of domestic violence means a joint claimant that is a victim of domestic violence may not be in a position or may not want to declare their circumstances. Split payments h</w:t>
      </w:r>
      <w:r w:rsidR="00B52A94" w:rsidRPr="00266194">
        <w:rPr>
          <w:color w:val="77328A"/>
          <w:sz w:val="16"/>
          <w:szCs w:val="16"/>
        </w:rPr>
        <w:t>ave received support among MPs; s</w:t>
      </w:r>
      <w:r w:rsidRPr="00266194">
        <w:rPr>
          <w:color w:val="77328A"/>
          <w:sz w:val="16"/>
          <w:szCs w:val="16"/>
        </w:rPr>
        <w:t>ee Department for Work and Pensions, ‘</w:t>
      </w:r>
      <w:r w:rsidR="00B52A94" w:rsidRPr="00266194">
        <w:rPr>
          <w:color w:val="77328A"/>
          <w:sz w:val="16"/>
          <w:szCs w:val="16"/>
        </w:rPr>
        <w:t xml:space="preserve">Guidance </w:t>
      </w:r>
      <w:r w:rsidRPr="00266194">
        <w:rPr>
          <w:color w:val="77328A"/>
          <w:sz w:val="16"/>
          <w:szCs w:val="16"/>
        </w:rPr>
        <w:t>Universal Credit: Fur</w:t>
      </w:r>
      <w:r w:rsidR="00B52A94" w:rsidRPr="00266194">
        <w:rPr>
          <w:color w:val="77328A"/>
          <w:sz w:val="16"/>
          <w:szCs w:val="16"/>
        </w:rPr>
        <w:t>ther Information for Families’ (DWP, 2019)</w:t>
      </w:r>
      <w:r w:rsidR="00443010" w:rsidRPr="00266194">
        <w:rPr>
          <w:color w:val="77328A"/>
          <w:sz w:val="16"/>
          <w:szCs w:val="16"/>
        </w:rPr>
        <w:t>; r</w:t>
      </w:r>
      <w:r w:rsidRPr="00266194">
        <w:rPr>
          <w:color w:val="77328A"/>
          <w:sz w:val="16"/>
          <w:szCs w:val="16"/>
        </w:rPr>
        <w:t xml:space="preserve">oundtable discussions with NI women’s policy groups and NI women’s community groups, October 2017, November 2017, February 2018 and March 2018; </w:t>
      </w:r>
      <w:r w:rsidR="00443010" w:rsidRPr="00266194">
        <w:rPr>
          <w:color w:val="77328A"/>
          <w:sz w:val="16"/>
          <w:szCs w:val="16"/>
        </w:rPr>
        <w:t>Parliamentary Business,</w:t>
      </w:r>
      <w:r w:rsidRPr="00266194">
        <w:rPr>
          <w:color w:val="77328A"/>
          <w:sz w:val="16"/>
          <w:szCs w:val="16"/>
        </w:rPr>
        <w:t xml:space="preserve"> ‘</w:t>
      </w:r>
      <w:r w:rsidR="00443010" w:rsidRPr="00266194">
        <w:rPr>
          <w:color w:val="77328A"/>
          <w:sz w:val="16"/>
          <w:szCs w:val="16"/>
        </w:rPr>
        <w:t>Universal Credit Split Payments’</w:t>
      </w:r>
      <w:r w:rsidRPr="00266194">
        <w:rPr>
          <w:color w:val="77328A"/>
          <w:sz w:val="16"/>
          <w:szCs w:val="16"/>
        </w:rPr>
        <w:t xml:space="preserve"> </w:t>
      </w:r>
      <w:r w:rsidR="00DA038F" w:rsidRPr="00266194">
        <w:rPr>
          <w:color w:val="77328A"/>
          <w:sz w:val="16"/>
          <w:szCs w:val="16"/>
        </w:rPr>
        <w:t xml:space="preserve">Westminster Hall, </w:t>
      </w:r>
      <w:r w:rsidR="00443010" w:rsidRPr="00266194">
        <w:rPr>
          <w:color w:val="77328A"/>
          <w:sz w:val="16"/>
          <w:szCs w:val="16"/>
        </w:rPr>
        <w:t xml:space="preserve">10 October 2018 at </w:t>
      </w:r>
      <w:r w:rsidR="00DA038F" w:rsidRPr="00266194">
        <w:rPr>
          <w:color w:val="77328A"/>
          <w:sz w:val="16"/>
          <w:szCs w:val="16"/>
        </w:rPr>
        <w:t>Column 141WH</w:t>
      </w:r>
      <w:r w:rsidR="00443010" w:rsidRPr="00266194">
        <w:rPr>
          <w:color w:val="77328A"/>
          <w:sz w:val="16"/>
          <w:szCs w:val="16"/>
        </w:rPr>
        <w:t>.</w:t>
      </w:r>
    </w:p>
  </w:footnote>
  <w:footnote w:id="35">
    <w:p w14:paraId="052AD5F2" w14:textId="77777777" w:rsidR="00D4198E" w:rsidRPr="00266194" w:rsidRDefault="00D4198E" w:rsidP="00E16C3B">
      <w:pPr>
        <w:spacing w:line="240" w:lineRule="auto"/>
        <w:rPr>
          <w:color w:val="77328A"/>
          <w:sz w:val="16"/>
          <w:szCs w:val="16"/>
        </w:rPr>
      </w:pPr>
      <w:r w:rsidRPr="00266194">
        <w:rPr>
          <w:rStyle w:val="FootnoteReference"/>
          <w:color w:val="77328A"/>
          <w:sz w:val="16"/>
          <w:szCs w:val="16"/>
        </w:rPr>
        <w:footnoteRef/>
      </w:r>
      <w:r w:rsidRPr="00266194">
        <w:rPr>
          <w:color w:val="77328A"/>
          <w:sz w:val="16"/>
          <w:szCs w:val="16"/>
        </w:rPr>
        <w:t xml:space="preserve"> Department for Communities, ‘Advice for Decision Making Chapter B1: Payment of UC, PIP, ESA and JSA’ (</w:t>
      </w:r>
      <w:proofErr w:type="gramStart"/>
      <w:r w:rsidRPr="00266194">
        <w:rPr>
          <w:color w:val="77328A"/>
          <w:sz w:val="16"/>
          <w:szCs w:val="16"/>
        </w:rPr>
        <w:t>DfC</w:t>
      </w:r>
      <w:proofErr w:type="gramEnd"/>
      <w:r w:rsidRPr="00266194">
        <w:rPr>
          <w:color w:val="77328A"/>
          <w:sz w:val="16"/>
          <w:szCs w:val="16"/>
        </w:rPr>
        <w:t>, 2017), at Section B1026.</w:t>
      </w:r>
    </w:p>
  </w:footnote>
  <w:footnote w:id="36">
    <w:p w14:paraId="575E65F3" w14:textId="6893A933" w:rsidR="00195536" w:rsidRPr="00266194" w:rsidRDefault="00195536" w:rsidP="00E16C3B">
      <w:pPr>
        <w:spacing w:line="240" w:lineRule="auto"/>
        <w:rPr>
          <w:color w:val="77328A"/>
          <w:sz w:val="16"/>
          <w:szCs w:val="16"/>
        </w:rPr>
      </w:pPr>
      <w:r w:rsidRPr="00266194">
        <w:rPr>
          <w:rStyle w:val="FootnoteReference"/>
          <w:color w:val="77328A"/>
          <w:sz w:val="16"/>
          <w:szCs w:val="16"/>
        </w:rPr>
        <w:footnoteRef/>
      </w:r>
      <w:r w:rsidRPr="00266194">
        <w:rPr>
          <w:color w:val="77328A"/>
          <w:sz w:val="16"/>
          <w:szCs w:val="16"/>
        </w:rPr>
        <w:t xml:space="preserve"> </w:t>
      </w:r>
      <w:r w:rsidR="00140A34" w:rsidRPr="00266194">
        <w:rPr>
          <w:color w:val="77328A"/>
          <w:sz w:val="16"/>
          <w:szCs w:val="16"/>
        </w:rPr>
        <w:t>Correspondence between Department for Communities</w:t>
      </w:r>
      <w:r w:rsidRPr="00266194">
        <w:rPr>
          <w:color w:val="77328A"/>
          <w:sz w:val="16"/>
          <w:szCs w:val="16"/>
        </w:rPr>
        <w:t xml:space="preserve"> </w:t>
      </w:r>
      <w:r w:rsidR="00140A34" w:rsidRPr="00266194">
        <w:rPr>
          <w:color w:val="77328A"/>
          <w:sz w:val="16"/>
          <w:szCs w:val="16"/>
        </w:rPr>
        <w:t xml:space="preserve">and NI Human Rights Commission, </w:t>
      </w:r>
      <w:r w:rsidRPr="00266194">
        <w:rPr>
          <w:color w:val="77328A"/>
          <w:sz w:val="16"/>
          <w:szCs w:val="16"/>
        </w:rPr>
        <w:t>29 April 2019.</w:t>
      </w:r>
    </w:p>
  </w:footnote>
  <w:footnote w:id="37">
    <w:p w14:paraId="5B7A0E97" w14:textId="3834F4B0" w:rsidR="00962457" w:rsidRPr="00266194" w:rsidRDefault="00962457" w:rsidP="00E16C3B">
      <w:pPr>
        <w:spacing w:line="240" w:lineRule="auto"/>
        <w:rPr>
          <w:color w:val="77328A"/>
          <w:sz w:val="16"/>
          <w:szCs w:val="16"/>
        </w:rPr>
      </w:pPr>
      <w:r w:rsidRPr="00266194">
        <w:rPr>
          <w:rStyle w:val="FootnoteReference"/>
          <w:color w:val="77328A"/>
          <w:sz w:val="16"/>
          <w:szCs w:val="16"/>
        </w:rPr>
        <w:footnoteRef/>
      </w:r>
      <w:r w:rsidRPr="00266194">
        <w:rPr>
          <w:color w:val="77328A"/>
          <w:sz w:val="16"/>
          <w:szCs w:val="16"/>
          <w:vertAlign w:val="superscript"/>
        </w:rPr>
        <w:t xml:space="preserve"> </w:t>
      </w:r>
      <w:r w:rsidRPr="00266194">
        <w:rPr>
          <w:color w:val="77328A"/>
          <w:sz w:val="16"/>
          <w:szCs w:val="16"/>
        </w:rPr>
        <w:t>Claimants can apply for Universal Credit online or in person. The majority of new Universal Credit claimants are using the online process. Within the online process, an applicant is only able to provide one bank account per application. Th</w:t>
      </w:r>
      <w:r w:rsidR="002F0406" w:rsidRPr="00266194">
        <w:rPr>
          <w:color w:val="77328A"/>
          <w:sz w:val="16"/>
          <w:szCs w:val="16"/>
        </w:rPr>
        <w:t xml:space="preserve">e Department for Communities </w:t>
      </w:r>
      <w:r w:rsidRPr="00266194">
        <w:rPr>
          <w:color w:val="77328A"/>
          <w:sz w:val="16"/>
          <w:szCs w:val="16"/>
        </w:rPr>
        <w:t xml:space="preserve">has responsibility for managing social security in NI, but it must use the computer system provided by the UK Department for Work and Pensions. This computer system is under review, which is to </w:t>
      </w:r>
      <w:proofErr w:type="gramStart"/>
      <w:r w:rsidRPr="00266194">
        <w:rPr>
          <w:color w:val="77328A"/>
          <w:sz w:val="16"/>
          <w:szCs w:val="16"/>
        </w:rPr>
        <w:t>be completed</w:t>
      </w:r>
      <w:proofErr w:type="gramEnd"/>
      <w:r w:rsidRPr="00266194">
        <w:rPr>
          <w:color w:val="77328A"/>
          <w:sz w:val="16"/>
          <w:szCs w:val="16"/>
        </w:rPr>
        <w:t xml:space="preserve"> by 2023. On completion of the review, new Universal Credit claimants will be able to choose whether their benefit </w:t>
      </w:r>
      <w:proofErr w:type="gramStart"/>
      <w:r w:rsidRPr="00266194">
        <w:rPr>
          <w:color w:val="77328A"/>
          <w:sz w:val="16"/>
          <w:szCs w:val="16"/>
        </w:rPr>
        <w:t>is paid</w:t>
      </w:r>
      <w:proofErr w:type="gramEnd"/>
      <w:r w:rsidRPr="00266194">
        <w:rPr>
          <w:color w:val="77328A"/>
          <w:sz w:val="16"/>
          <w:szCs w:val="16"/>
        </w:rPr>
        <w:t xml:space="preserve"> in a single payment to an individual’s bank account or a joint bank account, or if the payments are split across two bank accounts. However, in the interim claimants must apply for split payments in person. It </w:t>
      </w:r>
      <w:proofErr w:type="gramStart"/>
      <w:r w:rsidRPr="00266194">
        <w:rPr>
          <w:color w:val="77328A"/>
          <w:sz w:val="16"/>
          <w:szCs w:val="16"/>
        </w:rPr>
        <w:t>was reported</w:t>
      </w:r>
      <w:proofErr w:type="gramEnd"/>
      <w:r w:rsidRPr="00266194">
        <w:rPr>
          <w:color w:val="77328A"/>
          <w:sz w:val="16"/>
          <w:szCs w:val="16"/>
        </w:rPr>
        <w:t xml:space="preserve"> that there is a lack of awareness within staff and the wider community that split payments are an option and even when applying in person that new claimants may be directed to the online application process. It </w:t>
      </w:r>
      <w:proofErr w:type="gramStart"/>
      <w:r w:rsidRPr="00266194">
        <w:rPr>
          <w:color w:val="77328A"/>
          <w:sz w:val="16"/>
          <w:szCs w:val="16"/>
        </w:rPr>
        <w:t>was reported</w:t>
      </w:r>
      <w:proofErr w:type="gramEnd"/>
      <w:r w:rsidRPr="00266194">
        <w:rPr>
          <w:color w:val="77328A"/>
          <w:sz w:val="16"/>
          <w:szCs w:val="16"/>
        </w:rPr>
        <w:t xml:space="preserve"> that of the new Universal Credit claimants in NI, 10</w:t>
      </w:r>
      <w:r w:rsidR="002F0406" w:rsidRPr="00266194">
        <w:rPr>
          <w:color w:val="77328A"/>
          <w:sz w:val="16"/>
          <w:szCs w:val="16"/>
        </w:rPr>
        <w:t xml:space="preserve"> per cent</w:t>
      </w:r>
      <w:r w:rsidRPr="00266194">
        <w:rPr>
          <w:color w:val="77328A"/>
          <w:sz w:val="16"/>
          <w:szCs w:val="16"/>
        </w:rPr>
        <w:t xml:space="preserve"> (3,500) are couples and the vast majority of payments are made into the woman’s bank account. It was raised that this may change as Universal Credit is rolled and the demogra</w:t>
      </w:r>
      <w:r w:rsidR="00872D59" w:rsidRPr="00266194">
        <w:rPr>
          <w:color w:val="77328A"/>
          <w:sz w:val="16"/>
          <w:szCs w:val="16"/>
        </w:rPr>
        <w:t>phics of new claimants changes; s</w:t>
      </w:r>
      <w:r w:rsidRPr="00266194">
        <w:rPr>
          <w:color w:val="77328A"/>
          <w:sz w:val="16"/>
          <w:szCs w:val="16"/>
        </w:rPr>
        <w:t xml:space="preserve">ee Women’s Policy Group Meeting, </w:t>
      </w:r>
      <w:proofErr w:type="spellStart"/>
      <w:r w:rsidRPr="00266194">
        <w:rPr>
          <w:color w:val="77328A"/>
          <w:sz w:val="16"/>
          <w:szCs w:val="16"/>
        </w:rPr>
        <w:t>Dungannon</w:t>
      </w:r>
      <w:proofErr w:type="spellEnd"/>
      <w:r w:rsidRPr="00266194">
        <w:rPr>
          <w:color w:val="77328A"/>
          <w:sz w:val="16"/>
          <w:szCs w:val="16"/>
        </w:rPr>
        <w:t xml:space="preserve">, </w:t>
      </w:r>
      <w:proofErr w:type="gramStart"/>
      <w:r w:rsidRPr="00266194">
        <w:rPr>
          <w:color w:val="77328A"/>
          <w:sz w:val="16"/>
          <w:szCs w:val="16"/>
        </w:rPr>
        <w:t>12</w:t>
      </w:r>
      <w:proofErr w:type="gramEnd"/>
      <w:r w:rsidRPr="00266194">
        <w:rPr>
          <w:color w:val="77328A"/>
          <w:sz w:val="16"/>
          <w:szCs w:val="16"/>
        </w:rPr>
        <w:t xml:space="preserve"> December 2018. This is in contrast to the tax credits system, </w:t>
      </w:r>
      <w:proofErr w:type="gramStart"/>
      <w:r w:rsidRPr="00266194">
        <w:rPr>
          <w:color w:val="77328A"/>
          <w:sz w:val="16"/>
          <w:szCs w:val="16"/>
        </w:rPr>
        <w:t>being replaced</w:t>
      </w:r>
      <w:proofErr w:type="gramEnd"/>
      <w:r w:rsidRPr="00266194">
        <w:rPr>
          <w:color w:val="77328A"/>
          <w:sz w:val="16"/>
          <w:szCs w:val="16"/>
        </w:rPr>
        <w:t xml:space="preserve"> by Universal Credit, where a joint claim for Child Tax Credit and childcare element of Working Tax Credit is paid into the account of the main carer. In practice, this is usually the woman.</w:t>
      </w:r>
    </w:p>
  </w:footnote>
  <w:footnote w:id="38">
    <w:p w14:paraId="748EA599" w14:textId="67EF9C1B" w:rsidR="0023023C" w:rsidRPr="00266194" w:rsidRDefault="0023023C" w:rsidP="00E16C3B">
      <w:pPr>
        <w:spacing w:line="240" w:lineRule="auto"/>
        <w:rPr>
          <w:color w:val="77328A"/>
          <w:sz w:val="16"/>
          <w:szCs w:val="16"/>
        </w:rPr>
      </w:pPr>
      <w:r w:rsidRPr="00266194">
        <w:rPr>
          <w:rStyle w:val="FootnoteReference"/>
          <w:color w:val="77328A"/>
          <w:sz w:val="16"/>
          <w:szCs w:val="16"/>
        </w:rPr>
        <w:footnoteRef/>
      </w:r>
      <w:r w:rsidRPr="00266194">
        <w:rPr>
          <w:color w:val="77328A"/>
          <w:sz w:val="16"/>
          <w:szCs w:val="16"/>
        </w:rPr>
        <w:t xml:space="preserve"> Walter Rader, ‘Personal Independence Payment: An Independent Rev</w:t>
      </w:r>
      <w:r w:rsidR="00F607B7" w:rsidRPr="00266194">
        <w:rPr>
          <w:color w:val="77328A"/>
          <w:sz w:val="16"/>
          <w:szCs w:val="16"/>
        </w:rPr>
        <w:t>iew of the Assessment Process</w:t>
      </w:r>
      <w:r w:rsidR="008902E9" w:rsidRPr="00266194">
        <w:rPr>
          <w:color w:val="77328A"/>
          <w:sz w:val="16"/>
          <w:szCs w:val="16"/>
        </w:rPr>
        <w:t xml:space="preserve"> NI</w:t>
      </w:r>
      <w:r w:rsidRPr="00266194">
        <w:rPr>
          <w:color w:val="77328A"/>
          <w:sz w:val="16"/>
          <w:szCs w:val="16"/>
        </w:rPr>
        <w:t>’ (</w:t>
      </w:r>
      <w:proofErr w:type="gramStart"/>
      <w:r w:rsidR="00CD13A8" w:rsidRPr="00266194">
        <w:rPr>
          <w:color w:val="77328A"/>
          <w:sz w:val="16"/>
          <w:szCs w:val="16"/>
        </w:rPr>
        <w:t>DfC</w:t>
      </w:r>
      <w:proofErr w:type="gramEnd"/>
      <w:r w:rsidR="00CD13A8" w:rsidRPr="00266194">
        <w:rPr>
          <w:color w:val="77328A"/>
          <w:sz w:val="16"/>
          <w:szCs w:val="16"/>
        </w:rPr>
        <w:t xml:space="preserve">, </w:t>
      </w:r>
      <w:r w:rsidRPr="00266194">
        <w:rPr>
          <w:color w:val="77328A"/>
          <w:sz w:val="16"/>
          <w:szCs w:val="16"/>
        </w:rPr>
        <w:t>2018), at para 139.</w:t>
      </w:r>
    </w:p>
  </w:footnote>
  <w:footnote w:id="39">
    <w:p w14:paraId="1F73CA42" w14:textId="687DB5D2" w:rsidR="0023023C" w:rsidRPr="00266194" w:rsidRDefault="0023023C" w:rsidP="00E16C3B">
      <w:pPr>
        <w:spacing w:line="240" w:lineRule="auto"/>
        <w:rPr>
          <w:color w:val="77328A"/>
          <w:sz w:val="16"/>
          <w:szCs w:val="16"/>
        </w:rPr>
      </w:pPr>
      <w:r w:rsidRPr="00266194">
        <w:rPr>
          <w:rStyle w:val="FootnoteReference"/>
          <w:color w:val="77328A"/>
          <w:sz w:val="16"/>
          <w:szCs w:val="16"/>
        </w:rPr>
        <w:footnoteRef/>
      </w:r>
      <w:r w:rsidRPr="00266194">
        <w:rPr>
          <w:color w:val="77328A"/>
          <w:sz w:val="16"/>
          <w:szCs w:val="16"/>
        </w:rPr>
        <w:t xml:space="preserve"> </w:t>
      </w:r>
      <w:r w:rsidR="002E6007" w:rsidRPr="00266194">
        <w:rPr>
          <w:color w:val="77328A"/>
          <w:sz w:val="16"/>
          <w:szCs w:val="16"/>
        </w:rPr>
        <w:t>Ibid,</w:t>
      </w:r>
      <w:r w:rsidRPr="00266194">
        <w:rPr>
          <w:color w:val="77328A"/>
          <w:sz w:val="16"/>
          <w:szCs w:val="16"/>
        </w:rPr>
        <w:t xml:space="preserve"> </w:t>
      </w:r>
      <w:r w:rsidR="002E6007" w:rsidRPr="00266194">
        <w:rPr>
          <w:color w:val="77328A"/>
          <w:sz w:val="16"/>
          <w:szCs w:val="16"/>
        </w:rPr>
        <w:t>at 44.</w:t>
      </w:r>
      <w:r w:rsidRPr="00266194">
        <w:rPr>
          <w:color w:val="77328A"/>
          <w:sz w:val="16"/>
          <w:szCs w:val="16"/>
        </w:rPr>
        <w:t xml:space="preserve"> </w:t>
      </w:r>
    </w:p>
  </w:footnote>
  <w:footnote w:id="40">
    <w:p w14:paraId="3822FA34" w14:textId="5B4679D2" w:rsidR="0023023C" w:rsidRPr="00266194" w:rsidRDefault="0023023C" w:rsidP="00E16C3B">
      <w:pPr>
        <w:spacing w:line="240" w:lineRule="auto"/>
        <w:rPr>
          <w:color w:val="77328A"/>
          <w:sz w:val="16"/>
          <w:szCs w:val="16"/>
        </w:rPr>
      </w:pPr>
      <w:r w:rsidRPr="00266194">
        <w:rPr>
          <w:rStyle w:val="FootnoteReference"/>
          <w:color w:val="77328A"/>
          <w:sz w:val="16"/>
          <w:szCs w:val="16"/>
        </w:rPr>
        <w:footnoteRef/>
      </w:r>
      <w:r w:rsidRPr="00266194">
        <w:rPr>
          <w:color w:val="77328A"/>
          <w:sz w:val="16"/>
          <w:szCs w:val="16"/>
        </w:rPr>
        <w:t xml:space="preserve"> Department for Communities, ‘Review of the Personal Independence Payment Assessment Process: Department for Communities’ Interim Response’ (</w:t>
      </w:r>
      <w:proofErr w:type="gramStart"/>
      <w:r w:rsidR="00CD13A8" w:rsidRPr="00266194">
        <w:rPr>
          <w:color w:val="77328A"/>
          <w:sz w:val="16"/>
          <w:szCs w:val="16"/>
        </w:rPr>
        <w:t>DfC</w:t>
      </w:r>
      <w:proofErr w:type="gramEnd"/>
      <w:r w:rsidR="00CD13A8" w:rsidRPr="00266194">
        <w:rPr>
          <w:color w:val="77328A"/>
          <w:sz w:val="16"/>
          <w:szCs w:val="16"/>
        </w:rPr>
        <w:t xml:space="preserve">, </w:t>
      </w:r>
      <w:r w:rsidR="002E6007" w:rsidRPr="00266194">
        <w:rPr>
          <w:color w:val="77328A"/>
          <w:sz w:val="16"/>
          <w:szCs w:val="16"/>
        </w:rPr>
        <w:t>2018) at 13.</w:t>
      </w:r>
    </w:p>
  </w:footnote>
  <w:footnote w:id="41">
    <w:p w14:paraId="30E56785" w14:textId="04E095BA" w:rsidR="00FB4BDE" w:rsidRPr="00266194" w:rsidRDefault="00FB4BDE" w:rsidP="00E16C3B">
      <w:pPr>
        <w:spacing w:line="240" w:lineRule="auto"/>
        <w:rPr>
          <w:color w:val="77328A"/>
          <w:sz w:val="16"/>
          <w:szCs w:val="16"/>
        </w:rPr>
      </w:pPr>
      <w:r w:rsidRPr="00266194">
        <w:rPr>
          <w:rStyle w:val="FootnoteReference"/>
          <w:color w:val="77328A"/>
          <w:sz w:val="16"/>
          <w:szCs w:val="16"/>
        </w:rPr>
        <w:footnoteRef/>
      </w:r>
      <w:r w:rsidRPr="00266194">
        <w:rPr>
          <w:color w:val="77328A"/>
          <w:sz w:val="16"/>
          <w:szCs w:val="16"/>
          <w:vertAlign w:val="superscript"/>
        </w:rPr>
        <w:t xml:space="preserve"> </w:t>
      </w:r>
      <w:r w:rsidRPr="00266194">
        <w:rPr>
          <w:color w:val="77328A"/>
          <w:sz w:val="16"/>
          <w:szCs w:val="16"/>
        </w:rPr>
        <w:t>Dis</w:t>
      </w:r>
      <w:r w:rsidR="008E345A" w:rsidRPr="00266194">
        <w:rPr>
          <w:color w:val="77328A"/>
          <w:sz w:val="16"/>
          <w:szCs w:val="16"/>
        </w:rPr>
        <w:t>cretionary Support is unique to NI</w:t>
      </w:r>
      <w:r w:rsidRPr="00266194">
        <w:rPr>
          <w:color w:val="77328A"/>
          <w:sz w:val="16"/>
          <w:szCs w:val="16"/>
        </w:rPr>
        <w:t xml:space="preserve"> and aims to alleviate the most exceptional, extreme or </w:t>
      </w:r>
      <w:proofErr w:type="gramStart"/>
      <w:r w:rsidRPr="00266194">
        <w:rPr>
          <w:color w:val="77328A"/>
          <w:sz w:val="16"/>
          <w:szCs w:val="16"/>
        </w:rPr>
        <w:t>crisis situations</w:t>
      </w:r>
      <w:proofErr w:type="gramEnd"/>
      <w:r w:rsidRPr="00266194">
        <w:rPr>
          <w:color w:val="77328A"/>
          <w:sz w:val="16"/>
          <w:szCs w:val="16"/>
        </w:rPr>
        <w:t xml:space="preserve"> that present a significant risk to the health, safety or wellbeing of low-income households through the provision of practical support. </w:t>
      </w:r>
    </w:p>
  </w:footnote>
  <w:footnote w:id="42">
    <w:p w14:paraId="6BC12FDB" w14:textId="5C258FC6" w:rsidR="009006A2" w:rsidRPr="00266194" w:rsidRDefault="009006A2" w:rsidP="00E16C3B">
      <w:pPr>
        <w:spacing w:line="240" w:lineRule="auto"/>
        <w:rPr>
          <w:color w:val="77328A"/>
          <w:sz w:val="16"/>
          <w:szCs w:val="16"/>
        </w:rPr>
      </w:pPr>
      <w:r w:rsidRPr="00266194">
        <w:rPr>
          <w:rStyle w:val="FootnoteReference"/>
          <w:color w:val="77328A"/>
          <w:sz w:val="16"/>
          <w:szCs w:val="16"/>
        </w:rPr>
        <w:footnoteRef/>
      </w:r>
      <w:r w:rsidRPr="00266194">
        <w:rPr>
          <w:color w:val="77328A"/>
          <w:sz w:val="16"/>
          <w:szCs w:val="16"/>
          <w:vertAlign w:val="superscript"/>
        </w:rPr>
        <w:t xml:space="preserve"> </w:t>
      </w:r>
      <w:r w:rsidRPr="00266194">
        <w:rPr>
          <w:color w:val="77328A"/>
          <w:sz w:val="16"/>
          <w:szCs w:val="16"/>
        </w:rPr>
        <w:t>Home Office, ‘EU Settlement Scheme</w:t>
      </w:r>
      <w:r w:rsidR="008E345A" w:rsidRPr="00266194">
        <w:rPr>
          <w:color w:val="77328A"/>
          <w:sz w:val="16"/>
          <w:szCs w:val="16"/>
        </w:rPr>
        <w:t>: Statement of Intent</w:t>
      </w:r>
      <w:r w:rsidRPr="00266194">
        <w:rPr>
          <w:color w:val="77328A"/>
          <w:sz w:val="16"/>
          <w:szCs w:val="16"/>
        </w:rPr>
        <w:t>’ (</w:t>
      </w:r>
      <w:r w:rsidR="008E345A" w:rsidRPr="00266194">
        <w:rPr>
          <w:color w:val="77328A"/>
          <w:sz w:val="16"/>
          <w:szCs w:val="16"/>
        </w:rPr>
        <w:t>HO,</w:t>
      </w:r>
      <w:r w:rsidRPr="00266194">
        <w:rPr>
          <w:color w:val="77328A"/>
          <w:sz w:val="16"/>
          <w:szCs w:val="16"/>
        </w:rPr>
        <w:t xml:space="preserve"> 2018), </w:t>
      </w:r>
      <w:r w:rsidR="008E345A" w:rsidRPr="00266194">
        <w:rPr>
          <w:color w:val="77328A"/>
          <w:sz w:val="16"/>
          <w:szCs w:val="16"/>
        </w:rPr>
        <w:t xml:space="preserve">at </w:t>
      </w:r>
      <w:r w:rsidRPr="00266194">
        <w:rPr>
          <w:color w:val="77328A"/>
          <w:sz w:val="16"/>
          <w:szCs w:val="16"/>
        </w:rPr>
        <w:t>para 5.15</w:t>
      </w:r>
      <w:r w:rsidR="008E345A" w:rsidRPr="00266194">
        <w:rPr>
          <w:color w:val="77328A"/>
          <w:sz w:val="16"/>
          <w:szCs w:val="16"/>
        </w:rPr>
        <w:t>.</w:t>
      </w:r>
      <w:r w:rsidRPr="00266194">
        <w:rPr>
          <w:color w:val="77328A"/>
          <w:sz w:val="16"/>
          <w:szCs w:val="16"/>
        </w:rPr>
        <w:t xml:space="preserve"> </w:t>
      </w:r>
    </w:p>
  </w:footnote>
  <w:footnote w:id="43">
    <w:p w14:paraId="6D55DCE4" w14:textId="77777777" w:rsidR="009006A2" w:rsidRPr="00266194" w:rsidRDefault="009006A2" w:rsidP="00E16C3B">
      <w:pPr>
        <w:spacing w:line="240" w:lineRule="auto"/>
        <w:rPr>
          <w:color w:val="77328A"/>
          <w:sz w:val="16"/>
          <w:szCs w:val="16"/>
        </w:rPr>
      </w:pPr>
      <w:r w:rsidRPr="00266194">
        <w:rPr>
          <w:rStyle w:val="FootnoteReference"/>
          <w:color w:val="77328A"/>
          <w:sz w:val="16"/>
          <w:szCs w:val="16"/>
        </w:rPr>
        <w:footnoteRef/>
      </w:r>
      <w:r w:rsidRPr="00266194">
        <w:rPr>
          <w:color w:val="77328A"/>
          <w:sz w:val="16"/>
          <w:szCs w:val="16"/>
          <w:vertAlign w:val="superscript"/>
        </w:rPr>
        <w:t xml:space="preserve"> </w:t>
      </w:r>
      <w:r w:rsidRPr="00266194">
        <w:rPr>
          <w:color w:val="77328A"/>
          <w:sz w:val="16"/>
          <w:szCs w:val="16"/>
        </w:rPr>
        <w:t xml:space="preserve">The Assisted Digital Service is available in </w:t>
      </w:r>
      <w:proofErr w:type="spellStart"/>
      <w:r w:rsidRPr="00266194">
        <w:rPr>
          <w:color w:val="77328A"/>
          <w:sz w:val="16"/>
          <w:szCs w:val="16"/>
        </w:rPr>
        <w:t>Dundonald</w:t>
      </w:r>
      <w:proofErr w:type="spellEnd"/>
      <w:r w:rsidRPr="00266194">
        <w:rPr>
          <w:color w:val="77328A"/>
          <w:sz w:val="16"/>
          <w:szCs w:val="16"/>
        </w:rPr>
        <w:t xml:space="preserve"> and Lisburn.</w:t>
      </w:r>
    </w:p>
  </w:footnote>
  <w:footnote w:id="44">
    <w:p w14:paraId="12080C3E" w14:textId="77777777" w:rsidR="009006A2" w:rsidRPr="00266194" w:rsidRDefault="009006A2" w:rsidP="00E16C3B">
      <w:pPr>
        <w:spacing w:line="240" w:lineRule="auto"/>
        <w:rPr>
          <w:color w:val="77328A"/>
          <w:sz w:val="16"/>
          <w:szCs w:val="16"/>
        </w:rPr>
      </w:pPr>
      <w:r w:rsidRPr="00266194">
        <w:rPr>
          <w:rStyle w:val="FootnoteReference"/>
          <w:color w:val="77328A"/>
          <w:sz w:val="16"/>
          <w:szCs w:val="16"/>
        </w:rPr>
        <w:footnoteRef/>
      </w:r>
      <w:r w:rsidRPr="00266194">
        <w:rPr>
          <w:color w:val="77328A"/>
          <w:sz w:val="16"/>
          <w:szCs w:val="16"/>
          <w:vertAlign w:val="superscript"/>
        </w:rPr>
        <w:t xml:space="preserve"> </w:t>
      </w:r>
      <w:r w:rsidRPr="00266194">
        <w:rPr>
          <w:color w:val="77328A"/>
          <w:sz w:val="16"/>
          <w:szCs w:val="16"/>
        </w:rPr>
        <w:t xml:space="preserve">The Assisted Digital Service can provide home visits in the Bangor area. </w:t>
      </w:r>
    </w:p>
  </w:footnote>
  <w:footnote w:id="45">
    <w:p w14:paraId="59CA7246" w14:textId="0B897909" w:rsidR="009006A2" w:rsidRPr="00266194" w:rsidRDefault="009006A2" w:rsidP="00E16C3B">
      <w:pPr>
        <w:spacing w:line="240" w:lineRule="auto"/>
        <w:rPr>
          <w:color w:val="77328A"/>
          <w:sz w:val="16"/>
          <w:szCs w:val="16"/>
        </w:rPr>
      </w:pPr>
      <w:r w:rsidRPr="00266194">
        <w:rPr>
          <w:rStyle w:val="FootnoteReference"/>
          <w:color w:val="77328A"/>
          <w:sz w:val="16"/>
          <w:szCs w:val="16"/>
        </w:rPr>
        <w:footnoteRef/>
      </w:r>
      <w:r w:rsidRPr="00266194">
        <w:rPr>
          <w:color w:val="77328A"/>
          <w:sz w:val="16"/>
          <w:szCs w:val="16"/>
        </w:rPr>
        <w:t xml:space="preserve"> The five largest Local Government Districts for international migration for the year ending mid-2017 </w:t>
      </w:r>
      <w:proofErr w:type="gramStart"/>
      <w:r w:rsidRPr="00266194">
        <w:rPr>
          <w:color w:val="77328A"/>
          <w:sz w:val="16"/>
          <w:szCs w:val="16"/>
        </w:rPr>
        <w:t>were:</w:t>
      </w:r>
      <w:proofErr w:type="gramEnd"/>
      <w:r w:rsidRPr="00266194">
        <w:rPr>
          <w:color w:val="77328A"/>
          <w:sz w:val="16"/>
          <w:szCs w:val="16"/>
        </w:rPr>
        <w:t xml:space="preserve"> Belfast; Armagh City, </w:t>
      </w:r>
      <w:proofErr w:type="spellStart"/>
      <w:r w:rsidRPr="00266194">
        <w:rPr>
          <w:color w:val="77328A"/>
          <w:sz w:val="16"/>
          <w:szCs w:val="16"/>
        </w:rPr>
        <w:t>Banbridge</w:t>
      </w:r>
      <w:proofErr w:type="spellEnd"/>
      <w:r w:rsidRPr="00266194">
        <w:rPr>
          <w:color w:val="77328A"/>
          <w:sz w:val="16"/>
          <w:szCs w:val="16"/>
        </w:rPr>
        <w:t xml:space="preserve"> and Craigavon; Newry, </w:t>
      </w:r>
      <w:proofErr w:type="spellStart"/>
      <w:r w:rsidRPr="00266194">
        <w:rPr>
          <w:color w:val="77328A"/>
          <w:sz w:val="16"/>
          <w:szCs w:val="16"/>
        </w:rPr>
        <w:t>Mourne</w:t>
      </w:r>
      <w:proofErr w:type="spellEnd"/>
      <w:r w:rsidRPr="00266194">
        <w:rPr>
          <w:color w:val="77328A"/>
          <w:sz w:val="16"/>
          <w:szCs w:val="16"/>
        </w:rPr>
        <w:t xml:space="preserve"> and Down; Mid Ulster; Mid and East Antrim. See NI</w:t>
      </w:r>
      <w:r w:rsidR="00B03D6B" w:rsidRPr="00266194">
        <w:rPr>
          <w:color w:val="77328A"/>
          <w:sz w:val="16"/>
          <w:szCs w:val="16"/>
        </w:rPr>
        <w:t xml:space="preserve"> </w:t>
      </w:r>
      <w:r w:rsidRPr="00266194">
        <w:rPr>
          <w:color w:val="77328A"/>
          <w:sz w:val="16"/>
          <w:szCs w:val="16"/>
        </w:rPr>
        <w:t>S</w:t>
      </w:r>
      <w:r w:rsidR="00B03D6B" w:rsidRPr="00266194">
        <w:rPr>
          <w:color w:val="77328A"/>
          <w:sz w:val="16"/>
          <w:szCs w:val="16"/>
        </w:rPr>
        <w:t xml:space="preserve">tatistics and </w:t>
      </w:r>
      <w:r w:rsidRPr="00266194">
        <w:rPr>
          <w:color w:val="77328A"/>
          <w:sz w:val="16"/>
          <w:szCs w:val="16"/>
        </w:rPr>
        <w:t>R</w:t>
      </w:r>
      <w:r w:rsidR="00B03D6B" w:rsidRPr="00266194">
        <w:rPr>
          <w:color w:val="77328A"/>
          <w:sz w:val="16"/>
          <w:szCs w:val="16"/>
        </w:rPr>
        <w:t xml:space="preserve">esearch </w:t>
      </w:r>
      <w:r w:rsidRPr="00266194">
        <w:rPr>
          <w:color w:val="77328A"/>
          <w:sz w:val="16"/>
          <w:szCs w:val="16"/>
        </w:rPr>
        <w:t>A</w:t>
      </w:r>
      <w:r w:rsidR="00B03D6B" w:rsidRPr="00266194">
        <w:rPr>
          <w:color w:val="77328A"/>
          <w:sz w:val="16"/>
          <w:szCs w:val="16"/>
        </w:rPr>
        <w:t>gency,</w:t>
      </w:r>
      <w:r w:rsidRPr="00266194">
        <w:rPr>
          <w:color w:val="77328A"/>
          <w:sz w:val="16"/>
          <w:szCs w:val="16"/>
        </w:rPr>
        <w:t xml:space="preserve"> </w:t>
      </w:r>
      <w:r w:rsidR="00B03D6B" w:rsidRPr="00266194">
        <w:rPr>
          <w:color w:val="77328A"/>
          <w:sz w:val="16"/>
          <w:szCs w:val="16"/>
        </w:rPr>
        <w:t>‘Long-term International Migration Statistics for NI (2017)’</w:t>
      </w:r>
      <w:r w:rsidRPr="00266194">
        <w:rPr>
          <w:color w:val="77328A"/>
          <w:sz w:val="16"/>
          <w:szCs w:val="16"/>
        </w:rPr>
        <w:t xml:space="preserve"> </w:t>
      </w:r>
      <w:r w:rsidR="00B03D6B" w:rsidRPr="00266194">
        <w:rPr>
          <w:color w:val="77328A"/>
          <w:sz w:val="16"/>
          <w:szCs w:val="16"/>
        </w:rPr>
        <w:t>(NISRA,</w:t>
      </w:r>
      <w:r w:rsidRPr="00266194">
        <w:rPr>
          <w:color w:val="77328A"/>
          <w:sz w:val="16"/>
          <w:szCs w:val="16"/>
        </w:rPr>
        <w:t xml:space="preserve"> 2018</w:t>
      </w:r>
      <w:r w:rsidR="00B03D6B" w:rsidRPr="00266194">
        <w:rPr>
          <w:color w:val="77328A"/>
          <w:sz w:val="16"/>
          <w:szCs w:val="16"/>
        </w:rPr>
        <w:t>)</w:t>
      </w:r>
      <w:r w:rsidR="00A67783" w:rsidRPr="00266194">
        <w:rPr>
          <w:color w:val="77328A"/>
          <w:sz w:val="16"/>
          <w:szCs w:val="16"/>
        </w:rPr>
        <w:t>,</w:t>
      </w:r>
      <w:r w:rsidR="00B03D6B" w:rsidRPr="00266194">
        <w:rPr>
          <w:color w:val="77328A"/>
          <w:sz w:val="16"/>
          <w:szCs w:val="16"/>
        </w:rPr>
        <w:t xml:space="preserve"> at 11-13</w:t>
      </w:r>
      <w:r w:rsidRPr="00266194">
        <w:rPr>
          <w:color w:val="77328A"/>
          <w:sz w:val="16"/>
          <w:szCs w:val="16"/>
        </w:rPr>
        <w:t>.</w:t>
      </w:r>
    </w:p>
  </w:footnote>
  <w:footnote w:id="46">
    <w:p w14:paraId="468ED9C5" w14:textId="300CFBCB" w:rsidR="009006A2" w:rsidRPr="00266194" w:rsidRDefault="009006A2" w:rsidP="00E16C3B">
      <w:pPr>
        <w:spacing w:line="240" w:lineRule="auto"/>
        <w:rPr>
          <w:color w:val="77328A"/>
          <w:sz w:val="16"/>
          <w:szCs w:val="16"/>
        </w:rPr>
      </w:pPr>
      <w:r w:rsidRPr="00266194">
        <w:rPr>
          <w:rStyle w:val="FootnoteReference"/>
          <w:color w:val="77328A"/>
          <w:sz w:val="16"/>
          <w:szCs w:val="16"/>
        </w:rPr>
        <w:footnoteRef/>
      </w:r>
      <w:r w:rsidRPr="00266194">
        <w:rPr>
          <w:color w:val="77328A"/>
          <w:sz w:val="16"/>
          <w:szCs w:val="16"/>
        </w:rPr>
        <w:t xml:space="preserve"> </w:t>
      </w:r>
      <w:r w:rsidR="00A67783" w:rsidRPr="00266194">
        <w:rPr>
          <w:color w:val="77328A"/>
          <w:sz w:val="16"/>
          <w:szCs w:val="16"/>
        </w:rPr>
        <w:t>Correspondence between the Home Office and NI Human Rights Commission, 30 April 2019.</w:t>
      </w:r>
    </w:p>
  </w:footnote>
  <w:footnote w:id="47">
    <w:p w14:paraId="71453B72" w14:textId="0199A69E" w:rsidR="009006A2" w:rsidRPr="00266194" w:rsidRDefault="009006A2" w:rsidP="00E16C3B">
      <w:pPr>
        <w:spacing w:line="240" w:lineRule="auto"/>
        <w:rPr>
          <w:color w:val="77328A"/>
          <w:sz w:val="16"/>
          <w:szCs w:val="16"/>
        </w:rPr>
      </w:pPr>
      <w:r w:rsidRPr="00266194">
        <w:rPr>
          <w:rStyle w:val="FootnoteReference"/>
          <w:color w:val="77328A"/>
          <w:sz w:val="16"/>
          <w:szCs w:val="16"/>
        </w:rPr>
        <w:footnoteRef/>
      </w:r>
      <w:r w:rsidRPr="00266194">
        <w:rPr>
          <w:color w:val="77328A"/>
          <w:sz w:val="16"/>
          <w:szCs w:val="16"/>
          <w:vertAlign w:val="superscript"/>
        </w:rPr>
        <w:t xml:space="preserve"> </w:t>
      </w:r>
      <w:r w:rsidRPr="00266194">
        <w:rPr>
          <w:color w:val="77328A"/>
          <w:sz w:val="16"/>
          <w:szCs w:val="16"/>
        </w:rPr>
        <w:t xml:space="preserve">The Migration Observatory, ‘Unsettled status? Which EU citizens are at risk of failing to secure their rights after </w:t>
      </w:r>
      <w:proofErr w:type="spellStart"/>
      <w:r w:rsidRPr="00266194">
        <w:rPr>
          <w:color w:val="77328A"/>
          <w:sz w:val="16"/>
          <w:szCs w:val="16"/>
        </w:rPr>
        <w:t>Brexit</w:t>
      </w:r>
      <w:proofErr w:type="spellEnd"/>
      <w:r w:rsidR="009D2983" w:rsidRPr="00266194">
        <w:rPr>
          <w:color w:val="77328A"/>
          <w:sz w:val="16"/>
          <w:szCs w:val="16"/>
        </w:rPr>
        <w:t>?</w:t>
      </w:r>
      <w:r w:rsidRPr="00266194">
        <w:rPr>
          <w:color w:val="77328A"/>
          <w:sz w:val="16"/>
          <w:szCs w:val="16"/>
        </w:rPr>
        <w:t>’ (</w:t>
      </w:r>
      <w:r w:rsidR="009D2983" w:rsidRPr="00266194">
        <w:rPr>
          <w:color w:val="77328A"/>
          <w:sz w:val="16"/>
          <w:szCs w:val="16"/>
        </w:rPr>
        <w:t>TMO, 2018), at 18.</w:t>
      </w:r>
      <w:r w:rsidRPr="00266194">
        <w:rPr>
          <w:color w:val="77328A"/>
          <w:sz w:val="16"/>
          <w:szCs w:val="16"/>
        </w:rPr>
        <w:t xml:space="preserve"> </w:t>
      </w:r>
    </w:p>
  </w:footnote>
  <w:footnote w:id="48">
    <w:p w14:paraId="08067F4D" w14:textId="77777777" w:rsidR="009006A2" w:rsidRPr="00266194" w:rsidRDefault="009006A2" w:rsidP="00E16C3B">
      <w:pPr>
        <w:spacing w:line="240" w:lineRule="auto"/>
        <w:rPr>
          <w:color w:val="77328A"/>
          <w:sz w:val="16"/>
          <w:szCs w:val="16"/>
        </w:rPr>
      </w:pPr>
      <w:r w:rsidRPr="00266194">
        <w:rPr>
          <w:rStyle w:val="FootnoteReference"/>
          <w:color w:val="77328A"/>
          <w:sz w:val="16"/>
          <w:szCs w:val="16"/>
        </w:rPr>
        <w:footnoteRef/>
      </w:r>
      <w:r w:rsidRPr="00266194">
        <w:rPr>
          <w:color w:val="77328A"/>
          <w:sz w:val="16"/>
          <w:szCs w:val="16"/>
          <w:vertAlign w:val="superscript"/>
        </w:rPr>
        <w:t xml:space="preserve"> </w:t>
      </w:r>
      <w:r w:rsidRPr="00266194">
        <w:rPr>
          <w:color w:val="77328A"/>
          <w:sz w:val="16"/>
          <w:szCs w:val="16"/>
        </w:rPr>
        <w:t xml:space="preserve">Reasons for reluctance include: general wariness of national registration requirements, a lingering worry about the fee (the £65 fee which was first imposed has now been waived), a concern that people who have received civil penalties or have criminal records for minor offences may not be eligible, etc. </w:t>
      </w:r>
    </w:p>
  </w:footnote>
  <w:footnote w:id="49">
    <w:p w14:paraId="7C4E5C40" w14:textId="77777777" w:rsidR="009006A2" w:rsidRPr="00266194" w:rsidRDefault="009006A2" w:rsidP="00E16C3B">
      <w:pPr>
        <w:spacing w:line="240" w:lineRule="auto"/>
        <w:rPr>
          <w:color w:val="77328A"/>
          <w:sz w:val="16"/>
          <w:szCs w:val="16"/>
        </w:rPr>
      </w:pPr>
      <w:r w:rsidRPr="00266194">
        <w:rPr>
          <w:rStyle w:val="FootnoteReference"/>
          <w:color w:val="77328A"/>
          <w:sz w:val="16"/>
          <w:szCs w:val="16"/>
        </w:rPr>
        <w:footnoteRef/>
      </w:r>
      <w:r w:rsidRPr="00266194">
        <w:rPr>
          <w:color w:val="77328A"/>
          <w:sz w:val="16"/>
          <w:szCs w:val="16"/>
          <w:vertAlign w:val="superscript"/>
        </w:rPr>
        <w:t xml:space="preserve"> </w:t>
      </w:r>
      <w:r w:rsidRPr="00266194">
        <w:rPr>
          <w:color w:val="77328A"/>
          <w:sz w:val="16"/>
          <w:szCs w:val="16"/>
        </w:rPr>
        <w:t>Joseph Rowntree Foundation, ‘Poverty and Ethnicity in NI: an evidence review’ (JRF, 2013).</w:t>
      </w:r>
    </w:p>
  </w:footnote>
  <w:footnote w:id="50">
    <w:p w14:paraId="6535F4B1" w14:textId="386FAA10" w:rsidR="009006A2" w:rsidRPr="00266194" w:rsidRDefault="009006A2" w:rsidP="00E16C3B">
      <w:pPr>
        <w:spacing w:line="240" w:lineRule="auto"/>
        <w:rPr>
          <w:color w:val="77328A"/>
          <w:sz w:val="16"/>
          <w:szCs w:val="16"/>
        </w:rPr>
      </w:pPr>
      <w:r w:rsidRPr="00266194">
        <w:rPr>
          <w:rStyle w:val="FootnoteReference"/>
          <w:color w:val="77328A"/>
          <w:sz w:val="16"/>
          <w:szCs w:val="16"/>
        </w:rPr>
        <w:footnoteRef/>
      </w:r>
      <w:r w:rsidRPr="00266194">
        <w:rPr>
          <w:color w:val="77328A"/>
          <w:sz w:val="16"/>
          <w:szCs w:val="16"/>
          <w:vertAlign w:val="superscript"/>
        </w:rPr>
        <w:t xml:space="preserve"> </w:t>
      </w:r>
      <w:r w:rsidRPr="00266194">
        <w:rPr>
          <w:color w:val="77328A"/>
          <w:sz w:val="16"/>
          <w:szCs w:val="16"/>
        </w:rPr>
        <w:t>Home Office, ‘Press release:  funding available to support vulnerable EU citi</w:t>
      </w:r>
      <w:r w:rsidR="00583E1C" w:rsidRPr="00266194">
        <w:rPr>
          <w:color w:val="77328A"/>
          <w:sz w:val="16"/>
          <w:szCs w:val="16"/>
        </w:rPr>
        <w:t xml:space="preserve">zens apply for settled </w:t>
      </w:r>
      <w:proofErr w:type="gramStart"/>
      <w:r w:rsidR="00583E1C" w:rsidRPr="00266194">
        <w:rPr>
          <w:color w:val="77328A"/>
          <w:sz w:val="16"/>
          <w:szCs w:val="16"/>
        </w:rPr>
        <w:t>status’</w:t>
      </w:r>
      <w:proofErr w:type="gramEnd"/>
      <w:r w:rsidR="00583E1C" w:rsidRPr="00266194">
        <w:rPr>
          <w:color w:val="77328A"/>
          <w:sz w:val="16"/>
          <w:szCs w:val="16"/>
        </w:rPr>
        <w:t>, 10 April 2019</w:t>
      </w:r>
      <w:r w:rsidRPr="00266194">
        <w:rPr>
          <w:color w:val="77328A"/>
          <w:sz w:val="16"/>
          <w:szCs w:val="16"/>
        </w:rPr>
        <w:t>.</w:t>
      </w:r>
    </w:p>
  </w:footnote>
  <w:footnote w:id="51">
    <w:p w14:paraId="61F90470" w14:textId="3C3BA390" w:rsidR="009006A2" w:rsidRPr="00266194" w:rsidRDefault="009006A2" w:rsidP="00E16C3B">
      <w:pPr>
        <w:spacing w:line="240" w:lineRule="auto"/>
        <w:rPr>
          <w:color w:val="77328A"/>
          <w:sz w:val="16"/>
          <w:szCs w:val="16"/>
        </w:rPr>
      </w:pPr>
      <w:r w:rsidRPr="00266194">
        <w:rPr>
          <w:rStyle w:val="FootnoteReference"/>
          <w:color w:val="77328A"/>
          <w:sz w:val="16"/>
          <w:szCs w:val="16"/>
        </w:rPr>
        <w:footnoteRef/>
      </w:r>
      <w:r w:rsidRPr="00266194">
        <w:rPr>
          <w:color w:val="77328A"/>
          <w:sz w:val="16"/>
          <w:szCs w:val="16"/>
        </w:rPr>
        <w:t xml:space="preserve"> </w:t>
      </w:r>
      <w:r w:rsidR="009F000B" w:rsidRPr="00266194">
        <w:rPr>
          <w:color w:val="77328A"/>
          <w:sz w:val="16"/>
          <w:szCs w:val="16"/>
        </w:rPr>
        <w:t>House of Commons and House of Lords Joint Committee on Human Rights</w:t>
      </w:r>
      <w:r w:rsidRPr="00266194">
        <w:rPr>
          <w:color w:val="77328A"/>
          <w:sz w:val="16"/>
          <w:szCs w:val="16"/>
        </w:rPr>
        <w:t xml:space="preserve">, </w:t>
      </w:r>
      <w:r w:rsidR="009F000B" w:rsidRPr="00266194">
        <w:rPr>
          <w:color w:val="77328A"/>
          <w:sz w:val="16"/>
          <w:szCs w:val="16"/>
        </w:rPr>
        <w:t>‘</w:t>
      </w:r>
      <w:r w:rsidRPr="00266194">
        <w:rPr>
          <w:color w:val="77328A"/>
          <w:sz w:val="16"/>
          <w:szCs w:val="16"/>
        </w:rPr>
        <w:t>Legislati</w:t>
      </w:r>
      <w:r w:rsidR="009F000B" w:rsidRPr="00266194">
        <w:rPr>
          <w:color w:val="77328A"/>
          <w:sz w:val="16"/>
          <w:szCs w:val="16"/>
        </w:rPr>
        <w:t>ve Scrutiny: I</w:t>
      </w:r>
      <w:r w:rsidRPr="00266194">
        <w:rPr>
          <w:color w:val="77328A"/>
          <w:sz w:val="16"/>
          <w:szCs w:val="16"/>
        </w:rPr>
        <w:t xml:space="preserve">mmigration and </w:t>
      </w:r>
      <w:r w:rsidR="009F000B" w:rsidRPr="00266194">
        <w:rPr>
          <w:color w:val="77328A"/>
          <w:sz w:val="16"/>
          <w:szCs w:val="16"/>
        </w:rPr>
        <w:t>S</w:t>
      </w:r>
      <w:r w:rsidRPr="00266194">
        <w:rPr>
          <w:color w:val="77328A"/>
          <w:sz w:val="16"/>
          <w:szCs w:val="16"/>
        </w:rPr>
        <w:t xml:space="preserve">ocial </w:t>
      </w:r>
      <w:r w:rsidR="009F000B" w:rsidRPr="00266194">
        <w:rPr>
          <w:color w:val="77328A"/>
          <w:sz w:val="16"/>
          <w:szCs w:val="16"/>
        </w:rPr>
        <w:t>S</w:t>
      </w:r>
      <w:r w:rsidRPr="00266194">
        <w:rPr>
          <w:color w:val="77328A"/>
          <w:sz w:val="16"/>
          <w:szCs w:val="16"/>
        </w:rPr>
        <w:t xml:space="preserve">ecurity </w:t>
      </w:r>
      <w:r w:rsidR="009F000B" w:rsidRPr="00266194">
        <w:rPr>
          <w:color w:val="77328A"/>
          <w:sz w:val="16"/>
          <w:szCs w:val="16"/>
        </w:rPr>
        <w:t>C</w:t>
      </w:r>
      <w:r w:rsidRPr="00266194">
        <w:rPr>
          <w:color w:val="77328A"/>
          <w:sz w:val="16"/>
          <w:szCs w:val="16"/>
        </w:rPr>
        <w:t xml:space="preserve">o-ordination </w:t>
      </w:r>
      <w:r w:rsidR="009F000B" w:rsidRPr="00266194">
        <w:rPr>
          <w:color w:val="77328A"/>
          <w:sz w:val="16"/>
          <w:szCs w:val="16"/>
        </w:rPr>
        <w:t>(</w:t>
      </w:r>
      <w:r w:rsidRPr="00266194">
        <w:rPr>
          <w:color w:val="77328A"/>
          <w:sz w:val="16"/>
          <w:szCs w:val="16"/>
        </w:rPr>
        <w:t>EU Withdrawal</w:t>
      </w:r>
      <w:r w:rsidR="009F000B" w:rsidRPr="00266194">
        <w:rPr>
          <w:color w:val="77328A"/>
          <w:sz w:val="16"/>
          <w:szCs w:val="16"/>
        </w:rPr>
        <w:t xml:space="preserve">) Bill, Eighteenth Report of Session 2017-19’ (JCHR, 2019), at </w:t>
      </w:r>
      <w:proofErr w:type="gramStart"/>
      <w:r w:rsidRPr="00266194">
        <w:rPr>
          <w:color w:val="77328A"/>
          <w:sz w:val="16"/>
          <w:szCs w:val="16"/>
        </w:rPr>
        <w:t>9</w:t>
      </w:r>
      <w:proofErr w:type="gramEnd"/>
      <w:r w:rsidR="009F000B" w:rsidRPr="00266194">
        <w:rPr>
          <w:color w:val="77328A"/>
          <w:sz w:val="16"/>
          <w:szCs w:val="16"/>
        </w:rPr>
        <w:t>.</w:t>
      </w:r>
    </w:p>
  </w:footnote>
  <w:footnote w:id="52">
    <w:p w14:paraId="292C2A3C" w14:textId="2244930F" w:rsidR="009006A2" w:rsidRPr="00266194" w:rsidRDefault="009006A2" w:rsidP="00E16C3B">
      <w:pPr>
        <w:spacing w:line="240" w:lineRule="auto"/>
        <w:rPr>
          <w:color w:val="77328A"/>
          <w:sz w:val="16"/>
          <w:szCs w:val="16"/>
        </w:rPr>
      </w:pPr>
      <w:r w:rsidRPr="00266194">
        <w:rPr>
          <w:rStyle w:val="FootnoteReference"/>
          <w:color w:val="77328A"/>
          <w:sz w:val="16"/>
          <w:szCs w:val="16"/>
        </w:rPr>
        <w:footnoteRef/>
      </w:r>
      <w:r w:rsidRPr="00266194">
        <w:rPr>
          <w:color w:val="77328A"/>
          <w:sz w:val="16"/>
          <w:szCs w:val="16"/>
        </w:rPr>
        <w:t xml:space="preserve"> </w:t>
      </w:r>
      <w:r w:rsidR="005E6A35" w:rsidRPr="00266194">
        <w:rPr>
          <w:color w:val="77328A"/>
          <w:sz w:val="16"/>
          <w:szCs w:val="16"/>
        </w:rPr>
        <w:t>Correspondence between</w:t>
      </w:r>
      <w:r w:rsidRPr="00266194">
        <w:rPr>
          <w:color w:val="77328A"/>
          <w:sz w:val="16"/>
          <w:szCs w:val="16"/>
        </w:rPr>
        <w:t xml:space="preserve"> Baroness Kennedy, Chair, EU Justice Sub-Committee, to </w:t>
      </w:r>
      <w:proofErr w:type="spellStart"/>
      <w:r w:rsidRPr="00266194">
        <w:rPr>
          <w:color w:val="77328A"/>
          <w:sz w:val="16"/>
          <w:szCs w:val="16"/>
        </w:rPr>
        <w:t>Rt</w:t>
      </w:r>
      <w:proofErr w:type="spellEnd"/>
      <w:r w:rsidRPr="00266194">
        <w:rPr>
          <w:color w:val="77328A"/>
          <w:sz w:val="16"/>
          <w:szCs w:val="16"/>
        </w:rPr>
        <w:t xml:space="preserve"> Hon </w:t>
      </w:r>
      <w:proofErr w:type="spellStart"/>
      <w:r w:rsidRPr="00266194">
        <w:rPr>
          <w:color w:val="77328A"/>
          <w:sz w:val="16"/>
          <w:szCs w:val="16"/>
        </w:rPr>
        <w:t>Sajid</w:t>
      </w:r>
      <w:proofErr w:type="spellEnd"/>
      <w:r w:rsidRPr="00266194">
        <w:rPr>
          <w:color w:val="77328A"/>
          <w:sz w:val="16"/>
          <w:szCs w:val="16"/>
        </w:rPr>
        <w:t xml:space="preserve"> </w:t>
      </w:r>
      <w:proofErr w:type="spellStart"/>
      <w:r w:rsidRPr="00266194">
        <w:rPr>
          <w:color w:val="77328A"/>
          <w:sz w:val="16"/>
          <w:szCs w:val="16"/>
        </w:rPr>
        <w:t>Javid</w:t>
      </w:r>
      <w:proofErr w:type="spellEnd"/>
      <w:r w:rsidRPr="00266194">
        <w:rPr>
          <w:color w:val="77328A"/>
          <w:sz w:val="16"/>
          <w:szCs w:val="16"/>
        </w:rPr>
        <w:t xml:space="preserve"> MP, Home Secretary, regarding EU Settlement Scheme, 27 February 2019</w:t>
      </w:r>
      <w:r w:rsidR="005E6A35" w:rsidRPr="00266194">
        <w:rPr>
          <w:color w:val="77328A"/>
          <w:sz w:val="16"/>
          <w:szCs w:val="16"/>
        </w:rPr>
        <w:t xml:space="preserve">; available at </w:t>
      </w:r>
      <w:hyperlink r:id="rId4" w:history="1">
        <w:r w:rsidR="005E6A35" w:rsidRPr="00266194">
          <w:rPr>
            <w:rStyle w:val="Hyperlink"/>
            <w:color w:val="77328A"/>
            <w:sz w:val="16"/>
            <w:szCs w:val="16"/>
            <w:u w:val="none"/>
          </w:rPr>
          <w:t>https://www.parliament.uk/documents/lords-committees/eu-justice-subcommittee/CWM/HKtoSJ-SettledStatus-260219.pdf</w:t>
        </w:r>
      </w:hyperlink>
      <w:r w:rsidR="005E6A35" w:rsidRPr="00266194">
        <w:rPr>
          <w:color w:val="77328A"/>
          <w:sz w:val="16"/>
          <w:szCs w:val="16"/>
        </w:rPr>
        <w:t xml:space="preserve"> </w:t>
      </w:r>
    </w:p>
  </w:footnote>
  <w:footnote w:id="53">
    <w:p w14:paraId="1E5D08B4" w14:textId="4F64581C" w:rsidR="009006A2" w:rsidRPr="00266194" w:rsidRDefault="009006A2" w:rsidP="00E16C3B">
      <w:pPr>
        <w:spacing w:line="240" w:lineRule="auto"/>
        <w:rPr>
          <w:color w:val="77328A"/>
          <w:sz w:val="16"/>
          <w:szCs w:val="16"/>
        </w:rPr>
      </w:pPr>
      <w:r w:rsidRPr="00266194">
        <w:rPr>
          <w:rStyle w:val="FootnoteReference"/>
          <w:color w:val="77328A"/>
          <w:sz w:val="16"/>
          <w:szCs w:val="16"/>
        </w:rPr>
        <w:footnoteRef/>
      </w:r>
      <w:r w:rsidRPr="00266194">
        <w:rPr>
          <w:color w:val="77328A"/>
          <w:sz w:val="16"/>
          <w:szCs w:val="16"/>
          <w:vertAlign w:val="superscript"/>
        </w:rPr>
        <w:t xml:space="preserve"> </w:t>
      </w:r>
      <w:r w:rsidR="005E6A35" w:rsidRPr="00266194">
        <w:rPr>
          <w:color w:val="77328A"/>
          <w:sz w:val="16"/>
          <w:szCs w:val="16"/>
        </w:rPr>
        <w:t>House of Commons E</w:t>
      </w:r>
      <w:r w:rsidRPr="00266194">
        <w:rPr>
          <w:color w:val="77328A"/>
          <w:sz w:val="16"/>
          <w:szCs w:val="16"/>
        </w:rPr>
        <w:t>xiting the European Union</w:t>
      </w:r>
      <w:r w:rsidR="005E6A35" w:rsidRPr="00266194">
        <w:rPr>
          <w:color w:val="77328A"/>
          <w:sz w:val="16"/>
          <w:szCs w:val="16"/>
        </w:rPr>
        <w:t xml:space="preserve"> Select</w:t>
      </w:r>
      <w:r w:rsidRPr="00266194">
        <w:rPr>
          <w:color w:val="77328A"/>
          <w:sz w:val="16"/>
          <w:szCs w:val="16"/>
        </w:rPr>
        <w:t xml:space="preserve"> Committee, </w:t>
      </w:r>
      <w:r w:rsidR="005E6A35" w:rsidRPr="00266194">
        <w:rPr>
          <w:color w:val="77328A"/>
          <w:sz w:val="16"/>
          <w:szCs w:val="16"/>
        </w:rPr>
        <w:t>‘</w:t>
      </w:r>
      <w:proofErr w:type="gramStart"/>
      <w:r w:rsidRPr="00266194">
        <w:rPr>
          <w:color w:val="77328A"/>
          <w:sz w:val="16"/>
          <w:szCs w:val="16"/>
        </w:rPr>
        <w:t>The</w:t>
      </w:r>
      <w:proofErr w:type="gramEnd"/>
      <w:r w:rsidRPr="00266194">
        <w:rPr>
          <w:color w:val="77328A"/>
          <w:sz w:val="16"/>
          <w:szCs w:val="16"/>
        </w:rPr>
        <w:t xml:space="preserve"> progress of the UK’s negotiations on EU withdrawal: the rights of UK and EU citizens, </w:t>
      </w:r>
      <w:r w:rsidR="005E6A35" w:rsidRPr="00266194">
        <w:rPr>
          <w:color w:val="77328A"/>
          <w:sz w:val="16"/>
          <w:szCs w:val="16"/>
        </w:rPr>
        <w:t>Eighth Report of Session 2017-19’ (</w:t>
      </w:r>
      <w:proofErr w:type="spellStart"/>
      <w:r w:rsidR="005E6A35" w:rsidRPr="00266194">
        <w:rPr>
          <w:color w:val="77328A"/>
          <w:sz w:val="16"/>
          <w:szCs w:val="16"/>
        </w:rPr>
        <w:t>HoC</w:t>
      </w:r>
      <w:proofErr w:type="spellEnd"/>
      <w:r w:rsidRPr="00266194">
        <w:rPr>
          <w:color w:val="77328A"/>
          <w:sz w:val="16"/>
          <w:szCs w:val="16"/>
        </w:rPr>
        <w:t>,</w:t>
      </w:r>
      <w:r w:rsidR="005E6A35" w:rsidRPr="00266194">
        <w:rPr>
          <w:color w:val="77328A"/>
          <w:sz w:val="16"/>
          <w:szCs w:val="16"/>
        </w:rPr>
        <w:t xml:space="preserve"> 2018) at </w:t>
      </w:r>
      <w:r w:rsidRPr="00266194">
        <w:rPr>
          <w:color w:val="77328A"/>
          <w:sz w:val="16"/>
          <w:szCs w:val="16"/>
        </w:rPr>
        <w:t>9</w:t>
      </w:r>
      <w:r w:rsidR="005E6A35" w:rsidRPr="00266194">
        <w:rPr>
          <w:color w:val="77328A"/>
          <w:sz w:val="16"/>
          <w:szCs w:val="16"/>
        </w:rPr>
        <w:t>.</w:t>
      </w:r>
    </w:p>
  </w:footnote>
  <w:footnote w:id="54">
    <w:p w14:paraId="7223B11D" w14:textId="5C046844" w:rsidR="009006A2" w:rsidRPr="00266194" w:rsidRDefault="009006A2" w:rsidP="00E16C3B">
      <w:pPr>
        <w:spacing w:line="240" w:lineRule="auto"/>
        <w:rPr>
          <w:color w:val="77328A"/>
          <w:sz w:val="16"/>
          <w:szCs w:val="16"/>
        </w:rPr>
      </w:pPr>
      <w:r w:rsidRPr="00266194">
        <w:rPr>
          <w:rStyle w:val="FootnoteReference"/>
          <w:color w:val="77328A"/>
          <w:sz w:val="16"/>
          <w:szCs w:val="16"/>
        </w:rPr>
        <w:footnoteRef/>
      </w:r>
      <w:r w:rsidRPr="00266194">
        <w:rPr>
          <w:color w:val="77328A"/>
          <w:sz w:val="16"/>
          <w:szCs w:val="16"/>
        </w:rPr>
        <w:t xml:space="preserve"> </w:t>
      </w:r>
      <w:r w:rsidR="005B57B8" w:rsidRPr="00266194">
        <w:rPr>
          <w:color w:val="77328A"/>
          <w:sz w:val="16"/>
          <w:szCs w:val="16"/>
        </w:rPr>
        <w:t xml:space="preserve">House of Commons and House of Lords Joint Committee on Human Rights, ‘Legislative Scrutiny: Immigration and Social Security Co-ordination (EU Withdrawal) Bill, Eighteenth Report of Session 2017-19’ (JCHR, 2019), at </w:t>
      </w:r>
      <w:proofErr w:type="gramStart"/>
      <w:r w:rsidR="005B57B8" w:rsidRPr="00266194">
        <w:rPr>
          <w:color w:val="77328A"/>
          <w:sz w:val="16"/>
          <w:szCs w:val="16"/>
        </w:rPr>
        <w:t>9</w:t>
      </w:r>
      <w:proofErr w:type="gramEnd"/>
      <w:r w:rsidR="005B57B8" w:rsidRPr="00266194">
        <w:rPr>
          <w:color w:val="77328A"/>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3419"/>
    <w:multiLevelType w:val="multilevel"/>
    <w:tmpl w:val="C0E0EEB0"/>
    <w:lvl w:ilvl="0">
      <w:start w:val="1"/>
      <w:numFmt w:val="decimal"/>
      <w:lvlText w:val="%1."/>
      <w:lvlJc w:val="left"/>
      <w:pPr>
        <w:ind w:left="720" w:hanging="360"/>
      </w:pPr>
      <w:rPr>
        <w:rFonts w:hint="default"/>
      </w:rPr>
    </w:lvl>
    <w:lvl w:ilv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1" w15:restartNumberingAfterBreak="0">
    <w:nsid w:val="03CC57AE"/>
    <w:multiLevelType w:val="multilevel"/>
    <w:tmpl w:val="DD9429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7C7C6F"/>
    <w:multiLevelType w:val="hybridMultilevel"/>
    <w:tmpl w:val="EA2404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0DB4757"/>
    <w:multiLevelType w:val="hybridMultilevel"/>
    <w:tmpl w:val="AC32A25C"/>
    <w:lvl w:ilvl="0" w:tplc="6FA819A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F57E90"/>
    <w:multiLevelType w:val="multilevel"/>
    <w:tmpl w:val="BFF25862"/>
    <w:lvl w:ilvl="0">
      <w:start w:val="1"/>
      <w:numFmt w:val="decimal"/>
      <w:suff w:val="space"/>
      <w:lvlText w:val="%1."/>
      <w:lvlJc w:val="left"/>
      <w:pPr>
        <w:ind w:left="720" w:hanging="360"/>
      </w:pPr>
      <w:rPr>
        <w:rFonts w:hint="default"/>
      </w:rPr>
    </w:lvl>
    <w:lvl w:ilvl="1">
      <w:start w:val="1"/>
      <w:numFmt w:val="decimal"/>
      <w:isLgl/>
      <w:lvlText w:val="%1.%2"/>
      <w:lvlJc w:val="left"/>
      <w:pPr>
        <w:ind w:left="1080" w:hanging="720"/>
      </w:pPr>
      <w:rPr>
        <w:rFonts w:eastAsia="Calibri" w:hint="default"/>
      </w:rPr>
    </w:lvl>
    <w:lvl w:ilvl="2">
      <w:start w:val="1"/>
      <w:numFmt w:val="decimal"/>
      <w:isLgl/>
      <w:lvlText w:val="%1.%2.%3"/>
      <w:lvlJc w:val="left"/>
      <w:pPr>
        <w:ind w:left="1440" w:hanging="108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800" w:hanging="1440"/>
      </w:pPr>
      <w:rPr>
        <w:rFonts w:eastAsia="Calibri" w:hint="default"/>
      </w:rPr>
    </w:lvl>
    <w:lvl w:ilvl="5">
      <w:start w:val="1"/>
      <w:numFmt w:val="decimal"/>
      <w:isLgl/>
      <w:lvlText w:val="%1.%2.%3.%4.%5.%6"/>
      <w:lvlJc w:val="left"/>
      <w:pPr>
        <w:ind w:left="2160" w:hanging="1800"/>
      </w:pPr>
      <w:rPr>
        <w:rFonts w:eastAsia="Calibri" w:hint="default"/>
      </w:rPr>
    </w:lvl>
    <w:lvl w:ilvl="6">
      <w:start w:val="1"/>
      <w:numFmt w:val="decimal"/>
      <w:isLgl/>
      <w:lvlText w:val="%1.%2.%3.%4.%5.%6.%7"/>
      <w:lvlJc w:val="left"/>
      <w:pPr>
        <w:ind w:left="2520" w:hanging="2160"/>
      </w:pPr>
      <w:rPr>
        <w:rFonts w:eastAsia="Calibri" w:hint="default"/>
      </w:rPr>
    </w:lvl>
    <w:lvl w:ilvl="7">
      <w:start w:val="1"/>
      <w:numFmt w:val="decimal"/>
      <w:isLgl/>
      <w:lvlText w:val="%1.%2.%3.%4.%5.%6.%7.%8"/>
      <w:lvlJc w:val="left"/>
      <w:pPr>
        <w:ind w:left="2880" w:hanging="2520"/>
      </w:pPr>
      <w:rPr>
        <w:rFonts w:eastAsia="Calibri" w:hint="default"/>
      </w:rPr>
    </w:lvl>
    <w:lvl w:ilvl="8">
      <w:start w:val="1"/>
      <w:numFmt w:val="decimal"/>
      <w:isLgl/>
      <w:lvlText w:val="%1.%2.%3.%4.%5.%6.%7.%8.%9"/>
      <w:lvlJc w:val="left"/>
      <w:pPr>
        <w:ind w:left="2880" w:hanging="2520"/>
      </w:pPr>
      <w:rPr>
        <w:rFonts w:eastAsia="Calibri" w:hint="default"/>
      </w:rPr>
    </w:lvl>
  </w:abstractNum>
  <w:abstractNum w:abstractNumId="5" w15:restartNumberingAfterBreak="0">
    <w:nsid w:val="156579DC"/>
    <w:multiLevelType w:val="hybridMultilevel"/>
    <w:tmpl w:val="10A28B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E96944"/>
    <w:multiLevelType w:val="hybridMultilevel"/>
    <w:tmpl w:val="E18E88E8"/>
    <w:lvl w:ilvl="0" w:tplc="AF28088E">
      <w:start w:val="1"/>
      <w:numFmt w:val="lowerLetter"/>
      <w:lvlText w:val="%1)"/>
      <w:lvlJc w:val="left"/>
      <w:pPr>
        <w:ind w:left="927" w:hanging="360"/>
      </w:pPr>
      <w:rPr>
        <w:rFonts w:eastAsia="Times New Roman" w:cs="Segoe UI" w:hint="default"/>
        <w:b/>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25502149"/>
    <w:multiLevelType w:val="hybridMultilevel"/>
    <w:tmpl w:val="05784194"/>
    <w:lvl w:ilvl="0" w:tplc="36CA2BC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B3F49C6"/>
    <w:multiLevelType w:val="singleLevel"/>
    <w:tmpl w:val="3CF288AC"/>
    <w:lvl w:ilvl="0">
      <w:start w:val="1"/>
      <w:numFmt w:val="lowerRoman"/>
      <w:pStyle w:val="Rom2"/>
      <w:lvlText w:val="(%1)"/>
      <w:lvlJc w:val="right"/>
      <w:pPr>
        <w:tabs>
          <w:tab w:val="num" w:pos="2218"/>
        </w:tabs>
        <w:ind w:left="2218" w:hanging="516"/>
      </w:pPr>
    </w:lvl>
  </w:abstractNum>
  <w:abstractNum w:abstractNumId="9" w15:restartNumberingAfterBreak="0">
    <w:nsid w:val="322A2B6B"/>
    <w:multiLevelType w:val="multilevel"/>
    <w:tmpl w:val="8632A27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color w:val="auto"/>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0" w15:restartNumberingAfterBreak="0">
    <w:nsid w:val="358F6152"/>
    <w:multiLevelType w:val="hybridMultilevel"/>
    <w:tmpl w:val="82741608"/>
    <w:lvl w:ilvl="0" w:tplc="C5AE3AEE">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1" w15:restartNumberingAfterBreak="0">
    <w:nsid w:val="3A616965"/>
    <w:multiLevelType w:val="multilevel"/>
    <w:tmpl w:val="0F70A1EC"/>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2" w15:restartNumberingAfterBreak="0">
    <w:nsid w:val="3BD757F3"/>
    <w:multiLevelType w:val="hybridMultilevel"/>
    <w:tmpl w:val="9C225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C768AA"/>
    <w:multiLevelType w:val="hybridMultilevel"/>
    <w:tmpl w:val="26863364"/>
    <w:lvl w:ilvl="0" w:tplc="B0506D80">
      <w:numFmt w:val="bullet"/>
      <w:lvlText w:val="-"/>
      <w:lvlJc w:val="left"/>
      <w:pPr>
        <w:ind w:left="720" w:hanging="360"/>
      </w:pPr>
      <w:rPr>
        <w:rFonts w:ascii="Verdana" w:eastAsiaTheme="majorEastAsia" w:hAnsi="Verdana"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420850"/>
    <w:multiLevelType w:val="hybridMultilevel"/>
    <w:tmpl w:val="D6B452C2"/>
    <w:lvl w:ilvl="0" w:tplc="60064A80">
      <w:start w:val="1"/>
      <w:numFmt w:val="decimal"/>
      <w:lvlText w:val="%1."/>
      <w:lvlJc w:val="left"/>
      <w:pPr>
        <w:ind w:left="6598" w:hanging="360"/>
      </w:pPr>
      <w:rPr>
        <w:b w:val="0"/>
        <w:i w:val="0"/>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5" w15:restartNumberingAfterBreak="0">
    <w:nsid w:val="4EBF2DC7"/>
    <w:multiLevelType w:val="hybridMultilevel"/>
    <w:tmpl w:val="A0765B66"/>
    <w:lvl w:ilvl="0" w:tplc="876815F4">
      <w:start w:val="1"/>
      <w:numFmt w:val="lowerLetter"/>
      <w:lvlText w:val="%1)"/>
      <w:lvlJc w:val="left"/>
      <w:pPr>
        <w:ind w:left="1440" w:hanging="360"/>
      </w:pPr>
      <w:rPr>
        <w:rFonts w:cs="MinionPro-Regular"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538433B5"/>
    <w:multiLevelType w:val="hybridMultilevel"/>
    <w:tmpl w:val="E8CC82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5DC63E5E"/>
    <w:multiLevelType w:val="multilevel"/>
    <w:tmpl w:val="BFF25862"/>
    <w:lvl w:ilvl="0">
      <w:start w:val="1"/>
      <w:numFmt w:val="decimal"/>
      <w:suff w:val="space"/>
      <w:lvlText w:val="%1."/>
      <w:lvlJc w:val="left"/>
      <w:pPr>
        <w:ind w:left="720" w:hanging="360"/>
      </w:pPr>
      <w:rPr>
        <w:rFonts w:hint="default"/>
      </w:rPr>
    </w:lvl>
    <w:lvl w:ilvl="1">
      <w:start w:val="1"/>
      <w:numFmt w:val="decimal"/>
      <w:isLgl/>
      <w:lvlText w:val="%1.%2"/>
      <w:lvlJc w:val="left"/>
      <w:pPr>
        <w:ind w:left="1080" w:hanging="720"/>
      </w:pPr>
      <w:rPr>
        <w:rFonts w:eastAsia="Calibri" w:hint="default"/>
      </w:rPr>
    </w:lvl>
    <w:lvl w:ilvl="2">
      <w:start w:val="1"/>
      <w:numFmt w:val="decimal"/>
      <w:isLgl/>
      <w:lvlText w:val="%1.%2.%3"/>
      <w:lvlJc w:val="left"/>
      <w:pPr>
        <w:ind w:left="1440" w:hanging="108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800" w:hanging="1440"/>
      </w:pPr>
      <w:rPr>
        <w:rFonts w:eastAsia="Calibri" w:hint="default"/>
      </w:rPr>
    </w:lvl>
    <w:lvl w:ilvl="5">
      <w:start w:val="1"/>
      <w:numFmt w:val="decimal"/>
      <w:isLgl/>
      <w:lvlText w:val="%1.%2.%3.%4.%5.%6"/>
      <w:lvlJc w:val="left"/>
      <w:pPr>
        <w:ind w:left="2160" w:hanging="1800"/>
      </w:pPr>
      <w:rPr>
        <w:rFonts w:eastAsia="Calibri" w:hint="default"/>
      </w:rPr>
    </w:lvl>
    <w:lvl w:ilvl="6">
      <w:start w:val="1"/>
      <w:numFmt w:val="decimal"/>
      <w:isLgl/>
      <w:lvlText w:val="%1.%2.%3.%4.%5.%6.%7"/>
      <w:lvlJc w:val="left"/>
      <w:pPr>
        <w:ind w:left="2520" w:hanging="2160"/>
      </w:pPr>
      <w:rPr>
        <w:rFonts w:eastAsia="Calibri" w:hint="default"/>
      </w:rPr>
    </w:lvl>
    <w:lvl w:ilvl="7">
      <w:start w:val="1"/>
      <w:numFmt w:val="decimal"/>
      <w:isLgl/>
      <w:lvlText w:val="%1.%2.%3.%4.%5.%6.%7.%8"/>
      <w:lvlJc w:val="left"/>
      <w:pPr>
        <w:ind w:left="2880" w:hanging="2520"/>
      </w:pPr>
      <w:rPr>
        <w:rFonts w:eastAsia="Calibri" w:hint="default"/>
      </w:rPr>
    </w:lvl>
    <w:lvl w:ilvl="8">
      <w:start w:val="1"/>
      <w:numFmt w:val="decimal"/>
      <w:isLgl/>
      <w:lvlText w:val="%1.%2.%3.%4.%5.%6.%7.%8.%9"/>
      <w:lvlJc w:val="left"/>
      <w:pPr>
        <w:ind w:left="2880" w:hanging="2520"/>
      </w:pPr>
      <w:rPr>
        <w:rFonts w:eastAsia="Calibri" w:hint="default"/>
      </w:rPr>
    </w:lvl>
  </w:abstractNum>
  <w:abstractNum w:abstractNumId="18" w15:restartNumberingAfterBreak="0">
    <w:nsid w:val="5E367FCB"/>
    <w:multiLevelType w:val="hybridMultilevel"/>
    <w:tmpl w:val="2118FBD4"/>
    <w:lvl w:ilvl="0" w:tplc="A69C4C0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44216CC"/>
    <w:multiLevelType w:val="hybridMultilevel"/>
    <w:tmpl w:val="D2187A5A"/>
    <w:lvl w:ilvl="0" w:tplc="39C6E034">
      <w:start w:val="50"/>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0" w15:restartNumberingAfterBreak="0">
    <w:nsid w:val="64C9311A"/>
    <w:multiLevelType w:val="hybridMultilevel"/>
    <w:tmpl w:val="66648822"/>
    <w:lvl w:ilvl="0" w:tplc="E97838E0">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6A6CB1"/>
    <w:multiLevelType w:val="multilevel"/>
    <w:tmpl w:val="3ACC370E"/>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6CA247EF"/>
    <w:multiLevelType w:val="hybridMultilevel"/>
    <w:tmpl w:val="9DDEC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A70A62"/>
    <w:multiLevelType w:val="hybridMultilevel"/>
    <w:tmpl w:val="2102D3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F723AD6"/>
    <w:multiLevelType w:val="hybridMultilevel"/>
    <w:tmpl w:val="A6F0CD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0787D37"/>
    <w:multiLevelType w:val="hybridMultilevel"/>
    <w:tmpl w:val="4380F2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61C63AB"/>
    <w:multiLevelType w:val="hybridMultilevel"/>
    <w:tmpl w:val="B7EC8ECE"/>
    <w:lvl w:ilvl="0" w:tplc="A2562EA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79F034FB"/>
    <w:multiLevelType w:val="hybridMultilevel"/>
    <w:tmpl w:val="7E0C0CF4"/>
    <w:lvl w:ilvl="0" w:tplc="BC7C6458">
      <w:start w:val="1"/>
      <w:numFmt w:val="decimal"/>
      <w:lvlText w:val="1.%1"/>
      <w:lvlJc w:val="left"/>
      <w:pPr>
        <w:ind w:left="720" w:hanging="360"/>
      </w:pPr>
      <w:rPr>
        <w:rFonts w:hint="default"/>
        <w:vanish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CF349BD"/>
    <w:multiLevelType w:val="singleLevel"/>
    <w:tmpl w:val="7EC6DC90"/>
    <w:lvl w:ilvl="0">
      <w:start w:val="1"/>
      <w:numFmt w:val="lowerRoman"/>
      <w:pStyle w:val="Rom1"/>
      <w:lvlText w:val="(%1)"/>
      <w:lvlJc w:val="right"/>
      <w:pPr>
        <w:tabs>
          <w:tab w:val="num" w:pos="1440"/>
        </w:tabs>
        <w:ind w:left="1440" w:hanging="589"/>
      </w:pPr>
      <w:rPr>
        <w:rFonts w:hint="default"/>
      </w:rPr>
    </w:lvl>
  </w:abstractNum>
  <w:num w:numId="1">
    <w:abstractNumId w:val="1"/>
  </w:num>
  <w:num w:numId="2">
    <w:abstractNumId w:val="20"/>
  </w:num>
  <w:num w:numId="3">
    <w:abstractNumId w:val="25"/>
  </w:num>
  <w:num w:numId="4">
    <w:abstractNumId w:val="7"/>
  </w:num>
  <w:num w:numId="5">
    <w:abstractNumId w:val="8"/>
  </w:num>
  <w:num w:numId="6">
    <w:abstractNumId w:val="28"/>
  </w:num>
  <w:num w:numId="7">
    <w:abstractNumId w:val="5"/>
  </w:num>
  <w:num w:numId="8">
    <w:abstractNumId w:val="0"/>
  </w:num>
  <w:num w:numId="9">
    <w:abstractNumId w:val="4"/>
  </w:num>
  <w:num w:numId="10">
    <w:abstractNumId w:val="2"/>
  </w:num>
  <w:num w:numId="11">
    <w:abstractNumId w:val="13"/>
  </w:num>
  <w:num w:numId="12">
    <w:abstractNumId w:val="16"/>
  </w:num>
  <w:num w:numId="13">
    <w:abstractNumId w:val="21"/>
  </w:num>
  <w:num w:numId="14">
    <w:abstractNumId w:val="18"/>
  </w:num>
  <w:num w:numId="15">
    <w:abstractNumId w:val="10"/>
  </w:num>
  <w:num w:numId="16">
    <w:abstractNumId w:val="19"/>
  </w:num>
  <w:num w:numId="17">
    <w:abstractNumId w:val="14"/>
  </w:num>
  <w:num w:numId="18">
    <w:abstractNumId w:val="12"/>
  </w:num>
  <w:num w:numId="19">
    <w:abstractNumId w:val="24"/>
  </w:num>
  <w:num w:numId="20">
    <w:abstractNumId w:val="23"/>
  </w:num>
  <w:num w:numId="21">
    <w:abstractNumId w:val="22"/>
  </w:num>
  <w:num w:numId="22">
    <w:abstractNumId w:val="11"/>
  </w:num>
  <w:num w:numId="23">
    <w:abstractNumId w:val="9"/>
  </w:num>
  <w:num w:numId="24">
    <w:abstractNumId w:val="26"/>
  </w:num>
  <w:num w:numId="25">
    <w:abstractNumId w:val="6"/>
  </w:num>
  <w:num w:numId="26">
    <w:abstractNumId w:val="3"/>
  </w:num>
  <w:num w:numId="27">
    <w:abstractNumId w:val="15"/>
  </w:num>
  <w:num w:numId="28">
    <w:abstractNumId w:val="17"/>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19C"/>
    <w:rsid w:val="00000AF4"/>
    <w:rsid w:val="00002C43"/>
    <w:rsid w:val="000049A3"/>
    <w:rsid w:val="0000553D"/>
    <w:rsid w:val="000103DD"/>
    <w:rsid w:val="00013D63"/>
    <w:rsid w:val="00016985"/>
    <w:rsid w:val="000304BC"/>
    <w:rsid w:val="000340D7"/>
    <w:rsid w:val="0004396A"/>
    <w:rsid w:val="00053B6D"/>
    <w:rsid w:val="00056E04"/>
    <w:rsid w:val="000716AC"/>
    <w:rsid w:val="000725EE"/>
    <w:rsid w:val="000922B0"/>
    <w:rsid w:val="000947FA"/>
    <w:rsid w:val="000A0784"/>
    <w:rsid w:val="000A6F53"/>
    <w:rsid w:val="000D3F45"/>
    <w:rsid w:val="000D5BFC"/>
    <w:rsid w:val="000E61AC"/>
    <w:rsid w:val="00106A2C"/>
    <w:rsid w:val="001149B1"/>
    <w:rsid w:val="00114A4B"/>
    <w:rsid w:val="0013001C"/>
    <w:rsid w:val="00137525"/>
    <w:rsid w:val="00140A34"/>
    <w:rsid w:val="001539E9"/>
    <w:rsid w:val="00156032"/>
    <w:rsid w:val="001655F5"/>
    <w:rsid w:val="00166A9E"/>
    <w:rsid w:val="001739C6"/>
    <w:rsid w:val="001905EE"/>
    <w:rsid w:val="00195536"/>
    <w:rsid w:val="00196204"/>
    <w:rsid w:val="001A6CA4"/>
    <w:rsid w:val="001B1086"/>
    <w:rsid w:val="001B36EE"/>
    <w:rsid w:val="001B4010"/>
    <w:rsid w:val="001B6A00"/>
    <w:rsid w:val="001C1C6E"/>
    <w:rsid w:val="001C3E6F"/>
    <w:rsid w:val="001D4516"/>
    <w:rsid w:val="001E06AE"/>
    <w:rsid w:val="00200458"/>
    <w:rsid w:val="00201326"/>
    <w:rsid w:val="00214EE1"/>
    <w:rsid w:val="00223BD7"/>
    <w:rsid w:val="00223EF5"/>
    <w:rsid w:val="0023000F"/>
    <w:rsid w:val="0023023C"/>
    <w:rsid w:val="00232FD5"/>
    <w:rsid w:val="002417BE"/>
    <w:rsid w:val="00245A14"/>
    <w:rsid w:val="00245AC8"/>
    <w:rsid w:val="00246799"/>
    <w:rsid w:val="00251321"/>
    <w:rsid w:val="00266194"/>
    <w:rsid w:val="00273F78"/>
    <w:rsid w:val="00276A08"/>
    <w:rsid w:val="00281257"/>
    <w:rsid w:val="00283E17"/>
    <w:rsid w:val="00286106"/>
    <w:rsid w:val="00290B10"/>
    <w:rsid w:val="00296F4D"/>
    <w:rsid w:val="002A69DF"/>
    <w:rsid w:val="002B76C1"/>
    <w:rsid w:val="002C3BEE"/>
    <w:rsid w:val="002C7B4B"/>
    <w:rsid w:val="002D01A4"/>
    <w:rsid w:val="002D0DF9"/>
    <w:rsid w:val="002E3519"/>
    <w:rsid w:val="002E6007"/>
    <w:rsid w:val="002F0406"/>
    <w:rsid w:val="002F5850"/>
    <w:rsid w:val="00301276"/>
    <w:rsid w:val="00301FAE"/>
    <w:rsid w:val="00304362"/>
    <w:rsid w:val="00306802"/>
    <w:rsid w:val="0031061E"/>
    <w:rsid w:val="00333BA8"/>
    <w:rsid w:val="003504D8"/>
    <w:rsid w:val="00350BAD"/>
    <w:rsid w:val="00354727"/>
    <w:rsid w:val="003A055B"/>
    <w:rsid w:val="003A311D"/>
    <w:rsid w:val="003C348E"/>
    <w:rsid w:val="003D0FA0"/>
    <w:rsid w:val="003D791E"/>
    <w:rsid w:val="003E16DD"/>
    <w:rsid w:val="003E180B"/>
    <w:rsid w:val="003E327E"/>
    <w:rsid w:val="003F2D1F"/>
    <w:rsid w:val="00402EFA"/>
    <w:rsid w:val="00410315"/>
    <w:rsid w:val="004141D8"/>
    <w:rsid w:val="00414BA0"/>
    <w:rsid w:val="00423ECD"/>
    <w:rsid w:val="0042425E"/>
    <w:rsid w:val="00424D2B"/>
    <w:rsid w:val="00434BAD"/>
    <w:rsid w:val="004424B8"/>
    <w:rsid w:val="00443010"/>
    <w:rsid w:val="00445478"/>
    <w:rsid w:val="00446B9A"/>
    <w:rsid w:val="004942F4"/>
    <w:rsid w:val="004A2D31"/>
    <w:rsid w:val="004A2FBA"/>
    <w:rsid w:val="004A4422"/>
    <w:rsid w:val="004A6495"/>
    <w:rsid w:val="004C1A97"/>
    <w:rsid w:val="004C1FDE"/>
    <w:rsid w:val="004D1F7F"/>
    <w:rsid w:val="004D3456"/>
    <w:rsid w:val="004D47FA"/>
    <w:rsid w:val="004D6263"/>
    <w:rsid w:val="004E0AC2"/>
    <w:rsid w:val="004E4E44"/>
    <w:rsid w:val="004E50DA"/>
    <w:rsid w:val="005023B8"/>
    <w:rsid w:val="00503A8D"/>
    <w:rsid w:val="005051C5"/>
    <w:rsid w:val="00506235"/>
    <w:rsid w:val="00506C25"/>
    <w:rsid w:val="00507A7F"/>
    <w:rsid w:val="005113A7"/>
    <w:rsid w:val="00515B8F"/>
    <w:rsid w:val="00517516"/>
    <w:rsid w:val="00525938"/>
    <w:rsid w:val="00526D2B"/>
    <w:rsid w:val="00530D6D"/>
    <w:rsid w:val="00531CC1"/>
    <w:rsid w:val="00534482"/>
    <w:rsid w:val="00536AA6"/>
    <w:rsid w:val="00544FEF"/>
    <w:rsid w:val="00552F0C"/>
    <w:rsid w:val="00554FE3"/>
    <w:rsid w:val="00557331"/>
    <w:rsid w:val="00563B1C"/>
    <w:rsid w:val="00564289"/>
    <w:rsid w:val="00564403"/>
    <w:rsid w:val="00577999"/>
    <w:rsid w:val="00583E1C"/>
    <w:rsid w:val="00590A0E"/>
    <w:rsid w:val="0059302B"/>
    <w:rsid w:val="005A1F58"/>
    <w:rsid w:val="005A29BF"/>
    <w:rsid w:val="005A55E4"/>
    <w:rsid w:val="005B2A50"/>
    <w:rsid w:val="005B57B8"/>
    <w:rsid w:val="005B581A"/>
    <w:rsid w:val="005C2B6F"/>
    <w:rsid w:val="005C7496"/>
    <w:rsid w:val="005D5471"/>
    <w:rsid w:val="005E59AC"/>
    <w:rsid w:val="005E6A35"/>
    <w:rsid w:val="005F5AE0"/>
    <w:rsid w:val="00614D0E"/>
    <w:rsid w:val="006304D8"/>
    <w:rsid w:val="0064751E"/>
    <w:rsid w:val="0065294D"/>
    <w:rsid w:val="006545BF"/>
    <w:rsid w:val="0065584A"/>
    <w:rsid w:val="00661B4A"/>
    <w:rsid w:val="00665816"/>
    <w:rsid w:val="00666889"/>
    <w:rsid w:val="00673B24"/>
    <w:rsid w:val="00677182"/>
    <w:rsid w:val="00690C36"/>
    <w:rsid w:val="00693220"/>
    <w:rsid w:val="00694ABB"/>
    <w:rsid w:val="006A0A54"/>
    <w:rsid w:val="006A5B82"/>
    <w:rsid w:val="006B2C7A"/>
    <w:rsid w:val="006B5C5E"/>
    <w:rsid w:val="006C1C17"/>
    <w:rsid w:val="006C6CBB"/>
    <w:rsid w:val="006D48A5"/>
    <w:rsid w:val="006E217B"/>
    <w:rsid w:val="006E332D"/>
    <w:rsid w:val="006E725C"/>
    <w:rsid w:val="006F1244"/>
    <w:rsid w:val="006F71C4"/>
    <w:rsid w:val="007029BF"/>
    <w:rsid w:val="00704B46"/>
    <w:rsid w:val="0070608C"/>
    <w:rsid w:val="00726EA9"/>
    <w:rsid w:val="007336A0"/>
    <w:rsid w:val="00735EC8"/>
    <w:rsid w:val="00737BE3"/>
    <w:rsid w:val="0074006A"/>
    <w:rsid w:val="00742666"/>
    <w:rsid w:val="00745F16"/>
    <w:rsid w:val="00764A6C"/>
    <w:rsid w:val="00777237"/>
    <w:rsid w:val="00781122"/>
    <w:rsid w:val="00784186"/>
    <w:rsid w:val="007A397D"/>
    <w:rsid w:val="007A52CA"/>
    <w:rsid w:val="007A579C"/>
    <w:rsid w:val="007B051E"/>
    <w:rsid w:val="007B3F1F"/>
    <w:rsid w:val="007C419C"/>
    <w:rsid w:val="007C6FAF"/>
    <w:rsid w:val="007F2DD0"/>
    <w:rsid w:val="00804380"/>
    <w:rsid w:val="00806C75"/>
    <w:rsid w:val="008107E1"/>
    <w:rsid w:val="00824CF4"/>
    <w:rsid w:val="00835B83"/>
    <w:rsid w:val="008606C0"/>
    <w:rsid w:val="00865B8B"/>
    <w:rsid w:val="00872D59"/>
    <w:rsid w:val="00880272"/>
    <w:rsid w:val="00881F36"/>
    <w:rsid w:val="00882F61"/>
    <w:rsid w:val="00884C6E"/>
    <w:rsid w:val="008902E9"/>
    <w:rsid w:val="00893B2F"/>
    <w:rsid w:val="0089613E"/>
    <w:rsid w:val="008A10C1"/>
    <w:rsid w:val="008B226B"/>
    <w:rsid w:val="008C3F23"/>
    <w:rsid w:val="008C7CB4"/>
    <w:rsid w:val="008D0BA7"/>
    <w:rsid w:val="008D2857"/>
    <w:rsid w:val="008D3765"/>
    <w:rsid w:val="008E345A"/>
    <w:rsid w:val="008E599A"/>
    <w:rsid w:val="008F0B5C"/>
    <w:rsid w:val="008F7F66"/>
    <w:rsid w:val="009006A2"/>
    <w:rsid w:val="00904024"/>
    <w:rsid w:val="0092215B"/>
    <w:rsid w:val="00942EB5"/>
    <w:rsid w:val="00944B4E"/>
    <w:rsid w:val="00950860"/>
    <w:rsid w:val="009511F7"/>
    <w:rsid w:val="00952D56"/>
    <w:rsid w:val="00960C9F"/>
    <w:rsid w:val="00962457"/>
    <w:rsid w:val="009658BA"/>
    <w:rsid w:val="00972DE7"/>
    <w:rsid w:val="00973E5A"/>
    <w:rsid w:val="009752D7"/>
    <w:rsid w:val="009811C4"/>
    <w:rsid w:val="009824A9"/>
    <w:rsid w:val="00992A58"/>
    <w:rsid w:val="009A2BD6"/>
    <w:rsid w:val="009A6D94"/>
    <w:rsid w:val="009B0BFC"/>
    <w:rsid w:val="009B2348"/>
    <w:rsid w:val="009B2426"/>
    <w:rsid w:val="009D2983"/>
    <w:rsid w:val="009E1D56"/>
    <w:rsid w:val="009F000B"/>
    <w:rsid w:val="00A02E3B"/>
    <w:rsid w:val="00A02FCD"/>
    <w:rsid w:val="00A06A56"/>
    <w:rsid w:val="00A07E56"/>
    <w:rsid w:val="00A12C11"/>
    <w:rsid w:val="00A12D11"/>
    <w:rsid w:val="00A12E46"/>
    <w:rsid w:val="00A1486A"/>
    <w:rsid w:val="00A270B2"/>
    <w:rsid w:val="00A378A1"/>
    <w:rsid w:val="00A50D28"/>
    <w:rsid w:val="00A52165"/>
    <w:rsid w:val="00A5591A"/>
    <w:rsid w:val="00A67783"/>
    <w:rsid w:val="00A724ED"/>
    <w:rsid w:val="00A826B1"/>
    <w:rsid w:val="00A92315"/>
    <w:rsid w:val="00A9324E"/>
    <w:rsid w:val="00AA6831"/>
    <w:rsid w:val="00AB2EC7"/>
    <w:rsid w:val="00AB3C93"/>
    <w:rsid w:val="00AC220B"/>
    <w:rsid w:val="00AC5846"/>
    <w:rsid w:val="00AC61DB"/>
    <w:rsid w:val="00AD18BF"/>
    <w:rsid w:val="00AD5863"/>
    <w:rsid w:val="00AE00EB"/>
    <w:rsid w:val="00AE0E0D"/>
    <w:rsid w:val="00AE64A1"/>
    <w:rsid w:val="00AF7AB3"/>
    <w:rsid w:val="00B013BB"/>
    <w:rsid w:val="00B01E8F"/>
    <w:rsid w:val="00B03D6B"/>
    <w:rsid w:val="00B073A2"/>
    <w:rsid w:val="00B128D9"/>
    <w:rsid w:val="00B12E38"/>
    <w:rsid w:val="00B200CC"/>
    <w:rsid w:val="00B21564"/>
    <w:rsid w:val="00B2382F"/>
    <w:rsid w:val="00B258A5"/>
    <w:rsid w:val="00B32FEA"/>
    <w:rsid w:val="00B4170A"/>
    <w:rsid w:val="00B42CB5"/>
    <w:rsid w:val="00B45169"/>
    <w:rsid w:val="00B50863"/>
    <w:rsid w:val="00B52A94"/>
    <w:rsid w:val="00B62110"/>
    <w:rsid w:val="00B654FD"/>
    <w:rsid w:val="00B74512"/>
    <w:rsid w:val="00B91BFB"/>
    <w:rsid w:val="00B96C94"/>
    <w:rsid w:val="00B97482"/>
    <w:rsid w:val="00BA5057"/>
    <w:rsid w:val="00BB5D7C"/>
    <w:rsid w:val="00BB7533"/>
    <w:rsid w:val="00BC19AA"/>
    <w:rsid w:val="00BC4761"/>
    <w:rsid w:val="00BC63CF"/>
    <w:rsid w:val="00BC773A"/>
    <w:rsid w:val="00C11DAB"/>
    <w:rsid w:val="00C139E0"/>
    <w:rsid w:val="00C15B3C"/>
    <w:rsid w:val="00C2332F"/>
    <w:rsid w:val="00C23DD4"/>
    <w:rsid w:val="00C322D7"/>
    <w:rsid w:val="00C462B4"/>
    <w:rsid w:val="00C56214"/>
    <w:rsid w:val="00C570F6"/>
    <w:rsid w:val="00C60147"/>
    <w:rsid w:val="00C7173E"/>
    <w:rsid w:val="00C727FE"/>
    <w:rsid w:val="00C73773"/>
    <w:rsid w:val="00C83656"/>
    <w:rsid w:val="00C84CB2"/>
    <w:rsid w:val="00C9250E"/>
    <w:rsid w:val="00C93BB7"/>
    <w:rsid w:val="00C94992"/>
    <w:rsid w:val="00C9644C"/>
    <w:rsid w:val="00C96EAB"/>
    <w:rsid w:val="00CA27B1"/>
    <w:rsid w:val="00CA383B"/>
    <w:rsid w:val="00CA4CD3"/>
    <w:rsid w:val="00CB212A"/>
    <w:rsid w:val="00CC1F71"/>
    <w:rsid w:val="00CD13A8"/>
    <w:rsid w:val="00CD5808"/>
    <w:rsid w:val="00CE719C"/>
    <w:rsid w:val="00CF7358"/>
    <w:rsid w:val="00D051E9"/>
    <w:rsid w:val="00D33FBA"/>
    <w:rsid w:val="00D34F94"/>
    <w:rsid w:val="00D4198E"/>
    <w:rsid w:val="00D447AE"/>
    <w:rsid w:val="00D51EA1"/>
    <w:rsid w:val="00D57DCD"/>
    <w:rsid w:val="00D648AB"/>
    <w:rsid w:val="00D6787D"/>
    <w:rsid w:val="00D77AD4"/>
    <w:rsid w:val="00D84DD7"/>
    <w:rsid w:val="00DA038F"/>
    <w:rsid w:val="00DA43DB"/>
    <w:rsid w:val="00DA4F72"/>
    <w:rsid w:val="00DB1552"/>
    <w:rsid w:val="00DB4C3E"/>
    <w:rsid w:val="00DC6E0F"/>
    <w:rsid w:val="00DD00C6"/>
    <w:rsid w:val="00DE0AC6"/>
    <w:rsid w:val="00DE2C62"/>
    <w:rsid w:val="00E07A5D"/>
    <w:rsid w:val="00E16C3B"/>
    <w:rsid w:val="00E17689"/>
    <w:rsid w:val="00E21FAD"/>
    <w:rsid w:val="00E25966"/>
    <w:rsid w:val="00E27713"/>
    <w:rsid w:val="00E31312"/>
    <w:rsid w:val="00E3383D"/>
    <w:rsid w:val="00E34E30"/>
    <w:rsid w:val="00E45071"/>
    <w:rsid w:val="00E479AA"/>
    <w:rsid w:val="00E611DD"/>
    <w:rsid w:val="00E622C8"/>
    <w:rsid w:val="00E63FC6"/>
    <w:rsid w:val="00E81744"/>
    <w:rsid w:val="00E82E01"/>
    <w:rsid w:val="00E87161"/>
    <w:rsid w:val="00E91F4B"/>
    <w:rsid w:val="00E96A37"/>
    <w:rsid w:val="00EA01C0"/>
    <w:rsid w:val="00EA2657"/>
    <w:rsid w:val="00EB7C5A"/>
    <w:rsid w:val="00EC0995"/>
    <w:rsid w:val="00EC1F38"/>
    <w:rsid w:val="00EC3835"/>
    <w:rsid w:val="00EC6897"/>
    <w:rsid w:val="00EE0C62"/>
    <w:rsid w:val="00EE3883"/>
    <w:rsid w:val="00EE543B"/>
    <w:rsid w:val="00EE5D16"/>
    <w:rsid w:val="00EF35A2"/>
    <w:rsid w:val="00F01CEE"/>
    <w:rsid w:val="00F150C2"/>
    <w:rsid w:val="00F2725D"/>
    <w:rsid w:val="00F3052F"/>
    <w:rsid w:val="00F30669"/>
    <w:rsid w:val="00F32BE0"/>
    <w:rsid w:val="00F3539F"/>
    <w:rsid w:val="00F372FC"/>
    <w:rsid w:val="00F43895"/>
    <w:rsid w:val="00F457CE"/>
    <w:rsid w:val="00F470A3"/>
    <w:rsid w:val="00F57F5C"/>
    <w:rsid w:val="00F607B7"/>
    <w:rsid w:val="00F72743"/>
    <w:rsid w:val="00F754C2"/>
    <w:rsid w:val="00F80D54"/>
    <w:rsid w:val="00F87A28"/>
    <w:rsid w:val="00F92598"/>
    <w:rsid w:val="00F92BBF"/>
    <w:rsid w:val="00FB4BDE"/>
    <w:rsid w:val="00FB7F7F"/>
    <w:rsid w:val="00FC00EB"/>
    <w:rsid w:val="00FE1012"/>
    <w:rsid w:val="00FE271B"/>
    <w:rsid w:val="00FE61E7"/>
    <w:rsid w:val="00FE65FA"/>
    <w:rsid w:val="00FF206F"/>
    <w:rsid w:val="00FF6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38B9040"/>
  <w15:chartTrackingRefBased/>
  <w15:docId w15:val="{7A49D2CD-7B0D-43C9-9514-0D234C3EF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1D8"/>
    <w:pPr>
      <w:spacing w:after="0" w:line="288" w:lineRule="auto"/>
    </w:pPr>
    <w:rPr>
      <w:rFonts w:ascii="Verdana" w:hAnsi="Verdana"/>
      <w:sz w:val="24"/>
    </w:rPr>
  </w:style>
  <w:style w:type="paragraph" w:styleId="Heading1">
    <w:name w:val="heading 1"/>
    <w:basedOn w:val="Normal"/>
    <w:next w:val="Normal"/>
    <w:link w:val="Heading1Char"/>
    <w:autoRedefine/>
    <w:uiPriority w:val="9"/>
    <w:qFormat/>
    <w:rsid w:val="001539E9"/>
    <w:pPr>
      <w:keepNext/>
      <w:keepLines/>
      <w:spacing w:before="480" w:line="480" w:lineRule="auto"/>
      <w:jc w:val="both"/>
      <w:outlineLvl w:val="0"/>
    </w:pPr>
    <w:rPr>
      <w:rFonts w:eastAsiaTheme="majorEastAsia" w:cstheme="majorBidi"/>
      <w:b/>
      <w:bCs/>
      <w:color w:val="77328A"/>
      <w:sz w:val="30"/>
      <w:szCs w:val="24"/>
    </w:rPr>
  </w:style>
  <w:style w:type="paragraph" w:styleId="Heading2">
    <w:name w:val="heading 2"/>
    <w:basedOn w:val="Normal"/>
    <w:next w:val="Normal"/>
    <w:link w:val="Heading2Char"/>
    <w:uiPriority w:val="9"/>
    <w:unhideWhenUsed/>
    <w:qFormat/>
    <w:rsid w:val="00223EF5"/>
    <w:pPr>
      <w:keepNext/>
      <w:keepLines/>
      <w:spacing w:before="40" w:line="360" w:lineRule="auto"/>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C419C"/>
    <w:rPr>
      <w:b/>
      <w:bCs/>
    </w:rPr>
  </w:style>
  <w:style w:type="character" w:styleId="Hyperlink">
    <w:name w:val="Hyperlink"/>
    <w:basedOn w:val="DefaultParagraphFont"/>
    <w:uiPriority w:val="99"/>
    <w:unhideWhenUsed/>
    <w:rsid w:val="007C419C"/>
    <w:rPr>
      <w:color w:val="0563C1" w:themeColor="hyperlink"/>
      <w:u w:val="single"/>
    </w:rPr>
  </w:style>
  <w:style w:type="paragraph" w:styleId="ListParagraph">
    <w:name w:val="List Paragraph"/>
    <w:basedOn w:val="Normal"/>
    <w:uiPriority w:val="34"/>
    <w:qFormat/>
    <w:rsid w:val="007C419C"/>
    <w:pPr>
      <w:ind w:left="720"/>
      <w:contextualSpacing/>
    </w:p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
    <w:basedOn w:val="Normal"/>
    <w:link w:val="FootnoteTextChar"/>
    <w:uiPriority w:val="99"/>
    <w:unhideWhenUsed/>
    <w:rsid w:val="000716AC"/>
    <w:pPr>
      <w:spacing w:line="240" w:lineRule="auto"/>
    </w:pPr>
    <w:rPr>
      <w:sz w:val="20"/>
      <w:szCs w:val="20"/>
    </w:rPr>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
    <w:basedOn w:val="DefaultParagraphFont"/>
    <w:link w:val="FootnoteText"/>
    <w:uiPriority w:val="99"/>
    <w:rsid w:val="000716AC"/>
    <w:rPr>
      <w:sz w:val="20"/>
      <w:szCs w:val="20"/>
    </w:rPr>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
    <w:basedOn w:val="DefaultParagraphFont"/>
    <w:link w:val="4GChar"/>
    <w:uiPriority w:val="99"/>
    <w:unhideWhenUsed/>
    <w:qFormat/>
    <w:rsid w:val="000716AC"/>
    <w:rPr>
      <w:vertAlign w:val="superscript"/>
    </w:rPr>
  </w:style>
  <w:style w:type="paragraph" w:customStyle="1" w:styleId="Default">
    <w:name w:val="Default"/>
    <w:rsid w:val="00EF35A2"/>
    <w:pPr>
      <w:autoSpaceDE w:val="0"/>
      <w:autoSpaceDN w:val="0"/>
      <w:adjustRightInd w:val="0"/>
      <w:spacing w:after="0" w:line="240" w:lineRule="auto"/>
    </w:pPr>
    <w:rPr>
      <w:rFonts w:ascii="Gill Sans MT" w:hAnsi="Gill Sans MT" w:cs="Gill Sans MT"/>
      <w:color w:val="000000"/>
      <w:sz w:val="24"/>
      <w:szCs w:val="24"/>
    </w:rPr>
  </w:style>
  <w:style w:type="character" w:customStyle="1" w:styleId="ilfuvd">
    <w:name w:val="ilfuvd"/>
    <w:basedOn w:val="DefaultParagraphFont"/>
    <w:rsid w:val="00E3383D"/>
  </w:style>
  <w:style w:type="paragraph" w:customStyle="1" w:styleId="Rom1">
    <w:name w:val="Rom1"/>
    <w:basedOn w:val="Normal"/>
    <w:rsid w:val="00C84CB2"/>
    <w:pPr>
      <w:numPr>
        <w:numId w:val="6"/>
      </w:numPr>
      <w:tabs>
        <w:tab w:val="clear" w:pos="1440"/>
      </w:tabs>
      <w:spacing w:after="240" w:line="240" w:lineRule="auto"/>
      <w:ind w:left="1135" w:hanging="284"/>
    </w:pPr>
    <w:rPr>
      <w:rFonts w:ascii="Times New Roman" w:eastAsia="Times New Roman" w:hAnsi="Times New Roman" w:cs="Times New Roman"/>
      <w:szCs w:val="20"/>
    </w:rPr>
  </w:style>
  <w:style w:type="paragraph" w:customStyle="1" w:styleId="Rom2">
    <w:name w:val="Rom2"/>
    <w:basedOn w:val="Normal"/>
    <w:rsid w:val="00C84CB2"/>
    <w:pPr>
      <w:numPr>
        <w:numId w:val="5"/>
      </w:numPr>
      <w:spacing w:after="240" w:line="240" w:lineRule="auto"/>
      <w:ind w:left="1702" w:hanging="284"/>
    </w:pPr>
    <w:rPr>
      <w:rFonts w:ascii="Times New Roman" w:eastAsia="Times New Roman" w:hAnsi="Times New Roman" w:cs="Times New Roman"/>
      <w:szCs w:val="20"/>
    </w:rPr>
  </w:style>
  <w:style w:type="paragraph" w:customStyle="1" w:styleId="4GChar">
    <w:name w:val="4_G Char"/>
    <w:aliases w:val="Footnote Reference1 Char,Footnotes refss Char,ftref Char,BVI fnr Char,BVI fnr Car Car Char,BVI fnr Car Char,BVI fnr Car Car Car Car Char,BVI fnr Char Car Car Car Char"/>
    <w:basedOn w:val="Normal"/>
    <w:link w:val="FootnoteReference"/>
    <w:rsid w:val="00F43895"/>
    <w:pPr>
      <w:spacing w:line="240" w:lineRule="exact"/>
      <w:jc w:val="both"/>
    </w:pPr>
    <w:rPr>
      <w:vertAlign w:val="superscript"/>
    </w:rPr>
  </w:style>
  <w:style w:type="paragraph" w:customStyle="1" w:styleId="NIHRCFootnotes">
    <w:name w:val="NIHRC Footnotes"/>
    <w:basedOn w:val="Normal"/>
    <w:qFormat/>
    <w:rsid w:val="00F43895"/>
    <w:pPr>
      <w:tabs>
        <w:tab w:val="left" w:pos="284"/>
      </w:tabs>
    </w:pPr>
    <w:rPr>
      <w:rFonts w:eastAsiaTheme="minorEastAsia" w:cs="Arial"/>
      <w:color w:val="77328A"/>
      <w:sz w:val="16"/>
      <w:szCs w:val="16"/>
    </w:rPr>
  </w:style>
  <w:style w:type="paragraph" w:customStyle="1" w:styleId="BasicParagraph">
    <w:name w:val="[Basic Paragraph]"/>
    <w:basedOn w:val="Normal"/>
    <w:uiPriority w:val="99"/>
    <w:rsid w:val="00BC63CF"/>
    <w:pPr>
      <w:widowControl w:val="0"/>
      <w:autoSpaceDE w:val="0"/>
      <w:autoSpaceDN w:val="0"/>
      <w:adjustRightInd w:val="0"/>
      <w:textAlignment w:val="center"/>
    </w:pPr>
    <w:rPr>
      <w:rFonts w:ascii="MinionPro-Regular" w:eastAsiaTheme="minorEastAsia" w:hAnsi="MinionPro-Regular" w:cs="MinionPro-Regular"/>
      <w:color w:val="000000"/>
      <w:szCs w:val="24"/>
    </w:rPr>
  </w:style>
  <w:style w:type="character" w:styleId="FollowedHyperlink">
    <w:name w:val="FollowedHyperlink"/>
    <w:basedOn w:val="DefaultParagraphFont"/>
    <w:uiPriority w:val="99"/>
    <w:semiHidden/>
    <w:unhideWhenUsed/>
    <w:rsid w:val="003E180B"/>
    <w:rPr>
      <w:color w:val="954F72" w:themeColor="followedHyperlink"/>
      <w:u w:val="single"/>
    </w:rPr>
  </w:style>
  <w:style w:type="character" w:customStyle="1" w:styleId="Heading1Char">
    <w:name w:val="Heading 1 Char"/>
    <w:basedOn w:val="DefaultParagraphFont"/>
    <w:link w:val="Heading1"/>
    <w:uiPriority w:val="9"/>
    <w:rsid w:val="001539E9"/>
    <w:rPr>
      <w:rFonts w:ascii="Verdana" w:eastAsiaTheme="majorEastAsia" w:hAnsi="Verdana" w:cstheme="majorBidi"/>
      <w:b/>
      <w:bCs/>
      <w:color w:val="77328A"/>
      <w:sz w:val="30"/>
      <w:szCs w:val="24"/>
    </w:rPr>
  </w:style>
  <w:style w:type="character" w:customStyle="1" w:styleId="A6">
    <w:name w:val="A6"/>
    <w:uiPriority w:val="99"/>
    <w:rsid w:val="00410315"/>
    <w:rPr>
      <w:rFonts w:cs="Helvetica Neue"/>
      <w:color w:val="000000"/>
      <w:sz w:val="22"/>
      <w:szCs w:val="22"/>
      <w:u w:val="single"/>
    </w:rPr>
  </w:style>
  <w:style w:type="paragraph" w:styleId="Header">
    <w:name w:val="header"/>
    <w:basedOn w:val="Normal"/>
    <w:link w:val="HeaderChar"/>
    <w:uiPriority w:val="99"/>
    <w:unhideWhenUsed/>
    <w:rsid w:val="005D5471"/>
    <w:pPr>
      <w:tabs>
        <w:tab w:val="center" w:pos="4513"/>
        <w:tab w:val="right" w:pos="9026"/>
      </w:tabs>
      <w:spacing w:line="240" w:lineRule="auto"/>
    </w:pPr>
  </w:style>
  <w:style w:type="character" w:customStyle="1" w:styleId="HeaderChar">
    <w:name w:val="Header Char"/>
    <w:basedOn w:val="DefaultParagraphFont"/>
    <w:link w:val="Header"/>
    <w:uiPriority w:val="99"/>
    <w:rsid w:val="005D5471"/>
  </w:style>
  <w:style w:type="paragraph" w:styleId="Footer">
    <w:name w:val="footer"/>
    <w:basedOn w:val="Normal"/>
    <w:link w:val="FooterChar"/>
    <w:uiPriority w:val="99"/>
    <w:unhideWhenUsed/>
    <w:rsid w:val="005D5471"/>
    <w:pPr>
      <w:tabs>
        <w:tab w:val="center" w:pos="4513"/>
        <w:tab w:val="right" w:pos="9026"/>
      </w:tabs>
      <w:spacing w:line="240" w:lineRule="auto"/>
    </w:pPr>
  </w:style>
  <w:style w:type="character" w:customStyle="1" w:styleId="FooterChar">
    <w:name w:val="Footer Char"/>
    <w:basedOn w:val="DefaultParagraphFont"/>
    <w:link w:val="Footer"/>
    <w:uiPriority w:val="99"/>
    <w:rsid w:val="005D5471"/>
  </w:style>
  <w:style w:type="paragraph" w:styleId="BalloonText">
    <w:name w:val="Balloon Text"/>
    <w:basedOn w:val="Normal"/>
    <w:link w:val="BalloonTextChar"/>
    <w:uiPriority w:val="99"/>
    <w:semiHidden/>
    <w:unhideWhenUsed/>
    <w:rsid w:val="005D547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471"/>
    <w:rPr>
      <w:rFonts w:ascii="Segoe UI" w:hAnsi="Segoe UI" w:cs="Segoe UI"/>
      <w:sz w:val="18"/>
      <w:szCs w:val="18"/>
    </w:rPr>
  </w:style>
  <w:style w:type="character" w:customStyle="1" w:styleId="Heading2Char">
    <w:name w:val="Heading 2 Char"/>
    <w:basedOn w:val="DefaultParagraphFont"/>
    <w:link w:val="Heading2"/>
    <w:uiPriority w:val="9"/>
    <w:rsid w:val="00223EF5"/>
    <w:rPr>
      <w:rFonts w:ascii="Verdana" w:eastAsiaTheme="majorEastAsia" w:hAnsi="Verdana" w:cstheme="majorBidi"/>
      <w:b/>
      <w:sz w:val="28"/>
      <w:szCs w:val="26"/>
    </w:rPr>
  </w:style>
  <w:style w:type="paragraph" w:customStyle="1" w:styleId="SingleTxtG">
    <w:name w:val="_ Single Txt_G"/>
    <w:basedOn w:val="Normal"/>
    <w:link w:val="SingleTxtGChar"/>
    <w:qFormat/>
    <w:rsid w:val="00DC6E0F"/>
    <w:pPr>
      <w:suppressAutoHyphens/>
      <w:spacing w:after="120" w:line="240" w:lineRule="atLeast"/>
      <w:ind w:left="1134" w:right="1134"/>
      <w:jc w:val="both"/>
    </w:pPr>
    <w:rPr>
      <w:rFonts w:ascii="Times New Roman" w:eastAsia="Times New Roman" w:hAnsi="Times New Roman" w:cs="Times New Roman"/>
      <w:sz w:val="20"/>
      <w:szCs w:val="20"/>
    </w:rPr>
  </w:style>
  <w:style w:type="character" w:customStyle="1" w:styleId="SingleTxtGChar">
    <w:name w:val="_ Single Txt_G Char"/>
    <w:link w:val="SingleTxtG"/>
    <w:locked/>
    <w:rsid w:val="00DC6E0F"/>
    <w:rPr>
      <w:rFonts w:ascii="Times New Roman" w:eastAsia="Times New Roman" w:hAnsi="Times New Roman" w:cs="Times New Roman"/>
      <w:sz w:val="20"/>
      <w:szCs w:val="20"/>
    </w:rPr>
  </w:style>
  <w:style w:type="paragraph" w:styleId="NormalWeb">
    <w:name w:val="Normal (Web)"/>
    <w:basedOn w:val="Normal"/>
    <w:uiPriority w:val="99"/>
    <w:semiHidden/>
    <w:unhideWhenUsed/>
    <w:rsid w:val="00DB1552"/>
    <w:pPr>
      <w:spacing w:before="100" w:beforeAutospacing="1" w:after="100" w:afterAutospacing="1" w:line="240" w:lineRule="auto"/>
    </w:pPr>
    <w:rPr>
      <w:rFonts w:ascii="Times New Roman" w:eastAsia="Times New Roman" w:hAnsi="Times New Roman" w:cs="Times New Roman"/>
      <w:szCs w:val="24"/>
      <w:lang w:eastAsia="en-GB"/>
    </w:rPr>
  </w:style>
  <w:style w:type="character" w:styleId="CommentReference">
    <w:name w:val="annotation reference"/>
    <w:basedOn w:val="DefaultParagraphFont"/>
    <w:uiPriority w:val="99"/>
    <w:semiHidden/>
    <w:unhideWhenUsed/>
    <w:rsid w:val="001739C6"/>
    <w:rPr>
      <w:sz w:val="16"/>
      <w:szCs w:val="16"/>
    </w:rPr>
  </w:style>
  <w:style w:type="paragraph" w:styleId="CommentText">
    <w:name w:val="annotation text"/>
    <w:basedOn w:val="Normal"/>
    <w:link w:val="CommentTextChar"/>
    <w:uiPriority w:val="99"/>
    <w:semiHidden/>
    <w:unhideWhenUsed/>
    <w:rsid w:val="001739C6"/>
    <w:pPr>
      <w:spacing w:line="240" w:lineRule="auto"/>
    </w:pPr>
    <w:rPr>
      <w:sz w:val="20"/>
      <w:szCs w:val="20"/>
    </w:rPr>
  </w:style>
  <w:style w:type="character" w:customStyle="1" w:styleId="CommentTextChar">
    <w:name w:val="Comment Text Char"/>
    <w:basedOn w:val="DefaultParagraphFont"/>
    <w:link w:val="CommentText"/>
    <w:uiPriority w:val="99"/>
    <w:semiHidden/>
    <w:rsid w:val="001739C6"/>
    <w:rPr>
      <w:sz w:val="20"/>
      <w:szCs w:val="20"/>
    </w:rPr>
  </w:style>
  <w:style w:type="paragraph" w:styleId="CommentSubject">
    <w:name w:val="annotation subject"/>
    <w:basedOn w:val="CommentText"/>
    <w:next w:val="CommentText"/>
    <w:link w:val="CommentSubjectChar"/>
    <w:uiPriority w:val="99"/>
    <w:semiHidden/>
    <w:unhideWhenUsed/>
    <w:rsid w:val="001739C6"/>
    <w:rPr>
      <w:b/>
      <w:bCs/>
    </w:rPr>
  </w:style>
  <w:style w:type="character" w:customStyle="1" w:styleId="CommentSubjectChar">
    <w:name w:val="Comment Subject Char"/>
    <w:basedOn w:val="CommentTextChar"/>
    <w:link w:val="CommentSubject"/>
    <w:uiPriority w:val="99"/>
    <w:semiHidden/>
    <w:rsid w:val="001739C6"/>
    <w:rPr>
      <w:b/>
      <w:bCs/>
      <w:sz w:val="20"/>
      <w:szCs w:val="20"/>
    </w:rPr>
  </w:style>
  <w:style w:type="paragraph" w:styleId="Revision">
    <w:name w:val="Revision"/>
    <w:hidden/>
    <w:uiPriority w:val="99"/>
    <w:semiHidden/>
    <w:rsid w:val="00200458"/>
    <w:pPr>
      <w:spacing w:after="0" w:line="240" w:lineRule="auto"/>
    </w:pPr>
  </w:style>
  <w:style w:type="paragraph" w:styleId="Quote">
    <w:name w:val="Quote"/>
    <w:basedOn w:val="Normal"/>
    <w:next w:val="Normal"/>
    <w:link w:val="QuoteChar"/>
    <w:uiPriority w:val="29"/>
    <w:qFormat/>
    <w:rsid w:val="00200458"/>
    <w:pPr>
      <w:ind w:left="862" w:right="862"/>
    </w:pPr>
    <w:rPr>
      <w:iCs/>
    </w:rPr>
  </w:style>
  <w:style w:type="character" w:customStyle="1" w:styleId="QuoteChar">
    <w:name w:val="Quote Char"/>
    <w:basedOn w:val="DefaultParagraphFont"/>
    <w:link w:val="Quote"/>
    <w:uiPriority w:val="29"/>
    <w:rsid w:val="00200458"/>
    <w:rPr>
      <w:rFonts w:ascii="Verdana" w:hAnsi="Verdana"/>
      <w:iCs/>
      <w:sz w:val="24"/>
    </w:rPr>
  </w:style>
  <w:style w:type="paragraph" w:styleId="TOCHeading">
    <w:name w:val="TOC Heading"/>
    <w:basedOn w:val="Heading1"/>
    <w:next w:val="Normal"/>
    <w:uiPriority w:val="39"/>
    <w:unhideWhenUsed/>
    <w:qFormat/>
    <w:rsid w:val="00745F16"/>
    <w:pPr>
      <w:spacing w:before="240" w:line="259" w:lineRule="auto"/>
      <w:jc w:val="left"/>
      <w:outlineLvl w:val="9"/>
    </w:pPr>
    <w:rPr>
      <w:rFonts w:asciiTheme="majorHAnsi" w:hAnsiTheme="majorHAnsi"/>
      <w:b w:val="0"/>
      <w:bCs w:val="0"/>
      <w:color w:val="2E74B5" w:themeColor="accent1" w:themeShade="BF"/>
      <w:sz w:val="32"/>
      <w:szCs w:val="32"/>
      <w:lang w:val="en-US"/>
    </w:rPr>
  </w:style>
  <w:style w:type="paragraph" w:styleId="TOC1">
    <w:name w:val="toc 1"/>
    <w:basedOn w:val="Normal"/>
    <w:next w:val="Normal"/>
    <w:autoRedefine/>
    <w:uiPriority w:val="39"/>
    <w:unhideWhenUsed/>
    <w:rsid w:val="00745F16"/>
    <w:pPr>
      <w:spacing w:after="100"/>
    </w:pPr>
  </w:style>
  <w:style w:type="paragraph" w:styleId="TOC2">
    <w:name w:val="toc 2"/>
    <w:basedOn w:val="Normal"/>
    <w:next w:val="Normal"/>
    <w:autoRedefine/>
    <w:uiPriority w:val="39"/>
    <w:unhideWhenUsed/>
    <w:rsid w:val="00745F16"/>
    <w:pPr>
      <w:spacing w:after="100"/>
      <w:ind w:left="240"/>
    </w:pPr>
  </w:style>
  <w:style w:type="character" w:styleId="Emphasis">
    <w:name w:val="Emphasis"/>
    <w:basedOn w:val="DefaultParagraphFont"/>
    <w:uiPriority w:val="20"/>
    <w:qFormat/>
    <w:rsid w:val="009006A2"/>
    <w:rPr>
      <w:b/>
      <w:bCs/>
      <w:i w:val="0"/>
      <w:iCs w:val="0"/>
    </w:rPr>
  </w:style>
  <w:style w:type="character" w:customStyle="1" w:styleId="st1">
    <w:name w:val="st1"/>
    <w:basedOn w:val="DefaultParagraphFont"/>
    <w:rsid w:val="00900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222590">
      <w:bodyDiv w:val="1"/>
      <w:marLeft w:val="0"/>
      <w:marRight w:val="0"/>
      <w:marTop w:val="0"/>
      <w:marBottom w:val="0"/>
      <w:divBdr>
        <w:top w:val="none" w:sz="0" w:space="0" w:color="auto"/>
        <w:left w:val="none" w:sz="0" w:space="0" w:color="auto"/>
        <w:bottom w:val="none" w:sz="0" w:space="0" w:color="auto"/>
        <w:right w:val="none" w:sz="0" w:space="0" w:color="auto"/>
      </w:divBdr>
      <w:divsChild>
        <w:div w:id="1792213149">
          <w:marLeft w:val="0"/>
          <w:marRight w:val="0"/>
          <w:marTop w:val="0"/>
          <w:marBottom w:val="0"/>
          <w:divBdr>
            <w:top w:val="none" w:sz="0" w:space="0" w:color="auto"/>
            <w:left w:val="none" w:sz="0" w:space="0" w:color="auto"/>
            <w:bottom w:val="none" w:sz="0" w:space="0" w:color="auto"/>
            <w:right w:val="none" w:sz="0" w:space="0" w:color="auto"/>
          </w:divBdr>
          <w:divsChild>
            <w:div w:id="1574706241">
              <w:marLeft w:val="0"/>
              <w:marRight w:val="0"/>
              <w:marTop w:val="0"/>
              <w:marBottom w:val="240"/>
              <w:divBdr>
                <w:top w:val="none" w:sz="0" w:space="0" w:color="auto"/>
                <w:left w:val="none" w:sz="0" w:space="0" w:color="auto"/>
                <w:bottom w:val="none" w:sz="0" w:space="0" w:color="auto"/>
                <w:right w:val="none" w:sz="0" w:space="0" w:color="auto"/>
              </w:divBdr>
              <w:divsChild>
                <w:div w:id="234777430">
                  <w:marLeft w:val="0"/>
                  <w:marRight w:val="0"/>
                  <w:marTop w:val="0"/>
                  <w:marBottom w:val="0"/>
                  <w:divBdr>
                    <w:top w:val="none" w:sz="0" w:space="0" w:color="auto"/>
                    <w:left w:val="none" w:sz="0" w:space="0" w:color="auto"/>
                    <w:bottom w:val="none" w:sz="0" w:space="0" w:color="auto"/>
                    <w:right w:val="none" w:sz="0" w:space="0" w:color="auto"/>
                  </w:divBdr>
                  <w:divsChild>
                    <w:div w:id="1256010402">
                      <w:marLeft w:val="0"/>
                      <w:marRight w:val="0"/>
                      <w:marTop w:val="0"/>
                      <w:marBottom w:val="0"/>
                      <w:divBdr>
                        <w:top w:val="none" w:sz="0" w:space="0" w:color="auto"/>
                        <w:left w:val="none" w:sz="0" w:space="0" w:color="auto"/>
                        <w:bottom w:val="none" w:sz="0" w:space="0" w:color="auto"/>
                        <w:right w:val="none" w:sz="0" w:space="0" w:color="auto"/>
                      </w:divBdr>
                      <w:divsChild>
                        <w:div w:id="1701084157">
                          <w:marLeft w:val="0"/>
                          <w:marRight w:val="0"/>
                          <w:marTop w:val="0"/>
                          <w:marBottom w:val="0"/>
                          <w:divBdr>
                            <w:top w:val="none" w:sz="0" w:space="0" w:color="auto"/>
                            <w:left w:val="none" w:sz="0" w:space="0" w:color="auto"/>
                            <w:bottom w:val="none" w:sz="0" w:space="0" w:color="auto"/>
                            <w:right w:val="none" w:sz="0" w:space="0" w:color="auto"/>
                          </w:divBdr>
                          <w:divsChild>
                            <w:div w:id="193744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185138">
      <w:bodyDiv w:val="1"/>
      <w:marLeft w:val="0"/>
      <w:marRight w:val="0"/>
      <w:marTop w:val="0"/>
      <w:marBottom w:val="0"/>
      <w:divBdr>
        <w:top w:val="none" w:sz="0" w:space="0" w:color="auto"/>
        <w:left w:val="none" w:sz="0" w:space="0" w:color="auto"/>
        <w:bottom w:val="none" w:sz="0" w:space="0" w:color="auto"/>
        <w:right w:val="none" w:sz="0" w:space="0" w:color="auto"/>
      </w:divBdr>
      <w:divsChild>
        <w:div w:id="264386302">
          <w:marLeft w:val="0"/>
          <w:marRight w:val="0"/>
          <w:marTop w:val="0"/>
          <w:marBottom w:val="0"/>
          <w:divBdr>
            <w:top w:val="none" w:sz="0" w:space="0" w:color="auto"/>
            <w:left w:val="none" w:sz="0" w:space="0" w:color="auto"/>
            <w:bottom w:val="none" w:sz="0" w:space="0" w:color="auto"/>
            <w:right w:val="none" w:sz="0" w:space="0" w:color="auto"/>
          </w:divBdr>
          <w:divsChild>
            <w:div w:id="1784425515">
              <w:marLeft w:val="0"/>
              <w:marRight w:val="0"/>
              <w:marTop w:val="0"/>
              <w:marBottom w:val="0"/>
              <w:divBdr>
                <w:top w:val="none" w:sz="0" w:space="0" w:color="auto"/>
                <w:left w:val="none" w:sz="0" w:space="0" w:color="auto"/>
                <w:bottom w:val="none" w:sz="0" w:space="0" w:color="auto"/>
                <w:right w:val="none" w:sz="0" w:space="0" w:color="auto"/>
              </w:divBdr>
              <w:divsChild>
                <w:div w:id="525022314">
                  <w:marLeft w:val="0"/>
                  <w:marRight w:val="0"/>
                  <w:marTop w:val="0"/>
                  <w:marBottom w:val="0"/>
                  <w:divBdr>
                    <w:top w:val="none" w:sz="0" w:space="0" w:color="auto"/>
                    <w:left w:val="none" w:sz="0" w:space="0" w:color="auto"/>
                    <w:bottom w:val="none" w:sz="0" w:space="0" w:color="auto"/>
                    <w:right w:val="none" w:sz="0" w:space="0" w:color="auto"/>
                  </w:divBdr>
                  <w:divsChild>
                    <w:div w:id="265964080">
                      <w:marLeft w:val="0"/>
                      <w:marRight w:val="0"/>
                      <w:marTop w:val="0"/>
                      <w:marBottom w:val="0"/>
                      <w:divBdr>
                        <w:top w:val="none" w:sz="0" w:space="0" w:color="auto"/>
                        <w:left w:val="none" w:sz="0" w:space="0" w:color="auto"/>
                        <w:bottom w:val="none" w:sz="0" w:space="0" w:color="auto"/>
                        <w:right w:val="none" w:sz="0" w:space="0" w:color="auto"/>
                      </w:divBdr>
                      <w:divsChild>
                        <w:div w:id="208830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732269">
      <w:bodyDiv w:val="1"/>
      <w:marLeft w:val="0"/>
      <w:marRight w:val="0"/>
      <w:marTop w:val="0"/>
      <w:marBottom w:val="0"/>
      <w:divBdr>
        <w:top w:val="none" w:sz="0" w:space="0" w:color="auto"/>
        <w:left w:val="none" w:sz="0" w:space="0" w:color="auto"/>
        <w:bottom w:val="none" w:sz="0" w:space="0" w:color="auto"/>
        <w:right w:val="none" w:sz="0" w:space="0" w:color="auto"/>
      </w:divBdr>
    </w:div>
    <w:div w:id="1825512543">
      <w:bodyDiv w:val="1"/>
      <w:marLeft w:val="0"/>
      <w:marRight w:val="0"/>
      <w:marTop w:val="0"/>
      <w:marBottom w:val="0"/>
      <w:divBdr>
        <w:top w:val="none" w:sz="0" w:space="0" w:color="auto"/>
        <w:left w:val="none" w:sz="0" w:space="0" w:color="auto"/>
        <w:bottom w:val="none" w:sz="0" w:space="0" w:color="auto"/>
        <w:right w:val="none" w:sz="0" w:space="0" w:color="auto"/>
      </w:divBdr>
      <w:divsChild>
        <w:div w:id="1981496994">
          <w:marLeft w:val="0"/>
          <w:marRight w:val="0"/>
          <w:marTop w:val="0"/>
          <w:marBottom w:val="0"/>
          <w:divBdr>
            <w:top w:val="none" w:sz="0" w:space="0" w:color="auto"/>
            <w:left w:val="none" w:sz="0" w:space="0" w:color="auto"/>
            <w:bottom w:val="none" w:sz="0" w:space="0" w:color="auto"/>
            <w:right w:val="none" w:sz="0" w:space="0" w:color="auto"/>
          </w:divBdr>
          <w:divsChild>
            <w:div w:id="691540186">
              <w:marLeft w:val="0"/>
              <w:marRight w:val="0"/>
              <w:marTop w:val="0"/>
              <w:marBottom w:val="0"/>
              <w:divBdr>
                <w:top w:val="none" w:sz="0" w:space="0" w:color="auto"/>
                <w:left w:val="none" w:sz="0" w:space="0" w:color="auto"/>
                <w:bottom w:val="none" w:sz="0" w:space="0" w:color="auto"/>
                <w:right w:val="none" w:sz="0" w:space="0" w:color="auto"/>
              </w:divBdr>
              <w:divsChild>
                <w:div w:id="1385789780">
                  <w:marLeft w:val="0"/>
                  <w:marRight w:val="0"/>
                  <w:marTop w:val="0"/>
                  <w:marBottom w:val="0"/>
                  <w:divBdr>
                    <w:top w:val="none" w:sz="0" w:space="0" w:color="auto"/>
                    <w:left w:val="none" w:sz="0" w:space="0" w:color="auto"/>
                    <w:bottom w:val="none" w:sz="0" w:space="0" w:color="auto"/>
                    <w:right w:val="none" w:sz="0" w:space="0" w:color="auto"/>
                  </w:divBdr>
                  <w:divsChild>
                    <w:div w:id="357778926">
                      <w:marLeft w:val="0"/>
                      <w:marRight w:val="0"/>
                      <w:marTop w:val="0"/>
                      <w:marBottom w:val="0"/>
                      <w:divBdr>
                        <w:top w:val="none" w:sz="0" w:space="0" w:color="auto"/>
                        <w:left w:val="none" w:sz="0" w:space="0" w:color="auto"/>
                        <w:bottom w:val="none" w:sz="0" w:space="0" w:color="auto"/>
                        <w:right w:val="none" w:sz="0" w:space="0" w:color="auto"/>
                      </w:divBdr>
                      <w:divsChild>
                        <w:div w:id="1986615900">
                          <w:marLeft w:val="0"/>
                          <w:marRight w:val="0"/>
                          <w:marTop w:val="0"/>
                          <w:marBottom w:val="0"/>
                          <w:divBdr>
                            <w:top w:val="none" w:sz="0" w:space="0" w:color="auto"/>
                            <w:left w:val="none" w:sz="0" w:space="0" w:color="auto"/>
                            <w:bottom w:val="none" w:sz="0" w:space="0" w:color="auto"/>
                            <w:right w:val="none" w:sz="0" w:space="0" w:color="auto"/>
                          </w:divBdr>
                          <w:divsChild>
                            <w:div w:id="1958415437">
                              <w:marLeft w:val="0"/>
                              <w:marRight w:val="0"/>
                              <w:marTop w:val="0"/>
                              <w:marBottom w:val="0"/>
                              <w:divBdr>
                                <w:top w:val="none" w:sz="0" w:space="0" w:color="auto"/>
                                <w:left w:val="none" w:sz="0" w:space="0" w:color="auto"/>
                                <w:bottom w:val="none" w:sz="0" w:space="0" w:color="auto"/>
                                <w:right w:val="none" w:sz="0" w:space="0" w:color="auto"/>
                              </w:divBdr>
                              <w:divsChild>
                                <w:div w:id="171377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6984015">
      <w:bodyDiv w:val="1"/>
      <w:marLeft w:val="0"/>
      <w:marRight w:val="0"/>
      <w:marTop w:val="0"/>
      <w:marBottom w:val="300"/>
      <w:divBdr>
        <w:top w:val="none" w:sz="0" w:space="0" w:color="auto"/>
        <w:left w:val="none" w:sz="0" w:space="0" w:color="auto"/>
        <w:bottom w:val="none" w:sz="0" w:space="0" w:color="auto"/>
        <w:right w:val="none" w:sz="0" w:space="0" w:color="auto"/>
      </w:divBdr>
      <w:divsChild>
        <w:div w:id="16974614">
          <w:marLeft w:val="300"/>
          <w:marRight w:val="0"/>
          <w:marTop w:val="0"/>
          <w:marBottom w:val="0"/>
          <w:divBdr>
            <w:top w:val="none" w:sz="0" w:space="0" w:color="auto"/>
            <w:left w:val="none" w:sz="0" w:space="0" w:color="auto"/>
            <w:bottom w:val="none" w:sz="0" w:space="0" w:color="auto"/>
            <w:right w:val="none" w:sz="0" w:space="0" w:color="auto"/>
          </w:divBdr>
          <w:divsChild>
            <w:div w:id="1859587473">
              <w:marLeft w:val="0"/>
              <w:marRight w:val="0"/>
              <w:marTop w:val="0"/>
              <w:marBottom w:val="0"/>
              <w:divBdr>
                <w:top w:val="none" w:sz="0" w:space="0" w:color="auto"/>
                <w:left w:val="none" w:sz="0" w:space="0" w:color="auto"/>
                <w:bottom w:val="none" w:sz="0" w:space="0" w:color="auto"/>
                <w:right w:val="none" w:sz="0" w:space="0" w:color="auto"/>
              </w:divBdr>
              <w:divsChild>
                <w:div w:id="1185443467">
                  <w:marLeft w:val="0"/>
                  <w:marRight w:val="0"/>
                  <w:marTop w:val="0"/>
                  <w:marBottom w:val="225"/>
                  <w:divBdr>
                    <w:top w:val="none" w:sz="0" w:space="0" w:color="auto"/>
                    <w:left w:val="none" w:sz="0" w:space="0" w:color="auto"/>
                    <w:bottom w:val="none" w:sz="0" w:space="0" w:color="auto"/>
                    <w:right w:val="none" w:sz="0" w:space="0" w:color="auto"/>
                  </w:divBdr>
                  <w:divsChild>
                    <w:div w:id="1795443616">
                      <w:marLeft w:val="0"/>
                      <w:marRight w:val="0"/>
                      <w:marTop w:val="0"/>
                      <w:marBottom w:val="0"/>
                      <w:divBdr>
                        <w:top w:val="none" w:sz="0" w:space="0" w:color="auto"/>
                        <w:left w:val="none" w:sz="0" w:space="0" w:color="auto"/>
                        <w:bottom w:val="none" w:sz="0" w:space="0" w:color="auto"/>
                        <w:right w:val="single" w:sz="6" w:space="7" w:color="CFCFCF"/>
                      </w:divBdr>
                      <w:divsChild>
                        <w:div w:id="193254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ihrc.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ihrc.org" TargetMode="External"/><Relationship Id="rId4" Type="http://schemas.openxmlformats.org/officeDocument/2006/relationships/settings" Target="settings.xml"/><Relationship Id="rId9" Type="http://schemas.openxmlformats.org/officeDocument/2006/relationships/hyperlink" Target="mailto:Colin.Caughey@nihrc.org"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ata.parliament.uk/DepositedPapers/Files/DEP2019-0465/Assisted_Digital_v9.0.pdf" TargetMode="External"/><Relationship Id="rId2" Type="http://schemas.openxmlformats.org/officeDocument/2006/relationships/hyperlink" Target="https://www.learnmyway.com/files/Universal-Credit-Your-Online-Journal.pdf" TargetMode="External"/><Relationship Id="rId1" Type="http://schemas.openxmlformats.org/officeDocument/2006/relationships/hyperlink" Target="http://www.nihrc.org" TargetMode="External"/><Relationship Id="rId4" Type="http://schemas.openxmlformats.org/officeDocument/2006/relationships/hyperlink" Target="https://www.parliament.uk/documents/lords-committees/eu-justice-subcommittee/CWM/HKtoSJ-SettledStatus-2602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DA7E377-092A-4CCE-99E7-79E1DA863957}">
  <ds:schemaRefs>
    <ds:schemaRef ds:uri="http://schemas.openxmlformats.org/officeDocument/2006/bibliography"/>
  </ds:schemaRefs>
</ds:datastoreItem>
</file>

<file path=customXml/itemProps2.xml><?xml version="1.0" encoding="utf-8"?>
<ds:datastoreItem xmlns:ds="http://schemas.openxmlformats.org/officeDocument/2006/customXml" ds:itemID="{B96FE836-1456-4AEF-B3B9-558FBCE9892C}"/>
</file>

<file path=customXml/itemProps3.xml><?xml version="1.0" encoding="utf-8"?>
<ds:datastoreItem xmlns:ds="http://schemas.openxmlformats.org/officeDocument/2006/customXml" ds:itemID="{DD68C5A6-8ECB-4478-B7B5-0C8B6C324843}"/>
</file>

<file path=customXml/itemProps4.xml><?xml version="1.0" encoding="utf-8"?>
<ds:datastoreItem xmlns:ds="http://schemas.openxmlformats.org/officeDocument/2006/customXml" ds:itemID="{A9846342-640E-4F3D-B1C8-4D26D95B2A04}"/>
</file>

<file path=docProps/app.xml><?xml version="1.0" encoding="utf-8"?>
<Properties xmlns="http://schemas.openxmlformats.org/officeDocument/2006/extended-properties" xmlns:vt="http://schemas.openxmlformats.org/officeDocument/2006/docPropsVTypes">
  <Template>Normal</Template>
  <TotalTime>3</TotalTime>
  <Pages>14</Pages>
  <Words>2586</Words>
  <Characters>14734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Equality Commission</Company>
  <LinksUpToDate>false</LinksUpToDate>
  <CharactersWithSpaces>17286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Griffith</dc:creator>
  <cp:keywords/>
  <dc:description/>
  <cp:lastModifiedBy>Hannah Russell</cp:lastModifiedBy>
  <cp:revision>4</cp:revision>
  <cp:lastPrinted>2019-05-03T09:04:00Z</cp:lastPrinted>
  <dcterms:created xsi:type="dcterms:W3CDTF">2019-05-17T08:34:00Z</dcterms:created>
  <dcterms:modified xsi:type="dcterms:W3CDTF">2019-05-17T08:39:00Z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