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B7F" w:rsidRPr="00264B7F" w:rsidRDefault="00264B7F" w:rsidP="00264B7F">
      <w:pPr>
        <w:pStyle w:val="SingleTxtG"/>
        <w:rPr>
          <w:b/>
        </w:rPr>
      </w:pPr>
      <w:r>
        <w:rPr>
          <w:b/>
        </w:rPr>
        <w:t xml:space="preserve">Appendix 1: </w:t>
      </w:r>
      <w:bookmarkStart w:id="0" w:name="_GoBack"/>
      <w:bookmarkEnd w:id="0"/>
      <w:r w:rsidRPr="00264B7F">
        <w:rPr>
          <w:b/>
        </w:rPr>
        <w:t>Mandate of the Special Rapporteur on the right to privacy</w:t>
      </w:r>
    </w:p>
    <w:p w:rsidR="00264B7F" w:rsidRPr="00F76870" w:rsidRDefault="00264B7F" w:rsidP="00264B7F">
      <w:pPr>
        <w:pStyle w:val="SingleTxtG"/>
        <w:ind w:firstLine="567"/>
      </w:pPr>
      <w:r>
        <w:t>(</w:t>
      </w:r>
      <w:r w:rsidRPr="00F76870">
        <w:rPr>
          <w:i/>
        </w:rPr>
        <w:t>a</w:t>
      </w:r>
      <w:r>
        <w:t>)</w:t>
      </w:r>
      <w:r>
        <w:tab/>
      </w:r>
      <w:r w:rsidRPr="00F76870">
        <w:t>To gather relevant information, including on international and national frameworks, national practices and experience, to study trends, developments and challenges in relation to the right to privacy and to make recommendations to ensure its promotion and protection, including in connection with the challenges arising from new technologies;</w:t>
      </w:r>
    </w:p>
    <w:p w:rsidR="00264B7F" w:rsidRPr="00F76870" w:rsidRDefault="00264B7F" w:rsidP="00264B7F">
      <w:pPr>
        <w:pStyle w:val="SingleTxtG"/>
        <w:ind w:firstLine="567"/>
      </w:pPr>
      <w:r>
        <w:t>(</w:t>
      </w:r>
      <w:r w:rsidRPr="00F76870">
        <w:rPr>
          <w:i/>
        </w:rPr>
        <w:t>b</w:t>
      </w:r>
      <w:r>
        <w:t>)</w:t>
      </w:r>
      <w:r>
        <w:tab/>
      </w:r>
      <w:r w:rsidRPr="00F76870">
        <w:t>To seek, receive and respond to information, while avoiding duplication, from States, the United Nations and its agencies, programmes and funds, regional human rights mechanisms, national human rights institutions, civil society organizations, the private sector, including business enterprises, and any other relevant stakeholder</w:t>
      </w:r>
      <w:r>
        <w:t>s</w:t>
      </w:r>
      <w:r w:rsidRPr="00F76870">
        <w:t xml:space="preserve"> or parties;</w:t>
      </w:r>
    </w:p>
    <w:p w:rsidR="00264B7F" w:rsidRPr="00F76870" w:rsidRDefault="00264B7F" w:rsidP="00264B7F">
      <w:pPr>
        <w:pStyle w:val="SingleTxtG"/>
        <w:ind w:firstLine="567"/>
      </w:pPr>
      <w:r>
        <w:t>(</w:t>
      </w:r>
      <w:r w:rsidRPr="00F76870">
        <w:rPr>
          <w:i/>
        </w:rPr>
        <w:t>c</w:t>
      </w:r>
      <w:r>
        <w:t>)</w:t>
      </w:r>
      <w:r>
        <w:tab/>
      </w:r>
      <w:r w:rsidRPr="00F76870">
        <w:t>To identify possible obstacles to the promotion and protection of the right to privacy</w:t>
      </w:r>
      <w:r>
        <w:t>,</w:t>
      </w:r>
      <w:r w:rsidRPr="00F76870">
        <w:t xml:space="preserve"> </w:t>
      </w:r>
      <w:r>
        <w:t xml:space="preserve">to </w:t>
      </w:r>
      <w:r w:rsidRPr="00F76870">
        <w:t>identify, exchange and promote principles and best practices at the national, regional and international levels, and to submit proposals and recommendations to the Human Rights Council in that regard, including with a view to particular challenges arising in the digital age;</w:t>
      </w:r>
    </w:p>
    <w:p w:rsidR="00264B7F" w:rsidRPr="00F76870" w:rsidRDefault="00264B7F" w:rsidP="00264B7F">
      <w:pPr>
        <w:pStyle w:val="SingleTxtG"/>
        <w:ind w:firstLine="567"/>
      </w:pPr>
      <w:r>
        <w:t>(</w:t>
      </w:r>
      <w:r w:rsidRPr="00F76870">
        <w:rPr>
          <w:i/>
        </w:rPr>
        <w:t>d</w:t>
      </w:r>
      <w:r>
        <w:t>)</w:t>
      </w:r>
      <w:r>
        <w:tab/>
      </w:r>
      <w:r w:rsidRPr="00F76870">
        <w:t>To participate in and contribute to relevant international conferences and events with the aim of promoting a systematic and coherent approach on issues pertaining to t</w:t>
      </w:r>
      <w:r>
        <w:t>he mandate;</w:t>
      </w:r>
    </w:p>
    <w:p w:rsidR="00264B7F" w:rsidRPr="00F76870" w:rsidRDefault="00264B7F" w:rsidP="00264B7F">
      <w:pPr>
        <w:pStyle w:val="SingleTxtG"/>
        <w:ind w:firstLine="567"/>
      </w:pPr>
      <w:r>
        <w:t>(</w:t>
      </w:r>
      <w:r w:rsidRPr="00F76870">
        <w:rPr>
          <w:i/>
        </w:rPr>
        <w:t>e</w:t>
      </w:r>
      <w:r>
        <w:t>)</w:t>
      </w:r>
      <w:r>
        <w:tab/>
      </w:r>
      <w:r w:rsidRPr="00F76870">
        <w:t>To raise awareness concerning the importance of promoting and protecting the right to privacy, including with a view to particular challenges arising in the digital age, as well as concerning the importance of providing individuals whose right to privacy has been violated with access to effective remedy, consistent with international human rights obligations;</w:t>
      </w:r>
    </w:p>
    <w:p w:rsidR="00264B7F" w:rsidRPr="00F76870" w:rsidRDefault="00264B7F" w:rsidP="00264B7F">
      <w:pPr>
        <w:pStyle w:val="SingleTxtG"/>
        <w:ind w:firstLine="567"/>
      </w:pPr>
      <w:r>
        <w:t>(</w:t>
      </w:r>
      <w:r w:rsidRPr="00F76870">
        <w:rPr>
          <w:i/>
        </w:rPr>
        <w:t>f</w:t>
      </w:r>
      <w:r>
        <w:t>)</w:t>
      </w:r>
      <w:r>
        <w:tab/>
      </w:r>
      <w:r w:rsidRPr="00F76870">
        <w:t>To integrate a gender perspective throughout the work of the mandate;</w:t>
      </w:r>
    </w:p>
    <w:p w:rsidR="00264B7F" w:rsidRPr="00F76870" w:rsidRDefault="00264B7F" w:rsidP="00264B7F">
      <w:pPr>
        <w:pStyle w:val="SingleTxtG"/>
        <w:ind w:firstLine="567"/>
      </w:pPr>
      <w:r>
        <w:t>(</w:t>
      </w:r>
      <w:r w:rsidRPr="00F76870">
        <w:rPr>
          <w:i/>
        </w:rPr>
        <w:t>g</w:t>
      </w:r>
      <w:r>
        <w:t>)</w:t>
      </w:r>
      <w:r>
        <w:tab/>
      </w:r>
      <w:r w:rsidRPr="00F76870">
        <w:t>To report on alleged violations, wherever they may occur, of the right to privacy, as set out in article 12 of the Universal Declaration of Human Rights and article 17 of the International Covenant on Civil and Political Rights, including in connection with the challenges arising from new technologies, and to draw the attention of the Council and the United Nations High Commissioner for Human Rights</w:t>
      </w:r>
      <w:r>
        <w:t xml:space="preserve"> </w:t>
      </w:r>
      <w:r w:rsidRPr="00F76870">
        <w:t>to situations of particular</w:t>
      </w:r>
      <w:r>
        <w:t>ly</w:t>
      </w:r>
      <w:r w:rsidRPr="00F76870">
        <w:t xml:space="preserve"> </w:t>
      </w:r>
      <w:r w:rsidRPr="00532F79">
        <w:t>serious</w:t>
      </w:r>
      <w:r>
        <w:t xml:space="preserve"> </w:t>
      </w:r>
      <w:r w:rsidRPr="00F76870">
        <w:t>concern;</w:t>
      </w:r>
    </w:p>
    <w:p w:rsidR="00264B7F" w:rsidRPr="00F76870" w:rsidRDefault="00264B7F" w:rsidP="00264B7F">
      <w:pPr>
        <w:pStyle w:val="SingleTxtG"/>
        <w:ind w:firstLine="567"/>
      </w:pPr>
      <w:r w:rsidRPr="00F76870">
        <w:t>(</w:t>
      </w:r>
      <w:r w:rsidRPr="00F76870">
        <w:rPr>
          <w:i/>
        </w:rPr>
        <w:t>h</w:t>
      </w:r>
      <w:r w:rsidRPr="00F76870">
        <w:t>)</w:t>
      </w:r>
      <w:r w:rsidRPr="00F76870">
        <w:tab/>
        <w:t xml:space="preserve">To submit an annual report to the Human Rights Council and </w:t>
      </w:r>
      <w:r>
        <w:t xml:space="preserve">to </w:t>
      </w:r>
      <w:r w:rsidRPr="00F76870">
        <w:t xml:space="preserve">the General Assembly, starting </w:t>
      </w:r>
      <w:r>
        <w:t>at</w:t>
      </w:r>
      <w:r w:rsidRPr="00F76870">
        <w:t xml:space="preserve"> the </w:t>
      </w:r>
      <w:r>
        <w:t>thirty-fir</w:t>
      </w:r>
      <w:r w:rsidRPr="00F76870">
        <w:t xml:space="preserve">st session and </w:t>
      </w:r>
      <w:r>
        <w:t>the seventy-fir</w:t>
      </w:r>
      <w:r w:rsidRPr="00F76870">
        <w:t>st session respectively</w:t>
      </w:r>
      <w:r>
        <w:t>;</w:t>
      </w:r>
    </w:p>
    <w:p w:rsidR="00782270" w:rsidRDefault="00264B7F"/>
    <w:sectPr w:rsidR="00782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B7F"/>
    <w:rsid w:val="00264B7F"/>
    <w:rsid w:val="0064605F"/>
    <w:rsid w:val="0095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0D05C-A31C-43EC-B282-7F4667AE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264B7F"/>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264B7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1CE486-C598-474D-A9B3-BFAEA8307200}"/>
</file>

<file path=customXml/itemProps2.xml><?xml version="1.0" encoding="utf-8"?>
<ds:datastoreItem xmlns:ds="http://schemas.openxmlformats.org/officeDocument/2006/customXml" ds:itemID="{A78C2188-F13D-4E71-9E5B-F4E37C49E6CB}"/>
</file>

<file path=customXml/itemProps3.xml><?xml version="1.0" encoding="utf-8"?>
<ds:datastoreItem xmlns:ds="http://schemas.openxmlformats.org/officeDocument/2006/customXml" ds:itemID="{675AFC91-764D-4456-BC96-DDCC3F3840E4}"/>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IZAGIRRE GARCIA Jon</dc:creator>
  <cp:keywords/>
  <dc:description/>
  <cp:lastModifiedBy>IZAGIRRE GARCIA Jon</cp:lastModifiedBy>
  <cp:revision>1</cp:revision>
  <dcterms:created xsi:type="dcterms:W3CDTF">2018-02-26T16:30:00Z</dcterms:created>
  <dcterms:modified xsi:type="dcterms:W3CDTF">2018-02-26T16:31:00Z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