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12C8A5" w14:textId="539A1CD0" w:rsidR="00642B28" w:rsidRDefault="00C460DD" w:rsidP="00642B28">
      <w:pPr>
        <w:pStyle w:val="ParNoG"/>
        <w:numPr>
          <w:ilvl w:val="0"/>
          <w:numId w:val="0"/>
        </w:numPr>
        <w:ind w:left="720"/>
        <w:rPr>
          <w:rFonts w:asciiTheme="minorHAnsi" w:eastAsiaTheme="minorHAnsi" w:hAnsiTheme="minorHAnsi" w:cstheme="minorHAnsi"/>
          <w:b/>
          <w:bCs/>
          <w:i/>
          <w:iCs/>
          <w:sz w:val="24"/>
          <w:szCs w:val="24"/>
        </w:rPr>
      </w:pPr>
      <w:r w:rsidRPr="00642B28">
        <w:rPr>
          <w:rFonts w:asciiTheme="minorHAnsi" w:eastAsiaTheme="minorHAnsi" w:hAnsiTheme="minorHAnsi" w:cstheme="minorHAnsi"/>
          <w:b/>
          <w:bCs/>
          <w:i/>
          <w:iCs/>
          <w:sz w:val="24"/>
          <w:szCs w:val="24"/>
        </w:rPr>
        <w:t>Background</w:t>
      </w:r>
    </w:p>
    <w:p w14:paraId="497B7AC6" w14:textId="77777777" w:rsidR="00A16051" w:rsidRPr="009029FB" w:rsidRDefault="00A16051" w:rsidP="00A16051">
      <w:pPr>
        <w:pStyle w:val="ParNoG"/>
        <w:numPr>
          <w:ilvl w:val="0"/>
          <w:numId w:val="0"/>
        </w:numPr>
        <w:spacing w:line="240" w:lineRule="auto"/>
        <w:ind w:left="720"/>
        <w:contextualSpacing/>
        <w:rPr>
          <w:rFonts w:eastAsiaTheme="minorHAnsi"/>
          <w:color w:val="000000" w:themeColor="text1"/>
          <w:sz w:val="22"/>
          <w:szCs w:val="22"/>
        </w:rPr>
      </w:pPr>
    </w:p>
    <w:p w14:paraId="467C46F9" w14:textId="3C30E649" w:rsidR="000E2429" w:rsidRPr="00E80083" w:rsidRDefault="000E2429" w:rsidP="00E80083">
      <w:pPr>
        <w:pStyle w:val="ParNoG"/>
        <w:numPr>
          <w:ilvl w:val="0"/>
          <w:numId w:val="30"/>
        </w:numPr>
        <w:spacing w:line="240" w:lineRule="auto"/>
        <w:ind w:right="1138"/>
        <w:contextualSpacing/>
        <w:rPr>
          <w:color w:val="000000" w:themeColor="text1"/>
          <w:sz w:val="22"/>
          <w:szCs w:val="22"/>
        </w:rPr>
      </w:pPr>
      <w:r w:rsidRPr="00E80083">
        <w:rPr>
          <w:rFonts w:eastAsia="Cambria"/>
          <w:sz w:val="22"/>
          <w:szCs w:val="22"/>
        </w:rPr>
        <w:t>Human</w:t>
      </w:r>
      <w:r w:rsidRPr="00E80083">
        <w:rPr>
          <w:sz w:val="22"/>
          <w:szCs w:val="22"/>
        </w:rPr>
        <w:t xml:space="preserve"> rights indicators are quantitative or qualitative variables or facts used to measure the realization of human rights</w:t>
      </w:r>
      <w:r w:rsidRPr="00E80083">
        <w:rPr>
          <w:color w:val="000000" w:themeColor="text1"/>
          <w:sz w:val="22"/>
          <w:szCs w:val="22"/>
        </w:rPr>
        <w:t xml:space="preserve"> </w:t>
      </w:r>
      <w:r w:rsidRPr="00E80083">
        <w:rPr>
          <w:sz w:val="22"/>
          <w:szCs w:val="22"/>
        </w:rPr>
        <w:t>that “can serve as a proxy or a metaphor for phenomena that are not directly measurable.”</w:t>
      </w:r>
      <w:r w:rsidRPr="00E80083">
        <w:rPr>
          <w:sz w:val="22"/>
          <w:szCs w:val="22"/>
          <w:vertAlign w:val="superscript"/>
        </w:rPr>
        <w:footnoteReference w:id="1"/>
      </w:r>
      <w:r w:rsidRPr="00E80083">
        <w:rPr>
          <w:sz w:val="22"/>
          <w:szCs w:val="22"/>
        </w:rPr>
        <w:t xml:space="preserve"> They are designed to monitor and promote the implementation of human rights and can enhance assessments of the state of human rights enjoyment at a particular time in a particular context.  This is </w:t>
      </w:r>
      <w:r w:rsidR="007F2FA6">
        <w:rPr>
          <w:sz w:val="22"/>
          <w:szCs w:val="22"/>
        </w:rPr>
        <w:t xml:space="preserve">especially </w:t>
      </w:r>
      <w:r w:rsidRPr="00E80083">
        <w:rPr>
          <w:sz w:val="22"/>
          <w:szCs w:val="22"/>
        </w:rPr>
        <w:t>important given that human rights indicators offer “measurability” in an area where it is often assumed that measurement in objective and empirical terms is not possible.  According to the Office of the High Commissioner for Human Rights (OHCHR), they are, in practical terms tools that enable States, “to assess their own progress on human rights, formulate human rights-based public policies and programs, and make precise information available to civil society and to national and international human rights monitoring mechanisms.”</w:t>
      </w:r>
    </w:p>
    <w:p w14:paraId="7BB66346" w14:textId="77777777" w:rsidR="000E2429" w:rsidRPr="000E2429" w:rsidRDefault="000E2429" w:rsidP="00E80083">
      <w:pPr>
        <w:pStyle w:val="ParNoG"/>
        <w:numPr>
          <w:ilvl w:val="0"/>
          <w:numId w:val="0"/>
        </w:numPr>
        <w:spacing w:line="240" w:lineRule="auto"/>
        <w:ind w:left="720" w:right="1138"/>
        <w:contextualSpacing/>
        <w:rPr>
          <w:color w:val="000000" w:themeColor="text1"/>
          <w:sz w:val="22"/>
          <w:szCs w:val="22"/>
        </w:rPr>
      </w:pPr>
    </w:p>
    <w:p w14:paraId="176540A8" w14:textId="12437F1D" w:rsidR="00C460DD" w:rsidRPr="005642DB" w:rsidRDefault="00C460DD" w:rsidP="00ED6D40">
      <w:pPr>
        <w:pStyle w:val="ParNoG"/>
        <w:numPr>
          <w:ilvl w:val="0"/>
          <w:numId w:val="30"/>
        </w:numPr>
        <w:spacing w:line="240" w:lineRule="auto"/>
        <w:ind w:right="1138"/>
        <w:contextualSpacing/>
        <w:rPr>
          <w:sz w:val="22"/>
          <w:szCs w:val="22"/>
        </w:rPr>
      </w:pPr>
      <w:r w:rsidRPr="009029FB">
        <w:rPr>
          <w:sz w:val="22"/>
          <w:szCs w:val="22"/>
        </w:rPr>
        <w:t xml:space="preserve">The Special Rapporteur on freedom religion or belief proposes an indicator framework to assist </w:t>
      </w:r>
      <w:r w:rsidR="000E2429">
        <w:rPr>
          <w:rFonts w:eastAsiaTheme="minorHAnsi"/>
          <w:sz w:val="22"/>
          <w:szCs w:val="22"/>
        </w:rPr>
        <w:t xml:space="preserve">in </w:t>
      </w:r>
      <w:r w:rsidR="000E2429" w:rsidRPr="009029FB">
        <w:rPr>
          <w:rFonts w:eastAsiaTheme="minorHAnsi"/>
          <w:sz w:val="22"/>
          <w:szCs w:val="22"/>
        </w:rPr>
        <w:t>measur</w:t>
      </w:r>
      <w:r w:rsidR="000E2429">
        <w:rPr>
          <w:rFonts w:eastAsiaTheme="minorHAnsi"/>
          <w:sz w:val="22"/>
          <w:szCs w:val="22"/>
        </w:rPr>
        <w:t>ing</w:t>
      </w:r>
      <w:r w:rsidR="000E2429" w:rsidRPr="009029FB">
        <w:rPr>
          <w:rFonts w:eastAsiaTheme="minorHAnsi"/>
          <w:sz w:val="22"/>
          <w:szCs w:val="22"/>
        </w:rPr>
        <w:t xml:space="preserve"> the enjoyment of </w:t>
      </w:r>
      <w:r w:rsidR="000E2429">
        <w:rPr>
          <w:rFonts w:eastAsiaTheme="minorHAnsi"/>
          <w:sz w:val="22"/>
          <w:szCs w:val="22"/>
        </w:rPr>
        <w:t xml:space="preserve">the right to freedom of thought, </w:t>
      </w:r>
      <w:r w:rsidR="007F2FA6">
        <w:rPr>
          <w:rFonts w:eastAsiaTheme="minorHAnsi"/>
          <w:sz w:val="22"/>
          <w:szCs w:val="22"/>
        </w:rPr>
        <w:t xml:space="preserve">conscience and </w:t>
      </w:r>
      <w:r w:rsidR="000E2429">
        <w:rPr>
          <w:rFonts w:eastAsiaTheme="minorHAnsi"/>
          <w:sz w:val="22"/>
          <w:szCs w:val="22"/>
        </w:rPr>
        <w:t>religion or belief</w:t>
      </w:r>
      <w:r w:rsidR="000E2429" w:rsidRPr="009029FB">
        <w:rPr>
          <w:rFonts w:eastAsiaTheme="minorHAnsi"/>
          <w:sz w:val="22"/>
          <w:szCs w:val="22"/>
        </w:rPr>
        <w:t xml:space="preserve"> by rights</w:t>
      </w:r>
      <w:r w:rsidR="007F2FA6">
        <w:rPr>
          <w:rFonts w:eastAsiaTheme="minorHAnsi"/>
          <w:sz w:val="22"/>
          <w:szCs w:val="22"/>
        </w:rPr>
        <w:t>-</w:t>
      </w:r>
      <w:r w:rsidR="000E2429" w:rsidRPr="009029FB">
        <w:rPr>
          <w:rFonts w:eastAsiaTheme="minorHAnsi"/>
          <w:sz w:val="22"/>
          <w:szCs w:val="22"/>
        </w:rPr>
        <w:t xml:space="preserve">holders; </w:t>
      </w:r>
      <w:r w:rsidR="000E2429">
        <w:rPr>
          <w:rFonts w:eastAsiaTheme="minorHAnsi"/>
          <w:sz w:val="22"/>
          <w:szCs w:val="22"/>
        </w:rPr>
        <w:t>by</w:t>
      </w:r>
      <w:r w:rsidR="000E2429" w:rsidRPr="009029FB">
        <w:rPr>
          <w:rFonts w:eastAsiaTheme="minorHAnsi"/>
          <w:sz w:val="22"/>
          <w:szCs w:val="22"/>
        </w:rPr>
        <w:t xml:space="preserve"> capturing </w:t>
      </w:r>
      <w:r w:rsidR="007F2FA6">
        <w:rPr>
          <w:rFonts w:eastAsiaTheme="minorHAnsi"/>
          <w:sz w:val="22"/>
          <w:szCs w:val="22"/>
        </w:rPr>
        <w:t>illustrative</w:t>
      </w:r>
      <w:r w:rsidR="000E2429" w:rsidRPr="009029FB">
        <w:rPr>
          <w:rFonts w:eastAsiaTheme="minorHAnsi"/>
          <w:sz w:val="22"/>
          <w:szCs w:val="22"/>
        </w:rPr>
        <w:t xml:space="preserve"> outcomes that could be related to the state of</w:t>
      </w:r>
      <w:r w:rsidR="000E2429" w:rsidRPr="009029FB">
        <w:rPr>
          <w:color w:val="000000" w:themeColor="text1"/>
          <w:sz w:val="22"/>
          <w:szCs w:val="22"/>
        </w:rPr>
        <w:t xml:space="preserve"> </w:t>
      </w:r>
      <w:r w:rsidR="000E2429" w:rsidRPr="009029FB">
        <w:rPr>
          <w:rFonts w:eastAsiaTheme="minorHAnsi"/>
          <w:sz w:val="22"/>
          <w:szCs w:val="22"/>
        </w:rPr>
        <w:t xml:space="preserve">realization of </w:t>
      </w:r>
      <w:r w:rsidR="000E2429">
        <w:rPr>
          <w:rFonts w:eastAsiaTheme="minorHAnsi"/>
          <w:sz w:val="22"/>
          <w:szCs w:val="22"/>
        </w:rPr>
        <w:t>this right.</w:t>
      </w:r>
      <w:r w:rsidR="007F2FA6">
        <w:rPr>
          <w:sz w:val="22"/>
          <w:szCs w:val="22"/>
        </w:rPr>
        <w:t xml:space="preserve"> </w:t>
      </w:r>
      <w:r w:rsidR="000E2429" w:rsidRPr="007F2FA6">
        <w:rPr>
          <w:sz w:val="22"/>
          <w:szCs w:val="22"/>
        </w:rPr>
        <w:t xml:space="preserve">The </w:t>
      </w:r>
      <w:r w:rsidR="00E80083" w:rsidRPr="007F2FA6">
        <w:rPr>
          <w:sz w:val="22"/>
          <w:szCs w:val="22"/>
        </w:rPr>
        <w:t xml:space="preserve">indicators can enhance the efforts of </w:t>
      </w:r>
      <w:r w:rsidRPr="007F2FA6">
        <w:rPr>
          <w:sz w:val="22"/>
          <w:szCs w:val="22"/>
        </w:rPr>
        <w:t>States in assessing</w:t>
      </w:r>
      <w:r w:rsidR="009029FB" w:rsidRPr="007F2FA6">
        <w:rPr>
          <w:sz w:val="22"/>
          <w:szCs w:val="22"/>
        </w:rPr>
        <w:t xml:space="preserve"> the impact of</w:t>
      </w:r>
      <w:r w:rsidRPr="007F2FA6">
        <w:rPr>
          <w:sz w:val="22"/>
          <w:szCs w:val="22"/>
        </w:rPr>
        <w:t xml:space="preserve"> their efforts to </w:t>
      </w:r>
      <w:r w:rsidR="009029FB" w:rsidRPr="007F2FA6">
        <w:rPr>
          <w:sz w:val="22"/>
          <w:szCs w:val="22"/>
        </w:rPr>
        <w:t xml:space="preserve">respect, protect and </w:t>
      </w:r>
      <w:r w:rsidR="007F2FA6">
        <w:rPr>
          <w:sz w:val="22"/>
          <w:szCs w:val="22"/>
        </w:rPr>
        <w:t>promote</w:t>
      </w:r>
      <w:r w:rsidRPr="00ED6D40">
        <w:rPr>
          <w:sz w:val="22"/>
          <w:szCs w:val="22"/>
        </w:rPr>
        <w:t xml:space="preserve"> the right to freedom of religion or belief and the elimination of discrimination based on religion or belief</w:t>
      </w:r>
      <w:r w:rsidR="001E58E5" w:rsidRPr="00ED6D40">
        <w:rPr>
          <w:sz w:val="22"/>
          <w:szCs w:val="22"/>
        </w:rPr>
        <w:t xml:space="preserve"> by: (</w:t>
      </w:r>
      <w:proofErr w:type="spellStart"/>
      <w:r w:rsidR="001E58E5" w:rsidRPr="00ED6D40">
        <w:rPr>
          <w:sz w:val="22"/>
          <w:szCs w:val="22"/>
        </w:rPr>
        <w:t>i</w:t>
      </w:r>
      <w:proofErr w:type="spellEnd"/>
      <w:r w:rsidR="001E58E5" w:rsidRPr="00ED6D40">
        <w:rPr>
          <w:sz w:val="22"/>
          <w:szCs w:val="22"/>
        </w:rPr>
        <w:t xml:space="preserve">) identifying </w:t>
      </w:r>
      <w:r w:rsidR="007F2FA6">
        <w:rPr>
          <w:sz w:val="22"/>
          <w:szCs w:val="22"/>
        </w:rPr>
        <w:t xml:space="preserve">the scope of </w:t>
      </w:r>
      <w:r w:rsidR="00E80083" w:rsidRPr="007F2FA6">
        <w:rPr>
          <w:sz w:val="22"/>
          <w:szCs w:val="22"/>
        </w:rPr>
        <w:t>human rights protection in a State’s legislative and institutional framework (ii)</w:t>
      </w:r>
      <w:r w:rsidR="005642DB">
        <w:rPr>
          <w:sz w:val="22"/>
          <w:szCs w:val="22"/>
          <w:shd w:val="clear" w:color="auto" w:fill="FFFFFF"/>
        </w:rPr>
        <w:t xml:space="preserve"> surveying</w:t>
      </w:r>
      <w:r w:rsidR="00E80083" w:rsidRPr="007F2FA6">
        <w:rPr>
          <w:sz w:val="22"/>
          <w:szCs w:val="22"/>
          <w:shd w:val="clear" w:color="auto" w:fill="FFFFFF"/>
        </w:rPr>
        <w:t xml:space="preserve"> the State’s </w:t>
      </w:r>
      <w:r w:rsidR="005642DB">
        <w:rPr>
          <w:sz w:val="22"/>
          <w:szCs w:val="22"/>
          <w:shd w:val="clear" w:color="auto" w:fill="FFFFFF"/>
        </w:rPr>
        <w:t>efforts</w:t>
      </w:r>
      <w:r w:rsidR="00E80083" w:rsidRPr="007F2FA6">
        <w:rPr>
          <w:sz w:val="22"/>
          <w:szCs w:val="22"/>
          <w:shd w:val="clear" w:color="auto" w:fill="FFFFFF"/>
        </w:rPr>
        <w:t xml:space="preserve"> </w:t>
      </w:r>
      <w:r w:rsidR="005642DB">
        <w:rPr>
          <w:sz w:val="22"/>
          <w:szCs w:val="22"/>
          <w:shd w:val="clear" w:color="auto" w:fill="FFFFFF"/>
        </w:rPr>
        <w:t>in</w:t>
      </w:r>
      <w:r w:rsidR="00E80083" w:rsidRPr="007F2FA6">
        <w:rPr>
          <w:sz w:val="22"/>
          <w:szCs w:val="22"/>
          <w:shd w:val="clear" w:color="auto" w:fill="FFFFFF"/>
        </w:rPr>
        <w:t xml:space="preserve"> taking ste</w:t>
      </w:r>
      <w:r w:rsidR="00E80083" w:rsidRPr="005642DB">
        <w:rPr>
          <w:sz w:val="22"/>
          <w:szCs w:val="22"/>
          <w:shd w:val="clear" w:color="auto" w:fill="FFFFFF"/>
        </w:rPr>
        <w:t xml:space="preserve">ps to practically implement human rights commitments and (iii) </w:t>
      </w:r>
      <w:r w:rsidR="00E80083" w:rsidRPr="005642DB">
        <w:rPr>
          <w:sz w:val="22"/>
          <w:szCs w:val="22"/>
        </w:rPr>
        <w:t>measur</w:t>
      </w:r>
      <w:r w:rsidR="005642DB">
        <w:rPr>
          <w:sz w:val="22"/>
          <w:szCs w:val="22"/>
        </w:rPr>
        <w:t>ing</w:t>
      </w:r>
      <w:r w:rsidR="00E80083" w:rsidRPr="005642DB">
        <w:rPr>
          <w:sz w:val="22"/>
          <w:szCs w:val="22"/>
        </w:rPr>
        <w:t xml:space="preserve"> </w:t>
      </w:r>
      <w:r w:rsidR="00E80083" w:rsidRPr="005642DB">
        <w:rPr>
          <w:sz w:val="22"/>
          <w:szCs w:val="22"/>
          <w:lang w:val="en-US"/>
        </w:rPr>
        <w:t xml:space="preserve">the extent to which </w:t>
      </w:r>
      <w:r w:rsidR="005642DB">
        <w:rPr>
          <w:sz w:val="22"/>
          <w:szCs w:val="22"/>
          <w:lang w:val="en-US"/>
        </w:rPr>
        <w:t>the laws, institutions and policies result in outcomes that demonstrate the practical enjoyment of freedom of religion or belief by rights-holders.</w:t>
      </w:r>
      <w:r w:rsidR="00E80083" w:rsidRPr="005642DB">
        <w:rPr>
          <w:sz w:val="22"/>
          <w:szCs w:val="22"/>
          <w:lang w:val="en-US"/>
        </w:rPr>
        <w:t xml:space="preserve"> </w:t>
      </w:r>
      <w:r w:rsidR="00E80083" w:rsidRPr="005642DB">
        <w:rPr>
          <w:sz w:val="22"/>
          <w:szCs w:val="22"/>
        </w:rPr>
        <w:t xml:space="preserve">They </w:t>
      </w:r>
      <w:r w:rsidRPr="005642DB">
        <w:rPr>
          <w:sz w:val="22"/>
          <w:szCs w:val="22"/>
        </w:rPr>
        <w:t xml:space="preserve">can also provide development experts and human rights analysts with a tool for </w:t>
      </w:r>
      <w:r w:rsidRPr="005642DB">
        <w:rPr>
          <w:sz w:val="22"/>
          <w:szCs w:val="22"/>
          <w:lang w:val="en-US"/>
        </w:rPr>
        <w:t xml:space="preserve">reporting, as well as advising and guiding governments to ensure that they respect, protect and </w:t>
      </w:r>
      <w:r w:rsidR="005642DB">
        <w:rPr>
          <w:sz w:val="22"/>
          <w:szCs w:val="22"/>
          <w:lang w:val="en-US"/>
        </w:rPr>
        <w:t>promote</w:t>
      </w:r>
      <w:r w:rsidRPr="005642DB">
        <w:rPr>
          <w:sz w:val="22"/>
          <w:szCs w:val="22"/>
        </w:rPr>
        <w:t xml:space="preserve"> their obligations. </w:t>
      </w:r>
    </w:p>
    <w:p w14:paraId="495B838D" w14:textId="1453E3F3" w:rsidR="00C460DD" w:rsidRPr="006F768A" w:rsidRDefault="00C460DD" w:rsidP="001E58E5">
      <w:pPr>
        <w:pStyle w:val="ParNoG"/>
        <w:numPr>
          <w:ilvl w:val="0"/>
          <w:numId w:val="0"/>
        </w:numPr>
        <w:spacing w:line="240" w:lineRule="auto"/>
        <w:ind w:right="1138"/>
        <w:contextualSpacing/>
        <w:rPr>
          <w:sz w:val="22"/>
          <w:szCs w:val="22"/>
          <w:lang w:val="en-US"/>
        </w:rPr>
      </w:pPr>
    </w:p>
    <w:p w14:paraId="19F4662E" w14:textId="63430A03" w:rsidR="00642B28" w:rsidRDefault="00C460DD" w:rsidP="009029FB">
      <w:pPr>
        <w:pStyle w:val="ParNoG"/>
        <w:numPr>
          <w:ilvl w:val="0"/>
          <w:numId w:val="30"/>
        </w:numPr>
        <w:spacing w:line="240" w:lineRule="auto"/>
        <w:ind w:right="1170"/>
        <w:contextualSpacing/>
        <w:rPr>
          <w:sz w:val="22"/>
          <w:szCs w:val="22"/>
        </w:rPr>
      </w:pPr>
      <w:r w:rsidRPr="006F768A">
        <w:rPr>
          <w:sz w:val="22"/>
          <w:szCs w:val="22"/>
          <w:lang w:val="en-US"/>
        </w:rPr>
        <w:t xml:space="preserve">The indicators are premised upon States’ international human rights obligations relating to freedom of </w:t>
      </w:r>
      <w:r w:rsidR="005642DB">
        <w:rPr>
          <w:sz w:val="22"/>
          <w:szCs w:val="22"/>
          <w:lang w:val="en-US"/>
        </w:rPr>
        <w:t xml:space="preserve">thought, conscience and </w:t>
      </w:r>
      <w:r w:rsidRPr="006F768A">
        <w:rPr>
          <w:sz w:val="22"/>
          <w:szCs w:val="22"/>
          <w:lang w:val="en-US"/>
        </w:rPr>
        <w:t xml:space="preserve">religion or belief, including, but not limited to, </w:t>
      </w:r>
      <w:r w:rsidR="005642DB">
        <w:rPr>
          <w:sz w:val="22"/>
          <w:szCs w:val="22"/>
          <w:lang w:val="en-US"/>
        </w:rPr>
        <w:t xml:space="preserve">Article 18 of the UDHR, </w:t>
      </w:r>
      <w:r w:rsidRPr="006F768A">
        <w:rPr>
          <w:sz w:val="22"/>
          <w:szCs w:val="22"/>
          <w:lang w:val="en-US"/>
        </w:rPr>
        <w:t>Article 18</w:t>
      </w:r>
      <w:r w:rsidR="005642DB">
        <w:rPr>
          <w:sz w:val="22"/>
          <w:szCs w:val="22"/>
          <w:lang w:val="en-US"/>
        </w:rPr>
        <w:t xml:space="preserve"> of the</w:t>
      </w:r>
      <w:r w:rsidRPr="006F768A">
        <w:rPr>
          <w:sz w:val="22"/>
          <w:szCs w:val="22"/>
          <w:lang w:val="en-US"/>
        </w:rPr>
        <w:t xml:space="preserve"> ICCPR, the 1981 UN Declaration of the Elimination of all forms of Intolerance and</w:t>
      </w:r>
      <w:r w:rsidR="005642DB">
        <w:rPr>
          <w:sz w:val="22"/>
          <w:szCs w:val="22"/>
          <w:lang w:val="en-US"/>
        </w:rPr>
        <w:t xml:space="preserve"> of</w:t>
      </w:r>
      <w:r w:rsidRPr="006F768A">
        <w:rPr>
          <w:sz w:val="22"/>
          <w:szCs w:val="22"/>
          <w:lang w:val="en-US"/>
        </w:rPr>
        <w:t xml:space="preserve"> Discrimination Based on Religion or Belief, </w:t>
      </w:r>
      <w:r w:rsidR="006F768A" w:rsidRPr="006F768A">
        <w:rPr>
          <w:sz w:val="22"/>
          <w:szCs w:val="22"/>
          <w:lang w:val="en-US"/>
        </w:rPr>
        <w:t>and</w:t>
      </w:r>
      <w:r w:rsidRPr="006F768A">
        <w:rPr>
          <w:sz w:val="22"/>
          <w:szCs w:val="22"/>
          <w:lang w:val="en-US"/>
        </w:rPr>
        <w:t xml:space="preserve"> Human Rights Committee General Comment 22. Other international treaties, including the CRC, CEDAW, and the CERD are also drawn upon reflecting the indivisibility</w:t>
      </w:r>
      <w:r w:rsidR="005642DB">
        <w:rPr>
          <w:sz w:val="22"/>
          <w:szCs w:val="22"/>
          <w:lang w:val="en-US"/>
        </w:rPr>
        <w:t>, interdependence, interrelatedness</w:t>
      </w:r>
      <w:r w:rsidRPr="006F768A">
        <w:rPr>
          <w:sz w:val="22"/>
          <w:szCs w:val="22"/>
          <w:lang w:val="en-US"/>
        </w:rPr>
        <w:t xml:space="preserve"> and universality of human rights.</w:t>
      </w:r>
      <w:r w:rsidRPr="006F768A">
        <w:rPr>
          <w:sz w:val="22"/>
          <w:szCs w:val="22"/>
        </w:rPr>
        <w:t xml:space="preserve"> The framework also represents accumulated lessons from the mandate</w:t>
      </w:r>
      <w:r w:rsidR="005642DB">
        <w:rPr>
          <w:sz w:val="22"/>
          <w:szCs w:val="22"/>
        </w:rPr>
        <w:t>-</w:t>
      </w:r>
      <w:r w:rsidRPr="006F768A">
        <w:rPr>
          <w:sz w:val="22"/>
          <w:szCs w:val="22"/>
        </w:rPr>
        <w:t xml:space="preserve">holder’s </w:t>
      </w:r>
      <w:r w:rsidR="005642DB">
        <w:rPr>
          <w:sz w:val="22"/>
          <w:szCs w:val="22"/>
        </w:rPr>
        <w:t>four</w:t>
      </w:r>
      <w:r w:rsidRPr="006F768A">
        <w:rPr>
          <w:sz w:val="22"/>
          <w:szCs w:val="22"/>
        </w:rPr>
        <w:t xml:space="preserve"> years in addressing challenges to freedom of religion or belief, communications to the mandate</w:t>
      </w:r>
      <w:r w:rsidR="005642DB">
        <w:rPr>
          <w:sz w:val="22"/>
          <w:szCs w:val="22"/>
        </w:rPr>
        <w:t>-</w:t>
      </w:r>
      <w:r w:rsidRPr="006F768A">
        <w:rPr>
          <w:sz w:val="22"/>
          <w:szCs w:val="22"/>
        </w:rPr>
        <w:t>holder regarding violations of freedom of religion or belief, wide surveys of existing literature and guidance on implementing freedom of religion or belief and related human rights.</w:t>
      </w:r>
    </w:p>
    <w:p w14:paraId="53DB0DE3" w14:textId="77777777" w:rsidR="00642B28" w:rsidRPr="00642B28" w:rsidRDefault="00642B28" w:rsidP="00642B28">
      <w:pPr>
        <w:pStyle w:val="ParNoG"/>
        <w:numPr>
          <w:ilvl w:val="0"/>
          <w:numId w:val="0"/>
        </w:numPr>
        <w:spacing w:line="240" w:lineRule="auto"/>
        <w:ind w:right="1170"/>
        <w:contextualSpacing/>
        <w:rPr>
          <w:sz w:val="22"/>
          <w:szCs w:val="22"/>
        </w:rPr>
      </w:pPr>
    </w:p>
    <w:p w14:paraId="4F8869D6" w14:textId="1DE401D0" w:rsidR="005642DB" w:rsidRDefault="00C460DD" w:rsidP="009029FB">
      <w:pPr>
        <w:pStyle w:val="ParNoG"/>
        <w:numPr>
          <w:ilvl w:val="0"/>
          <w:numId w:val="30"/>
        </w:numPr>
        <w:spacing w:line="240" w:lineRule="auto"/>
        <w:ind w:right="1170"/>
        <w:contextualSpacing/>
        <w:rPr>
          <w:sz w:val="22"/>
          <w:szCs w:val="22"/>
        </w:rPr>
      </w:pPr>
      <w:r w:rsidRPr="00642B28">
        <w:rPr>
          <w:sz w:val="22"/>
          <w:szCs w:val="22"/>
        </w:rPr>
        <w:t xml:space="preserve">Importantly, the indicator framework is a work in progress. It has been peer-reviewed by experts but is not exhaustive and will be tested and piloted in various countries across different contexts. In the coming months, the Special Rapporteur will hold a </w:t>
      </w:r>
      <w:r w:rsidRPr="00642B28">
        <w:rPr>
          <w:sz w:val="22"/>
          <w:szCs w:val="22"/>
        </w:rPr>
        <w:lastRenderedPageBreak/>
        <w:t xml:space="preserve">series of consultations with stakeholders to </w:t>
      </w:r>
      <w:r w:rsidR="006F768A" w:rsidRPr="00642B28">
        <w:rPr>
          <w:sz w:val="22"/>
          <w:szCs w:val="22"/>
        </w:rPr>
        <w:t>strengthen</w:t>
      </w:r>
      <w:r w:rsidRPr="00642B28">
        <w:rPr>
          <w:sz w:val="22"/>
          <w:szCs w:val="22"/>
        </w:rPr>
        <w:t xml:space="preserve"> the framework. The Special Rapporteur hopes to receive comments and feedback from all regions of world.</w:t>
      </w:r>
    </w:p>
    <w:p w14:paraId="284D4409" w14:textId="77777777" w:rsidR="001E58E5" w:rsidRPr="00ED6D40" w:rsidRDefault="001E58E5" w:rsidP="00ED6D40">
      <w:pPr>
        <w:pStyle w:val="ParNoG"/>
        <w:numPr>
          <w:ilvl w:val="0"/>
          <w:numId w:val="0"/>
        </w:numPr>
        <w:spacing w:line="240" w:lineRule="auto"/>
        <w:ind w:left="720" w:right="1170"/>
        <w:contextualSpacing/>
        <w:rPr>
          <w:sz w:val="22"/>
          <w:szCs w:val="22"/>
        </w:rPr>
      </w:pPr>
    </w:p>
    <w:p w14:paraId="40C37E93" w14:textId="67A021FD" w:rsidR="006F768A" w:rsidRPr="00642B28" w:rsidRDefault="00C460DD" w:rsidP="009029FB">
      <w:pPr>
        <w:pStyle w:val="ParNoG"/>
        <w:numPr>
          <w:ilvl w:val="0"/>
          <w:numId w:val="30"/>
        </w:numPr>
        <w:spacing w:line="240" w:lineRule="auto"/>
        <w:ind w:right="1170"/>
        <w:contextualSpacing/>
        <w:rPr>
          <w:sz w:val="22"/>
          <w:szCs w:val="22"/>
        </w:rPr>
      </w:pPr>
      <w:r w:rsidRPr="00642B28">
        <w:rPr>
          <w:sz w:val="22"/>
          <w:szCs w:val="22"/>
        </w:rPr>
        <w:t>Additionally, human rights monitoring and human rights practice</w:t>
      </w:r>
      <w:r w:rsidR="00314A01">
        <w:rPr>
          <w:sz w:val="22"/>
          <w:szCs w:val="22"/>
        </w:rPr>
        <w:t xml:space="preserve"> are</w:t>
      </w:r>
      <w:r w:rsidRPr="00642B28">
        <w:rPr>
          <w:sz w:val="22"/>
          <w:szCs w:val="22"/>
        </w:rPr>
        <w:t xml:space="preserve"> highly dependent on context and the proposed indicators and benchmarks must be adapted accordingly.</w:t>
      </w:r>
      <w:r w:rsidR="006F768A" w:rsidRPr="00642B28">
        <w:rPr>
          <w:sz w:val="22"/>
          <w:szCs w:val="22"/>
        </w:rPr>
        <w:t xml:space="preserve"> A limited set of indicators is proposed. When operationalised by States and civil society, it is hoped that the indicators will be remain rooted in international human rights obligations but that local contexts can be captured, particularly in </w:t>
      </w:r>
      <w:r w:rsidR="00314A01">
        <w:rPr>
          <w:sz w:val="22"/>
          <w:szCs w:val="22"/>
        </w:rPr>
        <w:t xml:space="preserve">the </w:t>
      </w:r>
      <w:r w:rsidR="006F768A" w:rsidRPr="00642B28">
        <w:rPr>
          <w:sz w:val="22"/>
          <w:szCs w:val="22"/>
        </w:rPr>
        <w:t xml:space="preserve">process and </w:t>
      </w:r>
      <w:r w:rsidR="00314A01">
        <w:rPr>
          <w:sz w:val="22"/>
          <w:szCs w:val="22"/>
        </w:rPr>
        <w:t>the outcome</w:t>
      </w:r>
      <w:r w:rsidR="006F768A" w:rsidRPr="00642B28">
        <w:rPr>
          <w:sz w:val="22"/>
          <w:szCs w:val="22"/>
        </w:rPr>
        <w:t xml:space="preserve"> </w:t>
      </w:r>
      <w:r w:rsidR="00314A01">
        <w:rPr>
          <w:sz w:val="22"/>
          <w:szCs w:val="22"/>
        </w:rPr>
        <w:t xml:space="preserve">or performance </w:t>
      </w:r>
      <w:r w:rsidR="006F768A" w:rsidRPr="00642B28">
        <w:rPr>
          <w:sz w:val="22"/>
          <w:szCs w:val="22"/>
        </w:rPr>
        <w:t>indicators.</w:t>
      </w:r>
    </w:p>
    <w:p w14:paraId="6B473495" w14:textId="69A82C58" w:rsidR="00902866" w:rsidRDefault="00902866" w:rsidP="001E58E5">
      <w:pPr>
        <w:pStyle w:val="ParNoG"/>
        <w:numPr>
          <w:ilvl w:val="0"/>
          <w:numId w:val="0"/>
        </w:numPr>
        <w:ind w:right="1170"/>
        <w:contextualSpacing/>
        <w:rPr>
          <w:rFonts w:eastAsiaTheme="minorHAnsi"/>
          <w:b/>
          <w:bCs/>
          <w:i/>
          <w:iCs/>
          <w:sz w:val="22"/>
          <w:szCs w:val="22"/>
        </w:rPr>
      </w:pPr>
    </w:p>
    <w:p w14:paraId="31B5EE2E" w14:textId="77777777" w:rsidR="00902866" w:rsidRDefault="00902866" w:rsidP="00A16051">
      <w:pPr>
        <w:pStyle w:val="ParNoG"/>
        <w:numPr>
          <w:ilvl w:val="0"/>
          <w:numId w:val="0"/>
        </w:numPr>
        <w:ind w:right="1170"/>
        <w:contextualSpacing/>
        <w:rPr>
          <w:rFonts w:eastAsiaTheme="minorHAnsi"/>
          <w:b/>
          <w:bCs/>
          <w:i/>
          <w:iCs/>
          <w:sz w:val="22"/>
          <w:szCs w:val="22"/>
        </w:rPr>
      </w:pPr>
    </w:p>
    <w:p w14:paraId="70DC8486" w14:textId="4FEEC053" w:rsidR="00C460DD" w:rsidRPr="00642B28" w:rsidRDefault="00C460DD" w:rsidP="00642B28">
      <w:pPr>
        <w:pStyle w:val="ParNoG"/>
        <w:numPr>
          <w:ilvl w:val="0"/>
          <w:numId w:val="0"/>
        </w:numPr>
        <w:ind w:right="1170" w:firstLine="720"/>
        <w:contextualSpacing/>
        <w:rPr>
          <w:rFonts w:asciiTheme="minorHAnsi" w:eastAsiaTheme="minorHAnsi" w:hAnsiTheme="minorHAnsi" w:cstheme="minorHAnsi"/>
          <w:b/>
          <w:bCs/>
          <w:i/>
          <w:iCs/>
          <w:sz w:val="24"/>
          <w:szCs w:val="24"/>
        </w:rPr>
      </w:pPr>
      <w:r w:rsidRPr="00642B28">
        <w:rPr>
          <w:rFonts w:asciiTheme="minorHAnsi" w:eastAsiaTheme="minorHAnsi" w:hAnsiTheme="minorHAnsi" w:cstheme="minorHAnsi"/>
          <w:b/>
          <w:bCs/>
          <w:i/>
          <w:iCs/>
          <w:sz w:val="24"/>
          <w:szCs w:val="24"/>
        </w:rPr>
        <w:t>Indicator Typology</w:t>
      </w:r>
    </w:p>
    <w:p w14:paraId="28B940BC" w14:textId="63B756CC" w:rsidR="00642B28" w:rsidRDefault="00C460DD" w:rsidP="009029FB">
      <w:pPr>
        <w:pStyle w:val="ListParagraph"/>
        <w:numPr>
          <w:ilvl w:val="0"/>
          <w:numId w:val="30"/>
        </w:numPr>
        <w:ind w:right="1170"/>
        <w:contextualSpacing/>
        <w:jc w:val="both"/>
        <w:rPr>
          <w:color w:val="2A2A2A"/>
          <w:sz w:val="22"/>
          <w:szCs w:val="22"/>
          <w:shd w:val="clear" w:color="auto" w:fill="FFFFFF"/>
        </w:rPr>
      </w:pPr>
      <w:r w:rsidRPr="00902866">
        <w:rPr>
          <w:rFonts w:eastAsiaTheme="minorHAnsi"/>
          <w:sz w:val="22"/>
          <w:szCs w:val="22"/>
        </w:rPr>
        <w:t xml:space="preserve">One of the first steps in developing human rights indicators is to identify the constituent elements a given right, also known as </w:t>
      </w:r>
      <w:r w:rsidRPr="00902866">
        <w:rPr>
          <w:rFonts w:eastAsiaTheme="minorHAnsi"/>
          <w:b/>
          <w:bCs/>
          <w:sz w:val="22"/>
          <w:szCs w:val="22"/>
        </w:rPr>
        <w:t>attributes</w:t>
      </w:r>
      <w:r w:rsidRPr="00902866">
        <w:rPr>
          <w:rFonts w:eastAsiaTheme="minorHAnsi"/>
          <w:sz w:val="22"/>
          <w:szCs w:val="22"/>
        </w:rPr>
        <w:t>.</w:t>
      </w:r>
      <w:r w:rsidRPr="006F768A">
        <w:rPr>
          <w:rFonts w:eastAsiaTheme="minorHAnsi"/>
          <w:vertAlign w:val="superscript"/>
        </w:rPr>
        <w:footnoteReference w:id="2"/>
      </w:r>
      <w:r w:rsidRPr="00902866">
        <w:rPr>
          <w:rFonts w:eastAsiaTheme="minorHAnsi"/>
          <w:sz w:val="22"/>
          <w:szCs w:val="22"/>
        </w:rPr>
        <w:t xml:space="preserve"> Attributes help break down </w:t>
      </w:r>
      <w:r w:rsidRPr="00902866">
        <w:rPr>
          <w:color w:val="2A2A2A"/>
          <w:sz w:val="22"/>
          <w:szCs w:val="22"/>
          <w:shd w:val="clear" w:color="auto" w:fill="FFFFFF"/>
        </w:rPr>
        <w:t xml:space="preserve">key aspects of the normative standard to ‘concretize’ the </w:t>
      </w:r>
      <w:r w:rsidR="006F768A" w:rsidRPr="00902866">
        <w:rPr>
          <w:color w:val="2A2A2A"/>
          <w:sz w:val="22"/>
          <w:szCs w:val="22"/>
          <w:shd w:val="clear" w:color="auto" w:fill="FFFFFF"/>
        </w:rPr>
        <w:t xml:space="preserve">elements necessary for the </w:t>
      </w:r>
      <w:r w:rsidR="00642B28" w:rsidRPr="00902866">
        <w:rPr>
          <w:color w:val="2A2A2A"/>
          <w:sz w:val="22"/>
          <w:szCs w:val="22"/>
          <w:shd w:val="clear" w:color="auto" w:fill="FFFFFF"/>
        </w:rPr>
        <w:t>realization</w:t>
      </w:r>
      <w:r w:rsidR="006F768A" w:rsidRPr="00902866">
        <w:rPr>
          <w:color w:val="2A2A2A"/>
          <w:sz w:val="22"/>
          <w:szCs w:val="22"/>
          <w:shd w:val="clear" w:color="auto" w:fill="FFFFFF"/>
        </w:rPr>
        <w:t xml:space="preserve"> of </w:t>
      </w:r>
      <w:r w:rsidRPr="00902866">
        <w:rPr>
          <w:color w:val="2A2A2A"/>
          <w:sz w:val="22"/>
          <w:szCs w:val="22"/>
          <w:shd w:val="clear" w:color="auto" w:fill="FFFFFF"/>
        </w:rPr>
        <w:t>each right. The attributes</w:t>
      </w:r>
      <w:r w:rsidRPr="00902866">
        <w:rPr>
          <w:sz w:val="22"/>
          <w:szCs w:val="22"/>
        </w:rPr>
        <w:t xml:space="preserve"> </w:t>
      </w:r>
      <w:r w:rsidRPr="00902866">
        <w:rPr>
          <w:color w:val="2A2A2A"/>
          <w:sz w:val="22"/>
          <w:szCs w:val="22"/>
          <w:shd w:val="clear" w:color="auto" w:fill="FFFFFF"/>
        </w:rPr>
        <w:t>underpin the selection and measurement of indicators.</w:t>
      </w:r>
    </w:p>
    <w:p w14:paraId="10D659C0" w14:textId="77777777" w:rsidR="00642B28" w:rsidRPr="00642B28" w:rsidRDefault="00642B28" w:rsidP="00A16051">
      <w:pPr>
        <w:pStyle w:val="ListParagraph"/>
        <w:ind w:left="720" w:right="1170"/>
        <w:contextualSpacing/>
        <w:jc w:val="both"/>
        <w:rPr>
          <w:color w:val="2A2A2A"/>
          <w:sz w:val="22"/>
          <w:szCs w:val="22"/>
          <w:shd w:val="clear" w:color="auto" w:fill="FFFFFF"/>
        </w:rPr>
      </w:pPr>
    </w:p>
    <w:p w14:paraId="7EEB3683" w14:textId="74318B4B" w:rsidR="00642B28" w:rsidRDefault="00C460DD" w:rsidP="009029FB">
      <w:pPr>
        <w:pStyle w:val="ListParagraph"/>
        <w:numPr>
          <w:ilvl w:val="0"/>
          <w:numId w:val="30"/>
        </w:numPr>
        <w:ind w:right="1170"/>
        <w:contextualSpacing/>
        <w:jc w:val="both"/>
        <w:rPr>
          <w:color w:val="2A2A2A"/>
          <w:sz w:val="22"/>
          <w:szCs w:val="22"/>
          <w:shd w:val="clear" w:color="auto" w:fill="FFFFFF"/>
        </w:rPr>
      </w:pPr>
      <w:r w:rsidRPr="00642B28">
        <w:rPr>
          <w:rFonts w:eastAsiaTheme="minorHAnsi"/>
          <w:sz w:val="22"/>
          <w:szCs w:val="22"/>
        </w:rPr>
        <w:t xml:space="preserve">The Special Rapporteur </w:t>
      </w:r>
      <w:r w:rsidR="00642B28">
        <w:rPr>
          <w:rFonts w:eastAsiaTheme="minorHAnsi"/>
          <w:sz w:val="22"/>
          <w:szCs w:val="22"/>
        </w:rPr>
        <w:t>offers</w:t>
      </w:r>
      <w:r w:rsidRPr="00642B28">
        <w:rPr>
          <w:color w:val="2A2A2A"/>
          <w:sz w:val="22"/>
          <w:szCs w:val="22"/>
          <w:shd w:val="clear" w:color="auto" w:fill="FFFFFF"/>
        </w:rPr>
        <w:t xml:space="preserve"> </w:t>
      </w:r>
      <w:r w:rsidR="00642B28">
        <w:rPr>
          <w:color w:val="2A2A2A"/>
          <w:sz w:val="22"/>
          <w:szCs w:val="22"/>
          <w:shd w:val="clear" w:color="auto" w:fill="FFFFFF"/>
        </w:rPr>
        <w:t>an illustrative framework</w:t>
      </w:r>
      <w:r w:rsidRPr="00642B28">
        <w:rPr>
          <w:color w:val="2A2A2A"/>
          <w:sz w:val="22"/>
          <w:szCs w:val="22"/>
          <w:shd w:val="clear" w:color="auto" w:fill="FFFFFF"/>
        </w:rPr>
        <w:t xml:space="preserve"> of structural, process and performance indicators for each attribute to</w:t>
      </w:r>
      <w:r w:rsidRPr="00642B28">
        <w:rPr>
          <w:sz w:val="22"/>
          <w:szCs w:val="22"/>
        </w:rPr>
        <w:t xml:space="preserve"> </w:t>
      </w:r>
      <w:r w:rsidRPr="00642B28">
        <w:rPr>
          <w:color w:val="2A2A2A"/>
          <w:sz w:val="22"/>
          <w:szCs w:val="22"/>
          <w:shd w:val="clear" w:color="auto" w:fill="FFFFFF"/>
        </w:rPr>
        <w:t xml:space="preserve">measure a given state’s commitment, effort and results respectively. </w:t>
      </w:r>
    </w:p>
    <w:p w14:paraId="20973D0F" w14:textId="77777777" w:rsidR="00642B28" w:rsidRPr="00642B28" w:rsidRDefault="00642B28" w:rsidP="00A16051">
      <w:pPr>
        <w:pStyle w:val="ListParagraph"/>
        <w:contextualSpacing/>
        <w:rPr>
          <w:rFonts w:eastAsiaTheme="minorHAnsi"/>
          <w:b/>
          <w:bCs/>
          <w:i/>
          <w:iCs/>
          <w:sz w:val="22"/>
          <w:szCs w:val="22"/>
        </w:rPr>
      </w:pPr>
    </w:p>
    <w:p w14:paraId="3E8D6F5C" w14:textId="0FD284BE" w:rsidR="00314A01" w:rsidRPr="001E58E5" w:rsidRDefault="00C460DD" w:rsidP="00ED6D40">
      <w:pPr>
        <w:pStyle w:val="ListParagraph"/>
        <w:ind w:left="720" w:right="1170"/>
        <w:contextualSpacing/>
        <w:jc w:val="both"/>
        <w:rPr>
          <w:color w:val="2A2A2A"/>
          <w:sz w:val="22"/>
          <w:szCs w:val="22"/>
          <w:shd w:val="clear" w:color="auto" w:fill="FFFFFF"/>
        </w:rPr>
      </w:pPr>
      <w:r w:rsidRPr="00642B28">
        <w:rPr>
          <w:rFonts w:eastAsiaTheme="minorHAnsi"/>
          <w:b/>
          <w:bCs/>
          <w:i/>
          <w:iCs/>
          <w:sz w:val="22"/>
          <w:szCs w:val="22"/>
        </w:rPr>
        <w:t>Structural indicators</w:t>
      </w:r>
      <w:r w:rsidRPr="00642B28">
        <w:rPr>
          <w:rFonts w:eastAsiaTheme="minorHAnsi"/>
          <w:sz w:val="22"/>
          <w:szCs w:val="22"/>
        </w:rPr>
        <w:t xml:space="preserve"> identify the extent to which the constitutional, legislative and </w:t>
      </w:r>
      <w:r w:rsidR="00314A01">
        <w:rPr>
          <w:rFonts w:eastAsiaTheme="minorHAnsi"/>
          <w:sz w:val="22"/>
          <w:szCs w:val="22"/>
        </w:rPr>
        <w:t>institutional</w:t>
      </w:r>
      <w:r w:rsidRPr="00642B28">
        <w:rPr>
          <w:rFonts w:eastAsiaTheme="minorHAnsi"/>
          <w:sz w:val="22"/>
          <w:szCs w:val="22"/>
        </w:rPr>
        <w:t xml:space="preserve"> framework of States incorporate international human rights obligations.</w:t>
      </w:r>
      <w:r w:rsidRPr="006F768A">
        <w:t xml:space="preserve"> The absence of constitutional</w:t>
      </w:r>
      <w:r w:rsidR="00314A01">
        <w:t>, legislative and institutional safeguards that are consistent with international standards</w:t>
      </w:r>
      <w:r w:rsidRPr="006F768A">
        <w:t xml:space="preserve"> </w:t>
      </w:r>
      <w:r w:rsidRPr="00642B28">
        <w:rPr>
          <w:rFonts w:eastAsiaTheme="minorHAnsi"/>
        </w:rPr>
        <w:t xml:space="preserve">can be indicative of </w:t>
      </w:r>
      <w:r w:rsidR="00314A01">
        <w:rPr>
          <w:rFonts w:eastAsiaTheme="minorHAnsi"/>
        </w:rPr>
        <w:t>a</w:t>
      </w:r>
      <w:r w:rsidRPr="00642B28">
        <w:rPr>
          <w:rFonts w:eastAsiaTheme="minorHAnsi"/>
        </w:rPr>
        <w:t xml:space="preserve"> protection </w:t>
      </w:r>
      <w:r w:rsidR="00314A01">
        <w:rPr>
          <w:rFonts w:eastAsiaTheme="minorHAnsi"/>
        </w:rPr>
        <w:t xml:space="preserve">gap for </w:t>
      </w:r>
      <w:r w:rsidRPr="00642B28">
        <w:rPr>
          <w:rFonts w:eastAsiaTheme="minorHAnsi"/>
        </w:rPr>
        <w:t>freedom of religion or belief and related rights on which freedom of religion or belief depends.</w:t>
      </w:r>
      <w:r w:rsidRPr="006F768A">
        <w:t xml:space="preserve"> </w:t>
      </w:r>
    </w:p>
    <w:p w14:paraId="5B94A8B1" w14:textId="77777777" w:rsidR="001E58E5" w:rsidRPr="00ED6D40" w:rsidRDefault="001E58E5" w:rsidP="00ED6D40">
      <w:pPr>
        <w:pStyle w:val="ListParagraph"/>
        <w:ind w:left="720" w:right="1170"/>
        <w:contextualSpacing/>
        <w:jc w:val="both"/>
        <w:rPr>
          <w:color w:val="2A2A2A"/>
          <w:sz w:val="22"/>
          <w:szCs w:val="22"/>
          <w:shd w:val="clear" w:color="auto" w:fill="FFFFFF"/>
        </w:rPr>
      </w:pPr>
    </w:p>
    <w:p w14:paraId="0E36CFF2" w14:textId="70AD4AFD" w:rsidR="00C460DD" w:rsidRPr="00642B28" w:rsidRDefault="00C460DD" w:rsidP="009029FB">
      <w:pPr>
        <w:pStyle w:val="ParNoG"/>
        <w:numPr>
          <w:ilvl w:val="0"/>
          <w:numId w:val="30"/>
        </w:numPr>
        <w:spacing w:line="240" w:lineRule="auto"/>
        <w:ind w:right="1170"/>
        <w:contextualSpacing/>
        <w:rPr>
          <w:rFonts w:eastAsiaTheme="minorHAnsi"/>
          <w:sz w:val="22"/>
          <w:szCs w:val="22"/>
        </w:rPr>
      </w:pPr>
      <w:r w:rsidRPr="006F768A">
        <w:rPr>
          <w:b/>
          <w:bCs/>
          <w:i/>
          <w:iCs/>
          <w:sz w:val="22"/>
          <w:szCs w:val="22"/>
        </w:rPr>
        <w:t>Process indicators</w:t>
      </w:r>
      <w:r w:rsidRPr="006F768A">
        <w:rPr>
          <w:i/>
          <w:iCs/>
          <w:sz w:val="22"/>
          <w:szCs w:val="22"/>
        </w:rPr>
        <w:t xml:space="preserve"> </w:t>
      </w:r>
      <w:r w:rsidRPr="006F768A">
        <w:rPr>
          <w:sz w:val="22"/>
          <w:szCs w:val="22"/>
        </w:rPr>
        <w:t xml:space="preserve">examine a State’s efforts to operationalize its human rights commitments by way of </w:t>
      </w:r>
      <w:r w:rsidR="00314A01">
        <w:rPr>
          <w:sz w:val="22"/>
          <w:szCs w:val="22"/>
        </w:rPr>
        <w:t xml:space="preserve">policies, </w:t>
      </w:r>
      <w:r w:rsidRPr="006F768A">
        <w:rPr>
          <w:sz w:val="22"/>
          <w:szCs w:val="22"/>
        </w:rPr>
        <w:t>procedures</w:t>
      </w:r>
      <w:r w:rsidR="00DA6D5E">
        <w:rPr>
          <w:sz w:val="22"/>
          <w:szCs w:val="22"/>
        </w:rPr>
        <w:t>,</w:t>
      </w:r>
      <w:r w:rsidRPr="006F768A">
        <w:rPr>
          <w:sz w:val="22"/>
          <w:szCs w:val="22"/>
        </w:rPr>
        <w:t xml:space="preserve"> practices</w:t>
      </w:r>
      <w:r w:rsidR="00DA6D5E">
        <w:rPr>
          <w:sz w:val="22"/>
          <w:szCs w:val="22"/>
        </w:rPr>
        <w:t>, budgets and capacity</w:t>
      </w:r>
      <w:r w:rsidRPr="006F768A">
        <w:rPr>
          <w:sz w:val="22"/>
          <w:szCs w:val="22"/>
        </w:rPr>
        <w:t>. In this way, indicators can be used not just to measure compliance but to build</w:t>
      </w:r>
      <w:r w:rsidR="00DA6D5E">
        <w:rPr>
          <w:sz w:val="22"/>
          <w:szCs w:val="22"/>
        </w:rPr>
        <w:t xml:space="preserve"> or mainstream</w:t>
      </w:r>
      <w:r w:rsidRPr="006F768A">
        <w:rPr>
          <w:sz w:val="22"/>
          <w:szCs w:val="22"/>
        </w:rPr>
        <w:t xml:space="preserve"> human rights targets and goals – and, indeed, </w:t>
      </w:r>
      <w:r w:rsidR="00DA6D5E">
        <w:rPr>
          <w:sz w:val="22"/>
          <w:szCs w:val="22"/>
        </w:rPr>
        <w:t>principles</w:t>
      </w:r>
      <w:r w:rsidRPr="006F768A">
        <w:rPr>
          <w:sz w:val="22"/>
          <w:szCs w:val="22"/>
        </w:rPr>
        <w:t xml:space="preserve"> – into government policy and practice. They</w:t>
      </w:r>
      <w:r w:rsidR="00DA6D5E">
        <w:rPr>
          <w:sz w:val="22"/>
          <w:szCs w:val="22"/>
        </w:rPr>
        <w:t xml:space="preserve"> survey</w:t>
      </w:r>
      <w:r w:rsidRPr="006F768A">
        <w:rPr>
          <w:sz w:val="22"/>
          <w:szCs w:val="22"/>
        </w:rPr>
        <w:t xml:space="preserve"> the State’s exercise of its duties beyond law-making to include, for example, the accessibility and inclusivity of mechanisms for rights-holders to report violations of human rights; the provision of human rights training to state officials; budgetary support for programs to advance human rights; governmental support for relevant non-state actors who have roles in implementing human rights</w:t>
      </w:r>
      <w:r w:rsidR="00DA6D5E">
        <w:rPr>
          <w:sz w:val="22"/>
          <w:szCs w:val="22"/>
        </w:rPr>
        <w:t>; transparency and accountability</w:t>
      </w:r>
      <w:r w:rsidRPr="006F768A">
        <w:rPr>
          <w:sz w:val="22"/>
          <w:szCs w:val="22"/>
        </w:rPr>
        <w:t xml:space="preserve">. Protecting freedom of religion or belief and eliminating discrimination in practice may also require special measures in programming and capacity building to address the specific concerns and needs of individuals and groups who </w:t>
      </w:r>
      <w:r w:rsidR="00DA6D5E">
        <w:rPr>
          <w:sz w:val="22"/>
          <w:szCs w:val="22"/>
        </w:rPr>
        <w:t>face systemic discrimination</w:t>
      </w:r>
      <w:r w:rsidRPr="006F768A">
        <w:rPr>
          <w:sz w:val="22"/>
          <w:szCs w:val="22"/>
        </w:rPr>
        <w:t>, such as minority religious or belief communities.</w:t>
      </w:r>
      <w:r w:rsidR="00DA6D5E">
        <w:rPr>
          <w:sz w:val="22"/>
          <w:szCs w:val="22"/>
        </w:rPr>
        <w:t xml:space="preserve"> </w:t>
      </w:r>
    </w:p>
    <w:p w14:paraId="4570B420" w14:textId="77777777" w:rsidR="00642B28" w:rsidRPr="00902866" w:rsidRDefault="00642B28" w:rsidP="00A16051">
      <w:pPr>
        <w:pStyle w:val="ParNoG"/>
        <w:numPr>
          <w:ilvl w:val="0"/>
          <w:numId w:val="0"/>
        </w:numPr>
        <w:spacing w:line="240" w:lineRule="auto"/>
        <w:ind w:left="720" w:right="1170"/>
        <w:contextualSpacing/>
        <w:rPr>
          <w:rFonts w:eastAsiaTheme="minorHAnsi"/>
          <w:sz w:val="22"/>
          <w:szCs w:val="22"/>
        </w:rPr>
      </w:pPr>
    </w:p>
    <w:p w14:paraId="1963ACE8" w14:textId="53F8D71B" w:rsidR="00C460DD" w:rsidRPr="00902866" w:rsidRDefault="0068771E" w:rsidP="009029FB">
      <w:pPr>
        <w:pStyle w:val="ListParagraph"/>
        <w:numPr>
          <w:ilvl w:val="0"/>
          <w:numId w:val="30"/>
        </w:numPr>
        <w:ind w:right="1170"/>
        <w:contextualSpacing/>
        <w:jc w:val="both"/>
        <w:rPr>
          <w:rFonts w:eastAsiaTheme="minorHAnsi"/>
          <w:sz w:val="22"/>
          <w:szCs w:val="22"/>
        </w:rPr>
      </w:pPr>
      <w:r>
        <w:rPr>
          <w:rFonts w:eastAsiaTheme="minorHAnsi"/>
          <w:b/>
          <w:bCs/>
          <w:i/>
          <w:iCs/>
          <w:sz w:val="22"/>
          <w:szCs w:val="22"/>
        </w:rPr>
        <w:lastRenderedPageBreak/>
        <w:t>Outcome/p</w:t>
      </w:r>
      <w:r w:rsidR="00C460DD" w:rsidRPr="00902866">
        <w:rPr>
          <w:rFonts w:eastAsiaTheme="minorHAnsi"/>
          <w:b/>
          <w:bCs/>
          <w:i/>
          <w:iCs/>
          <w:sz w:val="22"/>
          <w:szCs w:val="22"/>
        </w:rPr>
        <w:t>erformance indicators</w:t>
      </w:r>
      <w:r w:rsidR="00C460DD" w:rsidRPr="00902866">
        <w:rPr>
          <w:rFonts w:eastAsiaTheme="minorHAnsi"/>
          <w:sz w:val="22"/>
          <w:szCs w:val="22"/>
        </w:rPr>
        <w:t xml:space="preserve"> measure gaps in the enjoyment of a right and obtain evidence of violations or </w:t>
      </w:r>
      <w:r w:rsidR="00DA6D5E">
        <w:rPr>
          <w:rFonts w:eastAsiaTheme="minorHAnsi"/>
          <w:sz w:val="22"/>
          <w:szCs w:val="22"/>
        </w:rPr>
        <w:t>capture positive outcomes</w:t>
      </w:r>
      <w:r w:rsidR="00C460DD" w:rsidRPr="00902866">
        <w:rPr>
          <w:rFonts w:eastAsiaTheme="minorHAnsi"/>
          <w:sz w:val="22"/>
          <w:szCs w:val="22"/>
        </w:rPr>
        <w:t>. In line with a human rights</w:t>
      </w:r>
      <w:r w:rsidR="00DA6D5E">
        <w:rPr>
          <w:rFonts w:eastAsiaTheme="minorHAnsi"/>
          <w:sz w:val="22"/>
          <w:szCs w:val="22"/>
        </w:rPr>
        <w:t>-</w:t>
      </w:r>
      <w:r w:rsidR="00C460DD" w:rsidRPr="00902866">
        <w:rPr>
          <w:rFonts w:eastAsiaTheme="minorHAnsi"/>
          <w:sz w:val="22"/>
          <w:szCs w:val="22"/>
        </w:rPr>
        <w:t xml:space="preserve">based approach, performance indicators should be based on international standards but be contextually specific and timely to respond to the needs of rights-holders in different communities. Crucially, a human rights-based approach necessitates acute attention to marginalized groups. Performance indicators should be disaggregated to compare population groups to understand the situations of specific groups to the extent feasible. </w:t>
      </w:r>
      <w:r w:rsidR="00C460DD" w:rsidRPr="00902866">
        <w:rPr>
          <w:sz w:val="22"/>
          <w:szCs w:val="22"/>
        </w:rPr>
        <w:t xml:space="preserve">Disaggregation </w:t>
      </w:r>
      <w:r w:rsidR="00AF2A5D">
        <w:rPr>
          <w:sz w:val="22"/>
          <w:szCs w:val="22"/>
        </w:rPr>
        <w:t xml:space="preserve">of data </w:t>
      </w:r>
      <w:r w:rsidR="00C460DD" w:rsidRPr="00902866">
        <w:rPr>
          <w:sz w:val="22"/>
          <w:szCs w:val="22"/>
        </w:rPr>
        <w:t>on the grounds of discrimination that are prohibited under international human rights law can achieve this objective.</w:t>
      </w:r>
    </w:p>
    <w:p w14:paraId="1FECEDEA" w14:textId="77777777" w:rsidR="00C460DD" w:rsidRPr="00902866" w:rsidRDefault="00C460DD" w:rsidP="00A16051">
      <w:pPr>
        <w:pStyle w:val="ParNoG"/>
        <w:numPr>
          <w:ilvl w:val="0"/>
          <w:numId w:val="0"/>
        </w:numPr>
        <w:spacing w:line="240" w:lineRule="auto"/>
        <w:ind w:left="1170" w:right="1138"/>
        <w:contextualSpacing/>
        <w:rPr>
          <w:rFonts w:eastAsiaTheme="minorHAnsi"/>
          <w:sz w:val="22"/>
          <w:szCs w:val="22"/>
        </w:rPr>
      </w:pPr>
    </w:p>
    <w:p w14:paraId="5F6FF53C" w14:textId="651EDECD" w:rsidR="00C460DD" w:rsidRDefault="00C460DD" w:rsidP="009029FB">
      <w:pPr>
        <w:pStyle w:val="ParNoG"/>
        <w:numPr>
          <w:ilvl w:val="0"/>
          <w:numId w:val="30"/>
        </w:numPr>
        <w:spacing w:line="240" w:lineRule="auto"/>
        <w:ind w:right="1138"/>
        <w:contextualSpacing/>
        <w:rPr>
          <w:rFonts w:eastAsiaTheme="minorHAnsi"/>
          <w:sz w:val="22"/>
          <w:szCs w:val="22"/>
        </w:rPr>
      </w:pPr>
      <w:r w:rsidRPr="006F768A">
        <w:rPr>
          <w:sz w:val="22"/>
          <w:szCs w:val="22"/>
        </w:rPr>
        <w:t>By collecting data on, and analysing disparities within countries along prohibited grounds of discrimination, disaggregated data can better identify those farthest behind who may be hidden by averages.</w:t>
      </w:r>
      <w:r w:rsidRPr="006F768A">
        <w:rPr>
          <w:rStyle w:val="FootnoteReference"/>
          <w:sz w:val="22"/>
          <w:szCs w:val="22"/>
        </w:rPr>
        <w:footnoteReference w:id="3"/>
      </w:r>
      <w:r w:rsidRPr="006F768A">
        <w:rPr>
          <w:rFonts w:eastAsiaTheme="minorHAnsi"/>
          <w:sz w:val="22"/>
          <w:szCs w:val="22"/>
        </w:rPr>
        <w:t xml:space="preserve"> </w:t>
      </w:r>
      <w:r w:rsidRPr="006F768A">
        <w:rPr>
          <w:sz w:val="22"/>
          <w:szCs w:val="22"/>
        </w:rPr>
        <w:t xml:space="preserve">Measuring aggregates, such as the average number of places of worship in a region, does not always convey information about the ability of members of disparate religious and belief communities to exercise their freedom of worship and accede these places. </w:t>
      </w:r>
    </w:p>
    <w:p w14:paraId="7612FCEC" w14:textId="77777777" w:rsidR="00902866" w:rsidRPr="006F768A" w:rsidRDefault="00902866" w:rsidP="00A16051">
      <w:pPr>
        <w:pStyle w:val="ParNoG"/>
        <w:numPr>
          <w:ilvl w:val="0"/>
          <w:numId w:val="0"/>
        </w:numPr>
        <w:spacing w:line="240" w:lineRule="auto"/>
        <w:ind w:left="720" w:right="1138"/>
        <w:contextualSpacing/>
        <w:rPr>
          <w:rFonts w:eastAsiaTheme="minorHAnsi"/>
          <w:sz w:val="22"/>
          <w:szCs w:val="22"/>
        </w:rPr>
      </w:pPr>
    </w:p>
    <w:p w14:paraId="32C93A8F" w14:textId="21E2925D" w:rsidR="00A16051" w:rsidRPr="001E58E5" w:rsidRDefault="00C460DD" w:rsidP="00A16051">
      <w:pPr>
        <w:pStyle w:val="ParNoG"/>
        <w:numPr>
          <w:ilvl w:val="0"/>
          <w:numId w:val="30"/>
        </w:numPr>
        <w:spacing w:line="240" w:lineRule="auto"/>
        <w:ind w:right="1138"/>
        <w:contextualSpacing/>
        <w:rPr>
          <w:rFonts w:eastAsiaTheme="minorHAnsi"/>
          <w:sz w:val="22"/>
          <w:szCs w:val="22"/>
        </w:rPr>
      </w:pPr>
      <w:r w:rsidRPr="006F768A">
        <w:rPr>
          <w:sz w:val="22"/>
          <w:szCs w:val="22"/>
        </w:rPr>
        <w:t xml:space="preserve">Importantly, data is not always quantitative; the Special Rapporteur emphasizes that human rights </w:t>
      </w:r>
      <w:r w:rsidR="006F768A" w:rsidRPr="006F768A">
        <w:rPr>
          <w:sz w:val="22"/>
          <w:szCs w:val="22"/>
        </w:rPr>
        <w:t xml:space="preserve">violations </w:t>
      </w:r>
      <w:r w:rsidRPr="006F768A">
        <w:rPr>
          <w:sz w:val="22"/>
          <w:szCs w:val="22"/>
        </w:rPr>
        <w:t>cannot be fully captured in statistics. Additionally, the reliability of statistics, data collection and disaggregation is not always sufficient. Qualitative reports from civil society and first-hand testimony from rights-holders, including narrative and storytelling</w:t>
      </w:r>
      <w:r w:rsidRPr="006F768A">
        <w:rPr>
          <w:rStyle w:val="FootnoteReference"/>
          <w:sz w:val="22"/>
          <w:szCs w:val="22"/>
        </w:rPr>
        <w:footnoteReference w:id="4"/>
      </w:r>
      <w:r w:rsidRPr="006F768A">
        <w:rPr>
          <w:sz w:val="22"/>
          <w:szCs w:val="22"/>
        </w:rPr>
        <w:t xml:space="preserve"> are essential to understanding the lived experiences of rights-holders, the different needs of rights-holders and the hidden dynamics of marginalization.</w:t>
      </w:r>
    </w:p>
    <w:p w14:paraId="2E4A3887" w14:textId="77777777" w:rsidR="00A16051" w:rsidRPr="00006E78" w:rsidRDefault="00A16051" w:rsidP="00A16051">
      <w:pPr>
        <w:pStyle w:val="Default"/>
        <w:contextualSpacing/>
        <w:rPr>
          <w:rFonts w:ascii="Times New Roman" w:hAnsi="Times New Roman" w:cs="Times New Roman"/>
          <w:sz w:val="22"/>
          <w:szCs w:val="22"/>
        </w:rPr>
      </w:pPr>
    </w:p>
    <w:p w14:paraId="57BF4CED" w14:textId="77777777" w:rsidR="00C460DD" w:rsidRPr="00642B28" w:rsidRDefault="00C460DD" w:rsidP="00A16051">
      <w:pPr>
        <w:pStyle w:val="ParNoG"/>
        <w:numPr>
          <w:ilvl w:val="0"/>
          <w:numId w:val="0"/>
        </w:numPr>
        <w:spacing w:line="240" w:lineRule="auto"/>
        <w:ind w:left="720"/>
        <w:contextualSpacing/>
        <w:rPr>
          <w:rFonts w:asciiTheme="minorHAnsi" w:eastAsiaTheme="minorHAnsi" w:hAnsiTheme="minorHAnsi" w:cstheme="minorHAnsi"/>
          <w:b/>
          <w:bCs/>
          <w:i/>
          <w:iCs/>
          <w:sz w:val="24"/>
          <w:szCs w:val="24"/>
        </w:rPr>
      </w:pPr>
      <w:r w:rsidRPr="00642B28">
        <w:rPr>
          <w:rFonts w:asciiTheme="minorHAnsi" w:eastAsiaTheme="minorHAnsi" w:hAnsiTheme="minorHAnsi" w:cstheme="minorHAnsi"/>
          <w:b/>
          <w:bCs/>
          <w:i/>
          <w:iCs/>
          <w:sz w:val="24"/>
          <w:szCs w:val="24"/>
        </w:rPr>
        <w:t>Sources</w:t>
      </w:r>
    </w:p>
    <w:p w14:paraId="5635F45A" w14:textId="77777777" w:rsidR="00642B28" w:rsidRDefault="00C460DD" w:rsidP="009029FB">
      <w:pPr>
        <w:pStyle w:val="ListParagraph"/>
        <w:numPr>
          <w:ilvl w:val="2"/>
          <w:numId w:val="30"/>
        </w:numPr>
        <w:ind w:left="720" w:right="1080"/>
        <w:contextualSpacing/>
        <w:jc w:val="both"/>
        <w:rPr>
          <w:color w:val="222222"/>
          <w:sz w:val="22"/>
          <w:szCs w:val="22"/>
          <w:shd w:val="clear" w:color="auto" w:fill="FFFFFF"/>
        </w:rPr>
      </w:pPr>
      <w:r w:rsidRPr="00642B28">
        <w:rPr>
          <w:i/>
          <w:iCs/>
          <w:color w:val="222222"/>
          <w:sz w:val="22"/>
          <w:szCs w:val="22"/>
          <w:shd w:val="clear" w:color="auto" w:fill="FFFFFF"/>
        </w:rPr>
        <w:t>OHCHR Human Rights Indicators: A Guide to Measurement and Implementation (2012)</w:t>
      </w:r>
      <w:r w:rsidRPr="00902866">
        <w:rPr>
          <w:rStyle w:val="FootnoteReference"/>
          <w:color w:val="222222"/>
          <w:sz w:val="22"/>
          <w:szCs w:val="22"/>
          <w:shd w:val="clear" w:color="auto" w:fill="FFFFFF"/>
        </w:rPr>
        <w:footnoteReference w:id="5"/>
      </w:r>
      <w:r w:rsidRPr="00642B28">
        <w:rPr>
          <w:color w:val="222222"/>
          <w:sz w:val="22"/>
          <w:szCs w:val="22"/>
          <w:shd w:val="clear" w:color="auto" w:fill="FFFFFF"/>
        </w:rPr>
        <w:t xml:space="preserve"> </w:t>
      </w:r>
    </w:p>
    <w:p w14:paraId="4040AD9A" w14:textId="77777777" w:rsidR="00642B28" w:rsidRPr="00642B28" w:rsidRDefault="00C460DD" w:rsidP="009029FB">
      <w:pPr>
        <w:pStyle w:val="ListParagraph"/>
        <w:numPr>
          <w:ilvl w:val="2"/>
          <w:numId w:val="30"/>
        </w:numPr>
        <w:ind w:left="720" w:right="1080"/>
        <w:contextualSpacing/>
        <w:jc w:val="both"/>
        <w:rPr>
          <w:color w:val="222222"/>
          <w:sz w:val="22"/>
          <w:szCs w:val="22"/>
          <w:shd w:val="clear" w:color="auto" w:fill="FFFFFF"/>
        </w:rPr>
      </w:pPr>
      <w:r w:rsidRPr="00642B28">
        <w:rPr>
          <w:i/>
          <w:iCs/>
          <w:color w:val="222222"/>
          <w:sz w:val="22"/>
          <w:szCs w:val="22"/>
          <w:shd w:val="clear" w:color="auto" w:fill="FFFFFF"/>
        </w:rPr>
        <w:t>SDG indicators under OHCHR’s custodianship</w:t>
      </w:r>
      <w:r w:rsidRPr="00006E78">
        <w:rPr>
          <w:rStyle w:val="FootnoteReference"/>
          <w:color w:val="222222"/>
          <w:sz w:val="22"/>
          <w:szCs w:val="22"/>
          <w:shd w:val="clear" w:color="auto" w:fill="FFFFFF"/>
        </w:rPr>
        <w:footnoteReference w:id="6"/>
      </w:r>
    </w:p>
    <w:p w14:paraId="4D9495A5" w14:textId="77777777" w:rsidR="00642B28" w:rsidRPr="00642B28" w:rsidRDefault="00C460DD" w:rsidP="009029FB">
      <w:pPr>
        <w:pStyle w:val="ListParagraph"/>
        <w:numPr>
          <w:ilvl w:val="2"/>
          <w:numId w:val="30"/>
        </w:numPr>
        <w:ind w:left="720" w:right="1080"/>
        <w:contextualSpacing/>
        <w:jc w:val="both"/>
        <w:rPr>
          <w:color w:val="222222"/>
          <w:sz w:val="22"/>
          <w:szCs w:val="22"/>
          <w:shd w:val="clear" w:color="auto" w:fill="FFFFFF"/>
        </w:rPr>
      </w:pPr>
      <w:r w:rsidRPr="00642B28">
        <w:rPr>
          <w:i/>
          <w:iCs/>
          <w:color w:val="222222"/>
          <w:sz w:val="22"/>
          <w:szCs w:val="22"/>
          <w:shd w:val="clear" w:color="auto" w:fill="FFFFFF"/>
        </w:rPr>
        <w:t>OHCHR, Report on Indicators for Promoting and Monitoring the Implementation of Human Rights, UN Doc. HRI/MC/2008/3 (2008)</w:t>
      </w:r>
    </w:p>
    <w:p w14:paraId="1D5C3C69" w14:textId="77777777" w:rsidR="00642B28" w:rsidRPr="00642B28" w:rsidRDefault="00C460DD" w:rsidP="009029FB">
      <w:pPr>
        <w:pStyle w:val="ListParagraph"/>
        <w:numPr>
          <w:ilvl w:val="2"/>
          <w:numId w:val="30"/>
        </w:numPr>
        <w:ind w:left="720" w:right="1080"/>
        <w:contextualSpacing/>
        <w:jc w:val="both"/>
        <w:rPr>
          <w:color w:val="222222"/>
          <w:sz w:val="22"/>
          <w:szCs w:val="22"/>
          <w:shd w:val="clear" w:color="auto" w:fill="FFFFFF"/>
        </w:rPr>
      </w:pPr>
      <w:r w:rsidRPr="00642B28">
        <w:rPr>
          <w:i/>
          <w:iCs/>
          <w:color w:val="222222"/>
          <w:sz w:val="22"/>
          <w:szCs w:val="22"/>
          <w:shd w:val="clear" w:color="auto" w:fill="FFFFFF"/>
        </w:rPr>
        <w:t>Progress indicators for measuring rights contemplated in the Additional Protocol to the American Convention on Human Rights</w:t>
      </w:r>
      <w:r w:rsidRPr="00642B28">
        <w:rPr>
          <w:color w:val="222222"/>
          <w:sz w:val="22"/>
          <w:szCs w:val="22"/>
          <w:shd w:val="clear" w:color="auto" w:fill="FFFFFF"/>
        </w:rPr>
        <w:t xml:space="preserve">, </w:t>
      </w:r>
      <w:r w:rsidRPr="00642B28">
        <w:rPr>
          <w:i/>
          <w:iCs/>
          <w:color w:val="222222"/>
          <w:sz w:val="22"/>
          <w:szCs w:val="22"/>
          <w:shd w:val="clear" w:color="auto" w:fill="FFFFFF"/>
        </w:rPr>
        <w:t>OAS Working Group on the Protocol of San Salvador</w:t>
      </w:r>
      <w:r w:rsidRPr="000D4C39">
        <w:rPr>
          <w:rStyle w:val="FootnoteReference"/>
          <w:i/>
          <w:iCs/>
          <w:color w:val="222222"/>
          <w:sz w:val="22"/>
          <w:szCs w:val="22"/>
          <w:shd w:val="clear" w:color="auto" w:fill="FFFFFF"/>
        </w:rPr>
        <w:footnoteReference w:id="7"/>
      </w:r>
    </w:p>
    <w:p w14:paraId="2510C384" w14:textId="77777777" w:rsidR="00642B28" w:rsidRPr="00642B28" w:rsidRDefault="00642B28" w:rsidP="009029FB">
      <w:pPr>
        <w:pStyle w:val="ListParagraph"/>
        <w:numPr>
          <w:ilvl w:val="2"/>
          <w:numId w:val="30"/>
        </w:numPr>
        <w:ind w:left="720" w:right="1080"/>
        <w:contextualSpacing/>
        <w:jc w:val="both"/>
        <w:rPr>
          <w:color w:val="222222"/>
          <w:sz w:val="22"/>
          <w:szCs w:val="22"/>
          <w:shd w:val="clear" w:color="auto" w:fill="FFFFFF"/>
        </w:rPr>
      </w:pPr>
      <w:r w:rsidRPr="00642B28">
        <w:rPr>
          <w:i/>
          <w:iCs/>
          <w:color w:val="222222"/>
          <w:sz w:val="22"/>
          <w:szCs w:val="22"/>
          <w:shd w:val="clear" w:color="auto" w:fill="FFFFFF"/>
        </w:rPr>
        <w:t>Realizing</w:t>
      </w:r>
      <w:r w:rsidR="00C460DD" w:rsidRPr="00642B28">
        <w:rPr>
          <w:i/>
          <w:iCs/>
          <w:color w:val="222222"/>
          <w:sz w:val="22"/>
          <w:szCs w:val="22"/>
          <w:shd w:val="clear" w:color="auto" w:fill="FFFFFF"/>
        </w:rPr>
        <w:t xml:space="preserve"> the human rights to water and sanitation: A handbook by the UN special rapporteur, Catarina de Albuquerque</w:t>
      </w:r>
      <w:r w:rsidR="00C460DD" w:rsidRPr="000D4C39">
        <w:rPr>
          <w:rStyle w:val="FootnoteReference"/>
          <w:i/>
          <w:iCs/>
          <w:color w:val="222222"/>
          <w:sz w:val="22"/>
          <w:szCs w:val="22"/>
          <w:shd w:val="clear" w:color="auto" w:fill="FFFFFF"/>
        </w:rPr>
        <w:footnoteReference w:id="8"/>
      </w:r>
    </w:p>
    <w:p w14:paraId="177B63AC" w14:textId="77777777" w:rsidR="00642B28" w:rsidRPr="00642B28" w:rsidRDefault="00C460DD" w:rsidP="009029FB">
      <w:pPr>
        <w:pStyle w:val="ListParagraph"/>
        <w:numPr>
          <w:ilvl w:val="2"/>
          <w:numId w:val="30"/>
        </w:numPr>
        <w:ind w:left="720" w:right="1080"/>
        <w:contextualSpacing/>
        <w:jc w:val="both"/>
        <w:rPr>
          <w:color w:val="222222"/>
          <w:sz w:val="22"/>
          <w:szCs w:val="22"/>
          <w:shd w:val="clear" w:color="auto" w:fill="FFFFFF"/>
        </w:rPr>
      </w:pPr>
      <w:r w:rsidRPr="00642B28">
        <w:rPr>
          <w:i/>
          <w:iCs/>
          <w:color w:val="222222"/>
          <w:sz w:val="22"/>
          <w:szCs w:val="22"/>
          <w:shd w:val="clear" w:color="auto" w:fill="FFFFFF"/>
        </w:rPr>
        <w:lastRenderedPageBreak/>
        <w:t xml:space="preserve">Report of the Report of the Special Rapporteur on violence against women, its causes and consequences, Yakin </w:t>
      </w:r>
      <w:proofErr w:type="spellStart"/>
      <w:r w:rsidRPr="00642B28">
        <w:rPr>
          <w:i/>
          <w:iCs/>
          <w:color w:val="222222"/>
          <w:sz w:val="22"/>
          <w:szCs w:val="22"/>
          <w:shd w:val="clear" w:color="auto" w:fill="FFFFFF"/>
        </w:rPr>
        <w:t>Ertürk</w:t>
      </w:r>
      <w:proofErr w:type="spellEnd"/>
    </w:p>
    <w:p w14:paraId="23347AD3" w14:textId="77777777" w:rsidR="00642B28" w:rsidRPr="00642B28" w:rsidRDefault="00C460DD" w:rsidP="009029FB">
      <w:pPr>
        <w:pStyle w:val="ListParagraph"/>
        <w:numPr>
          <w:ilvl w:val="2"/>
          <w:numId w:val="30"/>
        </w:numPr>
        <w:ind w:left="720" w:right="1080"/>
        <w:contextualSpacing/>
        <w:jc w:val="both"/>
        <w:rPr>
          <w:color w:val="222222"/>
          <w:sz w:val="22"/>
          <w:szCs w:val="22"/>
          <w:shd w:val="clear" w:color="auto" w:fill="FFFFFF"/>
        </w:rPr>
      </w:pPr>
      <w:r w:rsidRPr="00642B28">
        <w:rPr>
          <w:i/>
          <w:iCs/>
          <w:color w:val="222222"/>
          <w:sz w:val="22"/>
          <w:szCs w:val="22"/>
          <w:shd w:val="clear" w:color="auto" w:fill="FFFFFF"/>
        </w:rPr>
        <w:t>Indicators on violence against women and State response, A/HRC/7/6 (2008)</w:t>
      </w:r>
    </w:p>
    <w:p w14:paraId="11B2374E" w14:textId="77777777" w:rsidR="00642B28" w:rsidRPr="00642B28" w:rsidRDefault="00C460DD" w:rsidP="009029FB">
      <w:pPr>
        <w:pStyle w:val="ListParagraph"/>
        <w:numPr>
          <w:ilvl w:val="2"/>
          <w:numId w:val="30"/>
        </w:numPr>
        <w:ind w:left="720" w:right="1080"/>
        <w:contextualSpacing/>
        <w:jc w:val="both"/>
        <w:rPr>
          <w:color w:val="222222"/>
          <w:sz w:val="22"/>
          <w:szCs w:val="22"/>
          <w:shd w:val="clear" w:color="auto" w:fill="FFFFFF"/>
        </w:rPr>
      </w:pPr>
      <w:r w:rsidRPr="00642B28">
        <w:rPr>
          <w:i/>
          <w:iCs/>
          <w:color w:val="222222"/>
          <w:sz w:val="22"/>
          <w:szCs w:val="22"/>
          <w:shd w:val="clear" w:color="auto" w:fill="FFFFFF"/>
        </w:rPr>
        <w:t>Framework of analysis for the prevention of atrocity crimes, Office of Genocide Protection</w:t>
      </w:r>
      <w:r w:rsidRPr="000D4C39">
        <w:rPr>
          <w:rStyle w:val="FootnoteReference"/>
          <w:i/>
          <w:iCs/>
          <w:color w:val="222222"/>
          <w:sz w:val="22"/>
          <w:szCs w:val="22"/>
          <w:shd w:val="clear" w:color="auto" w:fill="FFFFFF"/>
        </w:rPr>
        <w:footnoteReference w:id="9"/>
      </w:r>
    </w:p>
    <w:p w14:paraId="65E254DF" w14:textId="77777777" w:rsidR="00642B28" w:rsidRPr="00642B28" w:rsidRDefault="00C460DD" w:rsidP="009029FB">
      <w:pPr>
        <w:pStyle w:val="ListParagraph"/>
        <w:numPr>
          <w:ilvl w:val="2"/>
          <w:numId w:val="30"/>
        </w:numPr>
        <w:ind w:left="720" w:right="1080"/>
        <w:contextualSpacing/>
        <w:jc w:val="both"/>
        <w:rPr>
          <w:color w:val="222222"/>
          <w:sz w:val="22"/>
          <w:szCs w:val="22"/>
          <w:shd w:val="clear" w:color="auto" w:fill="FFFFFF"/>
        </w:rPr>
      </w:pPr>
      <w:r w:rsidRPr="00642B28">
        <w:rPr>
          <w:i/>
          <w:iCs/>
          <w:color w:val="222222"/>
          <w:sz w:val="22"/>
          <w:szCs w:val="22"/>
          <w:shd w:val="clear" w:color="auto" w:fill="FFFFFF"/>
        </w:rPr>
        <w:t>Guidelines for Review of Legislation Pertaining to Religion or Belief, OSCE/ODIHR</w:t>
      </w:r>
      <w:r w:rsidRPr="000D4C39">
        <w:rPr>
          <w:rStyle w:val="FootnoteReference"/>
          <w:i/>
          <w:iCs/>
          <w:color w:val="222222"/>
          <w:sz w:val="22"/>
          <w:szCs w:val="22"/>
          <w:shd w:val="clear" w:color="auto" w:fill="FFFFFF"/>
        </w:rPr>
        <w:footnoteReference w:id="10"/>
      </w:r>
    </w:p>
    <w:p w14:paraId="0817DDE9" w14:textId="77777777" w:rsidR="00642B28" w:rsidRPr="00642B28" w:rsidRDefault="00C460DD" w:rsidP="009029FB">
      <w:pPr>
        <w:pStyle w:val="ListParagraph"/>
        <w:numPr>
          <w:ilvl w:val="2"/>
          <w:numId w:val="30"/>
        </w:numPr>
        <w:ind w:left="720" w:right="1080"/>
        <w:contextualSpacing/>
        <w:jc w:val="both"/>
        <w:rPr>
          <w:rStyle w:val="FootnoteReference"/>
          <w:color w:val="222222"/>
          <w:sz w:val="22"/>
          <w:szCs w:val="22"/>
          <w:shd w:val="clear" w:color="auto" w:fill="FFFFFF"/>
          <w:vertAlign w:val="baseline"/>
        </w:rPr>
      </w:pPr>
      <w:r w:rsidRPr="00642B28">
        <w:rPr>
          <w:i/>
          <w:iCs/>
          <w:color w:val="222222"/>
          <w:sz w:val="22"/>
          <w:szCs w:val="22"/>
          <w:shd w:val="clear" w:color="auto" w:fill="FFFFFF"/>
        </w:rPr>
        <w:t>Toledo Guiding Principles on Teaching about Religions and Beliefs in Public Schools, ODIHR</w:t>
      </w:r>
      <w:r w:rsidRPr="00642B28">
        <w:rPr>
          <w:rStyle w:val="FootnoteReference"/>
          <w:i/>
          <w:iCs/>
          <w:color w:val="222222"/>
          <w:sz w:val="22"/>
          <w:szCs w:val="22"/>
          <w:shd w:val="clear" w:color="auto" w:fill="FFFFFF"/>
        </w:rPr>
        <w:t xml:space="preserve"> </w:t>
      </w:r>
      <w:r w:rsidRPr="000D4C39">
        <w:rPr>
          <w:rStyle w:val="FootnoteReference"/>
          <w:i/>
          <w:iCs/>
          <w:color w:val="222222"/>
          <w:sz w:val="22"/>
          <w:szCs w:val="22"/>
          <w:shd w:val="clear" w:color="auto" w:fill="FFFFFF"/>
        </w:rPr>
        <w:footnoteReference w:id="11"/>
      </w:r>
    </w:p>
    <w:p w14:paraId="1D49BD2D" w14:textId="77777777" w:rsidR="00642B28" w:rsidRPr="00642B28" w:rsidRDefault="00C460DD" w:rsidP="009029FB">
      <w:pPr>
        <w:pStyle w:val="ListParagraph"/>
        <w:numPr>
          <w:ilvl w:val="2"/>
          <w:numId w:val="30"/>
        </w:numPr>
        <w:ind w:left="720" w:right="1080"/>
        <w:contextualSpacing/>
        <w:jc w:val="both"/>
        <w:rPr>
          <w:color w:val="222222"/>
          <w:sz w:val="22"/>
          <w:szCs w:val="22"/>
          <w:shd w:val="clear" w:color="auto" w:fill="FFFFFF"/>
        </w:rPr>
      </w:pPr>
      <w:r w:rsidRPr="00642B28">
        <w:rPr>
          <w:i/>
          <w:iCs/>
          <w:color w:val="222222"/>
          <w:sz w:val="22"/>
          <w:szCs w:val="22"/>
          <w:shd w:val="clear" w:color="auto" w:fill="FFFFFF"/>
        </w:rPr>
        <w:t>Mary Robinson, Launch of the AAAS Science and Human Rights Coalition, (2009)</w:t>
      </w:r>
    </w:p>
    <w:p w14:paraId="02C2C981" w14:textId="77777777" w:rsidR="00642B28" w:rsidRPr="00642B28" w:rsidRDefault="00C460DD" w:rsidP="009029FB">
      <w:pPr>
        <w:pStyle w:val="ListParagraph"/>
        <w:numPr>
          <w:ilvl w:val="2"/>
          <w:numId w:val="30"/>
        </w:numPr>
        <w:ind w:left="720" w:right="1080"/>
        <w:contextualSpacing/>
        <w:jc w:val="both"/>
        <w:rPr>
          <w:color w:val="222222"/>
          <w:sz w:val="22"/>
          <w:szCs w:val="22"/>
          <w:shd w:val="clear" w:color="auto" w:fill="FFFFFF"/>
        </w:rPr>
      </w:pPr>
      <w:r w:rsidRPr="00642B28">
        <w:rPr>
          <w:i/>
          <w:iCs/>
          <w:color w:val="222222"/>
          <w:sz w:val="22"/>
          <w:szCs w:val="22"/>
          <w:shd w:val="clear" w:color="auto" w:fill="FFFFFF"/>
        </w:rPr>
        <w:t xml:space="preserve">Siobhan </w:t>
      </w:r>
      <w:proofErr w:type="spellStart"/>
      <w:r w:rsidRPr="00642B28">
        <w:rPr>
          <w:i/>
          <w:iCs/>
          <w:color w:val="222222"/>
          <w:sz w:val="22"/>
          <w:szCs w:val="22"/>
          <w:shd w:val="clear" w:color="auto" w:fill="FFFFFF"/>
        </w:rPr>
        <w:t>McInerney</w:t>
      </w:r>
      <w:proofErr w:type="spellEnd"/>
      <w:r w:rsidRPr="00642B28">
        <w:rPr>
          <w:i/>
          <w:iCs/>
          <w:color w:val="222222"/>
          <w:sz w:val="22"/>
          <w:szCs w:val="22"/>
          <w:shd w:val="clear" w:color="auto" w:fill="FFFFFF"/>
        </w:rPr>
        <w:t>-Lankford and Hans Otto Sano (</w:t>
      </w:r>
      <w:proofErr w:type="spellStart"/>
      <w:r w:rsidRPr="00642B28">
        <w:rPr>
          <w:i/>
          <w:iCs/>
          <w:color w:val="222222"/>
          <w:sz w:val="22"/>
          <w:szCs w:val="22"/>
          <w:shd w:val="clear" w:color="auto" w:fill="FFFFFF"/>
        </w:rPr>
        <w:t>eds</w:t>
      </w:r>
      <w:proofErr w:type="spellEnd"/>
      <w:r w:rsidRPr="00642B28">
        <w:rPr>
          <w:i/>
          <w:iCs/>
          <w:color w:val="222222"/>
          <w:sz w:val="22"/>
          <w:szCs w:val="22"/>
          <w:shd w:val="clear" w:color="auto" w:fill="FFFFFF"/>
        </w:rPr>
        <w:t>), World Bank Study: Human Rights Indicators in Development (2010)</w:t>
      </w:r>
    </w:p>
    <w:p w14:paraId="6E89E7BC" w14:textId="77777777" w:rsidR="00642B28" w:rsidRPr="00642B28" w:rsidRDefault="00C460DD" w:rsidP="009029FB">
      <w:pPr>
        <w:pStyle w:val="ListParagraph"/>
        <w:numPr>
          <w:ilvl w:val="2"/>
          <w:numId w:val="30"/>
        </w:numPr>
        <w:ind w:left="720" w:right="1080"/>
        <w:contextualSpacing/>
        <w:rPr>
          <w:color w:val="222222"/>
          <w:sz w:val="22"/>
          <w:szCs w:val="22"/>
          <w:shd w:val="clear" w:color="auto" w:fill="FFFFFF"/>
        </w:rPr>
      </w:pPr>
      <w:r w:rsidRPr="00642B28">
        <w:rPr>
          <w:i/>
          <w:iCs/>
          <w:color w:val="222222"/>
          <w:sz w:val="22"/>
          <w:szCs w:val="22"/>
          <w:shd w:val="clear" w:color="auto" w:fill="FFFFFF"/>
        </w:rPr>
        <w:t>Sally Engle Merry, Measuring the World: Indicators, Human Rights and Global Governance 52(3) Current Anthropology 583 (2011)</w:t>
      </w:r>
      <w:r>
        <w:rPr>
          <w:rStyle w:val="FootnoteReference"/>
          <w:i/>
          <w:iCs/>
          <w:color w:val="222222"/>
          <w:sz w:val="22"/>
          <w:szCs w:val="22"/>
          <w:shd w:val="clear" w:color="auto" w:fill="FFFFFF"/>
        </w:rPr>
        <w:footnoteReference w:id="12"/>
      </w:r>
      <w:r w:rsidRPr="00642B28">
        <w:rPr>
          <w:i/>
          <w:iCs/>
          <w:color w:val="222222"/>
          <w:sz w:val="22"/>
          <w:szCs w:val="22"/>
          <w:shd w:val="clear" w:color="auto" w:fill="FFFFFF"/>
        </w:rPr>
        <w:t xml:space="preserve"> </w:t>
      </w:r>
    </w:p>
    <w:p w14:paraId="78657E8A" w14:textId="77777777" w:rsidR="00642B28" w:rsidRPr="00642B28" w:rsidRDefault="00C460DD" w:rsidP="009029FB">
      <w:pPr>
        <w:pStyle w:val="ListParagraph"/>
        <w:numPr>
          <w:ilvl w:val="2"/>
          <w:numId w:val="30"/>
        </w:numPr>
        <w:ind w:left="720" w:right="1080"/>
        <w:contextualSpacing/>
        <w:rPr>
          <w:color w:val="222222"/>
          <w:sz w:val="22"/>
          <w:szCs w:val="22"/>
          <w:shd w:val="clear" w:color="auto" w:fill="FFFFFF"/>
        </w:rPr>
      </w:pPr>
      <w:r w:rsidRPr="00642B28">
        <w:rPr>
          <w:i/>
          <w:iCs/>
          <w:color w:val="222222"/>
          <w:sz w:val="22"/>
          <w:szCs w:val="22"/>
          <w:shd w:val="clear" w:color="auto" w:fill="FFFFFF"/>
        </w:rPr>
        <w:t>University of Essex, Disaggregated Data and Human Rights: Law, Policy and Practice (2013)</w:t>
      </w:r>
    </w:p>
    <w:p w14:paraId="46CDC71C" w14:textId="77777777" w:rsidR="00642B28" w:rsidRPr="00642B28" w:rsidRDefault="00C460DD" w:rsidP="009029FB">
      <w:pPr>
        <w:pStyle w:val="ListParagraph"/>
        <w:numPr>
          <w:ilvl w:val="2"/>
          <w:numId w:val="30"/>
        </w:numPr>
        <w:ind w:left="720" w:right="1080"/>
        <w:contextualSpacing/>
        <w:rPr>
          <w:color w:val="222222"/>
          <w:sz w:val="22"/>
          <w:szCs w:val="22"/>
          <w:shd w:val="clear" w:color="auto" w:fill="FFFFFF"/>
        </w:rPr>
      </w:pPr>
      <w:r w:rsidRPr="00642B28">
        <w:rPr>
          <w:i/>
          <w:iCs/>
          <w:color w:val="222222"/>
          <w:sz w:val="22"/>
          <w:szCs w:val="22"/>
          <w:shd w:val="clear" w:color="auto" w:fill="FFFFFF"/>
        </w:rPr>
        <w:t>UN Special Rapporteur’s Digest on Freedom of Religion or Belief</w:t>
      </w:r>
      <w:r w:rsidRPr="00902866">
        <w:rPr>
          <w:rStyle w:val="FootnoteReference"/>
          <w:i/>
          <w:iCs/>
          <w:color w:val="222222"/>
          <w:sz w:val="22"/>
          <w:szCs w:val="22"/>
          <w:shd w:val="clear" w:color="auto" w:fill="FFFFFF"/>
        </w:rPr>
        <w:footnoteReference w:id="13"/>
      </w:r>
      <w:r w:rsidRPr="00642B28">
        <w:rPr>
          <w:i/>
          <w:iCs/>
          <w:color w:val="222222"/>
          <w:sz w:val="22"/>
          <w:szCs w:val="22"/>
          <w:shd w:val="clear" w:color="auto" w:fill="FFFFFF"/>
        </w:rPr>
        <w:t xml:space="preserve"> </w:t>
      </w:r>
    </w:p>
    <w:p w14:paraId="16EBA625" w14:textId="7B337711" w:rsidR="00642B28" w:rsidRPr="00642B28" w:rsidRDefault="00C460DD" w:rsidP="009029FB">
      <w:pPr>
        <w:pStyle w:val="ListParagraph"/>
        <w:numPr>
          <w:ilvl w:val="2"/>
          <w:numId w:val="30"/>
        </w:numPr>
        <w:ind w:left="720" w:right="1080"/>
        <w:contextualSpacing/>
        <w:rPr>
          <w:color w:val="222222"/>
          <w:sz w:val="22"/>
          <w:szCs w:val="22"/>
          <w:shd w:val="clear" w:color="auto" w:fill="FFFFFF"/>
        </w:rPr>
        <w:sectPr w:rsidR="00642B28" w:rsidRPr="00642B28" w:rsidSect="00642B28">
          <w:footerReference w:type="even" r:id="rId11"/>
          <w:footerReference w:type="default" r:id="rId12"/>
          <w:pgSz w:w="12240" w:h="15840"/>
          <w:pgMar w:top="1440" w:right="1440" w:bottom="1440" w:left="1440" w:header="720" w:footer="720" w:gutter="0"/>
          <w:cols w:space="720"/>
          <w:docGrid w:linePitch="360"/>
        </w:sectPr>
      </w:pPr>
      <w:r w:rsidRPr="00642B28">
        <w:rPr>
          <w:i/>
          <w:iCs/>
          <w:color w:val="222222"/>
          <w:sz w:val="22"/>
          <w:szCs w:val="22"/>
          <w:shd w:val="clear" w:color="auto" w:fill="FFFFFF"/>
        </w:rPr>
        <w:t>Communications received by the mandate of the UN Special Rapporteur on Freedom of Religion or Belief</w:t>
      </w:r>
      <w:r w:rsidRPr="000D4C39">
        <w:rPr>
          <w:rStyle w:val="FootnoteReference"/>
          <w:i/>
          <w:iCs/>
          <w:color w:val="222222"/>
          <w:sz w:val="22"/>
          <w:szCs w:val="22"/>
          <w:shd w:val="clear" w:color="auto" w:fill="FFFFFF"/>
        </w:rPr>
        <w:footnoteReference w:id="14"/>
      </w:r>
    </w:p>
    <w:p w14:paraId="2615D454" w14:textId="77777777" w:rsidR="00F71DE6" w:rsidRDefault="00F71DE6"/>
    <w:tbl>
      <w:tblPr>
        <w:tblStyle w:val="TableGrid"/>
        <w:tblW w:w="1459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4050"/>
        <w:gridCol w:w="5670"/>
        <w:gridCol w:w="16"/>
      </w:tblGrid>
      <w:tr w:rsidR="00E12841" w14:paraId="54B4B22F" w14:textId="77777777" w:rsidTr="000A7B7C">
        <w:tc>
          <w:tcPr>
            <w:tcW w:w="14596" w:type="dxa"/>
            <w:gridSpan w:val="4"/>
            <w:tcBorders>
              <w:bottom w:val="single" w:sz="4" w:space="0" w:color="auto"/>
            </w:tcBorders>
            <w:shd w:val="clear" w:color="auto" w:fill="auto"/>
          </w:tcPr>
          <w:p w14:paraId="75DC3E46" w14:textId="3AA0735F" w:rsidR="00E12841" w:rsidRPr="00E61887" w:rsidRDefault="00E12841" w:rsidP="00E12841">
            <w:pPr>
              <w:pStyle w:val="ListParagraph"/>
              <w:numPr>
                <w:ilvl w:val="0"/>
                <w:numId w:val="1"/>
              </w:numPr>
              <w:pBdr>
                <w:bottom w:val="single" w:sz="4" w:space="1" w:color="auto"/>
              </w:pBdr>
              <w:rPr>
                <w:rFonts w:asciiTheme="minorHAnsi" w:hAnsiTheme="minorHAnsi" w:cstheme="minorHAnsi"/>
                <w:b/>
                <w:i/>
                <w:iCs/>
                <w:sz w:val="28"/>
                <w:szCs w:val="28"/>
              </w:rPr>
            </w:pPr>
            <w:r w:rsidRPr="00E61887">
              <w:rPr>
                <w:rFonts w:asciiTheme="minorHAnsi" w:hAnsiTheme="minorHAnsi" w:cstheme="minorHAnsi"/>
                <w:color w:val="000000"/>
                <w:sz w:val="28"/>
                <w:szCs w:val="28"/>
              </w:rPr>
              <w:t>Attribute</w:t>
            </w:r>
            <w:r w:rsidR="001E6456" w:rsidRPr="00E61887">
              <w:rPr>
                <w:rFonts w:asciiTheme="minorHAnsi" w:hAnsiTheme="minorHAnsi" w:cstheme="minorHAnsi"/>
                <w:color w:val="000000"/>
                <w:sz w:val="28"/>
                <w:szCs w:val="28"/>
              </w:rPr>
              <w:t>/Target</w:t>
            </w:r>
            <w:r w:rsidRPr="00E61887">
              <w:rPr>
                <w:rFonts w:asciiTheme="minorHAnsi" w:hAnsiTheme="minorHAnsi" w:cstheme="minorHAnsi"/>
                <w:color w:val="000000"/>
                <w:sz w:val="28"/>
                <w:szCs w:val="28"/>
              </w:rPr>
              <w:t xml:space="preserve"> of the Right to FoRB</w:t>
            </w:r>
            <w:r w:rsidRPr="00E61887">
              <w:rPr>
                <w:rFonts w:asciiTheme="minorHAnsi" w:hAnsiTheme="minorHAnsi" w:cstheme="minorHAnsi"/>
                <w:b/>
                <w:sz w:val="28"/>
                <w:szCs w:val="28"/>
              </w:rPr>
              <w:t xml:space="preserve">: </w:t>
            </w:r>
            <w:r w:rsidR="001E6456" w:rsidRPr="00E61887">
              <w:rPr>
                <w:rFonts w:asciiTheme="minorHAnsi" w:hAnsiTheme="minorHAnsi" w:cstheme="minorHAnsi"/>
                <w:b/>
                <w:sz w:val="28"/>
                <w:szCs w:val="28"/>
              </w:rPr>
              <w:t xml:space="preserve">Ensure against </w:t>
            </w:r>
            <w:r w:rsidR="001E6456" w:rsidRPr="00E61887">
              <w:rPr>
                <w:rFonts w:asciiTheme="minorHAnsi" w:hAnsiTheme="minorHAnsi" w:cstheme="minorHAnsi"/>
                <w:b/>
                <w:i/>
                <w:iCs/>
                <w:sz w:val="28"/>
                <w:szCs w:val="28"/>
              </w:rPr>
              <w:t>n</w:t>
            </w:r>
            <w:r w:rsidRPr="00E61887">
              <w:rPr>
                <w:rFonts w:asciiTheme="minorHAnsi" w:hAnsiTheme="minorHAnsi" w:cstheme="minorHAnsi"/>
                <w:b/>
                <w:i/>
                <w:iCs/>
                <w:sz w:val="28"/>
                <w:szCs w:val="28"/>
              </w:rPr>
              <w:t xml:space="preserve">on-coercion </w:t>
            </w:r>
            <w:r w:rsidR="0047259B" w:rsidRPr="00E61887">
              <w:rPr>
                <w:rFonts w:asciiTheme="minorHAnsi" w:hAnsiTheme="minorHAnsi" w:cstheme="minorHAnsi"/>
                <w:b/>
                <w:i/>
                <w:iCs/>
                <w:sz w:val="28"/>
                <w:szCs w:val="28"/>
              </w:rPr>
              <w:t xml:space="preserve">in </w:t>
            </w:r>
            <w:r w:rsidR="0047259B" w:rsidRPr="00E61887">
              <w:rPr>
                <w:rFonts w:asciiTheme="minorHAnsi" w:hAnsiTheme="minorHAnsi" w:cstheme="minorHAnsi"/>
                <w:b/>
                <w:bCs/>
                <w:i/>
                <w:iCs/>
                <w:sz w:val="28"/>
                <w:szCs w:val="28"/>
              </w:rPr>
              <w:t>the freedom to have, adopt, change or retain a religion or belief of one’s choice</w:t>
            </w:r>
          </w:p>
          <w:p w14:paraId="1D4E0223" w14:textId="5A9CAACC" w:rsidR="00E12841" w:rsidRPr="00F55329" w:rsidRDefault="00E12841" w:rsidP="000A7B7C">
            <w:pPr>
              <w:rPr>
                <w:rFonts w:asciiTheme="minorHAnsi" w:hAnsiTheme="minorHAnsi" w:cstheme="minorHAnsi"/>
                <w:sz w:val="22"/>
                <w:szCs w:val="22"/>
              </w:rPr>
            </w:pPr>
            <w:r w:rsidRPr="00F55329">
              <w:rPr>
                <w:rFonts w:asciiTheme="minorHAnsi" w:hAnsiTheme="minorHAnsi" w:cstheme="minorHAnsi"/>
                <w:b/>
                <w:i/>
                <w:iCs/>
                <w:sz w:val="22"/>
                <w:szCs w:val="22"/>
              </w:rPr>
              <w:t xml:space="preserve">Sources: </w:t>
            </w:r>
            <w:r w:rsidRPr="00F55329">
              <w:rPr>
                <w:rFonts w:asciiTheme="minorHAnsi" w:hAnsiTheme="minorHAnsi" w:cstheme="minorHAnsi"/>
                <w:bCs/>
                <w:sz w:val="22"/>
                <w:szCs w:val="22"/>
              </w:rPr>
              <w:t>ICCPR</w:t>
            </w:r>
            <w:r w:rsidRPr="00F55329">
              <w:rPr>
                <w:rFonts w:asciiTheme="minorHAnsi" w:hAnsiTheme="minorHAnsi" w:cstheme="minorHAnsi"/>
                <w:sz w:val="22"/>
                <w:szCs w:val="22"/>
              </w:rPr>
              <w:t xml:space="preserve">, Art. (s) 2.1, 17, 18.1, 18.2, 18.4; </w:t>
            </w:r>
            <w:proofErr w:type="spellStart"/>
            <w:r w:rsidRPr="00F55329">
              <w:rPr>
                <w:rFonts w:asciiTheme="minorHAnsi" w:hAnsiTheme="minorHAnsi" w:cstheme="minorHAnsi"/>
                <w:sz w:val="22"/>
                <w:szCs w:val="22"/>
              </w:rPr>
              <w:t>HRCttee</w:t>
            </w:r>
            <w:proofErr w:type="spellEnd"/>
            <w:r w:rsidRPr="00F55329">
              <w:rPr>
                <w:rFonts w:asciiTheme="minorHAnsi" w:hAnsiTheme="minorHAnsi" w:cstheme="minorHAnsi"/>
                <w:sz w:val="22"/>
                <w:szCs w:val="22"/>
              </w:rPr>
              <w:t xml:space="preserve"> GC 22; 1981 Declaration, Art. 1</w:t>
            </w:r>
            <w:r w:rsidR="00AF455E">
              <w:rPr>
                <w:rFonts w:asciiTheme="minorHAnsi" w:hAnsiTheme="minorHAnsi" w:cstheme="minorHAnsi"/>
                <w:sz w:val="22"/>
                <w:szCs w:val="22"/>
              </w:rPr>
              <w:t xml:space="preserve">; </w:t>
            </w:r>
            <w:r w:rsidR="00AF455E" w:rsidRPr="00AF455E">
              <w:rPr>
                <w:rFonts w:asciiTheme="minorHAnsi" w:hAnsiTheme="minorHAnsi" w:cstheme="minorHAnsi"/>
                <w:sz w:val="22"/>
                <w:szCs w:val="22"/>
              </w:rPr>
              <w:t>GC18 / CEDAW GC31 on harmful practices</w:t>
            </w:r>
          </w:p>
        </w:tc>
      </w:tr>
      <w:tr w:rsidR="00E12841" w14:paraId="41FFE739" w14:textId="77777777" w:rsidTr="003468AC">
        <w:trPr>
          <w:gridAfter w:val="1"/>
          <w:wAfter w:w="16" w:type="dxa"/>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33249B21" w14:textId="77777777" w:rsidR="00E12841" w:rsidRPr="00F55329" w:rsidRDefault="00E12841" w:rsidP="000A7B7C">
            <w:pPr>
              <w:jc w:val="center"/>
              <w:rPr>
                <w:rFonts w:asciiTheme="minorHAnsi" w:hAnsiTheme="minorHAnsi" w:cstheme="minorHAnsi"/>
                <w:b/>
                <w:sz w:val="22"/>
                <w:szCs w:val="22"/>
              </w:rPr>
            </w:pPr>
            <w:r w:rsidRPr="0038097F">
              <w:rPr>
                <w:rFonts w:asciiTheme="minorHAnsi" w:hAnsiTheme="minorHAnsi" w:cstheme="minorHAnsi"/>
                <w:b/>
                <w:sz w:val="22"/>
                <w:szCs w:val="22"/>
              </w:rPr>
              <w:t>Structural Indicators</w:t>
            </w:r>
          </w:p>
        </w:tc>
        <w:tc>
          <w:tcPr>
            <w:tcW w:w="4050" w:type="dxa"/>
            <w:tcBorders>
              <w:top w:val="single" w:sz="4" w:space="0" w:color="auto"/>
              <w:left w:val="single" w:sz="4" w:space="0" w:color="auto"/>
              <w:bottom w:val="single" w:sz="4" w:space="0" w:color="auto"/>
              <w:right w:val="single" w:sz="4" w:space="0" w:color="auto"/>
            </w:tcBorders>
            <w:shd w:val="clear" w:color="auto" w:fill="auto"/>
          </w:tcPr>
          <w:p w14:paraId="1E60039A" w14:textId="77777777" w:rsidR="00E12841" w:rsidRPr="00F55329" w:rsidRDefault="00E12841" w:rsidP="000A7B7C">
            <w:pPr>
              <w:jc w:val="center"/>
              <w:rPr>
                <w:rFonts w:asciiTheme="minorHAnsi" w:hAnsiTheme="minorHAnsi" w:cstheme="minorHAnsi"/>
                <w:b/>
                <w:sz w:val="22"/>
                <w:szCs w:val="22"/>
              </w:rPr>
            </w:pPr>
            <w:r>
              <w:rPr>
                <w:rFonts w:asciiTheme="minorHAnsi" w:hAnsiTheme="minorHAnsi" w:cstheme="minorHAnsi"/>
                <w:b/>
                <w:sz w:val="22"/>
                <w:szCs w:val="22"/>
              </w:rPr>
              <w:t>Process</w:t>
            </w:r>
            <w:r w:rsidRPr="0038097F">
              <w:rPr>
                <w:rFonts w:asciiTheme="minorHAnsi" w:hAnsiTheme="minorHAnsi" w:cstheme="minorHAnsi"/>
                <w:b/>
                <w:sz w:val="22"/>
                <w:szCs w:val="22"/>
              </w:rPr>
              <w:t xml:space="preserve"> Indicators</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476F0C7" w14:textId="3F14C8EB" w:rsidR="00E12841" w:rsidRPr="00F55329" w:rsidRDefault="00B32896" w:rsidP="000A7B7C">
            <w:pPr>
              <w:jc w:val="center"/>
              <w:rPr>
                <w:rFonts w:asciiTheme="minorHAnsi" w:hAnsiTheme="minorHAnsi" w:cstheme="minorHAnsi"/>
                <w:b/>
                <w:sz w:val="22"/>
                <w:szCs w:val="22"/>
              </w:rPr>
            </w:pPr>
            <w:r>
              <w:rPr>
                <w:rFonts w:asciiTheme="minorHAnsi" w:hAnsiTheme="minorHAnsi" w:cstheme="minorHAnsi"/>
                <w:b/>
                <w:sz w:val="22"/>
                <w:szCs w:val="22"/>
              </w:rPr>
              <w:t xml:space="preserve">Performance </w:t>
            </w:r>
            <w:r w:rsidR="00E12841" w:rsidRPr="0038097F">
              <w:rPr>
                <w:rFonts w:asciiTheme="minorHAnsi" w:hAnsiTheme="minorHAnsi" w:cstheme="minorHAnsi"/>
                <w:b/>
                <w:sz w:val="22"/>
                <w:szCs w:val="22"/>
              </w:rPr>
              <w:t>Indicators</w:t>
            </w:r>
          </w:p>
        </w:tc>
      </w:tr>
      <w:tr w:rsidR="0059029D" w14:paraId="381B7892" w14:textId="77777777" w:rsidTr="003468AC">
        <w:trPr>
          <w:gridAfter w:val="1"/>
          <w:wAfter w:w="16" w:type="dxa"/>
          <w:trHeight w:val="512"/>
        </w:trPr>
        <w:tc>
          <w:tcPr>
            <w:tcW w:w="4860" w:type="dxa"/>
            <w:vMerge w:val="restart"/>
            <w:tcBorders>
              <w:top w:val="single" w:sz="4" w:space="0" w:color="auto"/>
              <w:left w:val="single" w:sz="4" w:space="0" w:color="auto"/>
              <w:bottom w:val="single" w:sz="4" w:space="0" w:color="auto"/>
              <w:right w:val="single" w:sz="4" w:space="0" w:color="auto"/>
            </w:tcBorders>
            <w:shd w:val="clear" w:color="auto" w:fill="auto"/>
          </w:tcPr>
          <w:p w14:paraId="5306B351" w14:textId="77777777" w:rsidR="0059029D" w:rsidRPr="008E3296" w:rsidRDefault="0059029D" w:rsidP="008F4615"/>
          <w:p w14:paraId="4319FB80" w14:textId="77777777" w:rsidR="0059029D" w:rsidRPr="008E3296" w:rsidRDefault="0059029D" w:rsidP="008F4615"/>
          <w:p w14:paraId="56D22581" w14:textId="77777777" w:rsidR="0059029D" w:rsidRPr="008E3296" w:rsidRDefault="0059029D" w:rsidP="00916F7F">
            <w:pPr>
              <w:jc w:val="both"/>
            </w:pPr>
          </w:p>
          <w:p w14:paraId="56F5B50E" w14:textId="77777777" w:rsidR="0059029D" w:rsidRPr="008E3296" w:rsidRDefault="0059029D" w:rsidP="00916F7F">
            <w:pPr>
              <w:jc w:val="both"/>
            </w:pPr>
          </w:p>
          <w:p w14:paraId="2B2FC935" w14:textId="77777777" w:rsidR="0059029D" w:rsidRDefault="0059029D" w:rsidP="00EE0F1B">
            <w:pPr>
              <w:pStyle w:val="ListParagraph"/>
              <w:numPr>
                <w:ilvl w:val="0"/>
                <w:numId w:val="3"/>
              </w:numPr>
              <w:ind w:left="341" w:right="346"/>
              <w:jc w:val="both"/>
            </w:pPr>
            <w:r w:rsidRPr="00EE0F1B">
              <w:t xml:space="preserve">Legal framework </w:t>
            </w:r>
            <w:r>
              <w:t xml:space="preserve">respects and protects the right of persons to have, </w:t>
            </w:r>
            <w:r w:rsidRPr="0059029D">
              <w:t>adopt, change or retain a religion or belief of one’s choice</w:t>
            </w:r>
          </w:p>
          <w:p w14:paraId="0D20D7AB" w14:textId="77777777" w:rsidR="0059029D" w:rsidRPr="008E3296" w:rsidRDefault="0059029D" w:rsidP="004E70CE">
            <w:pPr>
              <w:pStyle w:val="ListParagraph"/>
              <w:ind w:left="341" w:right="346"/>
              <w:jc w:val="both"/>
            </w:pPr>
          </w:p>
        </w:tc>
        <w:tc>
          <w:tcPr>
            <w:tcW w:w="4050" w:type="dxa"/>
            <w:tcBorders>
              <w:top w:val="single" w:sz="4" w:space="0" w:color="auto"/>
              <w:left w:val="single" w:sz="4" w:space="0" w:color="auto"/>
              <w:bottom w:val="single" w:sz="4" w:space="0" w:color="auto"/>
              <w:right w:val="single" w:sz="4" w:space="0" w:color="auto"/>
            </w:tcBorders>
            <w:shd w:val="clear" w:color="auto" w:fill="auto"/>
          </w:tcPr>
          <w:p w14:paraId="3FFE73B1" w14:textId="4692E830" w:rsidR="0059029D" w:rsidRPr="00ED6D40" w:rsidRDefault="008A2B57" w:rsidP="0059029D">
            <w:pPr>
              <w:pStyle w:val="ListParagraph"/>
              <w:numPr>
                <w:ilvl w:val="1"/>
                <w:numId w:val="1"/>
              </w:numPr>
              <w:ind w:left="346" w:right="346"/>
              <w:jc w:val="both"/>
            </w:pPr>
            <w:r>
              <w:t xml:space="preserve">Data on support for access to justice </w:t>
            </w:r>
            <w:r w:rsidR="00C23490">
              <w:t xml:space="preserve">for individuals facing coercion in matters of religion  or belief </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0EFE392A" w14:textId="18D382AE" w:rsidR="001D622B" w:rsidRPr="001D622B" w:rsidRDefault="0059029D" w:rsidP="001D622B">
            <w:pPr>
              <w:pStyle w:val="ListParagraph"/>
              <w:numPr>
                <w:ilvl w:val="2"/>
                <w:numId w:val="1"/>
              </w:numPr>
              <w:tabs>
                <w:tab w:val="left" w:pos="1793"/>
              </w:tabs>
              <w:ind w:left="707"/>
            </w:pPr>
            <w:r w:rsidRPr="00EE0F1B">
              <w:t>Reports of state practices that discriminate against persons deemed to be apostates by state and non-state actors (disaggregated by religion</w:t>
            </w:r>
            <w:r w:rsidR="0037241E">
              <w:t>, belief,</w:t>
            </w:r>
            <w:r w:rsidRPr="00EE0F1B">
              <w:t xml:space="preserve"> ethnicity, </w:t>
            </w:r>
            <w:r w:rsidR="0037241E">
              <w:t xml:space="preserve">race, </w:t>
            </w:r>
            <w:r w:rsidRPr="00EE0F1B">
              <w:t>gender)</w:t>
            </w:r>
          </w:p>
          <w:p w14:paraId="1FA92C76" w14:textId="5300357F" w:rsidR="0037241E" w:rsidRPr="00EE0F1B" w:rsidRDefault="001D622B" w:rsidP="008D0D20">
            <w:pPr>
              <w:pStyle w:val="ListParagraph"/>
              <w:numPr>
                <w:ilvl w:val="2"/>
                <w:numId w:val="1"/>
              </w:numPr>
              <w:tabs>
                <w:tab w:val="left" w:pos="1793"/>
              </w:tabs>
              <w:ind w:left="707"/>
            </w:pPr>
            <w:r w:rsidRPr="008D0D20">
              <w:t>Reports of use of threat of physical force or criminal sanctions to compel believers or non-believers to adhere to a specific religion or belief</w:t>
            </w:r>
          </w:p>
        </w:tc>
      </w:tr>
      <w:tr w:rsidR="0059029D" w14:paraId="0E053712" w14:textId="77777777" w:rsidTr="003468AC">
        <w:trPr>
          <w:gridAfter w:val="1"/>
          <w:wAfter w:w="16" w:type="dxa"/>
          <w:trHeight w:val="60"/>
        </w:trPr>
        <w:tc>
          <w:tcPr>
            <w:tcW w:w="4860" w:type="dxa"/>
            <w:vMerge/>
            <w:tcBorders>
              <w:top w:val="single" w:sz="4" w:space="0" w:color="auto"/>
              <w:left w:val="single" w:sz="4" w:space="0" w:color="auto"/>
              <w:bottom w:val="single" w:sz="4" w:space="0" w:color="auto"/>
              <w:right w:val="single" w:sz="4" w:space="0" w:color="auto"/>
            </w:tcBorders>
            <w:shd w:val="clear" w:color="auto" w:fill="auto"/>
          </w:tcPr>
          <w:p w14:paraId="115642E3" w14:textId="5C1D89C2" w:rsidR="0059029D" w:rsidRPr="00EE0F1B" w:rsidRDefault="0059029D" w:rsidP="004E70CE">
            <w:pPr>
              <w:pStyle w:val="ListParagraph"/>
              <w:ind w:left="341" w:right="346"/>
              <w:jc w:val="both"/>
            </w:pPr>
          </w:p>
        </w:tc>
        <w:tc>
          <w:tcPr>
            <w:tcW w:w="4050" w:type="dxa"/>
            <w:tcBorders>
              <w:top w:val="single" w:sz="4" w:space="0" w:color="auto"/>
              <w:left w:val="single" w:sz="4" w:space="0" w:color="auto"/>
              <w:bottom w:val="single" w:sz="4" w:space="0" w:color="auto"/>
              <w:right w:val="single" w:sz="4" w:space="0" w:color="auto"/>
            </w:tcBorders>
            <w:shd w:val="clear" w:color="auto" w:fill="auto"/>
          </w:tcPr>
          <w:p w14:paraId="3550B563" w14:textId="070654F5" w:rsidR="0059029D" w:rsidRPr="008D0D20" w:rsidRDefault="008A2B57" w:rsidP="008D0D20">
            <w:pPr>
              <w:pStyle w:val="ListParagraph"/>
              <w:numPr>
                <w:ilvl w:val="1"/>
                <w:numId w:val="1"/>
              </w:numPr>
              <w:ind w:left="347"/>
            </w:pPr>
            <w:r>
              <w:t xml:space="preserve">Public reporting of data on the </w:t>
            </w:r>
            <w:r w:rsidR="0059029D">
              <w:t xml:space="preserve">monitoring </w:t>
            </w:r>
            <w:r>
              <w:t xml:space="preserve">and processing of </w:t>
            </w:r>
            <w:r w:rsidR="0059029D">
              <w:t>incidents</w:t>
            </w:r>
            <w:r w:rsidR="0059029D" w:rsidRPr="008D0D20">
              <w:t xml:space="preserve"> </w:t>
            </w:r>
            <w:r w:rsidR="0059029D">
              <w:t xml:space="preserve">of </w:t>
            </w:r>
            <w:r w:rsidR="00C23490">
              <w:t xml:space="preserve">coercion </w:t>
            </w:r>
            <w:r w:rsidR="0059029D">
              <w:t>involving religion or belief</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744B7645" w14:textId="6556F4F0" w:rsidR="0059029D" w:rsidRPr="00EE0F1B" w:rsidRDefault="0059029D" w:rsidP="008D0D20">
            <w:pPr>
              <w:pStyle w:val="ListParagraph"/>
              <w:numPr>
                <w:ilvl w:val="2"/>
                <w:numId w:val="1"/>
              </w:numPr>
              <w:tabs>
                <w:tab w:val="left" w:pos="1793"/>
              </w:tabs>
              <w:ind w:left="707"/>
            </w:pPr>
            <w:r w:rsidRPr="008D0D20">
              <w:rPr>
                <w:color w:val="000000"/>
              </w:rPr>
              <w:t>Reports of mandatory disclosure of religious</w:t>
            </w:r>
            <w:r w:rsidR="0037241E">
              <w:rPr>
                <w:color w:val="000000"/>
              </w:rPr>
              <w:t xml:space="preserve"> or belief</w:t>
            </w:r>
            <w:r w:rsidRPr="008D0D20">
              <w:rPr>
                <w:color w:val="000000"/>
              </w:rPr>
              <w:t xml:space="preserve"> identity for the purposes of engaging in public life, accessing benefits, services and opportunities available to the public</w:t>
            </w:r>
          </w:p>
        </w:tc>
      </w:tr>
      <w:tr w:rsidR="0059029D" w14:paraId="147D88AF" w14:textId="77777777" w:rsidTr="003468AC">
        <w:trPr>
          <w:gridAfter w:val="1"/>
          <w:wAfter w:w="16" w:type="dxa"/>
          <w:trHeight w:val="52"/>
        </w:trPr>
        <w:tc>
          <w:tcPr>
            <w:tcW w:w="4860" w:type="dxa"/>
            <w:vMerge/>
            <w:tcBorders>
              <w:top w:val="single" w:sz="4" w:space="0" w:color="auto"/>
              <w:left w:val="single" w:sz="4" w:space="0" w:color="auto"/>
              <w:bottom w:val="single" w:sz="4" w:space="0" w:color="auto"/>
              <w:right w:val="single" w:sz="4" w:space="0" w:color="auto"/>
            </w:tcBorders>
            <w:shd w:val="clear" w:color="auto" w:fill="auto"/>
          </w:tcPr>
          <w:p w14:paraId="567BC091" w14:textId="77777777" w:rsidR="0059029D" w:rsidRPr="008E3296" w:rsidRDefault="0059029D" w:rsidP="0059029D">
            <w:pPr>
              <w:tabs>
                <w:tab w:val="left" w:pos="1861"/>
              </w:tabs>
            </w:pPr>
          </w:p>
        </w:tc>
        <w:tc>
          <w:tcPr>
            <w:tcW w:w="4050" w:type="dxa"/>
            <w:vMerge w:val="restart"/>
            <w:tcBorders>
              <w:top w:val="single" w:sz="4" w:space="0" w:color="auto"/>
              <w:left w:val="single" w:sz="4" w:space="0" w:color="auto"/>
              <w:bottom w:val="single" w:sz="4" w:space="0" w:color="auto"/>
              <w:right w:val="single" w:sz="4" w:space="0" w:color="auto"/>
            </w:tcBorders>
            <w:shd w:val="clear" w:color="auto" w:fill="auto"/>
          </w:tcPr>
          <w:p w14:paraId="649764D9" w14:textId="2E2F51D5" w:rsidR="0059029D" w:rsidRPr="00ED6D40" w:rsidRDefault="00B77FFA" w:rsidP="0059029D">
            <w:pPr>
              <w:pStyle w:val="ListParagraph"/>
              <w:numPr>
                <w:ilvl w:val="1"/>
                <w:numId w:val="1"/>
              </w:numPr>
              <w:tabs>
                <w:tab w:val="left" w:pos="1587"/>
              </w:tabs>
              <w:ind w:left="347"/>
            </w:pPr>
            <w:r w:rsidRPr="00ED6D40">
              <w:t xml:space="preserve">Training for </w:t>
            </w:r>
            <w:r>
              <w:t xml:space="preserve">public </w:t>
            </w:r>
            <w:r w:rsidRPr="00ED6D40">
              <w:t>officials on international standards on</w:t>
            </w:r>
            <w:r w:rsidR="00C23490">
              <w:t xml:space="preserve"> protection against coercion </w:t>
            </w:r>
            <w:r w:rsidRPr="00ED6D40">
              <w:t xml:space="preserve">in </w:t>
            </w:r>
            <w:r w:rsidR="0059029D" w:rsidRPr="00ED6D40">
              <w:t>the</w:t>
            </w:r>
            <w:r w:rsidR="001D622B" w:rsidRPr="00ED6D40">
              <w:t xml:space="preserve"> </w:t>
            </w:r>
            <w:r w:rsidR="0059029D" w:rsidRPr="00ED6D40">
              <w:t xml:space="preserve">enjoyment of civil, political, economic, social and cultural rights </w:t>
            </w:r>
            <w:bookmarkStart w:id="0" w:name="_GoBack"/>
            <w:bookmarkEnd w:id="0"/>
          </w:p>
        </w:tc>
        <w:tc>
          <w:tcPr>
            <w:tcW w:w="5670" w:type="dxa"/>
            <w:tcBorders>
              <w:top w:val="single" w:sz="4" w:space="0" w:color="auto"/>
              <w:left w:val="single" w:sz="4" w:space="0" w:color="auto"/>
              <w:right w:val="single" w:sz="4" w:space="0" w:color="auto"/>
            </w:tcBorders>
            <w:shd w:val="clear" w:color="auto" w:fill="auto"/>
          </w:tcPr>
          <w:p w14:paraId="1F04C16F" w14:textId="31979436" w:rsidR="0059029D" w:rsidRPr="008D0D20" w:rsidRDefault="0059029D" w:rsidP="0059029D">
            <w:pPr>
              <w:pStyle w:val="ListParagraph"/>
              <w:numPr>
                <w:ilvl w:val="2"/>
                <w:numId w:val="1"/>
              </w:numPr>
              <w:ind w:left="707"/>
            </w:pPr>
            <w:r w:rsidRPr="008D0D20">
              <w:t>Number of complaints that a person is unable to freely marry in accordance with their religion or belief</w:t>
            </w:r>
          </w:p>
        </w:tc>
      </w:tr>
      <w:tr w:rsidR="0059029D" w14:paraId="60F4E1C0" w14:textId="77777777" w:rsidTr="003468AC">
        <w:trPr>
          <w:gridAfter w:val="1"/>
          <w:wAfter w:w="16" w:type="dxa"/>
          <w:trHeight w:val="52"/>
        </w:trPr>
        <w:tc>
          <w:tcPr>
            <w:tcW w:w="4860" w:type="dxa"/>
            <w:vMerge/>
            <w:tcBorders>
              <w:top w:val="single" w:sz="4" w:space="0" w:color="auto"/>
              <w:left w:val="single" w:sz="4" w:space="0" w:color="auto"/>
              <w:bottom w:val="single" w:sz="4" w:space="0" w:color="auto"/>
              <w:right w:val="single" w:sz="4" w:space="0" w:color="auto"/>
            </w:tcBorders>
            <w:shd w:val="clear" w:color="auto" w:fill="auto"/>
          </w:tcPr>
          <w:p w14:paraId="06EF6895" w14:textId="27791518" w:rsidR="0059029D" w:rsidRPr="008E3296" w:rsidRDefault="0059029D" w:rsidP="0059029D">
            <w:pPr>
              <w:tabs>
                <w:tab w:val="left" w:pos="1861"/>
              </w:tabs>
            </w:pPr>
          </w:p>
        </w:tc>
        <w:tc>
          <w:tcPr>
            <w:tcW w:w="4050" w:type="dxa"/>
            <w:vMerge/>
            <w:tcBorders>
              <w:top w:val="single" w:sz="4" w:space="0" w:color="auto"/>
              <w:left w:val="single" w:sz="4" w:space="0" w:color="auto"/>
              <w:bottom w:val="single" w:sz="4" w:space="0" w:color="auto"/>
              <w:right w:val="single" w:sz="4" w:space="0" w:color="auto"/>
            </w:tcBorders>
            <w:shd w:val="clear" w:color="auto" w:fill="auto"/>
          </w:tcPr>
          <w:p w14:paraId="298BE09D" w14:textId="0F246A81" w:rsidR="0059029D" w:rsidRPr="008D0D20" w:rsidRDefault="0059029D" w:rsidP="0059029D">
            <w:pPr>
              <w:pStyle w:val="ListParagraph"/>
              <w:numPr>
                <w:ilvl w:val="1"/>
                <w:numId w:val="1"/>
              </w:numPr>
              <w:tabs>
                <w:tab w:val="left" w:pos="1587"/>
              </w:tabs>
              <w:ind w:left="347"/>
            </w:pPr>
          </w:p>
        </w:tc>
        <w:tc>
          <w:tcPr>
            <w:tcW w:w="5670" w:type="dxa"/>
            <w:tcBorders>
              <w:left w:val="single" w:sz="4" w:space="0" w:color="auto"/>
              <w:right w:val="single" w:sz="4" w:space="0" w:color="auto"/>
            </w:tcBorders>
            <w:shd w:val="clear" w:color="auto" w:fill="auto"/>
          </w:tcPr>
          <w:p w14:paraId="276A9DFC" w14:textId="5D8952E4" w:rsidR="0037241E" w:rsidRPr="0037241E" w:rsidRDefault="001D622B" w:rsidP="0037241E">
            <w:pPr>
              <w:pStyle w:val="ListParagraph"/>
              <w:numPr>
                <w:ilvl w:val="2"/>
                <w:numId w:val="13"/>
              </w:numPr>
            </w:pPr>
            <w:r>
              <w:rPr>
                <w:color w:val="000000"/>
              </w:rPr>
              <w:t>Reports that the c</w:t>
            </w:r>
            <w:r w:rsidR="0059029D" w:rsidRPr="00B76D8E">
              <w:rPr>
                <w:color w:val="000000"/>
              </w:rPr>
              <w:t xml:space="preserve">ustody of children </w:t>
            </w:r>
            <w:r>
              <w:rPr>
                <w:color w:val="000000"/>
              </w:rPr>
              <w:t xml:space="preserve">is </w:t>
            </w:r>
            <w:r w:rsidR="0037241E">
              <w:rPr>
                <w:color w:val="000000"/>
              </w:rPr>
              <w:t>determined</w:t>
            </w:r>
            <w:r w:rsidR="0059029D" w:rsidRPr="00B76D8E">
              <w:rPr>
                <w:color w:val="000000"/>
              </w:rPr>
              <w:t xml:space="preserve"> on the </w:t>
            </w:r>
            <w:r w:rsidR="0037241E">
              <w:rPr>
                <w:color w:val="000000"/>
              </w:rPr>
              <w:t xml:space="preserve">basis of the </w:t>
            </w:r>
            <w:r w:rsidR="0059029D" w:rsidRPr="00B76D8E">
              <w:rPr>
                <w:color w:val="000000"/>
              </w:rPr>
              <w:t>religious or belief identit</w:t>
            </w:r>
            <w:r>
              <w:rPr>
                <w:color w:val="000000"/>
              </w:rPr>
              <w:t>y</w:t>
            </w:r>
            <w:r w:rsidR="0059029D" w:rsidRPr="00B76D8E">
              <w:rPr>
                <w:color w:val="000000"/>
              </w:rPr>
              <w:t xml:space="preserve"> of parents</w:t>
            </w:r>
          </w:p>
          <w:p w14:paraId="7634C19F" w14:textId="68A1DBAC" w:rsidR="0037241E" w:rsidRPr="00B76D8E" w:rsidRDefault="001D622B" w:rsidP="00B76D8E">
            <w:pPr>
              <w:pStyle w:val="ListParagraph"/>
              <w:numPr>
                <w:ilvl w:val="2"/>
                <w:numId w:val="13"/>
              </w:numPr>
            </w:pPr>
            <w:r>
              <w:t>Reports that state services are restricted on the basis of religion or belief</w:t>
            </w:r>
          </w:p>
        </w:tc>
      </w:tr>
      <w:tr w:rsidR="0059029D" w14:paraId="55E72198" w14:textId="77777777" w:rsidTr="003468AC">
        <w:trPr>
          <w:gridAfter w:val="1"/>
          <w:wAfter w:w="16" w:type="dxa"/>
          <w:trHeight w:val="61"/>
        </w:trPr>
        <w:tc>
          <w:tcPr>
            <w:tcW w:w="4860" w:type="dxa"/>
            <w:vMerge/>
            <w:tcBorders>
              <w:top w:val="single" w:sz="4" w:space="0" w:color="auto"/>
              <w:left w:val="single" w:sz="4" w:space="0" w:color="auto"/>
              <w:bottom w:val="single" w:sz="4" w:space="0" w:color="auto"/>
              <w:right w:val="single" w:sz="4" w:space="0" w:color="auto"/>
            </w:tcBorders>
            <w:shd w:val="clear" w:color="auto" w:fill="auto"/>
          </w:tcPr>
          <w:p w14:paraId="69AD22D8" w14:textId="77777777" w:rsidR="0059029D" w:rsidRPr="008E3296" w:rsidRDefault="0059029D" w:rsidP="0059029D"/>
        </w:tc>
        <w:tc>
          <w:tcPr>
            <w:tcW w:w="4050" w:type="dxa"/>
            <w:vMerge/>
            <w:tcBorders>
              <w:top w:val="single" w:sz="4" w:space="0" w:color="auto"/>
              <w:left w:val="single" w:sz="4" w:space="0" w:color="auto"/>
              <w:bottom w:val="single" w:sz="4" w:space="0" w:color="auto"/>
              <w:right w:val="single" w:sz="4" w:space="0" w:color="auto"/>
            </w:tcBorders>
            <w:shd w:val="clear" w:color="auto" w:fill="auto"/>
          </w:tcPr>
          <w:p w14:paraId="321EA198" w14:textId="28C325BF" w:rsidR="0059029D" w:rsidRPr="008E3296" w:rsidRDefault="0059029D" w:rsidP="0059029D">
            <w:pPr>
              <w:ind w:left="437" w:hanging="463"/>
            </w:pPr>
          </w:p>
        </w:tc>
        <w:tc>
          <w:tcPr>
            <w:tcW w:w="5670" w:type="dxa"/>
            <w:tcBorders>
              <w:left w:val="single" w:sz="4" w:space="0" w:color="auto"/>
              <w:bottom w:val="single" w:sz="4" w:space="0" w:color="auto"/>
              <w:right w:val="single" w:sz="4" w:space="0" w:color="auto"/>
            </w:tcBorders>
            <w:shd w:val="clear" w:color="auto" w:fill="auto"/>
          </w:tcPr>
          <w:p w14:paraId="5C2A17FD" w14:textId="0423230E" w:rsidR="0059029D" w:rsidRPr="00B76D8E" w:rsidRDefault="0059029D" w:rsidP="0037241E">
            <w:pPr>
              <w:pStyle w:val="ListParagraph"/>
              <w:ind w:left="720"/>
              <w:rPr>
                <w:color w:val="000000"/>
              </w:rPr>
            </w:pPr>
          </w:p>
        </w:tc>
      </w:tr>
      <w:tr w:rsidR="0059029D" w14:paraId="52ED2DAC" w14:textId="77777777" w:rsidTr="003468AC">
        <w:trPr>
          <w:gridAfter w:val="1"/>
          <w:wAfter w:w="16" w:type="dxa"/>
          <w:trHeight w:val="60"/>
        </w:trPr>
        <w:tc>
          <w:tcPr>
            <w:tcW w:w="4860" w:type="dxa"/>
            <w:vMerge/>
            <w:tcBorders>
              <w:top w:val="single" w:sz="4" w:space="0" w:color="auto"/>
              <w:left w:val="single" w:sz="4" w:space="0" w:color="auto"/>
              <w:bottom w:val="single" w:sz="4" w:space="0" w:color="auto"/>
              <w:right w:val="single" w:sz="4" w:space="0" w:color="auto"/>
            </w:tcBorders>
            <w:shd w:val="clear" w:color="auto" w:fill="auto"/>
          </w:tcPr>
          <w:p w14:paraId="2ECDF404" w14:textId="77777777" w:rsidR="0059029D" w:rsidRPr="008E3296" w:rsidRDefault="0059029D" w:rsidP="0059029D"/>
        </w:tc>
        <w:tc>
          <w:tcPr>
            <w:tcW w:w="4050" w:type="dxa"/>
            <w:tcBorders>
              <w:top w:val="single" w:sz="4" w:space="0" w:color="auto"/>
              <w:left w:val="single" w:sz="4" w:space="0" w:color="auto"/>
              <w:bottom w:val="single" w:sz="4" w:space="0" w:color="auto"/>
              <w:right w:val="single" w:sz="4" w:space="0" w:color="auto"/>
            </w:tcBorders>
            <w:shd w:val="clear" w:color="auto" w:fill="auto"/>
          </w:tcPr>
          <w:p w14:paraId="2E170589" w14:textId="4CC1369A" w:rsidR="0059029D" w:rsidRPr="0059029D" w:rsidRDefault="008A2B57" w:rsidP="0059029D">
            <w:pPr>
              <w:pStyle w:val="ListParagraph"/>
              <w:numPr>
                <w:ilvl w:val="1"/>
                <w:numId w:val="12"/>
              </w:numPr>
            </w:pPr>
            <w:r>
              <w:t xml:space="preserve">Data on dissemination of  guidance </w:t>
            </w:r>
            <w:r w:rsidR="0059029D" w:rsidRPr="0059029D">
              <w:t xml:space="preserve"> </w:t>
            </w:r>
            <w:r>
              <w:t xml:space="preserve">to public bodies on </w:t>
            </w:r>
            <w:r w:rsidR="0059029D" w:rsidRPr="0059029D">
              <w:t>ensur</w:t>
            </w:r>
            <w:r>
              <w:t>ing</w:t>
            </w:r>
            <w:r w:rsidR="0059029D" w:rsidRPr="0059029D">
              <w:t xml:space="preserve"> that people </w:t>
            </w:r>
            <w:r w:rsidR="0059029D" w:rsidRPr="0059029D">
              <w:rPr>
                <w:color w:val="000000"/>
              </w:rPr>
              <w:t xml:space="preserve">are not compelled to wear symbols or </w:t>
            </w:r>
            <w:r w:rsidR="0059029D" w:rsidRPr="0059029D">
              <w:rPr>
                <w:bCs/>
                <w:color w:val="000000"/>
              </w:rPr>
              <w:t xml:space="preserve">religious dress, </w:t>
            </w:r>
            <w:r w:rsidR="0059029D" w:rsidRPr="0059029D">
              <w:rPr>
                <w:color w:val="000000"/>
              </w:rPr>
              <w:t xml:space="preserve">or forced to observe </w:t>
            </w:r>
            <w:r w:rsidR="0059029D" w:rsidRPr="0059029D">
              <w:t xml:space="preserve">rites, rituals, or holidays of religions or beliefs with which they do not identify (e.g. </w:t>
            </w:r>
            <w:r w:rsidR="001D622B">
              <w:t>the</w:t>
            </w:r>
            <w:r w:rsidR="0059029D" w:rsidRPr="0059029D">
              <w:t xml:space="preserve"> majority religion or belief</w:t>
            </w:r>
            <w:r w:rsidR="001D622B">
              <w:t xml:space="preserve"> of a State</w:t>
            </w:r>
            <w:r w:rsidR="0059029D" w:rsidRPr="0059029D">
              <w:t>)</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443C2891" w14:textId="44917930" w:rsidR="0059029D" w:rsidRPr="008D0D20" w:rsidRDefault="0037241E" w:rsidP="001D622B">
            <w:pPr>
              <w:pStyle w:val="ListParagraph"/>
              <w:numPr>
                <w:ilvl w:val="2"/>
                <w:numId w:val="12"/>
              </w:numPr>
              <w:rPr>
                <w:color w:val="000000"/>
              </w:rPr>
            </w:pPr>
            <w:r w:rsidRPr="00B76D8E">
              <w:rPr>
                <w:bCs/>
              </w:rPr>
              <w:t>Reports of</w:t>
            </w:r>
            <w:r w:rsidRPr="00B76D8E">
              <w:rPr>
                <w:b/>
              </w:rPr>
              <w:t xml:space="preserve"> </w:t>
            </w:r>
            <w:r w:rsidRPr="00B76D8E">
              <w:rPr>
                <w:bCs/>
              </w:rPr>
              <w:t>m</w:t>
            </w:r>
            <w:r w:rsidRPr="00B76D8E">
              <w:rPr>
                <w:bCs/>
                <w:color w:val="000000"/>
              </w:rPr>
              <w:t>andatory religious dress in school</w:t>
            </w:r>
            <w:r w:rsidR="00AF455E">
              <w:rPr>
                <w:bCs/>
                <w:color w:val="000000"/>
              </w:rPr>
              <w:t>s</w:t>
            </w:r>
            <w:r w:rsidRPr="00B76D8E">
              <w:rPr>
                <w:bCs/>
                <w:color w:val="000000"/>
              </w:rPr>
              <w:t xml:space="preserve"> or </w:t>
            </w:r>
            <w:r w:rsidR="001D622B">
              <w:rPr>
                <w:bCs/>
                <w:color w:val="000000"/>
              </w:rPr>
              <w:t>other public places</w:t>
            </w:r>
            <w:r>
              <w:rPr>
                <w:color w:val="000000"/>
              </w:rPr>
              <w:t xml:space="preserve"> </w:t>
            </w:r>
          </w:p>
        </w:tc>
      </w:tr>
      <w:tr w:rsidR="0059029D" w14:paraId="51988C0B" w14:textId="77777777" w:rsidTr="003468AC">
        <w:trPr>
          <w:gridAfter w:val="1"/>
          <w:wAfter w:w="16" w:type="dxa"/>
          <w:trHeight w:val="1041"/>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5A1B7337" w14:textId="5E53363C" w:rsidR="0059029D" w:rsidRPr="001E58E5" w:rsidRDefault="0059029D" w:rsidP="001E58E5">
            <w:pPr>
              <w:pStyle w:val="ListParagraph"/>
              <w:numPr>
                <w:ilvl w:val="0"/>
                <w:numId w:val="12"/>
              </w:numPr>
              <w:ind w:right="346"/>
            </w:pPr>
            <w:r w:rsidRPr="001E58E5">
              <w:t>Legal guarantees of protection for the right to privacy</w:t>
            </w:r>
            <w:r w:rsidR="00AF455E">
              <w:t xml:space="preserve"> and expression</w:t>
            </w:r>
          </w:p>
        </w:tc>
        <w:tc>
          <w:tcPr>
            <w:tcW w:w="4050" w:type="dxa"/>
            <w:tcBorders>
              <w:top w:val="single" w:sz="4" w:space="0" w:color="auto"/>
              <w:left w:val="single" w:sz="4" w:space="0" w:color="auto"/>
              <w:bottom w:val="single" w:sz="4" w:space="0" w:color="auto"/>
              <w:right w:val="single" w:sz="4" w:space="0" w:color="auto"/>
            </w:tcBorders>
            <w:shd w:val="clear" w:color="auto" w:fill="auto"/>
          </w:tcPr>
          <w:p w14:paraId="22A14629" w14:textId="34739941" w:rsidR="00382469" w:rsidRPr="00382469" w:rsidRDefault="0059029D">
            <w:pPr>
              <w:pStyle w:val="ListParagraph"/>
              <w:numPr>
                <w:ilvl w:val="1"/>
                <w:numId w:val="32"/>
              </w:numPr>
            </w:pPr>
            <w:r w:rsidRPr="001E58E5">
              <w:t xml:space="preserve">Effective systems </w:t>
            </w:r>
            <w:r w:rsidR="005E3BC8">
              <w:t xml:space="preserve">for </w:t>
            </w:r>
            <w:r w:rsidRPr="001E58E5">
              <w:t>data protection</w:t>
            </w:r>
            <w:r w:rsidR="005E3BC8">
              <w:t xml:space="preserve"> online and offline, </w:t>
            </w:r>
            <w:r w:rsidRPr="001E58E5">
              <w:t xml:space="preserve">including protection for individuals not to disclose their religion or belief </w:t>
            </w:r>
          </w:p>
          <w:p w14:paraId="6A1FEAF5" w14:textId="1161123B" w:rsidR="005E3BC8" w:rsidRPr="005E3BC8" w:rsidRDefault="005E3BC8" w:rsidP="005E3BC8">
            <w:pPr>
              <w:pStyle w:val="ListParagraph"/>
              <w:numPr>
                <w:ilvl w:val="1"/>
                <w:numId w:val="32"/>
              </w:numPr>
            </w:pPr>
            <w:r>
              <w:t xml:space="preserve">Provision of training and public awareness </w:t>
            </w:r>
            <w:proofErr w:type="spellStart"/>
            <w:r>
              <w:t>programmes</w:t>
            </w:r>
            <w:proofErr w:type="spellEnd"/>
            <w:r>
              <w:t xml:space="preserve"> on digital literacy</w:t>
            </w:r>
          </w:p>
        </w:tc>
        <w:tc>
          <w:tcPr>
            <w:tcW w:w="5670" w:type="dxa"/>
            <w:tcBorders>
              <w:top w:val="double" w:sz="4" w:space="0" w:color="auto"/>
              <w:left w:val="single" w:sz="4" w:space="0" w:color="auto"/>
              <w:bottom w:val="single" w:sz="4" w:space="0" w:color="auto"/>
              <w:right w:val="single" w:sz="4" w:space="0" w:color="auto"/>
            </w:tcBorders>
            <w:shd w:val="clear" w:color="auto" w:fill="auto"/>
          </w:tcPr>
          <w:p w14:paraId="65859B02" w14:textId="6873782E" w:rsidR="0059029D" w:rsidRPr="001E58E5" w:rsidRDefault="0059029D" w:rsidP="001E58E5">
            <w:pPr>
              <w:pStyle w:val="ListParagraph"/>
              <w:numPr>
                <w:ilvl w:val="2"/>
                <w:numId w:val="32"/>
              </w:numPr>
            </w:pPr>
            <w:r w:rsidRPr="001E58E5">
              <w:t>Reports of persons arrested, detained or charged with blasphemy</w:t>
            </w:r>
            <w:r w:rsidR="001D622B" w:rsidRPr="001E58E5">
              <w:t>,</w:t>
            </w:r>
            <w:r w:rsidRPr="001E58E5">
              <w:t xml:space="preserve"> apostasy or using material</w:t>
            </w:r>
            <w:r w:rsidR="00D25E20" w:rsidRPr="001E58E5">
              <w:t>s</w:t>
            </w:r>
            <w:r w:rsidRPr="001E58E5">
              <w:t xml:space="preserve"> related to a religion or belief</w:t>
            </w:r>
          </w:p>
        </w:tc>
      </w:tr>
      <w:tr w:rsidR="0059029D" w14:paraId="7E208ADD" w14:textId="77777777" w:rsidTr="001262F6">
        <w:trPr>
          <w:gridAfter w:val="1"/>
          <w:wAfter w:w="16" w:type="dxa"/>
          <w:trHeight w:val="512"/>
        </w:trPr>
        <w:tc>
          <w:tcPr>
            <w:tcW w:w="4860" w:type="dxa"/>
            <w:vMerge w:val="restart"/>
            <w:tcBorders>
              <w:top w:val="single" w:sz="4" w:space="0" w:color="auto"/>
              <w:left w:val="single" w:sz="4" w:space="0" w:color="auto"/>
              <w:right w:val="single" w:sz="4" w:space="0" w:color="auto"/>
            </w:tcBorders>
            <w:shd w:val="clear" w:color="auto" w:fill="auto"/>
          </w:tcPr>
          <w:p w14:paraId="4D951892" w14:textId="77777777" w:rsidR="0059029D" w:rsidRPr="008E3296" w:rsidRDefault="0059029D" w:rsidP="0059029D">
            <w:pPr>
              <w:ind w:right="346"/>
            </w:pPr>
          </w:p>
          <w:p w14:paraId="08CB7D66" w14:textId="1F8B8142" w:rsidR="0059029D" w:rsidRPr="006E75FB" w:rsidRDefault="0059029D" w:rsidP="001E58E5">
            <w:pPr>
              <w:pStyle w:val="ListParagraph"/>
              <w:numPr>
                <w:ilvl w:val="0"/>
                <w:numId w:val="32"/>
              </w:numPr>
              <w:ind w:right="346"/>
            </w:pPr>
            <w:r w:rsidRPr="006E75FB">
              <w:t>Legal guarantee of equality before the law for all persons</w:t>
            </w:r>
          </w:p>
        </w:tc>
        <w:tc>
          <w:tcPr>
            <w:tcW w:w="4050" w:type="dxa"/>
            <w:vMerge w:val="restart"/>
            <w:tcBorders>
              <w:top w:val="single" w:sz="4" w:space="0" w:color="auto"/>
              <w:left w:val="single" w:sz="4" w:space="0" w:color="auto"/>
              <w:right w:val="single" w:sz="4" w:space="0" w:color="auto"/>
            </w:tcBorders>
            <w:shd w:val="clear" w:color="auto" w:fill="auto"/>
          </w:tcPr>
          <w:p w14:paraId="668DF747" w14:textId="77777777" w:rsidR="0059029D" w:rsidRPr="008E3296" w:rsidRDefault="0059029D" w:rsidP="0059029D"/>
          <w:p w14:paraId="44576FFB" w14:textId="17F91683" w:rsidR="00382469" w:rsidRPr="00382469" w:rsidRDefault="00FB034F">
            <w:pPr>
              <w:pStyle w:val="ListParagraph"/>
              <w:numPr>
                <w:ilvl w:val="1"/>
                <w:numId w:val="10"/>
              </w:numPr>
            </w:pPr>
            <w:r>
              <w:t>Training for equality bodies on</w:t>
            </w:r>
            <w:r w:rsidR="0059029D" w:rsidRPr="006E75FB">
              <w:t xml:space="preserve"> investigating and addressing incidents of discrimination, hostility or violence in the name of, or on the basis of</w:t>
            </w:r>
            <w:r w:rsidR="001D622B">
              <w:t>,</w:t>
            </w:r>
            <w:r w:rsidR="0059029D" w:rsidRPr="006E75FB">
              <w:t xml:space="preserve"> the perceived or actual religious or belief identities of individuals or groups</w:t>
            </w:r>
          </w:p>
          <w:p w14:paraId="032E6816" w14:textId="0081B74F" w:rsidR="00FB034F" w:rsidRDefault="00FB034F" w:rsidP="0059029D">
            <w:pPr>
              <w:pStyle w:val="ListParagraph"/>
              <w:numPr>
                <w:ilvl w:val="1"/>
                <w:numId w:val="10"/>
              </w:numPr>
            </w:pPr>
            <w:r>
              <w:t>Publication of data regularly by equality bodies on their caseload and performance</w:t>
            </w:r>
          </w:p>
          <w:p w14:paraId="01967319" w14:textId="1F1997DA" w:rsidR="00FB034F" w:rsidRPr="006E75FB" w:rsidRDefault="00804E06" w:rsidP="0059029D">
            <w:pPr>
              <w:pStyle w:val="ListParagraph"/>
              <w:numPr>
                <w:ilvl w:val="1"/>
                <w:numId w:val="10"/>
              </w:numPr>
            </w:pPr>
            <w:r w:rsidRPr="00804E06">
              <w:t xml:space="preserve">Proportion of victims of alleged discrimination provided with legal aid in any such case </w:t>
            </w:r>
            <w:r>
              <w:t>that a victim</w:t>
            </w:r>
            <w:r w:rsidRPr="00804E06">
              <w:t xml:space="preserve"> does not have sufficient means to pay for it</w:t>
            </w:r>
          </w:p>
        </w:tc>
        <w:tc>
          <w:tcPr>
            <w:tcW w:w="5670" w:type="dxa"/>
            <w:tcBorders>
              <w:top w:val="single" w:sz="4" w:space="0" w:color="auto"/>
              <w:left w:val="single" w:sz="4" w:space="0" w:color="auto"/>
              <w:right w:val="single" w:sz="4" w:space="0" w:color="auto"/>
            </w:tcBorders>
            <w:shd w:val="clear" w:color="auto" w:fill="auto"/>
          </w:tcPr>
          <w:p w14:paraId="03CA2CAD" w14:textId="46CDCF44" w:rsidR="0059029D" w:rsidRPr="0047259B" w:rsidRDefault="0059029D" w:rsidP="0059029D">
            <w:pPr>
              <w:pStyle w:val="ListParagraph"/>
              <w:numPr>
                <w:ilvl w:val="2"/>
                <w:numId w:val="10"/>
              </w:numPr>
            </w:pPr>
            <w:r w:rsidRPr="0047259B">
              <w:t>Report</w:t>
            </w:r>
            <w:r w:rsidR="00D25E20">
              <w:t>s of</w:t>
            </w:r>
            <w:r w:rsidRPr="0047259B">
              <w:t xml:space="preserve"> incidents of discrimination, hostility or violence in the name of, or on the basis of</w:t>
            </w:r>
            <w:r w:rsidR="001D622B">
              <w:t>,</w:t>
            </w:r>
            <w:r w:rsidRPr="0047259B">
              <w:t xml:space="preserve"> </w:t>
            </w:r>
            <w:r w:rsidR="00D25E20">
              <w:t xml:space="preserve">the </w:t>
            </w:r>
            <w:r w:rsidRPr="0047259B">
              <w:t>religious or belief identit</w:t>
            </w:r>
            <w:r w:rsidR="00D25E20">
              <w:t>y</w:t>
            </w:r>
            <w:r w:rsidRPr="0047259B">
              <w:t xml:space="preserve"> of </w:t>
            </w:r>
            <w:r w:rsidR="00D25E20">
              <w:t xml:space="preserve">an </w:t>
            </w:r>
            <w:r w:rsidRPr="0047259B">
              <w:t xml:space="preserve">individual or group </w:t>
            </w:r>
          </w:p>
        </w:tc>
      </w:tr>
      <w:tr w:rsidR="0059029D" w14:paraId="2851520F" w14:textId="77777777" w:rsidTr="001262F6">
        <w:trPr>
          <w:gridAfter w:val="1"/>
          <w:wAfter w:w="16" w:type="dxa"/>
          <w:trHeight w:val="242"/>
        </w:trPr>
        <w:tc>
          <w:tcPr>
            <w:tcW w:w="4860" w:type="dxa"/>
            <w:vMerge/>
            <w:tcBorders>
              <w:left w:val="single" w:sz="4" w:space="0" w:color="auto"/>
              <w:right w:val="single" w:sz="4" w:space="0" w:color="auto"/>
            </w:tcBorders>
            <w:shd w:val="clear" w:color="auto" w:fill="auto"/>
          </w:tcPr>
          <w:p w14:paraId="35A1972A" w14:textId="77777777" w:rsidR="0059029D" w:rsidRPr="008E3296" w:rsidRDefault="0059029D" w:rsidP="0059029D"/>
        </w:tc>
        <w:tc>
          <w:tcPr>
            <w:tcW w:w="4050" w:type="dxa"/>
            <w:vMerge/>
            <w:tcBorders>
              <w:left w:val="single" w:sz="4" w:space="0" w:color="auto"/>
              <w:bottom w:val="single" w:sz="4" w:space="0" w:color="auto"/>
              <w:right w:val="single" w:sz="4" w:space="0" w:color="auto"/>
            </w:tcBorders>
            <w:shd w:val="clear" w:color="auto" w:fill="auto"/>
          </w:tcPr>
          <w:p w14:paraId="1330F203" w14:textId="77777777" w:rsidR="0059029D" w:rsidRPr="008E3296" w:rsidRDefault="0059029D" w:rsidP="0059029D"/>
        </w:tc>
        <w:tc>
          <w:tcPr>
            <w:tcW w:w="5670" w:type="dxa"/>
            <w:tcBorders>
              <w:left w:val="single" w:sz="4" w:space="0" w:color="auto"/>
              <w:right w:val="single" w:sz="4" w:space="0" w:color="auto"/>
            </w:tcBorders>
            <w:shd w:val="clear" w:color="auto" w:fill="auto"/>
          </w:tcPr>
          <w:p w14:paraId="57C12911" w14:textId="1670F8A0" w:rsidR="0059029D" w:rsidRPr="0047259B" w:rsidRDefault="0059029D" w:rsidP="0059029D">
            <w:pPr>
              <w:pStyle w:val="ListParagraph"/>
              <w:numPr>
                <w:ilvl w:val="2"/>
                <w:numId w:val="10"/>
              </w:numPr>
            </w:pPr>
            <w:r w:rsidRPr="0047259B">
              <w:t xml:space="preserve">Conviction rate </w:t>
            </w:r>
            <w:r w:rsidR="001D622B">
              <w:t>for</w:t>
            </w:r>
            <w:r w:rsidRPr="0047259B">
              <w:t xml:space="preserve"> </w:t>
            </w:r>
            <w:r w:rsidR="00D25E20">
              <w:t xml:space="preserve">prosecuted </w:t>
            </w:r>
            <w:r w:rsidRPr="0047259B">
              <w:t>incidents of discrimination, hostility or violence in the name of, or on the basis of</w:t>
            </w:r>
            <w:r w:rsidR="001D622B">
              <w:t>,</w:t>
            </w:r>
            <w:r w:rsidRPr="0047259B">
              <w:t xml:space="preserve"> religious or belief identit</w:t>
            </w:r>
            <w:r w:rsidR="00D25E20">
              <w:t>y</w:t>
            </w:r>
            <w:r w:rsidRPr="0047259B">
              <w:t xml:space="preserve"> of</w:t>
            </w:r>
            <w:r w:rsidR="00D25E20">
              <w:t xml:space="preserve"> an</w:t>
            </w:r>
            <w:r w:rsidRPr="0047259B">
              <w:t xml:space="preserve"> individual or group</w:t>
            </w:r>
            <w:r w:rsidR="00D25E20">
              <w:t xml:space="preserve"> </w:t>
            </w:r>
            <w:r w:rsidRPr="0047259B">
              <w:t xml:space="preserve"> </w:t>
            </w:r>
          </w:p>
        </w:tc>
      </w:tr>
      <w:tr w:rsidR="0059029D" w14:paraId="25A06998" w14:textId="77777777" w:rsidTr="001262F6">
        <w:trPr>
          <w:gridAfter w:val="1"/>
          <w:wAfter w:w="16" w:type="dxa"/>
          <w:trHeight w:val="242"/>
        </w:trPr>
        <w:tc>
          <w:tcPr>
            <w:tcW w:w="4860" w:type="dxa"/>
            <w:vMerge/>
            <w:tcBorders>
              <w:left w:val="single" w:sz="4" w:space="0" w:color="auto"/>
              <w:right w:val="single" w:sz="4" w:space="0" w:color="auto"/>
            </w:tcBorders>
            <w:shd w:val="clear" w:color="auto" w:fill="auto"/>
          </w:tcPr>
          <w:p w14:paraId="51ABABC4" w14:textId="77777777" w:rsidR="0059029D" w:rsidRPr="008E3296" w:rsidRDefault="0059029D" w:rsidP="0059029D"/>
        </w:tc>
        <w:tc>
          <w:tcPr>
            <w:tcW w:w="4050" w:type="dxa"/>
            <w:vMerge/>
            <w:tcBorders>
              <w:left w:val="single" w:sz="4" w:space="0" w:color="auto"/>
              <w:bottom w:val="single" w:sz="4" w:space="0" w:color="auto"/>
              <w:right w:val="single" w:sz="4" w:space="0" w:color="auto"/>
            </w:tcBorders>
            <w:shd w:val="clear" w:color="auto" w:fill="auto"/>
          </w:tcPr>
          <w:p w14:paraId="41E95B6A" w14:textId="77777777" w:rsidR="0059029D" w:rsidRPr="008E3296" w:rsidRDefault="0059029D" w:rsidP="0059029D"/>
        </w:tc>
        <w:tc>
          <w:tcPr>
            <w:tcW w:w="5670" w:type="dxa"/>
            <w:tcBorders>
              <w:left w:val="single" w:sz="4" w:space="0" w:color="auto"/>
              <w:right w:val="single" w:sz="4" w:space="0" w:color="auto"/>
            </w:tcBorders>
            <w:shd w:val="clear" w:color="auto" w:fill="auto"/>
          </w:tcPr>
          <w:p w14:paraId="3064C9D9" w14:textId="0E534D68" w:rsidR="0059029D" w:rsidRPr="0047259B" w:rsidRDefault="002A6E77" w:rsidP="0059029D">
            <w:pPr>
              <w:pStyle w:val="ListParagraph"/>
              <w:numPr>
                <w:ilvl w:val="2"/>
                <w:numId w:val="10"/>
              </w:numPr>
            </w:pPr>
            <w:r>
              <w:rPr>
                <w:bCs/>
              </w:rPr>
              <w:t>Proportion of c</w:t>
            </w:r>
            <w:r w:rsidR="0059029D" w:rsidRPr="0047259B">
              <w:rPr>
                <w:bCs/>
              </w:rPr>
              <w:t xml:space="preserve">omplaints of forced conversion </w:t>
            </w:r>
            <w:r>
              <w:rPr>
                <w:bCs/>
              </w:rPr>
              <w:t xml:space="preserve">that are </w:t>
            </w:r>
            <w:r w:rsidR="0059029D" w:rsidRPr="0047259B">
              <w:rPr>
                <w:bCs/>
              </w:rPr>
              <w:t>investigated</w:t>
            </w:r>
            <w:r w:rsidR="00D25E20">
              <w:rPr>
                <w:bCs/>
              </w:rPr>
              <w:t>,</w:t>
            </w:r>
            <w:r w:rsidR="0059029D" w:rsidRPr="0047259B">
              <w:rPr>
                <w:bCs/>
              </w:rPr>
              <w:t xml:space="preserve"> prosecuted</w:t>
            </w:r>
            <w:r w:rsidR="00D25E20">
              <w:rPr>
                <w:bCs/>
              </w:rPr>
              <w:t xml:space="preserve"> and result in conviction</w:t>
            </w:r>
          </w:p>
        </w:tc>
      </w:tr>
      <w:tr w:rsidR="0059029D" w14:paraId="734B4F0C" w14:textId="77777777" w:rsidTr="001A4ED1">
        <w:trPr>
          <w:gridAfter w:val="1"/>
          <w:wAfter w:w="16" w:type="dxa"/>
          <w:trHeight w:val="60"/>
        </w:trPr>
        <w:tc>
          <w:tcPr>
            <w:tcW w:w="4860" w:type="dxa"/>
            <w:vMerge/>
            <w:tcBorders>
              <w:left w:val="single" w:sz="4" w:space="0" w:color="auto"/>
              <w:bottom w:val="single" w:sz="4" w:space="0" w:color="auto"/>
              <w:right w:val="single" w:sz="4" w:space="0" w:color="auto"/>
            </w:tcBorders>
            <w:shd w:val="clear" w:color="auto" w:fill="auto"/>
          </w:tcPr>
          <w:p w14:paraId="74DEEFEC" w14:textId="77777777" w:rsidR="0059029D" w:rsidRPr="008E3296" w:rsidRDefault="0059029D" w:rsidP="0059029D"/>
        </w:tc>
        <w:tc>
          <w:tcPr>
            <w:tcW w:w="4050" w:type="dxa"/>
            <w:vMerge/>
            <w:tcBorders>
              <w:left w:val="single" w:sz="4" w:space="0" w:color="auto"/>
              <w:bottom w:val="single" w:sz="4" w:space="0" w:color="auto"/>
              <w:right w:val="single" w:sz="4" w:space="0" w:color="auto"/>
            </w:tcBorders>
            <w:shd w:val="clear" w:color="auto" w:fill="auto"/>
          </w:tcPr>
          <w:p w14:paraId="27A721F4" w14:textId="77777777" w:rsidR="0059029D" w:rsidRPr="008E3296" w:rsidRDefault="0059029D" w:rsidP="0059029D"/>
        </w:tc>
        <w:tc>
          <w:tcPr>
            <w:tcW w:w="5670" w:type="dxa"/>
            <w:tcBorders>
              <w:left w:val="single" w:sz="4" w:space="0" w:color="auto"/>
              <w:bottom w:val="single" w:sz="4" w:space="0" w:color="auto"/>
              <w:right w:val="single" w:sz="4" w:space="0" w:color="auto"/>
            </w:tcBorders>
            <w:shd w:val="clear" w:color="auto" w:fill="auto"/>
          </w:tcPr>
          <w:p w14:paraId="51CE52CC" w14:textId="74FBE3E4" w:rsidR="0059029D" w:rsidRPr="0047259B" w:rsidRDefault="0059029D" w:rsidP="0059029D">
            <w:pPr>
              <w:pStyle w:val="ListParagraph"/>
              <w:numPr>
                <w:ilvl w:val="2"/>
                <w:numId w:val="10"/>
              </w:numPr>
            </w:pPr>
            <w:r w:rsidRPr="0047259B">
              <w:t>Proportion of complaints regarding State harassment, including surveillance, intimidation or arbitrary detention of persons for manifesting their religion or belief, that resulted in prosecution (disaggregated by religion, gender and type of complaint)</w:t>
            </w:r>
          </w:p>
        </w:tc>
      </w:tr>
      <w:tr w:rsidR="0059029D" w14:paraId="30C792BE" w14:textId="77777777" w:rsidTr="001A4ED1">
        <w:trPr>
          <w:gridAfter w:val="1"/>
          <w:wAfter w:w="16" w:type="dxa"/>
          <w:trHeight w:val="584"/>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2F48D946" w14:textId="62F8DB99" w:rsidR="0059029D" w:rsidRPr="0047259B" w:rsidRDefault="0059029D" w:rsidP="0059029D">
            <w:pPr>
              <w:pStyle w:val="ListParagraph"/>
              <w:numPr>
                <w:ilvl w:val="0"/>
                <w:numId w:val="10"/>
              </w:numPr>
            </w:pPr>
            <w:r w:rsidRPr="0047259B">
              <w:t>Legal protections to ensure the ability of parents or legal guardians to facilitate the religious and moral education of their children in conformity with their own views and convictions</w:t>
            </w:r>
          </w:p>
        </w:tc>
        <w:tc>
          <w:tcPr>
            <w:tcW w:w="4050" w:type="dxa"/>
            <w:tcBorders>
              <w:top w:val="single" w:sz="4" w:space="0" w:color="auto"/>
              <w:left w:val="single" w:sz="4" w:space="0" w:color="auto"/>
              <w:bottom w:val="single" w:sz="4" w:space="0" w:color="auto"/>
              <w:right w:val="single" w:sz="4" w:space="0" w:color="auto"/>
            </w:tcBorders>
            <w:shd w:val="clear" w:color="auto" w:fill="auto"/>
          </w:tcPr>
          <w:p w14:paraId="4BEA2D50" w14:textId="3164C6D0" w:rsidR="0059029D" w:rsidRDefault="00365B4E" w:rsidP="001A4ED1">
            <w:pPr>
              <w:pStyle w:val="ListParagraph"/>
              <w:numPr>
                <w:ilvl w:val="1"/>
                <w:numId w:val="10"/>
              </w:numPr>
              <w:contextualSpacing/>
            </w:pPr>
            <w:r>
              <w:t>Transparency on the i</w:t>
            </w:r>
            <w:r w:rsidR="0059029D" w:rsidRPr="0047259B">
              <w:t>nclusiveness and diversity of religious education provided in state</w:t>
            </w:r>
            <w:r w:rsidR="00D25E20">
              <w:t>-</w:t>
            </w:r>
            <w:r w:rsidR="0059029D" w:rsidRPr="0047259B">
              <w:t>run institutions of learning</w:t>
            </w:r>
          </w:p>
          <w:p w14:paraId="08207626" w14:textId="77777777" w:rsidR="001A4ED1" w:rsidRDefault="001A4ED1" w:rsidP="001A4ED1">
            <w:pPr>
              <w:pStyle w:val="ListParagraph"/>
              <w:ind w:left="360"/>
              <w:contextualSpacing/>
            </w:pPr>
          </w:p>
          <w:p w14:paraId="37455C41" w14:textId="022BE94A" w:rsidR="001A4ED1" w:rsidRDefault="00365B4E" w:rsidP="00C460DD">
            <w:pPr>
              <w:pStyle w:val="ListParagraph"/>
              <w:numPr>
                <w:ilvl w:val="1"/>
                <w:numId w:val="10"/>
              </w:numPr>
              <w:contextualSpacing/>
            </w:pPr>
            <w:r>
              <w:t>Policies, guidance, training and reviews to</w:t>
            </w:r>
            <w:r w:rsidR="001A4ED1" w:rsidRPr="0047259B">
              <w:t xml:space="preserve"> ensure that public school curricula are designed </w:t>
            </w:r>
            <w:r w:rsidR="00D25E20">
              <w:t>to provide</w:t>
            </w:r>
            <w:r w:rsidR="001A4ED1" w:rsidRPr="0047259B">
              <w:t xml:space="preserve"> </w:t>
            </w:r>
            <w:r w:rsidR="00D25E20" w:rsidRPr="0047259B">
              <w:t xml:space="preserve">neutral and objective </w:t>
            </w:r>
            <w:r w:rsidR="001A4ED1" w:rsidRPr="0047259B">
              <w:t>instruction in subjects such as the general history of religion</w:t>
            </w:r>
            <w:r w:rsidR="00D25E20">
              <w:t>s, beliefs</w:t>
            </w:r>
            <w:r w:rsidR="001A4ED1" w:rsidRPr="0047259B">
              <w:t xml:space="preserve"> and ethics </w:t>
            </w:r>
          </w:p>
          <w:p w14:paraId="2C19DB04" w14:textId="77777777" w:rsidR="00D25E20" w:rsidRPr="001A4ED1" w:rsidRDefault="00D25E20" w:rsidP="00D25E20">
            <w:pPr>
              <w:pStyle w:val="ListParagraph"/>
              <w:ind w:left="360"/>
              <w:contextualSpacing/>
            </w:pPr>
          </w:p>
          <w:p w14:paraId="4350C333" w14:textId="06C76777" w:rsidR="001A4ED1" w:rsidRPr="001E58E5" w:rsidRDefault="00AF455E" w:rsidP="001E58E5">
            <w:pPr>
              <w:pStyle w:val="ListParagraph"/>
              <w:numPr>
                <w:ilvl w:val="1"/>
                <w:numId w:val="10"/>
              </w:numPr>
              <w:contextualSpacing/>
            </w:pPr>
            <w:r>
              <w:t>S</w:t>
            </w:r>
            <w:r w:rsidR="00365B4E">
              <w:t>teps taken</w:t>
            </w:r>
            <w:r w:rsidR="001A4ED1" w:rsidRPr="006E75FB">
              <w:t xml:space="preserve"> to ensure that views of the child regarding freedom of religion or belief are given due weight in accordance with the age and maturity of the child, including the provision of alternative instruction in a religion or belief</w:t>
            </w:r>
          </w:p>
          <w:p w14:paraId="277AAD2A" w14:textId="39F9049E" w:rsidR="00B31D41" w:rsidRDefault="00AF455E" w:rsidP="00B31D41">
            <w:pPr>
              <w:pStyle w:val="ListParagraph"/>
              <w:numPr>
                <w:ilvl w:val="1"/>
                <w:numId w:val="10"/>
              </w:numPr>
              <w:contextualSpacing/>
            </w:pPr>
            <w:r>
              <w:t>M</w:t>
            </w:r>
            <w:r w:rsidR="00365B4E">
              <w:t xml:space="preserve">easures to </w:t>
            </w:r>
            <w:r w:rsidR="00365B4E" w:rsidRPr="0047259B">
              <w:t>provide for non-discriminatory exemptions or alternatives that would accommodate the wishes of parents and legal guardians</w:t>
            </w:r>
            <w:r w:rsidR="00365B4E">
              <w:t xml:space="preserve"> where </w:t>
            </w:r>
            <w:r w:rsidR="001A4ED1" w:rsidRPr="0047259B">
              <w:t>public education includes instruction in a particular religion or belief</w:t>
            </w:r>
            <w:r w:rsidR="00B31D41">
              <w:t>;</w:t>
            </w:r>
          </w:p>
          <w:p w14:paraId="18C415DE" w14:textId="4404C342" w:rsidR="001A4ED1" w:rsidRPr="001A4ED1" w:rsidRDefault="001A4ED1" w:rsidP="00844918"/>
        </w:tc>
        <w:tc>
          <w:tcPr>
            <w:tcW w:w="5670" w:type="dxa"/>
            <w:tcBorders>
              <w:top w:val="single" w:sz="4" w:space="0" w:color="auto"/>
              <w:left w:val="single" w:sz="4" w:space="0" w:color="auto"/>
              <w:bottom w:val="single" w:sz="4" w:space="0" w:color="auto"/>
              <w:right w:val="single" w:sz="4" w:space="0" w:color="auto"/>
            </w:tcBorders>
            <w:shd w:val="clear" w:color="auto" w:fill="auto"/>
          </w:tcPr>
          <w:p w14:paraId="71AB50FF" w14:textId="380459BD" w:rsidR="001A4ED1" w:rsidRPr="001E58E5" w:rsidRDefault="0059029D" w:rsidP="001E58E5">
            <w:pPr>
              <w:pStyle w:val="ListParagraph"/>
              <w:numPr>
                <w:ilvl w:val="2"/>
                <w:numId w:val="33"/>
              </w:numPr>
              <w:contextualSpacing/>
            </w:pPr>
            <w:r w:rsidRPr="001E58E5">
              <w:t>Reports of prohibitions, restrictions or regulations</w:t>
            </w:r>
            <w:r w:rsidR="00AF455E">
              <w:t>,</w:t>
            </w:r>
            <w:r w:rsidR="00AF455E" w:rsidRPr="00AF455E">
              <w:t xml:space="preserve"> that are not justified under human rights law</w:t>
            </w:r>
            <w:r w:rsidR="00AF455E">
              <w:t>,</w:t>
            </w:r>
            <w:r w:rsidRPr="001E58E5">
              <w:t xml:space="preserve"> on the ability of parents to facilitate the religious and moral education of their children in conformity with their own convictions</w:t>
            </w:r>
            <w:r w:rsidR="00AF455E" w:rsidRPr="00AF455E">
              <w:t xml:space="preserve">; </w:t>
            </w:r>
          </w:p>
          <w:p w14:paraId="1851A42F" w14:textId="77777777" w:rsidR="001A4ED1" w:rsidRPr="001A4ED1" w:rsidRDefault="001A4ED1" w:rsidP="001A4ED1">
            <w:pPr>
              <w:pStyle w:val="ListParagraph"/>
              <w:ind w:left="720"/>
              <w:contextualSpacing/>
            </w:pPr>
          </w:p>
          <w:p w14:paraId="5391A269" w14:textId="3B5B1060" w:rsidR="00844918" w:rsidRPr="00844918" w:rsidRDefault="001A4ED1" w:rsidP="00844918">
            <w:pPr>
              <w:pStyle w:val="ListParagraph"/>
              <w:numPr>
                <w:ilvl w:val="2"/>
                <w:numId w:val="33"/>
              </w:numPr>
              <w:spacing w:before="0" w:beforeAutospacing="0"/>
              <w:contextualSpacing/>
            </w:pPr>
            <w:r w:rsidRPr="006E75FB">
              <w:t>Reported cases of compulsory instruction of children in a particular religion or belief</w:t>
            </w:r>
          </w:p>
          <w:p w14:paraId="489BEDA2" w14:textId="77777777" w:rsidR="00844918" w:rsidRPr="00844918" w:rsidRDefault="00844918" w:rsidP="00844918">
            <w:pPr>
              <w:pStyle w:val="ListParagraph"/>
              <w:ind w:left="720"/>
              <w:contextualSpacing/>
            </w:pPr>
          </w:p>
          <w:p w14:paraId="242EA4DC" w14:textId="5CAE6A08" w:rsidR="00AF455E" w:rsidRPr="006E75FB" w:rsidRDefault="00AF455E" w:rsidP="001E58E5">
            <w:pPr>
              <w:pStyle w:val="ListParagraph"/>
              <w:numPr>
                <w:ilvl w:val="2"/>
                <w:numId w:val="33"/>
              </w:numPr>
              <w:contextualSpacing/>
            </w:pPr>
            <w:r w:rsidRPr="00AF455E">
              <w:t>Reported cases of progress to higher education levels that are dependent on or significant advantage is conferred by education of children in a particular religion or belief.</w:t>
            </w:r>
          </w:p>
          <w:p w14:paraId="3587AB68" w14:textId="5AEB28B7" w:rsidR="0059029D" w:rsidRPr="0047259B" w:rsidRDefault="0059029D" w:rsidP="0059029D"/>
        </w:tc>
      </w:tr>
      <w:tr w:rsidR="001A4ED1" w14:paraId="45810E8C" w14:textId="77777777" w:rsidTr="001A4ED1">
        <w:trPr>
          <w:gridAfter w:val="1"/>
          <w:wAfter w:w="16" w:type="dxa"/>
          <w:trHeight w:val="584"/>
        </w:trPr>
        <w:tc>
          <w:tcPr>
            <w:tcW w:w="4860" w:type="dxa"/>
            <w:tcBorders>
              <w:top w:val="single" w:sz="4" w:space="0" w:color="auto"/>
              <w:left w:val="single" w:sz="4" w:space="0" w:color="auto"/>
              <w:bottom w:val="single" w:sz="4" w:space="0" w:color="auto"/>
              <w:right w:val="single" w:sz="4" w:space="0" w:color="auto"/>
            </w:tcBorders>
            <w:shd w:val="clear" w:color="auto" w:fill="auto"/>
          </w:tcPr>
          <w:p w14:paraId="0A5A3648" w14:textId="54F4C870" w:rsidR="001A4ED1" w:rsidRPr="0047259B" w:rsidRDefault="001B1E20" w:rsidP="001E58E5">
            <w:pPr>
              <w:pStyle w:val="ListParagraph"/>
              <w:numPr>
                <w:ilvl w:val="0"/>
                <w:numId w:val="33"/>
              </w:numPr>
            </w:pPr>
            <w:r>
              <w:t xml:space="preserve">Laws to combat </w:t>
            </w:r>
            <w:r w:rsidR="000A7B7C">
              <w:t>discrimination, hostility or violence in the name of, or on the basis of religion or belief, and/or incitement to such acts</w:t>
            </w:r>
            <w:r w:rsidR="007174B5">
              <w:t xml:space="preserve">; </w:t>
            </w:r>
          </w:p>
        </w:tc>
        <w:tc>
          <w:tcPr>
            <w:tcW w:w="4050" w:type="dxa"/>
            <w:tcBorders>
              <w:top w:val="single" w:sz="4" w:space="0" w:color="auto"/>
              <w:left w:val="single" w:sz="4" w:space="0" w:color="auto"/>
              <w:bottom w:val="single" w:sz="4" w:space="0" w:color="auto"/>
              <w:right w:val="single" w:sz="4" w:space="0" w:color="auto"/>
            </w:tcBorders>
            <w:shd w:val="clear" w:color="auto" w:fill="auto"/>
          </w:tcPr>
          <w:p w14:paraId="41E12B11" w14:textId="5C519759" w:rsidR="001B1E20" w:rsidRPr="00ED6D40" w:rsidRDefault="00C23490" w:rsidP="00C23490">
            <w:pPr>
              <w:pStyle w:val="ListParagraph"/>
              <w:numPr>
                <w:ilvl w:val="1"/>
                <w:numId w:val="33"/>
              </w:numPr>
              <w:contextualSpacing/>
            </w:pPr>
            <w:r>
              <w:t>Training for law enforcement on processing complaints</w:t>
            </w:r>
            <w:r w:rsidRPr="00C23490">
              <w:t xml:space="preserve"> </w:t>
            </w:r>
            <w:r w:rsidR="007174B5" w:rsidRPr="00ED6D40">
              <w:t xml:space="preserve">of discrimination, hostility or violence in the name of, or on the basis of religion or belief </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3D695D28" w14:textId="3289EFE3" w:rsidR="00B31D41" w:rsidRDefault="00B31D41" w:rsidP="001E58E5">
            <w:pPr>
              <w:pStyle w:val="ListParagraph"/>
              <w:numPr>
                <w:ilvl w:val="2"/>
                <w:numId w:val="33"/>
              </w:numPr>
              <w:contextualSpacing/>
            </w:pPr>
            <w:r>
              <w:t>Reports of</w:t>
            </w:r>
            <w:r w:rsidRPr="00B31D41">
              <w:t xml:space="preserve"> verified cases of</w:t>
            </w:r>
            <w:r>
              <w:t xml:space="preserve"> discrimination and/or hostility violence in the name of, or on the basis of religion or belief, and/or reports of incitement to such acts;  </w:t>
            </w:r>
          </w:p>
          <w:p w14:paraId="49CDB152" w14:textId="6A70F64C" w:rsidR="00B31D41" w:rsidRPr="00B31D41" w:rsidRDefault="00B31D41" w:rsidP="001E58E5">
            <w:pPr>
              <w:pStyle w:val="ListParagraph"/>
              <w:numPr>
                <w:ilvl w:val="2"/>
                <w:numId w:val="33"/>
              </w:numPr>
              <w:contextualSpacing/>
            </w:pPr>
            <w:r>
              <w:t>Reports of v</w:t>
            </w:r>
            <w:r w:rsidRPr="00B31D41">
              <w:t>erified cases of killing, kidnapping, enforced disappearance, arbitrary detention and torture of persons persecuted on the basis or in the name of religion or belief;</w:t>
            </w:r>
          </w:p>
          <w:p w14:paraId="763E0CE1" w14:textId="5BC19BB8" w:rsidR="001A4ED1" w:rsidRPr="00902866" w:rsidRDefault="001B1E20" w:rsidP="001E58E5">
            <w:pPr>
              <w:pStyle w:val="ListParagraph"/>
              <w:numPr>
                <w:ilvl w:val="2"/>
                <w:numId w:val="33"/>
              </w:numPr>
              <w:contextualSpacing/>
            </w:pPr>
            <w:r w:rsidRPr="00B31D41">
              <w:t>Proportion of cases investigate</w:t>
            </w:r>
            <w:r w:rsidR="00902866">
              <w:t xml:space="preserve">d, </w:t>
            </w:r>
            <w:r w:rsidRPr="00B31D41">
              <w:t>prosecut</w:t>
            </w:r>
            <w:r w:rsidR="00902866">
              <w:t xml:space="preserve">ed and that result in </w:t>
            </w:r>
            <w:r w:rsidR="001E58E5">
              <w:t>conviction</w:t>
            </w:r>
            <w:r w:rsidR="001E58E5" w:rsidRPr="00B31D41">
              <w:t xml:space="preserve">; </w:t>
            </w:r>
            <w:r w:rsidR="001E58E5" w:rsidRPr="00902866">
              <w:t>(</w:t>
            </w:r>
            <w:r w:rsidRPr="00902866">
              <w:t>disaggregated by perpetrator type, i.e. state or non-state actor)</w:t>
            </w:r>
            <w:r w:rsidR="00B31D41" w:rsidRPr="00902866">
              <w:t>.</w:t>
            </w:r>
          </w:p>
        </w:tc>
      </w:tr>
    </w:tbl>
    <w:p w14:paraId="06C0C5D3" w14:textId="2C322AAA" w:rsidR="00347139" w:rsidRDefault="00347139" w:rsidP="00B76D8E"/>
    <w:p w14:paraId="1B9B8B42" w14:textId="393A321A" w:rsidR="001E58E5" w:rsidRDefault="001E58E5" w:rsidP="00B76D8E"/>
    <w:p w14:paraId="56BE98DA" w14:textId="6599AD5E" w:rsidR="001E58E5" w:rsidRDefault="001E58E5" w:rsidP="00B76D8E"/>
    <w:tbl>
      <w:tblPr>
        <w:tblStyle w:val="TableGrid"/>
        <w:tblW w:w="14333"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0"/>
        <w:gridCol w:w="4680"/>
        <w:gridCol w:w="4855"/>
        <w:gridCol w:w="28"/>
      </w:tblGrid>
      <w:tr w:rsidR="00B76D8E" w:rsidRPr="0038097F" w14:paraId="39E93554" w14:textId="77777777" w:rsidTr="00AF455E">
        <w:tc>
          <w:tcPr>
            <w:tcW w:w="14333" w:type="dxa"/>
            <w:gridSpan w:val="4"/>
            <w:tcBorders>
              <w:bottom w:val="single" w:sz="4" w:space="0" w:color="auto"/>
            </w:tcBorders>
            <w:shd w:val="clear" w:color="auto" w:fill="auto"/>
          </w:tcPr>
          <w:p w14:paraId="415601EA" w14:textId="436011FD" w:rsidR="00B76D8E" w:rsidRPr="00E61887" w:rsidRDefault="00B76D8E" w:rsidP="001A4ED1">
            <w:pPr>
              <w:pStyle w:val="ListParagraph"/>
              <w:numPr>
                <w:ilvl w:val="0"/>
                <w:numId w:val="1"/>
              </w:numPr>
              <w:pBdr>
                <w:bottom w:val="single" w:sz="4" w:space="1" w:color="auto"/>
              </w:pBdr>
              <w:rPr>
                <w:rFonts w:asciiTheme="minorHAnsi" w:hAnsiTheme="minorHAnsi" w:cstheme="minorHAnsi"/>
                <w:b/>
                <w:i/>
                <w:iCs/>
                <w:sz w:val="28"/>
                <w:szCs w:val="28"/>
              </w:rPr>
            </w:pPr>
            <w:r w:rsidRPr="00E61887">
              <w:rPr>
                <w:rFonts w:asciiTheme="minorHAnsi" w:hAnsiTheme="minorHAnsi" w:cstheme="minorHAnsi"/>
                <w:color w:val="000000"/>
                <w:sz w:val="28"/>
                <w:szCs w:val="28"/>
              </w:rPr>
              <w:t>Attribute of the Right to FoRB</w:t>
            </w:r>
            <w:r w:rsidRPr="00E61887">
              <w:rPr>
                <w:rFonts w:asciiTheme="minorHAnsi" w:hAnsiTheme="minorHAnsi" w:cstheme="minorHAnsi"/>
                <w:sz w:val="28"/>
                <w:szCs w:val="28"/>
              </w:rPr>
              <w:t>:</w:t>
            </w:r>
            <w:r w:rsidRPr="00E61887">
              <w:rPr>
                <w:rFonts w:asciiTheme="minorHAnsi" w:hAnsiTheme="minorHAnsi" w:cstheme="minorHAnsi"/>
                <w:b/>
                <w:sz w:val="28"/>
                <w:szCs w:val="28"/>
              </w:rPr>
              <w:t xml:space="preserve"> </w:t>
            </w:r>
            <w:r w:rsidRPr="00E61887">
              <w:rPr>
                <w:rFonts w:asciiTheme="minorHAnsi" w:hAnsiTheme="minorHAnsi" w:cstheme="minorHAnsi"/>
                <w:b/>
                <w:i/>
                <w:iCs/>
                <w:sz w:val="28"/>
                <w:szCs w:val="28"/>
              </w:rPr>
              <w:t>Manifestation of Religion or Belief</w:t>
            </w:r>
          </w:p>
          <w:p w14:paraId="1B9439FD" w14:textId="462AF9FF" w:rsidR="00B76D8E" w:rsidRPr="00F55329" w:rsidRDefault="00B76D8E" w:rsidP="000A7B7C">
            <w:pPr>
              <w:pBdr>
                <w:bottom w:val="single" w:sz="4" w:space="1" w:color="auto"/>
              </w:pBdr>
              <w:rPr>
                <w:rFonts w:asciiTheme="minorHAnsi" w:hAnsiTheme="minorHAnsi" w:cstheme="minorHAnsi"/>
                <w:sz w:val="22"/>
                <w:szCs w:val="22"/>
              </w:rPr>
            </w:pPr>
            <w:r w:rsidRPr="00F55329">
              <w:rPr>
                <w:rFonts w:asciiTheme="minorHAnsi" w:hAnsiTheme="minorHAnsi" w:cstheme="minorHAnsi"/>
                <w:b/>
                <w:i/>
                <w:iCs/>
                <w:sz w:val="22"/>
                <w:szCs w:val="22"/>
              </w:rPr>
              <w:t xml:space="preserve">Sources: </w:t>
            </w:r>
            <w:r w:rsidRPr="00F55329">
              <w:rPr>
                <w:rFonts w:asciiTheme="minorHAnsi" w:hAnsiTheme="minorHAnsi" w:cstheme="minorHAnsi"/>
                <w:sz w:val="22"/>
                <w:szCs w:val="22"/>
              </w:rPr>
              <w:t xml:space="preserve">ICCPR, Art. (s) 17, 18.1, 18.3, 19, 19.2, 20, 21, 27; </w:t>
            </w:r>
            <w:r>
              <w:rPr>
                <w:rFonts w:asciiTheme="minorHAnsi" w:hAnsiTheme="minorHAnsi" w:cstheme="minorHAnsi"/>
                <w:sz w:val="22"/>
                <w:szCs w:val="22"/>
              </w:rPr>
              <w:t xml:space="preserve">1981 Declaration, Art. 6; </w:t>
            </w:r>
            <w:r w:rsidRPr="00F55329">
              <w:rPr>
                <w:rFonts w:asciiTheme="minorHAnsi" w:hAnsiTheme="minorHAnsi" w:cstheme="minorHAnsi"/>
                <w:sz w:val="22"/>
                <w:szCs w:val="22"/>
              </w:rPr>
              <w:t xml:space="preserve">UN Framework for Atrocity Crime Prevention 9.2; OHCHR Indicators on FOE; Human Rights Committee </w:t>
            </w:r>
            <w:r>
              <w:rPr>
                <w:rFonts w:asciiTheme="minorHAnsi" w:hAnsiTheme="minorHAnsi" w:cstheme="minorHAnsi"/>
                <w:sz w:val="22"/>
                <w:szCs w:val="22"/>
              </w:rPr>
              <w:t>G</w:t>
            </w:r>
            <w:r w:rsidRPr="00F55329">
              <w:rPr>
                <w:rFonts w:asciiTheme="minorHAnsi" w:hAnsiTheme="minorHAnsi" w:cstheme="minorHAnsi"/>
                <w:sz w:val="22"/>
                <w:szCs w:val="22"/>
              </w:rPr>
              <w:t xml:space="preserve">eneral </w:t>
            </w:r>
            <w:r>
              <w:rPr>
                <w:rFonts w:asciiTheme="minorHAnsi" w:hAnsiTheme="minorHAnsi" w:cstheme="minorHAnsi"/>
                <w:sz w:val="22"/>
                <w:szCs w:val="22"/>
              </w:rPr>
              <w:t>C</w:t>
            </w:r>
            <w:r w:rsidRPr="00F55329">
              <w:rPr>
                <w:rFonts w:asciiTheme="minorHAnsi" w:hAnsiTheme="minorHAnsi" w:cstheme="minorHAnsi"/>
                <w:sz w:val="22"/>
                <w:szCs w:val="22"/>
              </w:rPr>
              <w:t>omment</w:t>
            </w:r>
            <w:r>
              <w:rPr>
                <w:rFonts w:asciiTheme="minorHAnsi" w:hAnsiTheme="minorHAnsi" w:cstheme="minorHAnsi"/>
                <w:sz w:val="22"/>
                <w:szCs w:val="22"/>
              </w:rPr>
              <w:t>s</w:t>
            </w:r>
            <w:r w:rsidRPr="00F55329">
              <w:rPr>
                <w:rFonts w:asciiTheme="minorHAnsi" w:hAnsiTheme="minorHAnsi" w:cstheme="minorHAnsi"/>
                <w:sz w:val="22"/>
                <w:szCs w:val="22"/>
              </w:rPr>
              <w:t xml:space="preserve"> no. </w:t>
            </w:r>
            <w:r>
              <w:rPr>
                <w:rFonts w:asciiTheme="minorHAnsi" w:hAnsiTheme="minorHAnsi" w:cstheme="minorHAnsi"/>
                <w:sz w:val="22"/>
                <w:szCs w:val="22"/>
              </w:rPr>
              <w:t xml:space="preserve">22 &amp; </w:t>
            </w:r>
            <w:r w:rsidRPr="00F55329">
              <w:rPr>
                <w:rFonts w:asciiTheme="minorHAnsi" w:hAnsiTheme="minorHAnsi" w:cstheme="minorHAnsi"/>
                <w:sz w:val="22"/>
                <w:szCs w:val="22"/>
              </w:rPr>
              <w:t>37;</w:t>
            </w:r>
            <w:r w:rsidR="00804E06">
              <w:rPr>
                <w:rFonts w:asciiTheme="minorHAnsi" w:hAnsiTheme="minorHAnsi" w:cstheme="minorHAnsi"/>
                <w:sz w:val="22"/>
                <w:szCs w:val="22"/>
              </w:rPr>
              <w:t xml:space="preserve"> </w:t>
            </w:r>
            <w:r w:rsidR="00804E06" w:rsidRPr="00804E06">
              <w:rPr>
                <w:rFonts w:asciiTheme="minorHAnsi" w:hAnsiTheme="minorHAnsi" w:cstheme="minorHAnsi"/>
                <w:sz w:val="22"/>
                <w:szCs w:val="22"/>
              </w:rPr>
              <w:t>UNDRIP</w:t>
            </w:r>
            <w:r w:rsidR="00804E06">
              <w:rPr>
                <w:rFonts w:asciiTheme="minorHAnsi" w:hAnsiTheme="minorHAnsi" w:cstheme="minorHAnsi"/>
                <w:sz w:val="22"/>
                <w:szCs w:val="22"/>
              </w:rPr>
              <w:t xml:space="preserve"> </w:t>
            </w:r>
            <w:r w:rsidR="00804E06" w:rsidRPr="00804E06">
              <w:rPr>
                <w:rFonts w:asciiTheme="minorHAnsi" w:hAnsiTheme="minorHAnsi" w:cstheme="minorHAnsi"/>
                <w:sz w:val="22"/>
                <w:szCs w:val="22"/>
              </w:rPr>
              <w:t>16.1</w:t>
            </w:r>
            <w:r w:rsidR="00804E06">
              <w:rPr>
                <w:rFonts w:asciiTheme="minorHAnsi" w:hAnsiTheme="minorHAnsi" w:cstheme="minorHAnsi"/>
                <w:sz w:val="22"/>
                <w:szCs w:val="22"/>
              </w:rPr>
              <w:t>,</w:t>
            </w:r>
            <w:r w:rsidR="00804E06" w:rsidRPr="00804E06">
              <w:rPr>
                <w:rFonts w:asciiTheme="minorHAnsi" w:hAnsiTheme="minorHAnsi" w:cstheme="minorHAnsi"/>
                <w:sz w:val="22"/>
                <w:szCs w:val="22"/>
              </w:rPr>
              <w:t xml:space="preserve"> 16.2</w:t>
            </w:r>
            <w:r w:rsidR="00804E06">
              <w:rPr>
                <w:rFonts w:asciiTheme="minorHAnsi" w:hAnsiTheme="minorHAnsi" w:cstheme="minorHAnsi"/>
                <w:sz w:val="22"/>
                <w:szCs w:val="22"/>
              </w:rPr>
              <w:t>,12</w:t>
            </w:r>
          </w:p>
          <w:p w14:paraId="2081596E" w14:textId="77777777" w:rsidR="00B76D8E" w:rsidRDefault="00B76D8E" w:rsidP="000A7B7C">
            <w:pPr>
              <w:rPr>
                <w:sz w:val="22"/>
                <w:szCs w:val="22"/>
              </w:rPr>
            </w:pPr>
          </w:p>
          <w:p w14:paraId="1D50A57C" w14:textId="77777777" w:rsidR="00B76D8E" w:rsidRPr="0038097F" w:rsidRDefault="00B76D8E" w:rsidP="000A7B7C">
            <w:pPr>
              <w:rPr>
                <w:sz w:val="22"/>
                <w:szCs w:val="22"/>
              </w:rPr>
            </w:pPr>
          </w:p>
        </w:tc>
      </w:tr>
      <w:tr w:rsidR="00B76D8E" w:rsidRPr="0038097F" w14:paraId="4E72126F" w14:textId="77777777" w:rsidTr="00AF455E">
        <w:trPr>
          <w:gridAfter w:val="1"/>
          <w:wAfter w:w="28" w:type="dxa"/>
        </w:trPr>
        <w:tc>
          <w:tcPr>
            <w:tcW w:w="4770" w:type="dxa"/>
            <w:tcBorders>
              <w:left w:val="single" w:sz="4" w:space="0" w:color="auto"/>
              <w:bottom w:val="single" w:sz="4" w:space="0" w:color="auto"/>
              <w:right w:val="single" w:sz="4" w:space="0" w:color="auto"/>
            </w:tcBorders>
            <w:shd w:val="clear" w:color="auto" w:fill="auto"/>
          </w:tcPr>
          <w:p w14:paraId="42AFA298" w14:textId="77777777" w:rsidR="00B76D8E" w:rsidRPr="0038097F" w:rsidRDefault="00B76D8E" w:rsidP="000A7B7C">
            <w:pPr>
              <w:jc w:val="center"/>
              <w:rPr>
                <w:rFonts w:asciiTheme="minorHAnsi" w:hAnsiTheme="minorHAnsi" w:cstheme="minorHAnsi"/>
                <w:b/>
                <w:sz w:val="22"/>
                <w:szCs w:val="22"/>
              </w:rPr>
            </w:pPr>
            <w:r w:rsidRPr="0038097F">
              <w:rPr>
                <w:rFonts w:asciiTheme="minorHAnsi" w:hAnsiTheme="minorHAnsi" w:cstheme="minorHAnsi"/>
                <w:b/>
                <w:sz w:val="22"/>
                <w:szCs w:val="22"/>
              </w:rPr>
              <w:t>Structural Indicators</w:t>
            </w:r>
          </w:p>
        </w:tc>
        <w:tc>
          <w:tcPr>
            <w:tcW w:w="4680" w:type="dxa"/>
            <w:tcBorders>
              <w:left w:val="single" w:sz="4" w:space="0" w:color="auto"/>
              <w:bottom w:val="single" w:sz="4" w:space="0" w:color="auto"/>
              <w:right w:val="single" w:sz="4" w:space="0" w:color="auto"/>
            </w:tcBorders>
            <w:shd w:val="clear" w:color="auto" w:fill="auto"/>
          </w:tcPr>
          <w:p w14:paraId="66FD7B35" w14:textId="77777777" w:rsidR="00B76D8E" w:rsidRPr="0038097F" w:rsidRDefault="00B76D8E" w:rsidP="000A7B7C">
            <w:pPr>
              <w:jc w:val="center"/>
              <w:rPr>
                <w:rFonts w:asciiTheme="minorHAnsi" w:hAnsiTheme="minorHAnsi" w:cstheme="minorHAnsi"/>
                <w:b/>
                <w:sz w:val="22"/>
                <w:szCs w:val="22"/>
              </w:rPr>
            </w:pPr>
            <w:r w:rsidRPr="0038097F">
              <w:rPr>
                <w:rFonts w:asciiTheme="minorHAnsi" w:hAnsiTheme="minorHAnsi" w:cstheme="minorHAnsi"/>
                <w:b/>
                <w:sz w:val="22"/>
                <w:szCs w:val="22"/>
              </w:rPr>
              <w:t>Process Indicators</w:t>
            </w:r>
          </w:p>
        </w:tc>
        <w:tc>
          <w:tcPr>
            <w:tcW w:w="4855" w:type="dxa"/>
            <w:tcBorders>
              <w:left w:val="single" w:sz="4" w:space="0" w:color="auto"/>
              <w:bottom w:val="single" w:sz="4" w:space="0" w:color="auto"/>
              <w:right w:val="single" w:sz="4" w:space="0" w:color="auto"/>
            </w:tcBorders>
            <w:shd w:val="clear" w:color="auto" w:fill="auto"/>
          </w:tcPr>
          <w:p w14:paraId="256C7FDD" w14:textId="25616F63" w:rsidR="00B76D8E" w:rsidRPr="0038097F" w:rsidRDefault="00FD315B" w:rsidP="00134CD8">
            <w:pPr>
              <w:contextualSpacing/>
              <w:jc w:val="center"/>
              <w:rPr>
                <w:rFonts w:asciiTheme="minorHAnsi" w:hAnsiTheme="minorHAnsi" w:cstheme="minorHAnsi"/>
                <w:b/>
                <w:sz w:val="22"/>
                <w:szCs w:val="22"/>
              </w:rPr>
            </w:pPr>
            <w:r>
              <w:rPr>
                <w:rFonts w:asciiTheme="minorHAnsi" w:hAnsiTheme="minorHAnsi" w:cstheme="minorHAnsi"/>
                <w:b/>
                <w:sz w:val="22"/>
                <w:szCs w:val="22"/>
              </w:rPr>
              <w:t xml:space="preserve">Performance </w:t>
            </w:r>
            <w:r w:rsidRPr="0038097F">
              <w:rPr>
                <w:rFonts w:asciiTheme="minorHAnsi" w:hAnsiTheme="minorHAnsi" w:cstheme="minorHAnsi"/>
                <w:b/>
                <w:sz w:val="22"/>
                <w:szCs w:val="22"/>
              </w:rPr>
              <w:t>Indicators</w:t>
            </w:r>
          </w:p>
        </w:tc>
      </w:tr>
      <w:tr w:rsidR="00611A5B" w:rsidRPr="00F55329" w14:paraId="0784BD06" w14:textId="77777777" w:rsidTr="00AF455E">
        <w:trPr>
          <w:gridAfter w:val="1"/>
          <w:wAfter w:w="28" w:type="dxa"/>
          <w:trHeight w:val="80"/>
        </w:trPr>
        <w:tc>
          <w:tcPr>
            <w:tcW w:w="4770" w:type="dxa"/>
            <w:tcBorders>
              <w:top w:val="single" w:sz="4" w:space="0" w:color="auto"/>
              <w:left w:val="single" w:sz="4" w:space="0" w:color="auto"/>
              <w:bottom w:val="single" w:sz="4" w:space="0" w:color="auto"/>
              <w:right w:val="single" w:sz="4" w:space="0" w:color="auto"/>
            </w:tcBorders>
            <w:shd w:val="clear" w:color="auto" w:fill="auto"/>
          </w:tcPr>
          <w:p w14:paraId="0939FB4D" w14:textId="72245ED7" w:rsidR="003463F1" w:rsidRPr="00E17E66" w:rsidRDefault="00611A5B" w:rsidP="000E35D5">
            <w:pPr>
              <w:pStyle w:val="ListParagraph"/>
              <w:numPr>
                <w:ilvl w:val="0"/>
                <w:numId w:val="15"/>
              </w:numPr>
              <w:ind w:left="161" w:hanging="180"/>
            </w:pPr>
            <w:r w:rsidRPr="001262F6">
              <w:t xml:space="preserve">Legal framework guarantees for the </w:t>
            </w:r>
            <w:r w:rsidR="00232D30" w:rsidRPr="001262F6">
              <w:t xml:space="preserve">equal enjoyment of </w:t>
            </w:r>
            <w:r w:rsidRPr="001262F6">
              <w:t>right</w:t>
            </w:r>
            <w:r w:rsidR="00861CD3" w:rsidRPr="001262F6">
              <w:t>s</w:t>
            </w:r>
            <w:r w:rsidRPr="001262F6">
              <w:t xml:space="preserve"> to freedom of expression (including while prohibiting incitement to religious hatred)</w:t>
            </w:r>
            <w:r w:rsidR="00861CD3" w:rsidRPr="001262F6">
              <w:t xml:space="preserve">, </w:t>
            </w:r>
            <w:r w:rsidRPr="001262F6">
              <w:t>peaceful assembly</w:t>
            </w:r>
            <w:r w:rsidR="00861CD3" w:rsidRPr="001262F6">
              <w:t xml:space="preserve">, </w:t>
            </w:r>
            <w:r w:rsidRPr="001262F6">
              <w:t>association and privac</w:t>
            </w:r>
            <w:r w:rsidR="00894F67" w:rsidRPr="001262F6">
              <w:t>y</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67CF1EC8" w14:textId="5186A413" w:rsidR="00134CD8" w:rsidRPr="00E24469" w:rsidRDefault="00BC5B6A" w:rsidP="00E24469">
            <w:pPr>
              <w:pStyle w:val="ListParagraph"/>
              <w:numPr>
                <w:ilvl w:val="1"/>
                <w:numId w:val="15"/>
              </w:numPr>
              <w:tabs>
                <w:tab w:val="left" w:pos="3615"/>
              </w:tabs>
              <w:ind w:left="346" w:hanging="347"/>
              <w:contextualSpacing/>
            </w:pPr>
            <w:r>
              <w:t>A</w:t>
            </w:r>
            <w:r w:rsidRPr="00E24469">
              <w:t xml:space="preserve">ccessible and non-discriminatory </w:t>
            </w:r>
            <w:r>
              <w:t>p</w:t>
            </w:r>
            <w:r w:rsidR="00861CD3" w:rsidRPr="00E24469">
              <w:t xml:space="preserve">rocesses </w:t>
            </w:r>
            <w:r>
              <w:t>to</w:t>
            </w:r>
            <w:r w:rsidR="00861CD3" w:rsidRPr="00E24469">
              <w:t xml:space="preserve"> obtain permits </w:t>
            </w:r>
            <w:r w:rsidR="00FC74B2" w:rsidRPr="00E24469">
              <w:t>for public assemblies</w:t>
            </w:r>
          </w:p>
          <w:p w14:paraId="24F88C52" w14:textId="77777777" w:rsidR="00E17E66" w:rsidRPr="00E24469" w:rsidRDefault="00E17E66" w:rsidP="00E24469">
            <w:pPr>
              <w:pStyle w:val="ListParagraph"/>
              <w:tabs>
                <w:tab w:val="left" w:pos="3615"/>
              </w:tabs>
              <w:ind w:left="346"/>
              <w:contextualSpacing/>
            </w:pPr>
          </w:p>
          <w:p w14:paraId="0682EC94" w14:textId="622F741F" w:rsidR="00E24469" w:rsidRDefault="00BC5B6A" w:rsidP="00E24469">
            <w:pPr>
              <w:pStyle w:val="ListParagraph"/>
              <w:numPr>
                <w:ilvl w:val="1"/>
                <w:numId w:val="15"/>
              </w:numPr>
              <w:tabs>
                <w:tab w:val="left" w:pos="3615"/>
              </w:tabs>
              <w:ind w:left="346" w:hanging="347"/>
              <w:contextualSpacing/>
            </w:pPr>
            <w:r>
              <w:rPr>
                <w:rFonts w:cs="JohnSans Text Pro"/>
                <w:color w:val="211D1E"/>
              </w:rPr>
              <w:t>A</w:t>
            </w:r>
            <w:r w:rsidRPr="00E24469">
              <w:rPr>
                <w:rFonts w:cs="JohnSans Text Pro"/>
                <w:color w:val="211D1E"/>
              </w:rPr>
              <w:t xml:space="preserve">ccessible </w:t>
            </w:r>
            <w:r w:rsidRPr="00E24469">
              <w:t>and non-discriminatory</w:t>
            </w:r>
            <w:r w:rsidRPr="00E24469">
              <w:rPr>
                <w:rFonts w:cs="JohnSans Text Pro"/>
                <w:color w:val="211D1E"/>
              </w:rPr>
              <w:t xml:space="preserve"> </w:t>
            </w:r>
            <w:r>
              <w:rPr>
                <w:rFonts w:cs="JohnSans Text Pro"/>
                <w:color w:val="211D1E"/>
              </w:rPr>
              <w:t>p</w:t>
            </w:r>
            <w:r w:rsidR="00E17E66" w:rsidRPr="00E24469">
              <w:rPr>
                <w:rFonts w:cs="JohnSans Text Pro"/>
                <w:color w:val="211D1E"/>
              </w:rPr>
              <w:t xml:space="preserve">rocesses for </w:t>
            </w:r>
            <w:r w:rsidR="003463F1" w:rsidRPr="00E24469">
              <w:rPr>
                <w:rFonts w:cs="JohnSans Text Pro"/>
                <w:color w:val="211D1E"/>
              </w:rPr>
              <w:t>establish</w:t>
            </w:r>
            <w:r w:rsidR="00E17E66" w:rsidRPr="00E24469">
              <w:rPr>
                <w:rFonts w:cs="JohnSans Text Pro"/>
                <w:color w:val="211D1E"/>
              </w:rPr>
              <w:t>ing</w:t>
            </w:r>
            <w:r w:rsidR="003463F1" w:rsidRPr="00E24469">
              <w:rPr>
                <w:rFonts w:cs="JohnSans Text Pro"/>
                <w:color w:val="211D1E"/>
              </w:rPr>
              <w:t xml:space="preserve"> a legal entity </w:t>
            </w:r>
            <w:r>
              <w:rPr>
                <w:rFonts w:cs="JohnSans Text Pro"/>
                <w:color w:val="211D1E"/>
              </w:rPr>
              <w:t>to enable a</w:t>
            </w:r>
            <w:r w:rsidR="005F6EE8" w:rsidRPr="00E24469">
              <w:rPr>
                <w:rFonts w:cs="JohnSans Text Pro"/>
                <w:color w:val="211D1E"/>
              </w:rPr>
              <w:t xml:space="preserve"> religious or </w:t>
            </w:r>
            <w:r w:rsidR="00E17E66" w:rsidRPr="00E24469">
              <w:rPr>
                <w:rFonts w:cs="JohnSans Text Pro"/>
                <w:color w:val="211D1E"/>
              </w:rPr>
              <w:t>belief group</w:t>
            </w:r>
            <w:r w:rsidR="005F6EE8" w:rsidRPr="00E24469">
              <w:rPr>
                <w:rFonts w:cs="JohnSans Text Pro"/>
                <w:color w:val="211D1E"/>
              </w:rPr>
              <w:t xml:space="preserve">s </w:t>
            </w:r>
            <w:r>
              <w:rPr>
                <w:rFonts w:cs="JohnSans Text Pro"/>
                <w:color w:val="211D1E"/>
              </w:rPr>
              <w:t>to</w:t>
            </w:r>
            <w:r w:rsidR="005F6EE8" w:rsidRPr="00E24469">
              <w:rPr>
                <w:rFonts w:cs="JohnSans Text Pro"/>
                <w:color w:val="211D1E"/>
              </w:rPr>
              <w:t xml:space="preserve"> act collectively</w:t>
            </w:r>
          </w:p>
          <w:p w14:paraId="1CF5E501" w14:textId="77777777" w:rsidR="00BC5B6A" w:rsidRPr="00BC5B6A" w:rsidRDefault="00BC5B6A" w:rsidP="00BC5B6A">
            <w:pPr>
              <w:pStyle w:val="ListParagraph"/>
              <w:tabs>
                <w:tab w:val="left" w:pos="3615"/>
              </w:tabs>
              <w:ind w:left="346"/>
              <w:contextualSpacing/>
            </w:pPr>
          </w:p>
          <w:p w14:paraId="43A33046" w14:textId="620A33EA" w:rsidR="00E24469" w:rsidRPr="00E24469" w:rsidRDefault="00BC5B6A" w:rsidP="00E24469">
            <w:pPr>
              <w:pStyle w:val="ListParagraph"/>
              <w:numPr>
                <w:ilvl w:val="1"/>
                <w:numId w:val="15"/>
              </w:numPr>
              <w:tabs>
                <w:tab w:val="left" w:pos="3615"/>
              </w:tabs>
              <w:ind w:left="346" w:hanging="347"/>
              <w:contextualSpacing/>
            </w:pPr>
            <w:r>
              <w:t>P</w:t>
            </w:r>
            <w:r w:rsidR="00E24469" w:rsidRPr="00E24469">
              <w:t xml:space="preserve">ractices which protect against state and non-state actor harassment, including protection against state surveillance, intimidation or arbitrary detention of persons </w:t>
            </w:r>
            <w:r>
              <w:t xml:space="preserve">for </w:t>
            </w:r>
            <w:r w:rsidR="00E24469" w:rsidRPr="00E24469">
              <w:t>manifesting their religion or beliefs</w:t>
            </w:r>
          </w:p>
          <w:p w14:paraId="26C96DBD" w14:textId="77777777" w:rsidR="009F3E15" w:rsidRPr="009F3E15" w:rsidRDefault="009F3E15" w:rsidP="00E24469">
            <w:pPr>
              <w:pStyle w:val="ListParagraph"/>
              <w:contextualSpacing/>
            </w:pPr>
          </w:p>
          <w:p w14:paraId="476A5582" w14:textId="77777777" w:rsidR="009F3E15" w:rsidRPr="009F3E15" w:rsidRDefault="009F3E15" w:rsidP="009F3E15">
            <w:pPr>
              <w:pStyle w:val="ListParagraph"/>
            </w:pPr>
          </w:p>
          <w:p w14:paraId="106A7DAF" w14:textId="5050E63E" w:rsidR="00FC74B2" w:rsidRPr="009F3E15" w:rsidRDefault="00FC74B2" w:rsidP="009F3E15">
            <w:pPr>
              <w:pStyle w:val="ListParagraph"/>
              <w:tabs>
                <w:tab w:val="left" w:pos="3615"/>
              </w:tabs>
              <w:ind w:left="346"/>
              <w:contextualSpacing/>
            </w:pP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76AF8D3B" w14:textId="39719E12" w:rsidR="00E17E66" w:rsidRDefault="00861CD3" w:rsidP="001A4ED1">
            <w:pPr>
              <w:pStyle w:val="ListParagraph"/>
              <w:numPr>
                <w:ilvl w:val="2"/>
                <w:numId w:val="1"/>
              </w:numPr>
              <w:ind w:left="613" w:hanging="540"/>
              <w:contextualSpacing/>
            </w:pPr>
            <w:r w:rsidRPr="00E17E66">
              <w:t xml:space="preserve">Reports of </w:t>
            </w:r>
            <w:r w:rsidR="00611A5B" w:rsidRPr="00E17E66">
              <w:t>religious assemblies, including those held in private, restricted or disbanded by State authorities</w:t>
            </w:r>
          </w:p>
          <w:p w14:paraId="2DE74F39" w14:textId="77777777" w:rsidR="00E17E66" w:rsidRDefault="00E17E66" w:rsidP="00E24469">
            <w:pPr>
              <w:pStyle w:val="ListParagraph"/>
              <w:ind w:left="613" w:hanging="540"/>
              <w:contextualSpacing/>
            </w:pPr>
          </w:p>
          <w:p w14:paraId="0BCF96A7" w14:textId="2D7FC9C5" w:rsidR="007C2951" w:rsidRPr="00ED6D40" w:rsidRDefault="00FC74B2" w:rsidP="001A4ED1">
            <w:pPr>
              <w:pStyle w:val="ListParagraph"/>
              <w:numPr>
                <w:ilvl w:val="2"/>
                <w:numId w:val="1"/>
              </w:numPr>
              <w:ind w:left="619" w:hanging="547"/>
              <w:contextualSpacing/>
              <w:rPr>
                <w:sz w:val="22"/>
                <w:szCs w:val="22"/>
              </w:rPr>
            </w:pPr>
            <w:r w:rsidRPr="00ED6D40">
              <w:t xml:space="preserve">The existence diverse media, cultural, </w:t>
            </w:r>
            <w:r w:rsidR="005F6EE8" w:rsidRPr="00ED6D40">
              <w:t xml:space="preserve">ethnic, </w:t>
            </w:r>
            <w:r w:rsidRPr="00ED6D40">
              <w:t xml:space="preserve">linguistic and religious institutions belonging to </w:t>
            </w:r>
            <w:r w:rsidR="005F6EE8" w:rsidRPr="00ED6D40">
              <w:t>religious or belief groups</w:t>
            </w:r>
            <w:r w:rsidRPr="00ED6D40">
              <w:t xml:space="preserve"> </w:t>
            </w:r>
          </w:p>
          <w:p w14:paraId="1A5D03FD" w14:textId="77777777" w:rsidR="00E17E66" w:rsidRPr="008D4DE4" w:rsidRDefault="00E17E66" w:rsidP="00E24469">
            <w:pPr>
              <w:pStyle w:val="ListParagraph"/>
              <w:ind w:left="619" w:hanging="547"/>
              <w:contextualSpacing/>
            </w:pPr>
          </w:p>
          <w:p w14:paraId="12F2EF3C" w14:textId="41282313" w:rsidR="00E17E66" w:rsidRPr="008D4DE4" w:rsidRDefault="00BC5B6A" w:rsidP="001A4ED1">
            <w:pPr>
              <w:pStyle w:val="ListParagraph"/>
              <w:numPr>
                <w:ilvl w:val="2"/>
                <w:numId w:val="1"/>
              </w:numPr>
              <w:ind w:left="619" w:hanging="547"/>
              <w:contextualSpacing/>
            </w:pPr>
            <w:r>
              <w:t>A</w:t>
            </w:r>
            <w:r w:rsidR="00134CD8" w:rsidRPr="008D4DE4">
              <w:t>b</w:t>
            </w:r>
            <w:r>
              <w:t>ility of individuals and groups</w:t>
            </w:r>
            <w:r w:rsidR="00134CD8" w:rsidRPr="008D4DE4">
              <w:t xml:space="preserve"> to acquire, develop, disseminate or use materials and publications related to the rites or customs of a religion or belief</w:t>
            </w:r>
            <w:r w:rsidR="00D0165D">
              <w:rPr>
                <w:color w:val="C00000"/>
              </w:rPr>
              <w:t xml:space="preserve"> </w:t>
            </w:r>
            <w:r w:rsidR="00A16051">
              <w:rPr>
                <w:color w:val="C00000"/>
              </w:rPr>
              <w:t xml:space="preserve"> </w:t>
            </w:r>
          </w:p>
          <w:p w14:paraId="34EE146F" w14:textId="77777777" w:rsidR="00E17E66" w:rsidRPr="00E24469" w:rsidRDefault="00E17E66" w:rsidP="00E24469">
            <w:pPr>
              <w:pStyle w:val="ListParagraph"/>
              <w:ind w:left="619" w:hanging="547"/>
              <w:contextualSpacing/>
            </w:pPr>
          </w:p>
          <w:p w14:paraId="36FDE7BC" w14:textId="5C17DF3F" w:rsidR="00E24469" w:rsidRPr="00E24469" w:rsidRDefault="00BC5B6A" w:rsidP="001A4ED1">
            <w:pPr>
              <w:pStyle w:val="ListParagraph"/>
              <w:numPr>
                <w:ilvl w:val="2"/>
                <w:numId w:val="1"/>
              </w:numPr>
              <w:ind w:left="619" w:hanging="547"/>
              <w:contextualSpacing/>
            </w:pPr>
            <w:r>
              <w:rPr>
                <w:rFonts w:cs="JohnSans Text Pro"/>
                <w:color w:val="211D1E"/>
              </w:rPr>
              <w:t>F</w:t>
            </w:r>
            <w:r w:rsidR="00DE2110" w:rsidRPr="00E24469">
              <w:rPr>
                <w:rFonts w:cs="JohnSans Text Pro"/>
                <w:color w:val="211D1E"/>
              </w:rPr>
              <w:t>ree</w:t>
            </w:r>
            <w:r>
              <w:rPr>
                <w:rFonts w:cs="JohnSans Text Pro"/>
                <w:color w:val="211D1E"/>
              </w:rPr>
              <w:t>dom of i</w:t>
            </w:r>
            <w:r w:rsidRPr="00E24469">
              <w:rPr>
                <w:rFonts w:cs="JohnSans Text Pro"/>
                <w:color w:val="211D1E"/>
              </w:rPr>
              <w:t>ndividuals and groups</w:t>
            </w:r>
            <w:r w:rsidR="003463F1" w:rsidRPr="00E24469">
              <w:rPr>
                <w:rFonts w:cs="JohnSans Text Pro"/>
                <w:color w:val="211D1E"/>
              </w:rPr>
              <w:t xml:space="preserve"> to establish and maintain communications with individuals and communities in matters of religion and belief at the national and international levels,</w:t>
            </w:r>
            <w:r w:rsidR="003463F1" w:rsidRPr="00E24469">
              <w:rPr>
                <w:rStyle w:val="A4"/>
                <w:sz w:val="20"/>
                <w:szCs w:val="20"/>
              </w:rPr>
              <w:t xml:space="preserve"> </w:t>
            </w:r>
            <w:r w:rsidR="003463F1" w:rsidRPr="00E24469">
              <w:rPr>
                <w:rFonts w:cs="JohnSans Text Pro"/>
                <w:color w:val="211D1E"/>
              </w:rPr>
              <w:t>including through travel, pilgrimages and participation in assemblies and other religious events</w:t>
            </w:r>
            <w:r w:rsidR="008D4DE4" w:rsidRPr="00E24469">
              <w:rPr>
                <w:rFonts w:cs="JohnSans Text Pro"/>
                <w:color w:val="211D1E"/>
              </w:rPr>
              <w:t>;</w:t>
            </w:r>
          </w:p>
          <w:p w14:paraId="45AFDB1B" w14:textId="77777777" w:rsidR="00E24469" w:rsidRPr="00E24469" w:rsidRDefault="00E24469" w:rsidP="001A4ED1">
            <w:pPr>
              <w:pStyle w:val="ListParagraph"/>
              <w:contextualSpacing/>
            </w:pPr>
          </w:p>
          <w:p w14:paraId="2539BEEB" w14:textId="756DD732" w:rsidR="001A4ED1" w:rsidRPr="001A4ED1" w:rsidRDefault="007C2951" w:rsidP="001A4ED1">
            <w:pPr>
              <w:pStyle w:val="ListParagraph"/>
              <w:numPr>
                <w:ilvl w:val="2"/>
                <w:numId w:val="1"/>
              </w:numPr>
              <w:ind w:left="619" w:hanging="547"/>
              <w:contextualSpacing/>
            </w:pPr>
            <w:r w:rsidRPr="00E24469">
              <w:t>Reports that communication with individuals and communities in matters of religion or belief at the national and international levels are prohibited, restricted or surveilled by state actor</w:t>
            </w:r>
            <w:r w:rsidR="00E24469">
              <w:t>s</w:t>
            </w:r>
          </w:p>
          <w:p w14:paraId="00111FCC" w14:textId="2D23F952" w:rsidR="007C2951" w:rsidRDefault="007C2951" w:rsidP="001A4ED1">
            <w:pPr>
              <w:pStyle w:val="ListParagraph"/>
              <w:numPr>
                <w:ilvl w:val="2"/>
                <w:numId w:val="1"/>
              </w:numPr>
              <w:ind w:left="619" w:hanging="547"/>
              <w:contextualSpacing/>
            </w:pPr>
            <w:r w:rsidRPr="007C2951">
              <w:t>Number of persons arrested, detained</w:t>
            </w:r>
            <w:r w:rsidR="001A4ED1">
              <w:t>,</w:t>
            </w:r>
            <w:r w:rsidRPr="007C2951">
              <w:t xml:space="preserve"> charged</w:t>
            </w:r>
            <w:r w:rsidR="001A4ED1">
              <w:t xml:space="preserve"> or convicted</w:t>
            </w:r>
            <w:r w:rsidRPr="007C2951">
              <w:t xml:space="preserve"> with blasphemy; apostasy; for teaching others about a religion or belief; or on the basis of publishing, possessing, using or disseminating materials related to a religion or belief (disaggregated by religion/belief, </w:t>
            </w:r>
            <w:r w:rsidR="00BC5B6A">
              <w:t>race/</w:t>
            </w:r>
            <w:r w:rsidRPr="007C2951">
              <w:t>ethnicity, gender)</w:t>
            </w:r>
          </w:p>
          <w:p w14:paraId="3E405D73" w14:textId="77777777" w:rsidR="00E24469" w:rsidRPr="00EE4D95" w:rsidRDefault="00E24469" w:rsidP="00EE4D95">
            <w:pPr>
              <w:pStyle w:val="ListParagraph"/>
              <w:ind w:left="619"/>
              <w:contextualSpacing/>
            </w:pPr>
          </w:p>
          <w:p w14:paraId="65F74E3C" w14:textId="6E9D5197" w:rsidR="00134CD8" w:rsidRPr="00EE4D95" w:rsidRDefault="008D4DE4" w:rsidP="00EE4D95">
            <w:pPr>
              <w:pStyle w:val="ListParagraph"/>
              <w:numPr>
                <w:ilvl w:val="2"/>
                <w:numId w:val="1"/>
              </w:numPr>
              <w:ind w:left="619" w:hanging="547"/>
              <w:contextualSpacing/>
            </w:pPr>
            <w:r w:rsidRPr="00EE4D95">
              <w:t>Reports of persons that are arrested, detained, or prosecuted f</w:t>
            </w:r>
            <w:r w:rsidR="00D0165D">
              <w:t>or</w:t>
            </w:r>
            <w:r w:rsidRPr="00EE4D95">
              <w:t xml:space="preserve"> publishing, possessing, using or disseminating materials and publications related to the rites or customs of a religion or belief</w:t>
            </w:r>
            <w:r w:rsidR="001A4ED1" w:rsidRPr="00EE4D95">
              <w:t>.</w:t>
            </w:r>
          </w:p>
          <w:p w14:paraId="5B814862" w14:textId="77777777" w:rsidR="00EE4D95" w:rsidRPr="00EE4D95" w:rsidRDefault="00EE4D95" w:rsidP="00EE4D95">
            <w:pPr>
              <w:pStyle w:val="ListParagraph"/>
              <w:contextualSpacing/>
            </w:pPr>
          </w:p>
          <w:p w14:paraId="60646BB4" w14:textId="4E23E44E" w:rsidR="00EE4D95" w:rsidRPr="001A4ED1" w:rsidRDefault="00EE4D95" w:rsidP="00EE4D95">
            <w:pPr>
              <w:pStyle w:val="ListParagraph"/>
              <w:numPr>
                <w:ilvl w:val="2"/>
                <w:numId w:val="1"/>
              </w:numPr>
              <w:ind w:left="619" w:hanging="547"/>
              <w:contextualSpacing/>
            </w:pPr>
            <w:r w:rsidRPr="00EE4D95">
              <w:t>Number of persons arrested, detained or charged with violating public order or national security laws for acts related to the manifestation of a religion or belief</w:t>
            </w:r>
          </w:p>
        </w:tc>
      </w:tr>
      <w:tr w:rsidR="00861CD3" w:rsidRPr="00F55329" w14:paraId="7B0A66B8" w14:textId="77777777" w:rsidTr="00AF455E">
        <w:trPr>
          <w:gridAfter w:val="1"/>
          <w:wAfter w:w="28" w:type="dxa"/>
          <w:trHeight w:val="71"/>
        </w:trPr>
        <w:tc>
          <w:tcPr>
            <w:tcW w:w="4770" w:type="dxa"/>
            <w:tcBorders>
              <w:top w:val="single" w:sz="4" w:space="0" w:color="auto"/>
              <w:left w:val="single" w:sz="4" w:space="0" w:color="auto"/>
              <w:bottom w:val="single" w:sz="4" w:space="0" w:color="auto"/>
              <w:right w:val="single" w:sz="4" w:space="0" w:color="auto"/>
            </w:tcBorders>
            <w:shd w:val="clear" w:color="auto" w:fill="auto"/>
          </w:tcPr>
          <w:p w14:paraId="1755B784" w14:textId="1C320E78" w:rsidR="00861CD3" w:rsidRPr="001262F6" w:rsidRDefault="00D0165D" w:rsidP="000E35D5">
            <w:pPr>
              <w:pStyle w:val="NormalWeb"/>
              <w:numPr>
                <w:ilvl w:val="0"/>
                <w:numId w:val="15"/>
              </w:numPr>
              <w:ind w:left="161" w:hanging="180"/>
            </w:pPr>
            <w:r w:rsidRPr="00DE2110">
              <w:t>Non-discriminatory laws governing the creation, operation, registration and recognition of religious or belief communities</w:t>
            </w:r>
            <w:r>
              <w:t>; legal framework also recognizes that S</w:t>
            </w:r>
            <w:r w:rsidR="001262F6" w:rsidRPr="00861CD3">
              <w:t xml:space="preserve">tate permission is not a </w:t>
            </w:r>
            <w:r>
              <w:t>pre</w:t>
            </w:r>
            <w:r w:rsidR="001262F6" w:rsidRPr="00861CD3">
              <w:t xml:space="preserve">condition for </w:t>
            </w:r>
            <w:r>
              <w:t>the exercise of</w:t>
            </w:r>
            <w:r w:rsidR="001262F6" w:rsidRPr="00861CD3">
              <w:t xml:space="preserve"> freedom of religion or belief</w:t>
            </w:r>
            <w:r>
              <w:t xml:space="preserve"> </w:t>
            </w:r>
            <w:r w:rsidR="001262F6" w:rsidRPr="00861CD3">
              <w:t xml:space="preserve">whether alone or in community with others, in public or in private </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4E6E0F74" w14:textId="4C708054" w:rsidR="00861CD3" w:rsidRPr="00FC74B2" w:rsidRDefault="00572359" w:rsidP="00DE2110">
            <w:pPr>
              <w:pStyle w:val="ListParagraph"/>
              <w:numPr>
                <w:ilvl w:val="1"/>
                <w:numId w:val="15"/>
              </w:numPr>
              <w:tabs>
                <w:tab w:val="left" w:pos="3615"/>
              </w:tabs>
              <w:ind w:left="347" w:hanging="347"/>
            </w:pPr>
            <w:r>
              <w:t xml:space="preserve">Transparent and simplified </w:t>
            </w:r>
            <w:r w:rsidR="00861CD3" w:rsidRPr="00FC74B2">
              <w:t xml:space="preserve">processes for </w:t>
            </w:r>
            <w:r>
              <w:t xml:space="preserve">acquisition of </w:t>
            </w:r>
            <w:r w:rsidR="00D0165D">
              <w:t xml:space="preserve"> </w:t>
            </w:r>
            <w:r w:rsidR="00861CD3" w:rsidRPr="00FC74B2">
              <w:t xml:space="preserve">legal personality </w:t>
            </w:r>
            <w:r w:rsidR="00D0165D">
              <w:t xml:space="preserve">of </w:t>
            </w:r>
            <w:r w:rsidR="00861CD3" w:rsidRPr="00FC74B2">
              <w:t xml:space="preserve">religious or belief communities </w:t>
            </w: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53A93843" w14:textId="155B6E6E" w:rsidR="005F6EE8" w:rsidRDefault="005F6EE8" w:rsidP="00DE2110">
            <w:pPr>
              <w:pStyle w:val="ListParagraph"/>
              <w:numPr>
                <w:ilvl w:val="2"/>
                <w:numId w:val="15"/>
              </w:numPr>
              <w:ind w:left="619" w:hanging="547"/>
              <w:contextualSpacing/>
            </w:pPr>
            <w:r>
              <w:t>Reports of the arrest, detention and/or prosecution of individuals for exercising a religion or belief that is not recognized by a State</w:t>
            </w:r>
          </w:p>
          <w:p w14:paraId="40D255C0" w14:textId="77777777" w:rsidR="005F6EE8" w:rsidRPr="005F6EE8" w:rsidRDefault="005F6EE8" w:rsidP="005F6EE8">
            <w:pPr>
              <w:pStyle w:val="ListParagraph"/>
              <w:ind w:left="619"/>
              <w:contextualSpacing/>
            </w:pPr>
          </w:p>
          <w:p w14:paraId="6F53C06F" w14:textId="0F50C8B5" w:rsidR="00861CD3" w:rsidRPr="00FC74B2" w:rsidRDefault="005F6EE8" w:rsidP="00844918">
            <w:pPr>
              <w:pStyle w:val="ListParagraph"/>
              <w:numPr>
                <w:ilvl w:val="2"/>
                <w:numId w:val="15"/>
              </w:numPr>
              <w:ind w:left="619" w:hanging="547"/>
              <w:contextualSpacing/>
            </w:pPr>
            <w:r>
              <w:t>Reports of burdensome</w:t>
            </w:r>
            <w:r w:rsidR="00DE2110">
              <w:t xml:space="preserve"> or discriminatory processes for religious or belief groups to obtain legal personality</w:t>
            </w:r>
          </w:p>
        </w:tc>
      </w:tr>
      <w:tr w:rsidR="00232D30" w:rsidRPr="00F55329" w14:paraId="416DD143" w14:textId="77777777" w:rsidTr="00AF455E">
        <w:trPr>
          <w:gridAfter w:val="1"/>
          <w:wAfter w:w="28" w:type="dxa"/>
          <w:trHeight w:val="260"/>
        </w:trPr>
        <w:tc>
          <w:tcPr>
            <w:tcW w:w="4770" w:type="dxa"/>
            <w:tcBorders>
              <w:top w:val="single" w:sz="4" w:space="0" w:color="auto"/>
              <w:left w:val="single" w:sz="4" w:space="0" w:color="auto"/>
              <w:bottom w:val="single" w:sz="4" w:space="0" w:color="auto"/>
              <w:right w:val="single" w:sz="4" w:space="0" w:color="auto"/>
            </w:tcBorders>
            <w:shd w:val="clear" w:color="auto" w:fill="auto"/>
          </w:tcPr>
          <w:p w14:paraId="2A2659D3" w14:textId="3C4A2217" w:rsidR="00232D30" w:rsidRPr="00894F67" w:rsidRDefault="001262F6" w:rsidP="000E35D5">
            <w:pPr>
              <w:pStyle w:val="ListParagraph"/>
              <w:numPr>
                <w:ilvl w:val="0"/>
                <w:numId w:val="15"/>
              </w:numPr>
              <w:ind w:left="161" w:hanging="180"/>
            </w:pPr>
            <w:r w:rsidRPr="001262F6">
              <w:t xml:space="preserve">Legal framework protects </w:t>
            </w:r>
            <w:r w:rsidR="00D0165D">
              <w:t xml:space="preserve">and respects </w:t>
            </w:r>
            <w:r w:rsidRPr="001262F6">
              <w:t xml:space="preserve">the freedom of </w:t>
            </w:r>
            <w:r>
              <w:t xml:space="preserve">individuals and </w:t>
            </w:r>
            <w:r w:rsidRPr="001262F6">
              <w:t>communities to perform ritual and ceremonial acts</w:t>
            </w:r>
            <w:r w:rsidR="00D0165D">
              <w:t xml:space="preserve"> </w:t>
            </w:r>
            <w:r>
              <w:t xml:space="preserve">as </w:t>
            </w:r>
            <w:r w:rsidRPr="001262F6">
              <w:t>well as various practices integral to th</w:t>
            </w:r>
            <w:r w:rsidR="00D0165D">
              <w:t>is</w:t>
            </w:r>
            <w:r w:rsidRPr="001262F6">
              <w:t xml:space="preserve"> freedom</w:t>
            </w:r>
            <w:r>
              <w:t xml:space="preserve">; </w:t>
            </w:r>
            <w:r w:rsidRPr="001262F6">
              <w:t>including the building and maintenance of freely accessible places of worship, the use of ritual formulae and objects and the display of symbols</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1C50BB5C" w14:textId="650EF76C" w:rsidR="00232D30" w:rsidRPr="000E35D5" w:rsidRDefault="00D0165D" w:rsidP="000E35D5">
            <w:pPr>
              <w:pStyle w:val="ListParagraph"/>
              <w:numPr>
                <w:ilvl w:val="1"/>
                <w:numId w:val="15"/>
              </w:numPr>
              <w:tabs>
                <w:tab w:val="left" w:pos="3615"/>
              </w:tabs>
              <w:ind w:left="436" w:hanging="450"/>
            </w:pPr>
            <w:r>
              <w:t>Non-discriminatory and accessible p</w:t>
            </w:r>
            <w:r w:rsidR="00FC74B2" w:rsidRPr="000E35D5">
              <w:t xml:space="preserve">rocesses for obtaining zoning and construction permits </w:t>
            </w:r>
            <w:r>
              <w:t>for places of worship</w:t>
            </w: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78582063" w14:textId="76E24280" w:rsidR="00FC74B2" w:rsidRDefault="00232D30" w:rsidP="000A7B7C">
            <w:pPr>
              <w:pStyle w:val="ListParagraph"/>
              <w:numPr>
                <w:ilvl w:val="2"/>
                <w:numId w:val="15"/>
              </w:numPr>
              <w:ind w:left="524" w:hanging="547"/>
              <w:contextualSpacing/>
            </w:pPr>
            <w:r w:rsidRPr="00FC74B2">
              <w:t>Proportion of</w:t>
            </w:r>
            <w:r w:rsidR="000E35D5">
              <w:t xml:space="preserve"> applications for</w:t>
            </w:r>
            <w:r w:rsidRPr="00FC74B2">
              <w:t xml:space="preserve"> permits for the construction of places of worship awarded by regulatory authorities (disaggregated by religious/belief group</w:t>
            </w:r>
            <w:r w:rsidR="00804E06">
              <w:t>, including indigenous groups</w:t>
            </w:r>
            <w:r w:rsidRPr="00FC74B2">
              <w:t>)</w:t>
            </w:r>
          </w:p>
          <w:p w14:paraId="25CEA909" w14:textId="77777777" w:rsidR="000A7B7C" w:rsidRDefault="000A7B7C" w:rsidP="000A7B7C">
            <w:pPr>
              <w:pStyle w:val="ListParagraph"/>
              <w:ind w:left="524"/>
              <w:contextualSpacing/>
            </w:pPr>
          </w:p>
          <w:p w14:paraId="152EFFE0" w14:textId="51EA5CE3" w:rsidR="000A7B7C" w:rsidRDefault="000A7B7C" w:rsidP="000A7B7C">
            <w:pPr>
              <w:pStyle w:val="ListParagraph"/>
              <w:numPr>
                <w:ilvl w:val="2"/>
                <w:numId w:val="15"/>
              </w:numPr>
              <w:ind w:left="518" w:hanging="547"/>
              <w:contextualSpacing/>
            </w:pPr>
            <w:r>
              <w:t>Reports of</w:t>
            </w:r>
            <w:r w:rsidRPr="00FC74B2">
              <w:t xml:space="preserve"> </w:t>
            </w:r>
            <w:r w:rsidR="0034741E">
              <w:t>s</w:t>
            </w:r>
            <w:r w:rsidRPr="00FC74B2">
              <w:t xml:space="preserve">tate or non-state actor interference with an individual’s ability to acquire, develop, </w:t>
            </w:r>
            <w:r w:rsidRPr="00EE4D95">
              <w:t>disseminate or use materials and publications related to the rites or customs of a religion or belief</w:t>
            </w:r>
          </w:p>
          <w:p w14:paraId="219D269C" w14:textId="77777777" w:rsidR="000A7B7C" w:rsidRPr="000A7B7C" w:rsidRDefault="000A7B7C" w:rsidP="000A7B7C">
            <w:pPr>
              <w:pStyle w:val="ListParagraph"/>
              <w:ind w:left="518"/>
              <w:contextualSpacing/>
            </w:pPr>
          </w:p>
          <w:p w14:paraId="7D87A0BF" w14:textId="7D3769FF" w:rsidR="000A7B7C" w:rsidRPr="0034741E" w:rsidRDefault="000A7B7C" w:rsidP="000A7B7C">
            <w:pPr>
              <w:pStyle w:val="ListParagraph"/>
              <w:numPr>
                <w:ilvl w:val="2"/>
                <w:numId w:val="15"/>
              </w:numPr>
              <w:ind w:left="524" w:hanging="547"/>
              <w:contextualSpacing/>
            </w:pPr>
            <w:r w:rsidRPr="000A7B7C">
              <w:rPr>
                <w:rFonts w:cs="JohnSans Text Pro"/>
                <w:color w:val="211D1E"/>
              </w:rPr>
              <w:t xml:space="preserve">Reports of state and non-state actor interference with freedom to observe and practice a religion or belief, including: but is not limited to, ceremonial acts, but also customs </w:t>
            </w:r>
            <w:r w:rsidR="0034741E">
              <w:rPr>
                <w:rFonts w:cs="JohnSans Text Pro"/>
                <w:color w:val="211D1E"/>
              </w:rPr>
              <w:t xml:space="preserve">such </w:t>
            </w:r>
            <w:r w:rsidRPr="000A7B7C">
              <w:rPr>
                <w:rFonts w:cs="JohnSans Text Pro"/>
                <w:color w:val="211D1E"/>
              </w:rPr>
              <w:t xml:space="preserve">as the observance of dietary regulations; the wearing of distinctive clothing or head coverings, participation in rituals associated with certain stages of life and the use of a particular language customarily spoken by a group in practicing their religion, as well as the </w:t>
            </w:r>
            <w:proofErr w:type="spellStart"/>
            <w:r w:rsidRPr="000A7B7C">
              <w:rPr>
                <w:rFonts w:cs="JohnSans Text Pro"/>
                <w:color w:val="211D1E"/>
              </w:rPr>
              <w:t>the</w:t>
            </w:r>
            <w:proofErr w:type="spellEnd"/>
            <w:r w:rsidRPr="000A7B7C">
              <w:rPr>
                <w:rFonts w:cs="JohnSans Text Pro"/>
                <w:color w:val="211D1E"/>
              </w:rPr>
              <w:t xml:space="preserve"> observance of holidays and days of rest</w:t>
            </w:r>
            <w:r w:rsidR="0034741E">
              <w:rPr>
                <w:rFonts w:cs="JohnSans Text Pro"/>
                <w:color w:val="211D1E"/>
              </w:rPr>
              <w:t xml:space="preserve"> associated with a religion or belief</w:t>
            </w:r>
          </w:p>
          <w:p w14:paraId="3133156D" w14:textId="77777777" w:rsidR="0034741E" w:rsidRPr="000A7B7C" w:rsidRDefault="0034741E" w:rsidP="0034741E">
            <w:pPr>
              <w:pStyle w:val="ListParagraph"/>
              <w:ind w:left="524"/>
              <w:contextualSpacing/>
            </w:pPr>
          </w:p>
          <w:p w14:paraId="60308BBE" w14:textId="48FBD7AC" w:rsidR="00EE4D95" w:rsidRPr="000A7B7C" w:rsidRDefault="000A7B7C" w:rsidP="000A7B7C">
            <w:pPr>
              <w:pStyle w:val="ListParagraph"/>
              <w:numPr>
                <w:ilvl w:val="2"/>
                <w:numId w:val="15"/>
              </w:numPr>
              <w:ind w:left="524" w:hanging="547"/>
              <w:contextualSpacing/>
            </w:pPr>
            <w:r w:rsidRPr="000A7B7C">
              <w:t>Reports that prisoners cannot enjoy their rights to manifest their religion or belief to the fullest extent compatible with the specific nature of the</w:t>
            </w:r>
            <w:r w:rsidRPr="000A7B7C">
              <w:rPr>
                <w:sz w:val="22"/>
                <w:szCs w:val="22"/>
              </w:rPr>
              <w:t xml:space="preserve"> constraint</w:t>
            </w:r>
          </w:p>
        </w:tc>
      </w:tr>
      <w:tr w:rsidR="008D4DE4" w:rsidRPr="00F55329" w14:paraId="6B95B91C" w14:textId="77777777" w:rsidTr="00AF455E">
        <w:trPr>
          <w:gridAfter w:val="1"/>
          <w:wAfter w:w="28" w:type="dxa"/>
          <w:trHeight w:val="692"/>
        </w:trPr>
        <w:tc>
          <w:tcPr>
            <w:tcW w:w="4770" w:type="dxa"/>
            <w:tcBorders>
              <w:top w:val="single" w:sz="4" w:space="0" w:color="auto"/>
              <w:left w:val="single" w:sz="4" w:space="0" w:color="auto"/>
              <w:bottom w:val="single" w:sz="4" w:space="0" w:color="auto"/>
              <w:right w:val="single" w:sz="4" w:space="0" w:color="auto"/>
            </w:tcBorders>
            <w:shd w:val="clear" w:color="auto" w:fill="auto"/>
          </w:tcPr>
          <w:p w14:paraId="59EBC3F0" w14:textId="1ACB5226" w:rsidR="008D4DE4" w:rsidRPr="00844918" w:rsidRDefault="008D4DE4" w:rsidP="000E35D5">
            <w:pPr>
              <w:pStyle w:val="NormalWeb"/>
              <w:numPr>
                <w:ilvl w:val="0"/>
                <w:numId w:val="15"/>
              </w:numPr>
              <w:ind w:left="161" w:hanging="180"/>
            </w:pPr>
            <w:r w:rsidRPr="00844918">
              <w:t xml:space="preserve">Legal </w:t>
            </w:r>
            <w:r w:rsidR="0034741E" w:rsidRPr="00844918">
              <w:t xml:space="preserve">framework respects expression of religion or belief in work and education settings, including </w:t>
            </w:r>
            <w:r w:rsidRPr="00844918">
              <w:t>protection for individuals to exercise conscientious objection to military service</w:t>
            </w: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44C8B48A" w14:textId="5776B002" w:rsidR="008D4DE4" w:rsidRPr="00844918" w:rsidRDefault="0034741E" w:rsidP="000E35D5">
            <w:pPr>
              <w:pStyle w:val="NormalWeb"/>
              <w:numPr>
                <w:ilvl w:val="1"/>
                <w:numId w:val="15"/>
              </w:numPr>
              <w:ind w:left="436" w:hanging="436"/>
            </w:pPr>
            <w:r w:rsidRPr="00844918">
              <w:t>Measures</w:t>
            </w:r>
            <w:r w:rsidR="008D4DE4" w:rsidRPr="00844918">
              <w:t xml:space="preserve"> </w:t>
            </w:r>
            <w:r w:rsidRPr="00844918">
              <w:t xml:space="preserve">to </w:t>
            </w:r>
            <w:r w:rsidR="008D4DE4" w:rsidRPr="00844918">
              <w:t>facilitate the accommodation of religion or belief in work and education settings</w:t>
            </w:r>
            <w:r w:rsidR="00804E06" w:rsidRPr="00844918">
              <w:t xml:space="preserve"> where required under international human rights law</w:t>
            </w: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4CA59C24" w14:textId="35286079" w:rsidR="009F3E15" w:rsidRDefault="000E35D5" w:rsidP="009F3E15">
            <w:pPr>
              <w:pStyle w:val="ListParagraph"/>
              <w:numPr>
                <w:ilvl w:val="2"/>
                <w:numId w:val="15"/>
              </w:numPr>
              <w:ind w:left="533" w:hanging="533"/>
              <w:contextualSpacing/>
            </w:pPr>
            <w:r w:rsidRPr="009F3E15">
              <w:t xml:space="preserve">Reports of denial of accommodation of the exercise of religion or belief in </w:t>
            </w:r>
            <w:r w:rsidR="009F3E15" w:rsidRPr="009F3E15">
              <w:t xml:space="preserve">work or </w:t>
            </w:r>
            <w:r w:rsidRPr="009F3E15">
              <w:t>education settings</w:t>
            </w:r>
            <w:r w:rsidR="009F3E15" w:rsidRPr="009F3E15">
              <w:t xml:space="preserve"> or of discrimination in the accommodations of the exercise of religion or belief in </w:t>
            </w:r>
            <w:r w:rsidR="00804E06">
              <w:t>such</w:t>
            </w:r>
            <w:r w:rsidR="00804E06" w:rsidRPr="009F3E15">
              <w:t xml:space="preserve"> </w:t>
            </w:r>
            <w:r w:rsidR="009F3E15" w:rsidRPr="009F3E15">
              <w:t>spaces</w:t>
            </w:r>
          </w:p>
          <w:p w14:paraId="41B2D5F3" w14:textId="77777777" w:rsidR="009F3E15" w:rsidRPr="009F3E15" w:rsidRDefault="009F3E15" w:rsidP="009F3E15">
            <w:pPr>
              <w:pStyle w:val="ListParagraph"/>
              <w:ind w:left="533"/>
              <w:contextualSpacing/>
            </w:pPr>
          </w:p>
          <w:p w14:paraId="62C2F09E" w14:textId="36E60A5C" w:rsidR="009F3E15" w:rsidRPr="009F3E15" w:rsidRDefault="009F3E15" w:rsidP="009F3E15">
            <w:pPr>
              <w:pStyle w:val="ListParagraph"/>
              <w:numPr>
                <w:ilvl w:val="2"/>
                <w:numId w:val="15"/>
              </w:numPr>
              <w:ind w:left="533" w:hanging="533"/>
              <w:contextualSpacing/>
            </w:pPr>
            <w:r w:rsidRPr="009F3E15">
              <w:t>Reports of arrests, detentions and/or prosecution of individuals for attempting to exercise conscientious objection to military service</w:t>
            </w:r>
            <w:r>
              <w:t xml:space="preserve">  </w:t>
            </w:r>
          </w:p>
        </w:tc>
      </w:tr>
      <w:tr w:rsidR="007C2951" w:rsidRPr="00F55329" w14:paraId="786D2716" w14:textId="77777777" w:rsidTr="00AF455E">
        <w:trPr>
          <w:gridAfter w:val="1"/>
          <w:wAfter w:w="28" w:type="dxa"/>
          <w:trHeight w:val="926"/>
        </w:trPr>
        <w:tc>
          <w:tcPr>
            <w:tcW w:w="4770" w:type="dxa"/>
            <w:tcBorders>
              <w:top w:val="single" w:sz="4" w:space="0" w:color="auto"/>
              <w:left w:val="single" w:sz="4" w:space="0" w:color="auto"/>
              <w:bottom w:val="single" w:sz="4" w:space="0" w:color="auto"/>
              <w:right w:val="single" w:sz="4" w:space="0" w:color="auto"/>
            </w:tcBorders>
            <w:shd w:val="clear" w:color="auto" w:fill="auto"/>
          </w:tcPr>
          <w:p w14:paraId="1268CD24" w14:textId="54DF142A" w:rsidR="007C2951" w:rsidRPr="009F3E15" w:rsidRDefault="007C2951" w:rsidP="007C2951">
            <w:pPr>
              <w:pStyle w:val="ListParagraph"/>
              <w:numPr>
                <w:ilvl w:val="0"/>
                <w:numId w:val="15"/>
              </w:numPr>
              <w:tabs>
                <w:tab w:val="left" w:pos="3615"/>
              </w:tabs>
              <w:ind w:left="164" w:hanging="164"/>
              <w:contextualSpacing/>
            </w:pPr>
            <w:r>
              <w:t>Legal</w:t>
            </w:r>
            <w:r w:rsidR="0034741E">
              <w:t xml:space="preserve"> </w:t>
            </w:r>
            <w:r>
              <w:t>/regulatory framework</w:t>
            </w:r>
            <w:r w:rsidRPr="009F3E15">
              <w:t xml:space="preserve"> enabl</w:t>
            </w:r>
            <w:r>
              <w:t>es</w:t>
            </w:r>
            <w:r w:rsidRPr="009F3E15">
              <w:t xml:space="preserve"> persons to establish and maintain appropriate charitable or humanitarian institutions in community with others in the context of their religion or belief</w:t>
            </w:r>
          </w:p>
          <w:p w14:paraId="5536C587" w14:textId="59CFC814" w:rsidR="007C2951" w:rsidRPr="00894F67" w:rsidRDefault="007C2951" w:rsidP="007C2951">
            <w:pPr>
              <w:pStyle w:val="NormalWeb"/>
              <w:tabs>
                <w:tab w:val="left" w:pos="2844"/>
              </w:tabs>
              <w:ind w:left="164"/>
            </w:pPr>
          </w:p>
        </w:tc>
        <w:tc>
          <w:tcPr>
            <w:tcW w:w="4680" w:type="dxa"/>
            <w:tcBorders>
              <w:top w:val="single" w:sz="4" w:space="0" w:color="auto"/>
              <w:left w:val="single" w:sz="4" w:space="0" w:color="auto"/>
              <w:bottom w:val="single" w:sz="4" w:space="0" w:color="auto"/>
              <w:right w:val="single" w:sz="4" w:space="0" w:color="auto"/>
            </w:tcBorders>
            <w:shd w:val="clear" w:color="auto" w:fill="auto"/>
          </w:tcPr>
          <w:p w14:paraId="31449C98" w14:textId="096C691F" w:rsidR="007C2951" w:rsidRPr="007C2951" w:rsidRDefault="0034741E" w:rsidP="007C2951">
            <w:pPr>
              <w:pStyle w:val="ListParagraph"/>
              <w:numPr>
                <w:ilvl w:val="1"/>
                <w:numId w:val="15"/>
              </w:numPr>
              <w:tabs>
                <w:tab w:val="left" w:pos="3615"/>
              </w:tabs>
              <w:ind w:left="434" w:hanging="434"/>
            </w:pPr>
            <w:r>
              <w:t>Ability of r</w:t>
            </w:r>
            <w:r w:rsidR="007C2951" w:rsidRPr="007C2951">
              <w:t>eligious or belief organizations to establish bank accounts, obtain/maintain property,</w:t>
            </w:r>
            <w:r w:rsidR="007C2951">
              <w:t xml:space="preserve"> and/or</w:t>
            </w:r>
            <w:r w:rsidR="007C2951" w:rsidRPr="007C2951">
              <w:t xml:space="preserve"> to solicit and receive voluntary financial and other contributions from individuals and institutions</w:t>
            </w: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74CD4539" w14:textId="6CEA0E05" w:rsidR="001A4ED1" w:rsidRDefault="00E24469" w:rsidP="001A4ED1">
            <w:pPr>
              <w:pStyle w:val="ListParagraph"/>
              <w:numPr>
                <w:ilvl w:val="2"/>
                <w:numId w:val="15"/>
              </w:numPr>
              <w:ind w:left="533" w:hanging="547"/>
              <w:contextualSpacing/>
            </w:pPr>
            <w:r>
              <w:t xml:space="preserve">Reports of the seizure of property and </w:t>
            </w:r>
            <w:r w:rsidR="001A4ED1">
              <w:t>financial</w:t>
            </w:r>
            <w:r>
              <w:t xml:space="preserve"> assets of</w:t>
            </w:r>
            <w:r w:rsidRPr="009F3E15">
              <w:t xml:space="preserve"> </w:t>
            </w:r>
            <w:r>
              <w:t xml:space="preserve">the </w:t>
            </w:r>
            <w:r w:rsidRPr="009F3E15">
              <w:t>charitable or humanitarian institutions in community</w:t>
            </w:r>
            <w:r w:rsidR="001A4ED1">
              <w:t>;</w:t>
            </w:r>
          </w:p>
          <w:p w14:paraId="0C58FF5A" w14:textId="77777777" w:rsidR="001A4ED1" w:rsidRPr="001A4ED1" w:rsidRDefault="001A4ED1" w:rsidP="001A4ED1">
            <w:pPr>
              <w:pStyle w:val="ListParagraph"/>
              <w:ind w:left="533"/>
              <w:contextualSpacing/>
            </w:pPr>
          </w:p>
          <w:p w14:paraId="30383C46" w14:textId="17CB3137" w:rsidR="001A4ED1" w:rsidRPr="007C2951" w:rsidRDefault="001A4ED1" w:rsidP="001A4ED1">
            <w:pPr>
              <w:pStyle w:val="ListParagraph"/>
              <w:numPr>
                <w:ilvl w:val="2"/>
                <w:numId w:val="15"/>
              </w:numPr>
              <w:ind w:left="533" w:hanging="547"/>
              <w:contextualSpacing/>
            </w:pPr>
            <w:r>
              <w:t xml:space="preserve">Reports of arrests, detention, or prosecution of individuals for engaging in acts of charity or on behalf of appropriate charitable </w:t>
            </w:r>
            <w:r w:rsidRPr="009F3E15">
              <w:t>institutions in the context of their religion or belief</w:t>
            </w:r>
          </w:p>
        </w:tc>
      </w:tr>
      <w:tr w:rsidR="00AF455E" w:rsidRPr="007C2951" w14:paraId="2041BE05" w14:textId="77777777" w:rsidTr="00AF45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 w:type="dxa"/>
          <w:trHeight w:val="926"/>
        </w:trPr>
        <w:tc>
          <w:tcPr>
            <w:tcW w:w="4770" w:type="dxa"/>
          </w:tcPr>
          <w:p w14:paraId="6F87C110" w14:textId="7D5FFB2B" w:rsidR="00AF455E" w:rsidRPr="00894F67" w:rsidRDefault="00AF455E" w:rsidP="00844918">
            <w:pPr>
              <w:pStyle w:val="ListParagraph"/>
              <w:numPr>
                <w:ilvl w:val="0"/>
                <w:numId w:val="15"/>
              </w:numPr>
              <w:tabs>
                <w:tab w:val="left" w:pos="3615"/>
              </w:tabs>
              <w:ind w:left="164" w:hanging="164"/>
              <w:contextualSpacing/>
            </w:pPr>
            <w:r w:rsidRPr="00AF455E">
              <w:t>Legislation establishing Indigenous peoples' right to manifest, practi</w:t>
            </w:r>
            <w:r w:rsidR="00804E06">
              <w:t>c</w:t>
            </w:r>
            <w:r w:rsidRPr="00AF455E">
              <w:t>e, develop and teach their spiritual and religious traditions, customs and ceremonies; the right to maintain, protect, and have access in privacy to their religious and cultural sites; the right to the use and control of their ceremonial objects; and the right to the repatriation of their human remains</w:t>
            </w:r>
          </w:p>
        </w:tc>
        <w:tc>
          <w:tcPr>
            <w:tcW w:w="4680" w:type="dxa"/>
          </w:tcPr>
          <w:p w14:paraId="460668CA" w14:textId="7DF1B9C2" w:rsidR="00AF455E" w:rsidRPr="00AF455E" w:rsidRDefault="00AF455E" w:rsidP="00844918">
            <w:pPr>
              <w:pStyle w:val="ListParagraph"/>
              <w:numPr>
                <w:ilvl w:val="1"/>
                <w:numId w:val="15"/>
              </w:numPr>
              <w:tabs>
                <w:tab w:val="left" w:pos="3615"/>
              </w:tabs>
              <w:ind w:left="434" w:hanging="434"/>
            </w:pPr>
            <w:r w:rsidRPr="00AF455E">
              <w:t>Number of media, cultural, linguistic and religious institutions of ethnic, linguistic or minority or indigenous populations recognized or given public support</w:t>
            </w:r>
          </w:p>
        </w:tc>
        <w:tc>
          <w:tcPr>
            <w:tcW w:w="4855" w:type="dxa"/>
          </w:tcPr>
          <w:p w14:paraId="62E5AD99" w14:textId="325FC3E0" w:rsidR="00AF455E" w:rsidRPr="00804E06" w:rsidRDefault="00804E06" w:rsidP="00844918">
            <w:pPr>
              <w:pStyle w:val="ListParagraph"/>
              <w:numPr>
                <w:ilvl w:val="2"/>
                <w:numId w:val="15"/>
              </w:numPr>
              <w:ind w:left="533" w:hanging="547"/>
              <w:contextualSpacing/>
            </w:pPr>
            <w:r>
              <w:t>R</w:t>
            </w:r>
            <w:r w:rsidRPr="00804E06">
              <w:t>eports that indigenous peoples are not able to freely access sites of religious or spiritual significance without hindrance by state or non-state actors or that indigenous peoples do not freely control ceremonial objects</w:t>
            </w:r>
          </w:p>
        </w:tc>
      </w:tr>
    </w:tbl>
    <w:p w14:paraId="6A0EB4B3" w14:textId="48947558" w:rsidR="00642B28" w:rsidRDefault="00642B28" w:rsidP="00B76D8E">
      <w:pPr>
        <w:tabs>
          <w:tab w:val="center" w:pos="6480"/>
        </w:tabs>
      </w:pPr>
    </w:p>
    <w:p w14:paraId="5B3570C9" w14:textId="64686CEA" w:rsidR="00642B28" w:rsidRDefault="00642B28" w:rsidP="00B76D8E">
      <w:pPr>
        <w:tabs>
          <w:tab w:val="center" w:pos="6480"/>
        </w:tabs>
      </w:pPr>
    </w:p>
    <w:p w14:paraId="15272D12" w14:textId="77777777" w:rsidR="001E58E5" w:rsidRDefault="001E58E5" w:rsidP="00B76D8E">
      <w:pPr>
        <w:tabs>
          <w:tab w:val="center" w:pos="6480"/>
        </w:tabs>
      </w:pPr>
    </w:p>
    <w:tbl>
      <w:tblPr>
        <w:tblStyle w:val="TableGrid"/>
        <w:tblW w:w="14333"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00"/>
        <w:gridCol w:w="4855"/>
        <w:gridCol w:w="28"/>
      </w:tblGrid>
      <w:tr w:rsidR="000A7B7C" w:rsidRPr="0038097F" w14:paraId="06DA4492" w14:textId="77777777" w:rsidTr="000A7B7C">
        <w:tc>
          <w:tcPr>
            <w:tcW w:w="14333" w:type="dxa"/>
            <w:gridSpan w:val="4"/>
            <w:tcBorders>
              <w:bottom w:val="single" w:sz="4" w:space="0" w:color="auto"/>
            </w:tcBorders>
            <w:shd w:val="clear" w:color="auto" w:fill="auto"/>
          </w:tcPr>
          <w:p w14:paraId="5267A59B" w14:textId="04B91DAE" w:rsidR="000A7B7C" w:rsidRPr="000A7B7C" w:rsidRDefault="000A7B7C" w:rsidP="000A7B7C">
            <w:pPr>
              <w:pStyle w:val="ListParagraph"/>
              <w:numPr>
                <w:ilvl w:val="0"/>
                <w:numId w:val="1"/>
              </w:numPr>
              <w:pBdr>
                <w:bottom w:val="single" w:sz="4" w:space="1" w:color="auto"/>
              </w:pBdr>
              <w:rPr>
                <w:rFonts w:asciiTheme="minorHAnsi" w:hAnsiTheme="minorHAnsi" w:cstheme="minorHAnsi"/>
                <w:b/>
                <w:i/>
                <w:iCs/>
                <w:sz w:val="28"/>
                <w:szCs w:val="28"/>
              </w:rPr>
            </w:pPr>
            <w:r w:rsidRPr="000A7B7C">
              <w:rPr>
                <w:rFonts w:asciiTheme="minorHAnsi" w:hAnsiTheme="minorHAnsi" w:cstheme="minorHAnsi"/>
                <w:color w:val="000000"/>
                <w:sz w:val="28"/>
                <w:szCs w:val="28"/>
              </w:rPr>
              <w:t>Attribute of the Right to FoRB</w:t>
            </w:r>
            <w:r w:rsidRPr="000A7B7C">
              <w:rPr>
                <w:rFonts w:asciiTheme="minorHAnsi" w:hAnsiTheme="minorHAnsi" w:cstheme="minorHAnsi"/>
                <w:sz w:val="28"/>
                <w:szCs w:val="28"/>
              </w:rPr>
              <w:t>:</w:t>
            </w:r>
            <w:r w:rsidRPr="000A7B7C">
              <w:rPr>
                <w:rFonts w:asciiTheme="minorHAnsi" w:hAnsiTheme="minorHAnsi" w:cstheme="minorHAnsi"/>
                <w:b/>
                <w:sz w:val="28"/>
                <w:szCs w:val="28"/>
              </w:rPr>
              <w:t xml:space="preserve"> </w:t>
            </w:r>
            <w:r w:rsidRPr="000A7B7C">
              <w:rPr>
                <w:rFonts w:asciiTheme="minorHAnsi" w:hAnsiTheme="minorHAnsi" w:cstheme="minorHAnsi"/>
                <w:b/>
                <w:i/>
                <w:iCs/>
                <w:sz w:val="28"/>
                <w:szCs w:val="28"/>
              </w:rPr>
              <w:t>Non-discrimination</w:t>
            </w:r>
          </w:p>
          <w:p w14:paraId="6D4910AF" w14:textId="564AC033" w:rsidR="000A7B7C" w:rsidRPr="00F55329" w:rsidRDefault="000A7B7C" w:rsidP="000A7B7C">
            <w:pPr>
              <w:pBdr>
                <w:bottom w:val="single" w:sz="4" w:space="1" w:color="auto"/>
              </w:pBdr>
              <w:rPr>
                <w:sz w:val="22"/>
                <w:szCs w:val="22"/>
              </w:rPr>
            </w:pPr>
            <w:r w:rsidRPr="00F55329">
              <w:rPr>
                <w:rFonts w:asciiTheme="minorHAnsi" w:hAnsiTheme="minorHAnsi" w:cstheme="minorHAnsi"/>
                <w:b/>
                <w:i/>
                <w:iCs/>
                <w:sz w:val="22"/>
                <w:szCs w:val="22"/>
              </w:rPr>
              <w:t xml:space="preserve">Sources: </w:t>
            </w:r>
            <w:r w:rsidRPr="00C460DD">
              <w:rPr>
                <w:sz w:val="22"/>
                <w:szCs w:val="22"/>
              </w:rPr>
              <w:t>ICCPR, Art. (s) 2, 2.1, 2.3,</w:t>
            </w:r>
            <w:r w:rsidR="00C460DD">
              <w:rPr>
                <w:sz w:val="22"/>
                <w:szCs w:val="22"/>
              </w:rPr>
              <w:t xml:space="preserve"> 3,</w:t>
            </w:r>
            <w:r w:rsidRPr="00C460DD">
              <w:rPr>
                <w:sz w:val="22"/>
                <w:szCs w:val="22"/>
              </w:rPr>
              <w:t xml:space="preserve"> 18, 20.2, 25</w:t>
            </w:r>
            <w:r w:rsidR="00C460DD">
              <w:rPr>
                <w:sz w:val="22"/>
                <w:szCs w:val="22"/>
              </w:rPr>
              <w:t xml:space="preserve">, </w:t>
            </w:r>
            <w:r w:rsidRPr="00C460DD">
              <w:rPr>
                <w:sz w:val="22"/>
                <w:szCs w:val="22"/>
              </w:rPr>
              <w:t xml:space="preserve">26, 27; </w:t>
            </w:r>
            <w:r w:rsidR="00C460DD" w:rsidRPr="00C460DD">
              <w:rPr>
                <w:sz w:val="22"/>
                <w:szCs w:val="22"/>
              </w:rPr>
              <w:t>ICESCR Art. (s</w:t>
            </w:r>
            <w:r w:rsidR="00C460DD">
              <w:rPr>
                <w:sz w:val="22"/>
                <w:szCs w:val="22"/>
              </w:rPr>
              <w:t xml:space="preserve">) 2, </w:t>
            </w:r>
            <w:r w:rsidR="00C460DD" w:rsidRPr="00C460DD">
              <w:rPr>
                <w:sz w:val="22"/>
                <w:szCs w:val="22"/>
              </w:rPr>
              <w:t>15.1</w:t>
            </w:r>
            <w:r w:rsidR="00C460DD">
              <w:rPr>
                <w:sz w:val="22"/>
                <w:szCs w:val="22"/>
              </w:rPr>
              <w:t>,</w:t>
            </w:r>
            <w:r w:rsidR="00C460DD" w:rsidRPr="00C460DD">
              <w:rPr>
                <w:sz w:val="22"/>
                <w:szCs w:val="22"/>
              </w:rPr>
              <w:t xml:space="preserve"> ICRC 14.1</w:t>
            </w:r>
            <w:r w:rsidR="00C460DD">
              <w:rPr>
                <w:sz w:val="22"/>
                <w:szCs w:val="22"/>
              </w:rPr>
              <w:t xml:space="preserve">, 19 CEDAW </w:t>
            </w:r>
            <w:r w:rsidR="00C460DD" w:rsidRPr="00C460DD">
              <w:rPr>
                <w:sz w:val="22"/>
                <w:szCs w:val="22"/>
              </w:rPr>
              <w:t xml:space="preserve">Art. (s) </w:t>
            </w:r>
            <w:r w:rsidR="00C460DD">
              <w:rPr>
                <w:sz w:val="22"/>
                <w:szCs w:val="22"/>
              </w:rPr>
              <w:t>1,2;</w:t>
            </w:r>
            <w:r w:rsidR="00C460DD" w:rsidRPr="00C460DD">
              <w:rPr>
                <w:sz w:val="22"/>
                <w:szCs w:val="22"/>
              </w:rPr>
              <w:t xml:space="preserve"> </w:t>
            </w:r>
            <w:r w:rsidRPr="00C460DD">
              <w:rPr>
                <w:sz w:val="22"/>
                <w:szCs w:val="22"/>
              </w:rPr>
              <w:t xml:space="preserve">1981 Declaration, Art. 2; </w:t>
            </w:r>
            <w:proofErr w:type="spellStart"/>
            <w:r w:rsidRPr="00C460DD">
              <w:rPr>
                <w:sz w:val="22"/>
                <w:szCs w:val="22"/>
              </w:rPr>
              <w:t>HRCttee</w:t>
            </w:r>
            <w:proofErr w:type="spellEnd"/>
            <w:r w:rsidRPr="00C460DD">
              <w:rPr>
                <w:sz w:val="22"/>
                <w:szCs w:val="22"/>
              </w:rPr>
              <w:t xml:space="preserve"> </w:t>
            </w:r>
            <w:r w:rsidR="00C460DD">
              <w:rPr>
                <w:sz w:val="22"/>
                <w:szCs w:val="22"/>
              </w:rPr>
              <w:t>G</w:t>
            </w:r>
            <w:r w:rsidRPr="00C460DD">
              <w:rPr>
                <w:sz w:val="22"/>
                <w:szCs w:val="22"/>
              </w:rPr>
              <w:t xml:space="preserve">eneral </w:t>
            </w:r>
            <w:r w:rsidR="00C460DD">
              <w:rPr>
                <w:sz w:val="22"/>
                <w:szCs w:val="22"/>
              </w:rPr>
              <w:t>C</w:t>
            </w:r>
            <w:r w:rsidRPr="00C460DD">
              <w:rPr>
                <w:sz w:val="22"/>
                <w:szCs w:val="22"/>
              </w:rPr>
              <w:t xml:space="preserve">omment </w:t>
            </w:r>
            <w:r w:rsidR="00C460DD">
              <w:rPr>
                <w:sz w:val="22"/>
                <w:szCs w:val="22"/>
              </w:rPr>
              <w:t>2</w:t>
            </w:r>
            <w:r w:rsidRPr="00C460DD">
              <w:rPr>
                <w:sz w:val="22"/>
                <w:szCs w:val="22"/>
              </w:rPr>
              <w:t>3; 1992 Minorities Declaration; Beirut Declaration, commitment V;</w:t>
            </w:r>
            <w:r w:rsidR="00C460DD">
              <w:rPr>
                <w:sz w:val="22"/>
                <w:szCs w:val="22"/>
              </w:rPr>
              <w:t xml:space="preserve"> </w:t>
            </w:r>
            <w:r w:rsidRPr="00C460DD">
              <w:rPr>
                <w:sz w:val="22"/>
                <w:szCs w:val="22"/>
              </w:rPr>
              <w:t>SDG 10.3.1 and 16.b.1; Rabat Plan of Action; Toledo Guiding Principles; Office of Genocide Prevention, Fez Process, 13; SDG(s): 1.2.1, 16.10.1, 16.1.2; UN Framework for Atrocity Crime Prevention, 9.4</w:t>
            </w:r>
            <w:r w:rsidR="00C460DD">
              <w:rPr>
                <w:sz w:val="22"/>
                <w:szCs w:val="22"/>
              </w:rPr>
              <w:t>.</w:t>
            </w:r>
            <w:r w:rsidR="00804E06">
              <w:rPr>
                <w:sz w:val="22"/>
                <w:szCs w:val="22"/>
              </w:rPr>
              <w:t xml:space="preserve">; UNDRIP </w:t>
            </w:r>
          </w:p>
          <w:p w14:paraId="27120090" w14:textId="77777777" w:rsidR="000A7B7C" w:rsidRDefault="000A7B7C" w:rsidP="000A7B7C">
            <w:pPr>
              <w:rPr>
                <w:sz w:val="22"/>
                <w:szCs w:val="22"/>
              </w:rPr>
            </w:pPr>
          </w:p>
          <w:p w14:paraId="78AC58DE" w14:textId="77777777" w:rsidR="000A7B7C" w:rsidRPr="0038097F" w:rsidRDefault="000A7B7C" w:rsidP="000A7B7C">
            <w:pPr>
              <w:rPr>
                <w:sz w:val="22"/>
                <w:szCs w:val="22"/>
              </w:rPr>
            </w:pPr>
          </w:p>
        </w:tc>
      </w:tr>
      <w:tr w:rsidR="000A7B7C" w:rsidRPr="0038097F" w14:paraId="3090B9D4" w14:textId="77777777" w:rsidTr="000A7B7C">
        <w:trPr>
          <w:gridAfter w:val="1"/>
          <w:wAfter w:w="28" w:type="dxa"/>
        </w:trPr>
        <w:tc>
          <w:tcPr>
            <w:tcW w:w="4950" w:type="dxa"/>
            <w:tcBorders>
              <w:left w:val="single" w:sz="4" w:space="0" w:color="auto"/>
              <w:bottom w:val="single" w:sz="4" w:space="0" w:color="auto"/>
              <w:right w:val="single" w:sz="4" w:space="0" w:color="auto"/>
            </w:tcBorders>
            <w:shd w:val="clear" w:color="auto" w:fill="auto"/>
          </w:tcPr>
          <w:p w14:paraId="7E855BB1" w14:textId="77777777" w:rsidR="000A7B7C" w:rsidRPr="0038097F" w:rsidRDefault="000A7B7C" w:rsidP="000A7B7C">
            <w:pPr>
              <w:jc w:val="center"/>
              <w:rPr>
                <w:rFonts w:asciiTheme="minorHAnsi" w:hAnsiTheme="minorHAnsi" w:cstheme="minorHAnsi"/>
                <w:b/>
                <w:sz w:val="22"/>
                <w:szCs w:val="22"/>
              </w:rPr>
            </w:pPr>
            <w:r w:rsidRPr="0038097F">
              <w:rPr>
                <w:rFonts w:asciiTheme="minorHAnsi" w:hAnsiTheme="minorHAnsi" w:cstheme="minorHAnsi"/>
                <w:b/>
                <w:sz w:val="22"/>
                <w:szCs w:val="22"/>
              </w:rPr>
              <w:t>Structural Indicators</w:t>
            </w:r>
          </w:p>
        </w:tc>
        <w:tc>
          <w:tcPr>
            <w:tcW w:w="4500" w:type="dxa"/>
            <w:tcBorders>
              <w:left w:val="single" w:sz="4" w:space="0" w:color="auto"/>
              <w:bottom w:val="single" w:sz="4" w:space="0" w:color="auto"/>
              <w:right w:val="single" w:sz="4" w:space="0" w:color="auto"/>
            </w:tcBorders>
            <w:shd w:val="clear" w:color="auto" w:fill="auto"/>
          </w:tcPr>
          <w:p w14:paraId="5D1BA084" w14:textId="77777777" w:rsidR="000A7B7C" w:rsidRPr="0038097F" w:rsidRDefault="000A7B7C" w:rsidP="000A7B7C">
            <w:pPr>
              <w:jc w:val="center"/>
              <w:rPr>
                <w:rFonts w:asciiTheme="minorHAnsi" w:hAnsiTheme="minorHAnsi" w:cstheme="minorHAnsi"/>
                <w:b/>
                <w:sz w:val="22"/>
                <w:szCs w:val="22"/>
              </w:rPr>
            </w:pPr>
            <w:r w:rsidRPr="0038097F">
              <w:rPr>
                <w:rFonts w:asciiTheme="minorHAnsi" w:hAnsiTheme="minorHAnsi" w:cstheme="minorHAnsi"/>
                <w:b/>
                <w:sz w:val="22"/>
                <w:szCs w:val="22"/>
              </w:rPr>
              <w:t>Process Indicators</w:t>
            </w:r>
          </w:p>
        </w:tc>
        <w:tc>
          <w:tcPr>
            <w:tcW w:w="4855" w:type="dxa"/>
            <w:tcBorders>
              <w:left w:val="single" w:sz="4" w:space="0" w:color="auto"/>
              <w:bottom w:val="single" w:sz="4" w:space="0" w:color="auto"/>
              <w:right w:val="single" w:sz="4" w:space="0" w:color="auto"/>
            </w:tcBorders>
            <w:shd w:val="clear" w:color="auto" w:fill="auto"/>
          </w:tcPr>
          <w:p w14:paraId="07E9D4AE" w14:textId="77777777" w:rsidR="000A7B7C" w:rsidRPr="0038097F" w:rsidRDefault="000A7B7C" w:rsidP="000A7B7C">
            <w:pPr>
              <w:jc w:val="center"/>
              <w:rPr>
                <w:rFonts w:asciiTheme="minorHAnsi" w:hAnsiTheme="minorHAnsi" w:cstheme="minorHAnsi"/>
                <w:b/>
                <w:sz w:val="22"/>
                <w:szCs w:val="22"/>
              </w:rPr>
            </w:pPr>
            <w:r w:rsidRPr="0038097F">
              <w:rPr>
                <w:rFonts w:asciiTheme="minorHAnsi" w:hAnsiTheme="minorHAnsi" w:cstheme="minorHAnsi"/>
                <w:b/>
                <w:sz w:val="22"/>
                <w:szCs w:val="22"/>
              </w:rPr>
              <w:t>Outcome Indicators</w:t>
            </w:r>
          </w:p>
        </w:tc>
      </w:tr>
      <w:tr w:rsidR="000A7B7C" w:rsidRPr="0038097F" w14:paraId="7A000BFD" w14:textId="77777777" w:rsidTr="000A7B7C">
        <w:trPr>
          <w:gridAfter w:val="1"/>
          <w:wAfter w:w="28" w:type="dxa"/>
          <w:trHeight w:val="395"/>
        </w:trPr>
        <w:tc>
          <w:tcPr>
            <w:tcW w:w="4950" w:type="dxa"/>
            <w:tcBorders>
              <w:top w:val="single" w:sz="4" w:space="0" w:color="auto"/>
              <w:left w:val="single" w:sz="4" w:space="0" w:color="auto"/>
              <w:bottom w:val="single" w:sz="4" w:space="0" w:color="auto"/>
              <w:right w:val="single" w:sz="4" w:space="0" w:color="auto"/>
            </w:tcBorders>
            <w:shd w:val="clear" w:color="auto" w:fill="auto"/>
          </w:tcPr>
          <w:p w14:paraId="6A7D77D8" w14:textId="79EF91DC" w:rsidR="000A7B7C" w:rsidRPr="001E58E5" w:rsidRDefault="000A7B7C" w:rsidP="001B1E20">
            <w:pPr>
              <w:pStyle w:val="ListParagraph"/>
              <w:numPr>
                <w:ilvl w:val="0"/>
                <w:numId w:val="18"/>
              </w:numPr>
              <w:ind w:left="251" w:hanging="251"/>
            </w:pPr>
            <w:r w:rsidRPr="001E58E5">
              <w:t>Legal framework guarantees</w:t>
            </w:r>
            <w:r w:rsidR="00347139" w:rsidRPr="001E58E5">
              <w:t xml:space="preserve"> the equal enjoyment of human</w:t>
            </w:r>
            <w:r w:rsidRPr="001E58E5">
              <w:t xml:space="preserve"> rights for all persons who may be within its territory and those subject to its jurisdiction, without discrimination on the basis of sex, race, language, ethnicity, religion or belief, political or other opinion, national or social origin, property, birth or other status</w:t>
            </w:r>
          </w:p>
          <w:p w14:paraId="3B35D0B5" w14:textId="01B07B79" w:rsidR="00347139" w:rsidRPr="001E58E5" w:rsidRDefault="00347139" w:rsidP="00347139"/>
        </w:tc>
        <w:tc>
          <w:tcPr>
            <w:tcW w:w="4500" w:type="dxa"/>
            <w:tcBorders>
              <w:top w:val="single" w:sz="4" w:space="0" w:color="auto"/>
              <w:left w:val="single" w:sz="4" w:space="0" w:color="auto"/>
              <w:bottom w:val="single" w:sz="4" w:space="0" w:color="auto"/>
              <w:right w:val="single" w:sz="4" w:space="0" w:color="auto"/>
            </w:tcBorders>
            <w:shd w:val="clear" w:color="auto" w:fill="auto"/>
          </w:tcPr>
          <w:p w14:paraId="36E79B8D" w14:textId="29522F7F" w:rsidR="00347139" w:rsidRDefault="00746292" w:rsidP="003D08DF">
            <w:pPr>
              <w:pStyle w:val="ListParagraph"/>
              <w:numPr>
                <w:ilvl w:val="1"/>
                <w:numId w:val="18"/>
              </w:numPr>
              <w:ind w:left="337" w:hanging="346"/>
              <w:contextualSpacing/>
            </w:pPr>
            <w:r>
              <w:t xml:space="preserve">Capacity-building </w:t>
            </w:r>
            <w:proofErr w:type="spellStart"/>
            <w:r>
              <w:t>programmes</w:t>
            </w:r>
            <w:proofErr w:type="spellEnd"/>
            <w:r>
              <w:t xml:space="preserve"> for equality bodies to address complaints on discrimination on the basis of religion or belief and to </w:t>
            </w:r>
            <w:r w:rsidR="00347139" w:rsidRPr="001E58E5">
              <w:t>monitor</w:t>
            </w:r>
            <w:r w:rsidR="00BD3CE1" w:rsidRPr="001E58E5">
              <w:t xml:space="preserve"> and</w:t>
            </w:r>
            <w:r w:rsidR="00347139" w:rsidRPr="001E58E5">
              <w:t xml:space="preserve"> report on the equal enjoyment </w:t>
            </w:r>
            <w:r w:rsidR="003468AC">
              <w:t xml:space="preserve">of human rights, including </w:t>
            </w:r>
            <w:r w:rsidR="00BD3CE1" w:rsidRPr="001E58E5">
              <w:t>gather</w:t>
            </w:r>
            <w:r>
              <w:t>ing and publication of</w:t>
            </w:r>
            <w:r w:rsidR="00BD3CE1" w:rsidRPr="001E58E5">
              <w:t xml:space="preserve"> disaggregated data</w:t>
            </w:r>
          </w:p>
          <w:p w14:paraId="394A2466" w14:textId="77777777" w:rsidR="00572359" w:rsidRPr="001E58E5" w:rsidRDefault="00572359" w:rsidP="00ED6D40">
            <w:pPr>
              <w:pStyle w:val="ListParagraph"/>
              <w:ind w:left="337"/>
              <w:contextualSpacing/>
            </w:pPr>
          </w:p>
          <w:p w14:paraId="25E74F2B" w14:textId="77777777" w:rsidR="00347139" w:rsidRPr="001E58E5" w:rsidRDefault="00347139" w:rsidP="00347139">
            <w:pPr>
              <w:pStyle w:val="ListParagraph"/>
              <w:ind w:left="337"/>
              <w:contextualSpacing/>
            </w:pPr>
          </w:p>
          <w:p w14:paraId="5058336A" w14:textId="32925F7B" w:rsidR="00043B75" w:rsidRPr="001E58E5" w:rsidRDefault="00043B75" w:rsidP="003D08DF">
            <w:pPr>
              <w:pStyle w:val="ListParagraph"/>
              <w:numPr>
                <w:ilvl w:val="1"/>
                <w:numId w:val="18"/>
              </w:numPr>
              <w:ind w:left="337" w:hanging="346"/>
              <w:contextualSpacing/>
            </w:pPr>
            <w:r w:rsidRPr="001E58E5">
              <w:t xml:space="preserve">The </w:t>
            </w:r>
            <w:r w:rsidR="00746292">
              <w:t>use of</w:t>
            </w:r>
            <w:r w:rsidRPr="001E58E5">
              <w:t xml:space="preserve"> enhanced penalties for conduct that is already criminal where such conduct is motivated by the victim's identity, or perceived affiliation with a specific religion or belief</w:t>
            </w: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6E149A56" w14:textId="251B7AD7" w:rsidR="00347139" w:rsidRPr="001E58E5" w:rsidRDefault="003D08DF" w:rsidP="00347139">
            <w:pPr>
              <w:pStyle w:val="ListParagraph"/>
              <w:numPr>
                <w:ilvl w:val="2"/>
                <w:numId w:val="19"/>
              </w:numPr>
              <w:contextualSpacing/>
            </w:pPr>
            <w:r w:rsidRPr="001E58E5">
              <w:t xml:space="preserve">Reports of </w:t>
            </w:r>
            <w:r w:rsidR="00261736" w:rsidRPr="001E58E5">
              <w:t xml:space="preserve">the </w:t>
            </w:r>
            <w:r w:rsidR="00347139" w:rsidRPr="001E58E5">
              <w:t>depr</w:t>
            </w:r>
            <w:r w:rsidR="00BD3CE1" w:rsidRPr="001E58E5">
              <w:t>i</w:t>
            </w:r>
            <w:r w:rsidR="00347139" w:rsidRPr="001E58E5">
              <w:t>vation</w:t>
            </w:r>
            <w:r w:rsidRPr="001E58E5">
              <w:t xml:space="preserve"> of civil, political, economic, social and cultural rights on the basis of religious or belief identity</w:t>
            </w:r>
          </w:p>
          <w:p w14:paraId="1ED9D6A8" w14:textId="77777777" w:rsidR="00BD3CE1" w:rsidRPr="001E58E5" w:rsidRDefault="00BD3CE1" w:rsidP="00BD3CE1">
            <w:pPr>
              <w:pStyle w:val="ListParagraph"/>
              <w:ind w:left="720"/>
              <w:contextualSpacing/>
            </w:pPr>
          </w:p>
          <w:p w14:paraId="3D7BA898" w14:textId="4E51C594" w:rsidR="00347139" w:rsidRPr="001E58E5" w:rsidRDefault="00347139" w:rsidP="00347139">
            <w:pPr>
              <w:pStyle w:val="ListParagraph"/>
              <w:numPr>
                <w:ilvl w:val="2"/>
                <w:numId w:val="19"/>
              </w:numPr>
              <w:contextualSpacing/>
            </w:pPr>
            <w:r w:rsidRPr="001E58E5">
              <w:t>Proportion of population that report having personally felt discriminated against or harassed in the previous 12 months on the basis of a ground of discrimination prohibited under international human rights law</w:t>
            </w:r>
          </w:p>
          <w:p w14:paraId="321595AF" w14:textId="77777777" w:rsidR="00BD3CE1" w:rsidRPr="001E58E5" w:rsidRDefault="00BD3CE1" w:rsidP="00BD3CE1">
            <w:pPr>
              <w:pStyle w:val="ListParagraph"/>
              <w:ind w:left="720"/>
              <w:contextualSpacing/>
            </w:pPr>
          </w:p>
          <w:p w14:paraId="45DA8155" w14:textId="3EDB75A9" w:rsidR="002979DB" w:rsidRPr="001E58E5" w:rsidRDefault="00261736" w:rsidP="00347139">
            <w:pPr>
              <w:pStyle w:val="ListParagraph"/>
              <w:numPr>
                <w:ilvl w:val="2"/>
                <w:numId w:val="19"/>
              </w:numPr>
              <w:contextualSpacing/>
            </w:pPr>
            <w:r w:rsidRPr="001E58E5">
              <w:t>Proportion/</w:t>
            </w:r>
            <w:r w:rsidR="000A7B7C" w:rsidRPr="001E58E5">
              <w:t xml:space="preserve">Number of cases involving </w:t>
            </w:r>
            <w:r w:rsidR="00347139" w:rsidRPr="001E58E5">
              <w:t>discrimination in</w:t>
            </w:r>
            <w:r w:rsidR="000A7B7C" w:rsidRPr="001E58E5">
              <w:t xml:space="preserve"> the name of religion or belief that are investigated</w:t>
            </w:r>
            <w:r w:rsidR="00BD3CE1" w:rsidRPr="001E58E5">
              <w:t>, prosecuted and result in conviction</w:t>
            </w:r>
          </w:p>
          <w:p w14:paraId="62B94E5C" w14:textId="66051533" w:rsidR="00043B75" w:rsidRPr="001E58E5" w:rsidRDefault="00043B75" w:rsidP="00BD3CE1">
            <w:pPr>
              <w:pStyle w:val="ListParagraph"/>
              <w:ind w:left="720"/>
              <w:contextualSpacing/>
            </w:pPr>
          </w:p>
        </w:tc>
      </w:tr>
      <w:tr w:rsidR="000A7B7C" w:rsidRPr="0038097F" w14:paraId="428DF584" w14:textId="77777777" w:rsidTr="000A7B7C">
        <w:trPr>
          <w:gridAfter w:val="1"/>
          <w:wAfter w:w="28" w:type="dxa"/>
          <w:trHeight w:val="395"/>
        </w:trPr>
        <w:tc>
          <w:tcPr>
            <w:tcW w:w="4950" w:type="dxa"/>
            <w:tcBorders>
              <w:top w:val="single" w:sz="4" w:space="0" w:color="auto"/>
              <w:left w:val="single" w:sz="4" w:space="0" w:color="auto"/>
              <w:bottom w:val="single" w:sz="4" w:space="0" w:color="auto"/>
              <w:right w:val="single" w:sz="4" w:space="0" w:color="auto"/>
            </w:tcBorders>
            <w:shd w:val="clear" w:color="auto" w:fill="auto"/>
          </w:tcPr>
          <w:p w14:paraId="6ED8F0AD" w14:textId="5F0BDB09" w:rsidR="000A7B7C" w:rsidRPr="001E58E5" w:rsidRDefault="00043B75" w:rsidP="002979DB">
            <w:pPr>
              <w:pStyle w:val="ListParagraph"/>
              <w:numPr>
                <w:ilvl w:val="0"/>
                <w:numId w:val="19"/>
              </w:numPr>
              <w:ind w:left="251" w:hanging="251"/>
            </w:pPr>
            <w:r w:rsidRPr="001E58E5">
              <w:t xml:space="preserve">Legislative provisions for the right to timely, appropriate and effective remedies for </w:t>
            </w:r>
            <w:r w:rsidR="00261736" w:rsidRPr="001E58E5">
              <w:t>victims of</w:t>
            </w:r>
            <w:r w:rsidRPr="001E58E5">
              <w:t xml:space="preserve"> discrimination</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13962226" w14:textId="305EABD7" w:rsidR="000A7B7C" w:rsidRPr="001E58E5" w:rsidRDefault="00043B75" w:rsidP="00B31D41">
            <w:pPr>
              <w:pStyle w:val="ListParagraph"/>
              <w:numPr>
                <w:ilvl w:val="1"/>
                <w:numId w:val="19"/>
              </w:numPr>
              <w:ind w:left="345" w:hanging="360"/>
            </w:pPr>
            <w:r w:rsidRPr="001E58E5">
              <w:t xml:space="preserve">Proportion of complaints of discrimination investigated and effectively </w:t>
            </w:r>
            <w:r w:rsidR="00B31D41" w:rsidRPr="001E58E5">
              <w:t xml:space="preserve">responded to by the </w:t>
            </w:r>
            <w:r w:rsidRPr="001E58E5">
              <w:t>State</w:t>
            </w: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50E07CCF" w14:textId="37EB6421" w:rsidR="00261736" w:rsidRPr="001E58E5" w:rsidRDefault="00BD3CE1" w:rsidP="001E58E5">
            <w:pPr>
              <w:pStyle w:val="ListParagraph"/>
              <w:numPr>
                <w:ilvl w:val="2"/>
                <w:numId w:val="19"/>
              </w:numPr>
              <w:ind w:left="529" w:hanging="529"/>
              <w:contextualSpacing/>
            </w:pPr>
            <w:r w:rsidRPr="001E58E5">
              <w:t>Proportion</w:t>
            </w:r>
            <w:r w:rsidR="00C460DD" w:rsidRPr="001E58E5">
              <w:t>/Number</w:t>
            </w:r>
            <w:r w:rsidR="003D08DF" w:rsidRPr="001E58E5">
              <w:t xml:space="preserve"> of</w:t>
            </w:r>
            <w:r w:rsidRPr="001E58E5">
              <w:t xml:space="preserve"> cases</w:t>
            </w:r>
            <w:r w:rsidR="003D08DF" w:rsidRPr="001E58E5">
              <w:t xml:space="preserve"> discrimination, hostility and/or violence based on ethnic, linguistic</w:t>
            </w:r>
            <w:r w:rsidR="006430C0">
              <w:t xml:space="preserve">, </w:t>
            </w:r>
            <w:r w:rsidR="003D08DF" w:rsidRPr="001E58E5">
              <w:t>religious</w:t>
            </w:r>
            <w:r w:rsidR="00C460DD" w:rsidRPr="001E58E5">
              <w:t xml:space="preserve"> or belief</w:t>
            </w:r>
            <w:r w:rsidR="003D08DF" w:rsidRPr="001E58E5">
              <w:t xml:space="preserve"> </w:t>
            </w:r>
            <w:r w:rsidR="006430C0">
              <w:t xml:space="preserve">and indigenous </w:t>
            </w:r>
            <w:r w:rsidR="003D08DF" w:rsidRPr="001E58E5">
              <w:t>identit</w:t>
            </w:r>
            <w:r w:rsidR="00C460DD" w:rsidRPr="001E58E5">
              <w:t>y</w:t>
            </w:r>
            <w:r w:rsidR="003D08DF" w:rsidRPr="001E58E5">
              <w:t xml:space="preserve"> that result in compensation or rehabilitation </w:t>
            </w:r>
          </w:p>
          <w:p w14:paraId="48703183" w14:textId="77777777" w:rsidR="00261736" w:rsidRPr="001E58E5" w:rsidRDefault="00261736" w:rsidP="00261736">
            <w:pPr>
              <w:pStyle w:val="ListParagraph"/>
              <w:ind w:left="533"/>
              <w:contextualSpacing/>
            </w:pPr>
          </w:p>
          <w:p w14:paraId="01A8C4AE" w14:textId="60643337" w:rsidR="003D08DF" w:rsidRPr="001E58E5" w:rsidRDefault="00261736" w:rsidP="003D08DF">
            <w:pPr>
              <w:pStyle w:val="ListParagraph"/>
              <w:numPr>
                <w:ilvl w:val="2"/>
                <w:numId w:val="19"/>
              </w:numPr>
              <w:ind w:left="533" w:hanging="547"/>
              <w:contextualSpacing/>
            </w:pPr>
            <w:r w:rsidRPr="001E58E5">
              <w:rPr>
                <w:lang w:val="en-GB"/>
              </w:rPr>
              <w:t>Reports that State actors failed to exercise due diligence to investigate, prosecute and punish acts of violence or discrimination against persons based on religion or belief</w:t>
            </w:r>
            <w:r w:rsidR="003D08DF" w:rsidRPr="001E58E5">
              <w:t xml:space="preserve">                                              </w:t>
            </w:r>
          </w:p>
        </w:tc>
      </w:tr>
      <w:tr w:rsidR="000A7B7C" w:rsidRPr="0038097F" w14:paraId="4792306C" w14:textId="77777777" w:rsidTr="001E58E5">
        <w:trPr>
          <w:gridAfter w:val="1"/>
          <w:wAfter w:w="28" w:type="dxa"/>
          <w:trHeight w:val="1250"/>
        </w:trPr>
        <w:tc>
          <w:tcPr>
            <w:tcW w:w="4950" w:type="dxa"/>
            <w:tcBorders>
              <w:top w:val="single" w:sz="4" w:space="0" w:color="auto"/>
              <w:left w:val="single" w:sz="4" w:space="0" w:color="auto"/>
              <w:bottom w:val="single" w:sz="4" w:space="0" w:color="auto"/>
              <w:right w:val="single" w:sz="4" w:space="0" w:color="auto"/>
            </w:tcBorders>
            <w:shd w:val="clear" w:color="auto" w:fill="auto"/>
          </w:tcPr>
          <w:p w14:paraId="5B10AC88" w14:textId="7A080728" w:rsidR="000A7B7C" w:rsidRPr="001E58E5" w:rsidRDefault="00043B75" w:rsidP="00B31D41">
            <w:pPr>
              <w:pStyle w:val="ListParagraph"/>
              <w:numPr>
                <w:ilvl w:val="0"/>
                <w:numId w:val="19"/>
              </w:numPr>
              <w:ind w:left="251" w:hanging="251"/>
            </w:pPr>
            <w:r w:rsidRPr="001E58E5">
              <w:t>Existence of an independent, impartial judiciary and a national human rights institution that complies with the Paris Principles</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29B7D212" w14:textId="21A85386" w:rsidR="000A7B7C" w:rsidRPr="001E58E5" w:rsidRDefault="00B31D41" w:rsidP="00B31D41">
            <w:pPr>
              <w:pStyle w:val="ListParagraph"/>
              <w:numPr>
                <w:ilvl w:val="1"/>
                <w:numId w:val="19"/>
              </w:numPr>
              <w:ind w:left="345" w:hanging="360"/>
            </w:pPr>
            <w:r w:rsidRPr="001E58E5">
              <w:t xml:space="preserve">Accessibility and inclusiveness of judicial or statutory review processes to challenge legislation and </w:t>
            </w:r>
            <w:r w:rsidR="00C460DD" w:rsidRPr="001E58E5">
              <w:t xml:space="preserve">state </w:t>
            </w:r>
            <w:r w:rsidRPr="001E58E5">
              <w:t>policies that discriminate on the basis of religion or belief</w:t>
            </w: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52AEF6CC" w14:textId="0337577E" w:rsidR="001E58E5" w:rsidRPr="00746292" w:rsidRDefault="00B31D41" w:rsidP="001E58E5">
            <w:pPr>
              <w:pStyle w:val="ListParagraph"/>
              <w:numPr>
                <w:ilvl w:val="2"/>
                <w:numId w:val="19"/>
              </w:numPr>
              <w:ind w:left="518" w:hanging="518"/>
              <w:contextualSpacing/>
            </w:pPr>
            <w:r w:rsidRPr="00ED6D40">
              <w:t>Number of reforms and amendments to legislation and policies that discriminate on the basis of religion or belief</w:t>
            </w:r>
          </w:p>
          <w:p w14:paraId="62D60532" w14:textId="336206E3" w:rsidR="0087079D" w:rsidRPr="001E58E5" w:rsidRDefault="00C460DD" w:rsidP="001E58E5">
            <w:pPr>
              <w:pStyle w:val="ListParagraph"/>
              <w:numPr>
                <w:ilvl w:val="2"/>
                <w:numId w:val="19"/>
              </w:numPr>
              <w:ind w:left="518" w:hanging="518"/>
              <w:contextualSpacing/>
            </w:pPr>
            <w:r w:rsidRPr="001E58E5">
              <w:t>Reports alleging</w:t>
            </w:r>
            <w:r w:rsidR="0087079D" w:rsidRPr="001E58E5">
              <w:t xml:space="preserve"> </w:t>
            </w:r>
            <w:r w:rsidRPr="001E58E5">
              <w:t>the</w:t>
            </w:r>
            <w:r w:rsidR="0087079D" w:rsidRPr="001E58E5">
              <w:t xml:space="preserve"> non-independence &amp; non-impartiality of the judiciary and National Human Rights Institutions</w:t>
            </w:r>
          </w:p>
        </w:tc>
      </w:tr>
      <w:tr w:rsidR="000A7B7C" w:rsidRPr="0038097F" w14:paraId="03A0053C" w14:textId="77777777" w:rsidTr="00844918">
        <w:trPr>
          <w:gridAfter w:val="1"/>
          <w:wAfter w:w="28" w:type="dxa"/>
          <w:trHeight w:val="2400"/>
        </w:trPr>
        <w:tc>
          <w:tcPr>
            <w:tcW w:w="4950" w:type="dxa"/>
            <w:tcBorders>
              <w:top w:val="single" w:sz="4" w:space="0" w:color="auto"/>
              <w:left w:val="single" w:sz="4" w:space="0" w:color="auto"/>
              <w:bottom w:val="single" w:sz="4" w:space="0" w:color="auto"/>
              <w:right w:val="single" w:sz="4" w:space="0" w:color="auto"/>
            </w:tcBorders>
            <w:shd w:val="clear" w:color="auto" w:fill="auto"/>
          </w:tcPr>
          <w:p w14:paraId="150286AC" w14:textId="2107859D" w:rsidR="000A7B7C" w:rsidRPr="001E58E5" w:rsidRDefault="000A7B7C" w:rsidP="000F292D">
            <w:pPr>
              <w:pStyle w:val="ListParagraph"/>
              <w:numPr>
                <w:ilvl w:val="0"/>
                <w:numId w:val="19"/>
              </w:numPr>
              <w:ind w:left="251" w:hanging="251"/>
            </w:pPr>
            <w:r w:rsidRPr="001E58E5">
              <w:t xml:space="preserve">Existence of positive legal measures </w:t>
            </w:r>
            <w:r w:rsidR="0087079D" w:rsidRPr="001E58E5">
              <w:t>that</w:t>
            </w:r>
            <w:r w:rsidRPr="001E58E5">
              <w:t xml:space="preserve"> ensure the effective participation of members of minority communities in cultural, religious, social and public life</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0A12E532" w14:textId="389DAA15" w:rsidR="003D08DF" w:rsidRPr="001E58E5" w:rsidRDefault="000A7B7C" w:rsidP="003D08DF">
            <w:pPr>
              <w:pStyle w:val="ListParagraph"/>
              <w:numPr>
                <w:ilvl w:val="1"/>
                <w:numId w:val="19"/>
              </w:numPr>
              <w:ind w:left="346" w:hanging="360"/>
              <w:contextualSpacing/>
            </w:pPr>
            <w:r w:rsidRPr="001E58E5">
              <w:t>Domestic policies that protect against the use of religious or belief identity as a criterion for the equal enjoyment of civil, political, economic, social and cultural rights</w:t>
            </w:r>
          </w:p>
          <w:p w14:paraId="42A6502C" w14:textId="77777777" w:rsidR="0087079D" w:rsidRPr="001E58E5" w:rsidRDefault="0087079D" w:rsidP="0087079D">
            <w:pPr>
              <w:pStyle w:val="ListParagraph"/>
              <w:ind w:left="346"/>
              <w:contextualSpacing/>
            </w:pPr>
          </w:p>
          <w:p w14:paraId="0603F202" w14:textId="7A65A4DA" w:rsidR="0087079D" w:rsidRPr="001E58E5" w:rsidRDefault="0087079D" w:rsidP="0087079D">
            <w:pPr>
              <w:pStyle w:val="ListParagraph"/>
              <w:numPr>
                <w:ilvl w:val="1"/>
                <w:numId w:val="19"/>
              </w:numPr>
              <w:ind w:left="346" w:hanging="360"/>
              <w:contextualSpacing/>
            </w:pPr>
            <w:r w:rsidRPr="001E58E5">
              <w:t>State support for inclusive interreligious dialogue activities as well as initiatives aimed at monitoring and countering incitement to discrimination and/or hostility</w:t>
            </w:r>
          </w:p>
          <w:p w14:paraId="28722733" w14:textId="77777777" w:rsidR="00167728" w:rsidRPr="001E58E5" w:rsidRDefault="00167728" w:rsidP="00167728">
            <w:pPr>
              <w:pStyle w:val="ListParagraph"/>
              <w:ind w:left="346"/>
              <w:contextualSpacing/>
            </w:pPr>
          </w:p>
          <w:p w14:paraId="257E4CEA" w14:textId="5909ECC4" w:rsidR="0087079D" w:rsidRPr="001E58E5" w:rsidRDefault="0087079D" w:rsidP="0087079D">
            <w:pPr>
              <w:pStyle w:val="ListParagraph"/>
              <w:numPr>
                <w:ilvl w:val="1"/>
                <w:numId w:val="19"/>
              </w:numPr>
              <w:ind w:left="346" w:hanging="360"/>
              <w:contextualSpacing/>
            </w:pPr>
            <w:r w:rsidRPr="001E58E5">
              <w:t xml:space="preserve">School curricula that include teaching about religions and beliefs </w:t>
            </w:r>
            <w:r w:rsidR="00167728" w:rsidRPr="001E58E5">
              <w:t>in a manner</w:t>
            </w:r>
            <w:r w:rsidRPr="001E58E5">
              <w:t xml:space="preserve"> that is inclusive of different traditions; promotes respect for diversity; dismantles harmful stereotypes relating to religion, belief, gender, ethnicity and race;</w:t>
            </w:r>
          </w:p>
          <w:p w14:paraId="79598366" w14:textId="77777777" w:rsidR="0087079D" w:rsidRPr="001E58E5" w:rsidRDefault="0087079D" w:rsidP="0087079D">
            <w:pPr>
              <w:pStyle w:val="ListParagraph"/>
              <w:contextualSpacing/>
            </w:pPr>
          </w:p>
          <w:p w14:paraId="1CF528A3" w14:textId="6308844B" w:rsidR="00844918" w:rsidRPr="00844918" w:rsidRDefault="0087079D" w:rsidP="00844918">
            <w:pPr>
              <w:pStyle w:val="ListParagraph"/>
              <w:numPr>
                <w:ilvl w:val="1"/>
                <w:numId w:val="19"/>
              </w:numPr>
              <w:ind w:left="346" w:hanging="360"/>
              <w:contextualSpacing/>
            </w:pPr>
            <w:r w:rsidRPr="001E58E5">
              <w:t>Educational programs to foster respect for the culture and traditions of national or ethnic, linguistic and religious minorities, and the incorporation of the history, knowledge and technologies of minorities into national curricula</w:t>
            </w: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16B4E2E3" w14:textId="77777777" w:rsidR="003D08DF" w:rsidRPr="001E58E5" w:rsidRDefault="003D08DF" w:rsidP="003D08DF">
            <w:pPr>
              <w:pStyle w:val="ListParagraph"/>
              <w:ind w:left="519"/>
              <w:contextualSpacing/>
            </w:pPr>
          </w:p>
          <w:p w14:paraId="1C1B75BE" w14:textId="1392BD80" w:rsidR="003D08DF" w:rsidRPr="001E58E5" w:rsidRDefault="003D08DF" w:rsidP="003D08DF">
            <w:pPr>
              <w:pStyle w:val="ListParagraph"/>
              <w:numPr>
                <w:ilvl w:val="2"/>
                <w:numId w:val="20"/>
              </w:numPr>
              <w:ind w:left="519" w:hanging="519"/>
              <w:contextualSpacing/>
            </w:pPr>
            <w:r w:rsidRPr="001E58E5">
              <w:t>Proportion of seats in elected government and appointed bodies at national and local levels held by (</w:t>
            </w:r>
            <w:proofErr w:type="spellStart"/>
            <w:r w:rsidRPr="001E58E5">
              <w:t>i</w:t>
            </w:r>
            <w:proofErr w:type="spellEnd"/>
            <w:r w:rsidRPr="001E58E5">
              <w:t>) women (ii) members of religious, belief, racial, ethnic or linguistic minorities</w:t>
            </w:r>
          </w:p>
          <w:p w14:paraId="633EAA24" w14:textId="7E36EC7D" w:rsidR="003D08DF" w:rsidRPr="001E58E5" w:rsidRDefault="003D08DF" w:rsidP="003D08DF">
            <w:pPr>
              <w:pStyle w:val="ListParagraph"/>
              <w:ind w:left="519"/>
              <w:contextualSpacing/>
            </w:pPr>
            <w:r w:rsidRPr="001E58E5">
              <w:t xml:space="preserve"> </w:t>
            </w:r>
          </w:p>
          <w:p w14:paraId="06C460C8" w14:textId="3ED6AC18" w:rsidR="003D08DF" w:rsidRPr="001E58E5" w:rsidRDefault="003D08DF" w:rsidP="003D08DF">
            <w:pPr>
              <w:pStyle w:val="ListParagraph"/>
              <w:numPr>
                <w:ilvl w:val="2"/>
                <w:numId w:val="20"/>
              </w:numPr>
              <w:ind w:left="520" w:hanging="520"/>
              <w:contextualSpacing/>
            </w:pPr>
            <w:r w:rsidRPr="001E58E5">
              <w:t xml:space="preserve">Reports of repression of minority </w:t>
            </w:r>
            <w:r w:rsidR="00804E06">
              <w:t xml:space="preserve">and indigenous </w:t>
            </w:r>
            <w:r w:rsidRPr="001E58E5">
              <w:t>languages, religions and culture</w:t>
            </w:r>
          </w:p>
          <w:p w14:paraId="464C2832" w14:textId="77777777" w:rsidR="00167728" w:rsidRPr="001E58E5" w:rsidRDefault="00167728" w:rsidP="00167728">
            <w:pPr>
              <w:pStyle w:val="ListParagraph"/>
              <w:ind w:left="520"/>
              <w:contextualSpacing/>
            </w:pPr>
          </w:p>
          <w:p w14:paraId="1B207D5C" w14:textId="18C1C0F2" w:rsidR="003D08DF" w:rsidRDefault="003D08DF" w:rsidP="003D08DF">
            <w:pPr>
              <w:pStyle w:val="ListParagraph"/>
              <w:numPr>
                <w:ilvl w:val="2"/>
                <w:numId w:val="20"/>
              </w:numPr>
              <w:ind w:left="520" w:hanging="520"/>
              <w:contextualSpacing/>
            </w:pPr>
            <w:r w:rsidRPr="001E58E5">
              <w:t>Number of displaced ethnic, cultural, linguistic and religious minorities</w:t>
            </w:r>
          </w:p>
          <w:p w14:paraId="5C13BB0F" w14:textId="77777777" w:rsidR="006430C0" w:rsidRDefault="006430C0" w:rsidP="00844918">
            <w:pPr>
              <w:pStyle w:val="ListParagraph"/>
              <w:ind w:left="520"/>
              <w:contextualSpacing/>
            </w:pPr>
          </w:p>
          <w:p w14:paraId="0FD5440B" w14:textId="395F5161" w:rsidR="006430C0" w:rsidRPr="001E58E5" w:rsidRDefault="006430C0" w:rsidP="003D08DF">
            <w:pPr>
              <w:pStyle w:val="ListParagraph"/>
              <w:numPr>
                <w:ilvl w:val="2"/>
                <w:numId w:val="20"/>
              </w:numPr>
              <w:ind w:left="520" w:hanging="520"/>
              <w:contextualSpacing/>
            </w:pPr>
            <w:r>
              <w:t>R</w:t>
            </w:r>
            <w:r w:rsidRPr="006430C0">
              <w:t xml:space="preserve">eports of candidates in electoral processes </w:t>
            </w:r>
            <w:proofErr w:type="spellStart"/>
            <w:r w:rsidRPr="006430C0">
              <w:t>mobilising</w:t>
            </w:r>
            <w:proofErr w:type="spellEnd"/>
            <w:r w:rsidRPr="006430C0">
              <w:t xml:space="preserve"> support on the basis of "othering" or adverse opinions against any religious or belief community</w:t>
            </w:r>
          </w:p>
        </w:tc>
      </w:tr>
      <w:tr w:rsidR="000A7B7C" w:rsidRPr="0038097F" w14:paraId="65EE72E4" w14:textId="77777777" w:rsidTr="001E58E5">
        <w:trPr>
          <w:gridAfter w:val="1"/>
          <w:wAfter w:w="28" w:type="dxa"/>
          <w:trHeight w:val="683"/>
        </w:trPr>
        <w:tc>
          <w:tcPr>
            <w:tcW w:w="4950" w:type="dxa"/>
            <w:tcBorders>
              <w:top w:val="single" w:sz="4" w:space="0" w:color="auto"/>
              <w:left w:val="single" w:sz="4" w:space="0" w:color="auto"/>
              <w:bottom w:val="single" w:sz="4" w:space="0" w:color="auto"/>
              <w:right w:val="single" w:sz="4" w:space="0" w:color="auto"/>
            </w:tcBorders>
            <w:shd w:val="clear" w:color="auto" w:fill="auto"/>
          </w:tcPr>
          <w:p w14:paraId="2CF57ADB" w14:textId="5D81782A" w:rsidR="000A7B7C" w:rsidRPr="001E58E5" w:rsidRDefault="00347139" w:rsidP="003D08DF">
            <w:pPr>
              <w:pStyle w:val="ListParagraph"/>
              <w:numPr>
                <w:ilvl w:val="0"/>
                <w:numId w:val="20"/>
              </w:numPr>
              <w:ind w:left="251" w:hanging="270"/>
            </w:pPr>
            <w:r w:rsidRPr="001E58E5">
              <w:t xml:space="preserve">Criminal prohibition </w:t>
            </w:r>
            <w:r w:rsidR="009A081F" w:rsidRPr="001E58E5">
              <w:t xml:space="preserve">against </w:t>
            </w:r>
            <w:r w:rsidRPr="001E58E5">
              <w:t xml:space="preserve">gender-based violence, including rape, domestic violence, trafficking, </w:t>
            </w:r>
            <w:r w:rsidR="006430C0">
              <w:t>c</w:t>
            </w:r>
            <w:r w:rsidR="006430C0" w:rsidRPr="006430C0">
              <w:t>hild and forced marriages</w:t>
            </w:r>
            <w:r w:rsidR="006430C0">
              <w:t xml:space="preserve">, </w:t>
            </w:r>
            <w:r w:rsidRPr="001E58E5">
              <w:t>traditional harmful practices and forced conversion therapy</w:t>
            </w:r>
          </w:p>
        </w:tc>
        <w:tc>
          <w:tcPr>
            <w:tcW w:w="4500" w:type="dxa"/>
            <w:tcBorders>
              <w:top w:val="single" w:sz="4" w:space="0" w:color="auto"/>
              <w:left w:val="single" w:sz="4" w:space="0" w:color="auto"/>
              <w:bottom w:val="single" w:sz="4" w:space="0" w:color="auto"/>
              <w:right w:val="single" w:sz="4" w:space="0" w:color="auto"/>
            </w:tcBorders>
            <w:shd w:val="clear" w:color="auto" w:fill="auto"/>
          </w:tcPr>
          <w:p w14:paraId="11C97EFF" w14:textId="2BA3DCA5" w:rsidR="00261736" w:rsidRPr="001E58E5" w:rsidRDefault="00261736" w:rsidP="00844918">
            <w:pPr>
              <w:pStyle w:val="ListParagraph"/>
              <w:contextualSpacing/>
            </w:pPr>
            <w:r w:rsidRPr="001E58E5">
              <w:t>5.1 Resources allocated to addressing gender-based violence as part of national and local budgets, including to research</w:t>
            </w:r>
          </w:p>
          <w:p w14:paraId="6076F5E7" w14:textId="4B8C8CBA" w:rsidR="000A7B7C" w:rsidRPr="001E58E5" w:rsidRDefault="00261736" w:rsidP="001E58E5">
            <w:pPr>
              <w:spacing w:after="240"/>
            </w:pPr>
            <w:r w:rsidRPr="001E58E5">
              <w:t>5.2 Capacity-building for state officials on ensuring the rights of victims at all steps of the judicial process</w:t>
            </w:r>
          </w:p>
        </w:tc>
        <w:tc>
          <w:tcPr>
            <w:tcW w:w="4855" w:type="dxa"/>
            <w:tcBorders>
              <w:top w:val="single" w:sz="4" w:space="0" w:color="auto"/>
              <w:left w:val="single" w:sz="4" w:space="0" w:color="auto"/>
              <w:bottom w:val="single" w:sz="4" w:space="0" w:color="auto"/>
              <w:right w:val="single" w:sz="4" w:space="0" w:color="auto"/>
            </w:tcBorders>
            <w:shd w:val="clear" w:color="auto" w:fill="auto"/>
          </w:tcPr>
          <w:p w14:paraId="0151B167" w14:textId="77777777" w:rsidR="009A081F" w:rsidRPr="001E58E5" w:rsidRDefault="009A081F" w:rsidP="009A081F">
            <w:pPr>
              <w:contextualSpacing/>
            </w:pPr>
            <w:r w:rsidRPr="001E58E5">
              <w:t xml:space="preserve">5.1.1 Proportion of cases of gender-based </w:t>
            </w:r>
          </w:p>
          <w:p w14:paraId="5F59BC6A" w14:textId="68B19FF0" w:rsidR="009A081F" w:rsidRPr="001E58E5" w:rsidRDefault="009A081F" w:rsidP="009A081F">
            <w:pPr>
              <w:contextualSpacing/>
            </w:pPr>
            <w:r w:rsidRPr="001E58E5">
              <w:t>discrimination on the basis of, or in the name of, religion or belief, that are investigated, prosecuted and result in conviction</w:t>
            </w:r>
          </w:p>
          <w:p w14:paraId="4EC490A9" w14:textId="5879096B" w:rsidR="00347139" w:rsidRPr="001E58E5" w:rsidRDefault="00347139" w:rsidP="000A7B7C"/>
        </w:tc>
      </w:tr>
    </w:tbl>
    <w:p w14:paraId="5268AB63" w14:textId="7A965E23" w:rsidR="002741F3" w:rsidRDefault="002741F3" w:rsidP="00B31D41"/>
    <w:p w14:paraId="231C9E6B" w14:textId="77777777" w:rsidR="002741F3" w:rsidRDefault="002741F3" w:rsidP="00B31D41"/>
    <w:tbl>
      <w:tblPr>
        <w:tblStyle w:val="TableGrid"/>
        <w:tblW w:w="14333"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5"/>
        <w:gridCol w:w="4765"/>
        <w:gridCol w:w="5035"/>
        <w:gridCol w:w="28"/>
      </w:tblGrid>
      <w:tr w:rsidR="00347139" w:rsidRPr="00F55329" w14:paraId="69B3A5C6" w14:textId="77777777" w:rsidTr="00C460DD">
        <w:tc>
          <w:tcPr>
            <w:tcW w:w="14333" w:type="dxa"/>
            <w:gridSpan w:val="4"/>
            <w:tcBorders>
              <w:bottom w:val="single" w:sz="4" w:space="0" w:color="auto"/>
            </w:tcBorders>
            <w:shd w:val="clear" w:color="auto" w:fill="auto"/>
          </w:tcPr>
          <w:p w14:paraId="7BFDDA56" w14:textId="43711AFB" w:rsidR="00347139" w:rsidRPr="00E61887" w:rsidRDefault="00347139" w:rsidP="00E61887">
            <w:pPr>
              <w:pStyle w:val="ListParagraph"/>
              <w:numPr>
                <w:ilvl w:val="0"/>
                <w:numId w:val="1"/>
              </w:numPr>
              <w:pBdr>
                <w:bottom w:val="single" w:sz="4" w:space="1" w:color="auto"/>
              </w:pBdr>
              <w:rPr>
                <w:rFonts w:asciiTheme="minorHAnsi" w:hAnsiTheme="minorHAnsi" w:cstheme="minorHAnsi"/>
                <w:b/>
                <w:i/>
                <w:iCs/>
                <w:sz w:val="28"/>
                <w:szCs w:val="28"/>
              </w:rPr>
            </w:pPr>
            <w:r w:rsidRPr="00E61887">
              <w:rPr>
                <w:rFonts w:asciiTheme="minorHAnsi" w:hAnsiTheme="minorHAnsi" w:cstheme="minorHAnsi"/>
                <w:color w:val="000000"/>
                <w:sz w:val="28"/>
                <w:szCs w:val="28"/>
              </w:rPr>
              <w:t>Attribute of the Right to FoRB</w:t>
            </w:r>
            <w:r w:rsidRPr="00E61887">
              <w:rPr>
                <w:rFonts w:asciiTheme="minorHAnsi" w:hAnsiTheme="minorHAnsi" w:cstheme="minorHAnsi"/>
                <w:sz w:val="28"/>
                <w:szCs w:val="28"/>
              </w:rPr>
              <w:t xml:space="preserve">: </w:t>
            </w:r>
            <w:r w:rsidRPr="00E61887">
              <w:rPr>
                <w:rFonts w:asciiTheme="minorHAnsi" w:hAnsiTheme="minorHAnsi" w:cstheme="minorHAnsi"/>
                <w:b/>
                <w:i/>
                <w:iCs/>
                <w:sz w:val="28"/>
                <w:szCs w:val="28"/>
              </w:rPr>
              <w:t>Rule of Law</w:t>
            </w:r>
          </w:p>
          <w:p w14:paraId="54AE093B" w14:textId="77777777" w:rsidR="00347139" w:rsidRDefault="00347139" w:rsidP="00C460DD">
            <w:pPr>
              <w:pBdr>
                <w:bottom w:val="single" w:sz="4" w:space="1" w:color="auto"/>
              </w:pBdr>
              <w:rPr>
                <w:sz w:val="22"/>
                <w:szCs w:val="22"/>
              </w:rPr>
            </w:pPr>
            <w:r w:rsidRPr="00F55329">
              <w:rPr>
                <w:rFonts w:asciiTheme="minorHAnsi" w:hAnsiTheme="minorHAnsi" w:cstheme="minorHAnsi"/>
                <w:b/>
                <w:i/>
                <w:iCs/>
                <w:sz w:val="22"/>
                <w:szCs w:val="22"/>
              </w:rPr>
              <w:t xml:space="preserve">Sources: </w:t>
            </w:r>
            <w:r w:rsidRPr="00F55329">
              <w:rPr>
                <w:rFonts w:asciiTheme="minorHAnsi" w:hAnsiTheme="minorHAnsi" w:cstheme="minorHAnsi"/>
                <w:sz w:val="22"/>
                <w:szCs w:val="22"/>
              </w:rPr>
              <w:t xml:space="preserve">ICCPR, Art. (s) </w:t>
            </w:r>
            <w:r>
              <w:rPr>
                <w:rFonts w:asciiTheme="minorHAnsi" w:hAnsiTheme="minorHAnsi" w:cstheme="minorHAnsi"/>
                <w:sz w:val="22"/>
                <w:szCs w:val="22"/>
              </w:rPr>
              <w:t xml:space="preserve">2.1, </w:t>
            </w:r>
            <w:r w:rsidRPr="00F55329">
              <w:rPr>
                <w:rFonts w:asciiTheme="minorHAnsi" w:hAnsiTheme="minorHAnsi" w:cstheme="minorHAnsi"/>
                <w:sz w:val="22"/>
                <w:szCs w:val="22"/>
              </w:rPr>
              <w:t>2.3; 18.1</w:t>
            </w:r>
            <w:r>
              <w:rPr>
                <w:rFonts w:asciiTheme="minorHAnsi" w:hAnsiTheme="minorHAnsi" w:cstheme="minorHAnsi"/>
                <w:sz w:val="22"/>
                <w:szCs w:val="22"/>
              </w:rPr>
              <w:t>, 18.2,</w:t>
            </w:r>
            <w:r w:rsidRPr="00F55329">
              <w:rPr>
                <w:rFonts w:asciiTheme="minorHAnsi" w:hAnsiTheme="minorHAnsi" w:cstheme="minorHAnsi"/>
                <w:sz w:val="22"/>
                <w:szCs w:val="22"/>
              </w:rPr>
              <w:t>18.3</w:t>
            </w:r>
            <w:r>
              <w:rPr>
                <w:rFonts w:asciiTheme="minorHAnsi" w:hAnsiTheme="minorHAnsi" w:cstheme="minorHAnsi"/>
                <w:sz w:val="22"/>
                <w:szCs w:val="22"/>
              </w:rPr>
              <w:t xml:space="preserve">, </w:t>
            </w:r>
            <w:r w:rsidRPr="00F55329">
              <w:rPr>
                <w:rFonts w:asciiTheme="minorHAnsi" w:hAnsiTheme="minorHAnsi" w:cstheme="minorHAnsi"/>
                <w:sz w:val="22"/>
                <w:szCs w:val="22"/>
              </w:rPr>
              <w:t>20; 20.2; Rabat Plan of Action; UN Framework for Prevention for Atrocity Crimes ,</w:t>
            </w:r>
            <w:r>
              <w:rPr>
                <w:rFonts w:asciiTheme="minorHAnsi" w:hAnsiTheme="minorHAnsi" w:cstheme="minorHAnsi"/>
                <w:sz w:val="22"/>
                <w:szCs w:val="22"/>
              </w:rPr>
              <w:t xml:space="preserve">2.7 &amp; </w:t>
            </w:r>
            <w:r w:rsidRPr="00F55329">
              <w:rPr>
                <w:rFonts w:asciiTheme="minorHAnsi" w:hAnsiTheme="minorHAnsi" w:cstheme="minorHAnsi"/>
                <w:sz w:val="22"/>
                <w:szCs w:val="22"/>
              </w:rPr>
              <w:t xml:space="preserve">7.14; UN </w:t>
            </w:r>
            <w:r w:rsidRPr="00F55329">
              <w:rPr>
                <w:sz w:val="22"/>
                <w:szCs w:val="22"/>
              </w:rPr>
              <w:t>Framework for Prevention for Atrocity Crimes. 2.7; OHCHR indicators on FOE; UNHRC resolution 16/18; UN Office of Genocide Prevention, Fez Process, 13;</w:t>
            </w:r>
            <w:r>
              <w:rPr>
                <w:sz w:val="22"/>
                <w:szCs w:val="22"/>
              </w:rPr>
              <w:t xml:space="preserve"> </w:t>
            </w:r>
            <w:r w:rsidRPr="00F55329">
              <w:rPr>
                <w:sz w:val="22"/>
                <w:szCs w:val="22"/>
              </w:rPr>
              <w:t>Faith4Rights toolkit</w:t>
            </w:r>
            <w:r>
              <w:rPr>
                <w:sz w:val="22"/>
                <w:szCs w:val="22"/>
              </w:rPr>
              <w:t xml:space="preserve">; </w:t>
            </w:r>
          </w:p>
          <w:p w14:paraId="33A4FD2B" w14:textId="77777777" w:rsidR="00347139" w:rsidRDefault="00347139" w:rsidP="00C460DD">
            <w:pPr>
              <w:rPr>
                <w:sz w:val="22"/>
                <w:szCs w:val="22"/>
              </w:rPr>
            </w:pPr>
          </w:p>
          <w:p w14:paraId="5B912134" w14:textId="77777777" w:rsidR="00347139" w:rsidRPr="00F55329" w:rsidRDefault="00347139" w:rsidP="00C460DD">
            <w:pPr>
              <w:rPr>
                <w:sz w:val="22"/>
                <w:szCs w:val="22"/>
              </w:rPr>
            </w:pPr>
          </w:p>
        </w:tc>
      </w:tr>
      <w:tr w:rsidR="00347139" w:rsidRPr="00F55329" w14:paraId="34DB034B" w14:textId="77777777" w:rsidTr="00C460DD">
        <w:trPr>
          <w:gridAfter w:val="1"/>
          <w:wAfter w:w="28" w:type="dxa"/>
        </w:trPr>
        <w:tc>
          <w:tcPr>
            <w:tcW w:w="4505" w:type="dxa"/>
            <w:tcBorders>
              <w:left w:val="single" w:sz="4" w:space="0" w:color="auto"/>
              <w:bottom w:val="single" w:sz="4" w:space="0" w:color="auto"/>
              <w:right w:val="single" w:sz="4" w:space="0" w:color="auto"/>
            </w:tcBorders>
            <w:shd w:val="clear" w:color="auto" w:fill="auto"/>
          </w:tcPr>
          <w:p w14:paraId="2BEB8DA0" w14:textId="77777777" w:rsidR="00347139" w:rsidRPr="00F55329" w:rsidRDefault="00347139" w:rsidP="00C460DD">
            <w:pPr>
              <w:jc w:val="center"/>
              <w:rPr>
                <w:rFonts w:asciiTheme="minorHAnsi" w:hAnsiTheme="minorHAnsi" w:cstheme="minorHAnsi"/>
                <w:b/>
                <w:sz w:val="22"/>
                <w:szCs w:val="22"/>
              </w:rPr>
            </w:pPr>
            <w:r w:rsidRPr="00F55329">
              <w:rPr>
                <w:rFonts w:asciiTheme="minorHAnsi" w:hAnsiTheme="minorHAnsi" w:cstheme="minorHAnsi"/>
                <w:b/>
                <w:sz w:val="22"/>
                <w:szCs w:val="22"/>
              </w:rPr>
              <w:t>Structural Indicators</w:t>
            </w:r>
          </w:p>
        </w:tc>
        <w:tc>
          <w:tcPr>
            <w:tcW w:w="4765" w:type="dxa"/>
            <w:tcBorders>
              <w:left w:val="single" w:sz="4" w:space="0" w:color="auto"/>
              <w:bottom w:val="single" w:sz="4" w:space="0" w:color="auto"/>
              <w:right w:val="single" w:sz="4" w:space="0" w:color="auto"/>
            </w:tcBorders>
            <w:shd w:val="clear" w:color="auto" w:fill="auto"/>
          </w:tcPr>
          <w:p w14:paraId="06A4EDCC" w14:textId="77777777" w:rsidR="00347139" w:rsidRPr="00F55329" w:rsidRDefault="00347139" w:rsidP="00C460DD">
            <w:pPr>
              <w:jc w:val="center"/>
              <w:rPr>
                <w:rFonts w:asciiTheme="minorHAnsi" w:hAnsiTheme="minorHAnsi" w:cstheme="minorHAnsi"/>
                <w:b/>
                <w:sz w:val="22"/>
                <w:szCs w:val="22"/>
              </w:rPr>
            </w:pPr>
            <w:r w:rsidRPr="00F55329">
              <w:rPr>
                <w:rFonts w:asciiTheme="minorHAnsi" w:hAnsiTheme="minorHAnsi" w:cstheme="minorHAnsi"/>
                <w:b/>
                <w:sz w:val="22"/>
                <w:szCs w:val="22"/>
              </w:rPr>
              <w:t>Process Indicators</w:t>
            </w:r>
          </w:p>
        </w:tc>
        <w:tc>
          <w:tcPr>
            <w:tcW w:w="5035" w:type="dxa"/>
            <w:tcBorders>
              <w:left w:val="single" w:sz="4" w:space="0" w:color="auto"/>
              <w:bottom w:val="single" w:sz="4" w:space="0" w:color="auto"/>
              <w:right w:val="single" w:sz="4" w:space="0" w:color="auto"/>
            </w:tcBorders>
            <w:shd w:val="clear" w:color="auto" w:fill="auto"/>
          </w:tcPr>
          <w:p w14:paraId="00436735" w14:textId="77777777" w:rsidR="00347139" w:rsidRPr="00F55329" w:rsidRDefault="00347139" w:rsidP="00C460DD">
            <w:pPr>
              <w:jc w:val="center"/>
              <w:rPr>
                <w:rFonts w:asciiTheme="minorHAnsi" w:hAnsiTheme="minorHAnsi" w:cstheme="minorHAnsi"/>
                <w:b/>
                <w:sz w:val="22"/>
                <w:szCs w:val="22"/>
              </w:rPr>
            </w:pPr>
            <w:r w:rsidRPr="00F55329">
              <w:rPr>
                <w:rFonts w:asciiTheme="minorHAnsi" w:hAnsiTheme="minorHAnsi" w:cstheme="minorHAnsi"/>
                <w:b/>
                <w:sz w:val="22"/>
                <w:szCs w:val="22"/>
              </w:rPr>
              <w:t>Outcome Indicators</w:t>
            </w:r>
          </w:p>
        </w:tc>
      </w:tr>
      <w:tr w:rsidR="00347139" w:rsidRPr="00F55329" w14:paraId="2FE42745" w14:textId="77777777" w:rsidTr="00C460DD">
        <w:trPr>
          <w:gridAfter w:val="1"/>
          <w:wAfter w:w="28" w:type="dxa"/>
          <w:trHeight w:val="1250"/>
        </w:trPr>
        <w:tc>
          <w:tcPr>
            <w:tcW w:w="4505" w:type="dxa"/>
            <w:tcBorders>
              <w:top w:val="single" w:sz="4" w:space="0" w:color="auto"/>
              <w:left w:val="single" w:sz="4" w:space="0" w:color="auto"/>
              <w:bottom w:val="single" w:sz="4" w:space="0" w:color="auto"/>
              <w:right w:val="single" w:sz="4" w:space="0" w:color="auto"/>
            </w:tcBorders>
            <w:shd w:val="clear" w:color="auto" w:fill="auto"/>
          </w:tcPr>
          <w:p w14:paraId="511A2013" w14:textId="2DBE7356" w:rsidR="00347139" w:rsidRPr="001E58E5" w:rsidRDefault="00347139" w:rsidP="00E61887">
            <w:pPr>
              <w:pStyle w:val="ListParagraph"/>
              <w:numPr>
                <w:ilvl w:val="0"/>
                <w:numId w:val="22"/>
              </w:numPr>
              <w:ind w:left="346"/>
              <w:rPr>
                <w:rFonts w:asciiTheme="minorHAnsi" w:hAnsiTheme="minorHAnsi" w:cstheme="minorHAnsi"/>
                <w:b/>
              </w:rPr>
            </w:pPr>
            <w:r w:rsidRPr="001E58E5">
              <w:t>Laws which prohibit the advocacy of national, racial or religious hatred which constitutes incitement to discrimination, hostility or violence</w:t>
            </w:r>
          </w:p>
        </w:tc>
        <w:tc>
          <w:tcPr>
            <w:tcW w:w="4765" w:type="dxa"/>
            <w:tcBorders>
              <w:top w:val="single" w:sz="4" w:space="0" w:color="auto"/>
              <w:left w:val="single" w:sz="4" w:space="0" w:color="auto"/>
              <w:bottom w:val="single" w:sz="4" w:space="0" w:color="auto"/>
              <w:right w:val="single" w:sz="4" w:space="0" w:color="auto"/>
            </w:tcBorders>
            <w:shd w:val="clear" w:color="auto" w:fill="auto"/>
          </w:tcPr>
          <w:p w14:paraId="724D5A3B" w14:textId="743315EB" w:rsidR="00347139" w:rsidRPr="001E58E5" w:rsidRDefault="00347139" w:rsidP="00E61887">
            <w:pPr>
              <w:pStyle w:val="ListParagraph"/>
              <w:numPr>
                <w:ilvl w:val="1"/>
                <w:numId w:val="22"/>
              </w:numPr>
              <w:ind w:left="341"/>
            </w:pPr>
            <w:r w:rsidRPr="001E58E5">
              <w:t>Accessibility</w:t>
            </w:r>
            <w:r w:rsidR="00804E06">
              <w:t>, transparency, effectiveness</w:t>
            </w:r>
            <w:r w:rsidRPr="001E58E5">
              <w:t xml:space="preserve"> and inclusiveness of mechanisms for reporting and prosecuting violations of laws which prohibit discrimination, hostility or violence and their incitement on the basis of, or involving religion or belief </w:t>
            </w:r>
          </w:p>
        </w:tc>
        <w:tc>
          <w:tcPr>
            <w:tcW w:w="5035" w:type="dxa"/>
            <w:tcBorders>
              <w:top w:val="single" w:sz="4" w:space="0" w:color="auto"/>
              <w:left w:val="single" w:sz="4" w:space="0" w:color="auto"/>
              <w:bottom w:val="single" w:sz="4" w:space="0" w:color="auto"/>
              <w:right w:val="single" w:sz="4" w:space="0" w:color="auto"/>
            </w:tcBorders>
            <w:shd w:val="clear" w:color="auto" w:fill="auto"/>
          </w:tcPr>
          <w:p w14:paraId="1C8B87C4" w14:textId="5D225AD3" w:rsidR="00347139" w:rsidRPr="001E58E5" w:rsidRDefault="00347139" w:rsidP="00E61887">
            <w:pPr>
              <w:pStyle w:val="ListParagraph"/>
              <w:numPr>
                <w:ilvl w:val="2"/>
                <w:numId w:val="22"/>
              </w:numPr>
              <w:ind w:left="518" w:hanging="540"/>
            </w:pPr>
            <w:r w:rsidRPr="001E58E5">
              <w:t>Number of persons arrested, detained or charged with violations of national security laws or public order laws for manifestations of religion or belief (disaggregated by religion/belief, ethnicity, gender)</w:t>
            </w:r>
          </w:p>
        </w:tc>
      </w:tr>
      <w:tr w:rsidR="00347139" w:rsidRPr="00F55329" w14:paraId="2EAD3AFC" w14:textId="77777777" w:rsidTr="00C460DD">
        <w:trPr>
          <w:gridAfter w:val="1"/>
          <w:wAfter w:w="28" w:type="dxa"/>
          <w:trHeight w:val="503"/>
        </w:trPr>
        <w:tc>
          <w:tcPr>
            <w:tcW w:w="4505" w:type="dxa"/>
            <w:tcBorders>
              <w:top w:val="single" w:sz="4" w:space="0" w:color="auto"/>
              <w:left w:val="single" w:sz="4" w:space="0" w:color="auto"/>
              <w:bottom w:val="single" w:sz="4" w:space="0" w:color="auto"/>
              <w:right w:val="single" w:sz="4" w:space="0" w:color="auto"/>
            </w:tcBorders>
            <w:shd w:val="clear" w:color="auto" w:fill="auto"/>
          </w:tcPr>
          <w:p w14:paraId="5EC35D54" w14:textId="23F4687F" w:rsidR="00347139" w:rsidRPr="001E58E5" w:rsidRDefault="00347139" w:rsidP="00E61887">
            <w:pPr>
              <w:pStyle w:val="ListParagraph"/>
              <w:numPr>
                <w:ilvl w:val="0"/>
                <w:numId w:val="22"/>
              </w:numPr>
              <w:ind w:left="346"/>
            </w:pPr>
            <w:r w:rsidRPr="001E58E5">
              <w:t xml:space="preserve">Legislative guarantee of access to an effective remedy by all persons and communities whose rights or freedoms have been violated; </w:t>
            </w:r>
          </w:p>
        </w:tc>
        <w:tc>
          <w:tcPr>
            <w:tcW w:w="4765" w:type="dxa"/>
            <w:tcBorders>
              <w:top w:val="single" w:sz="4" w:space="0" w:color="auto"/>
              <w:left w:val="single" w:sz="4" w:space="0" w:color="auto"/>
              <w:bottom w:val="single" w:sz="4" w:space="0" w:color="auto"/>
              <w:right w:val="single" w:sz="4" w:space="0" w:color="auto"/>
            </w:tcBorders>
            <w:shd w:val="clear" w:color="auto" w:fill="auto"/>
          </w:tcPr>
          <w:p w14:paraId="2E702B63" w14:textId="62E2530A" w:rsidR="00F4313F" w:rsidRPr="001E58E5" w:rsidRDefault="00347139" w:rsidP="00F4313F">
            <w:pPr>
              <w:pStyle w:val="ListParagraph"/>
              <w:numPr>
                <w:ilvl w:val="1"/>
                <w:numId w:val="22"/>
              </w:numPr>
              <w:ind w:left="346"/>
              <w:contextualSpacing/>
            </w:pPr>
            <w:r w:rsidRPr="001E58E5">
              <w:t>Proportion of judicial actions related to advocacy of national, racial, religious or sexist hatred investigated and resulting in conviction</w:t>
            </w:r>
          </w:p>
          <w:p w14:paraId="67CD3461" w14:textId="25949FA6" w:rsidR="00902866" w:rsidRPr="001E58E5" w:rsidRDefault="00347139" w:rsidP="00902866">
            <w:pPr>
              <w:pStyle w:val="ListParagraph"/>
              <w:ind w:left="346"/>
              <w:contextualSpacing/>
            </w:pPr>
            <w:r w:rsidRPr="001E58E5">
              <w:t xml:space="preserve"> </w:t>
            </w:r>
          </w:p>
          <w:p w14:paraId="603FD525" w14:textId="38077AE4" w:rsidR="00902866" w:rsidRPr="001E58E5" w:rsidRDefault="00F4313F" w:rsidP="00F4313F">
            <w:pPr>
              <w:pStyle w:val="ListParagraph"/>
              <w:numPr>
                <w:ilvl w:val="1"/>
                <w:numId w:val="22"/>
              </w:numPr>
              <w:ind w:left="346"/>
              <w:contextualSpacing/>
            </w:pPr>
            <w:r w:rsidRPr="001E58E5">
              <w:t xml:space="preserve">Existence of reconciliation or transitional justice processes following conflict that adopts a human rights-based approach </w:t>
            </w:r>
          </w:p>
          <w:p w14:paraId="12025878" w14:textId="77777777" w:rsidR="00902866" w:rsidRPr="001E58E5" w:rsidRDefault="00902866" w:rsidP="00902866">
            <w:pPr>
              <w:pStyle w:val="ListParagraph"/>
              <w:ind w:left="346"/>
              <w:contextualSpacing/>
            </w:pPr>
          </w:p>
          <w:p w14:paraId="07E04280" w14:textId="2724D6FE" w:rsidR="00F4313F" w:rsidRPr="001E58E5" w:rsidRDefault="00902866" w:rsidP="00F4313F">
            <w:pPr>
              <w:pStyle w:val="ListParagraph"/>
              <w:numPr>
                <w:ilvl w:val="1"/>
                <w:numId w:val="22"/>
              </w:numPr>
              <w:ind w:left="346"/>
              <w:contextualSpacing/>
            </w:pPr>
            <w:r w:rsidRPr="001E58E5">
              <w:t xml:space="preserve">Programs to advance literacy related to </w:t>
            </w:r>
            <w:r w:rsidR="00F4313F" w:rsidRPr="001E58E5">
              <w:t>religio</w:t>
            </w:r>
            <w:r w:rsidRPr="001E58E5">
              <w:t>n</w:t>
            </w:r>
            <w:r w:rsidR="00F4313F" w:rsidRPr="001E58E5">
              <w:t xml:space="preserve"> and belief, human rights standards and gender equality</w:t>
            </w:r>
            <w:r w:rsidRPr="001E58E5">
              <w:t xml:space="preserve"> among state officials</w:t>
            </w:r>
            <w:r w:rsidR="00F4313F" w:rsidRPr="001E58E5">
              <w:t>, including training to rise above prejudice and to engage with sensitivity with religious or belief communities</w:t>
            </w:r>
          </w:p>
        </w:tc>
        <w:tc>
          <w:tcPr>
            <w:tcW w:w="5035" w:type="dxa"/>
            <w:tcBorders>
              <w:top w:val="single" w:sz="4" w:space="0" w:color="auto"/>
              <w:left w:val="single" w:sz="4" w:space="0" w:color="auto"/>
              <w:bottom w:val="single" w:sz="4" w:space="0" w:color="auto"/>
              <w:right w:val="single" w:sz="4" w:space="0" w:color="auto"/>
            </w:tcBorders>
            <w:shd w:val="clear" w:color="auto" w:fill="auto"/>
          </w:tcPr>
          <w:p w14:paraId="34950ACF" w14:textId="137BA6D6" w:rsidR="00F4313F" w:rsidRPr="001E58E5" w:rsidRDefault="00347139" w:rsidP="00F4313F">
            <w:pPr>
              <w:pStyle w:val="ListParagraph"/>
              <w:numPr>
                <w:ilvl w:val="2"/>
                <w:numId w:val="22"/>
              </w:numPr>
              <w:tabs>
                <w:tab w:val="left" w:pos="1680"/>
              </w:tabs>
              <w:ind w:left="518" w:hanging="518"/>
              <w:contextualSpacing/>
              <w:rPr>
                <w:rFonts w:asciiTheme="minorHAnsi" w:hAnsiTheme="minorHAnsi" w:cstheme="minorHAnsi"/>
              </w:rPr>
            </w:pPr>
            <w:r w:rsidRPr="001E58E5">
              <w:t>Number of State refusals to recognize a religious or belief community as a legal entity (disaggregated by religion/belief)</w:t>
            </w:r>
          </w:p>
          <w:p w14:paraId="1A997C99" w14:textId="77777777" w:rsidR="00F4313F" w:rsidRPr="001E58E5" w:rsidRDefault="00F4313F" w:rsidP="00F4313F">
            <w:pPr>
              <w:pStyle w:val="ListParagraph"/>
              <w:tabs>
                <w:tab w:val="left" w:pos="1680"/>
              </w:tabs>
              <w:ind w:left="518"/>
              <w:contextualSpacing/>
              <w:rPr>
                <w:rFonts w:asciiTheme="minorHAnsi" w:hAnsiTheme="minorHAnsi" w:cstheme="minorHAnsi"/>
              </w:rPr>
            </w:pPr>
          </w:p>
          <w:p w14:paraId="4163D9F4" w14:textId="4E34050D" w:rsidR="00F4313F" w:rsidRPr="001E58E5" w:rsidRDefault="00F4313F" w:rsidP="00F4313F">
            <w:pPr>
              <w:pStyle w:val="ListParagraph"/>
              <w:numPr>
                <w:ilvl w:val="2"/>
                <w:numId w:val="22"/>
              </w:numPr>
              <w:tabs>
                <w:tab w:val="left" w:pos="1680"/>
              </w:tabs>
              <w:ind w:left="518" w:hanging="518"/>
              <w:contextualSpacing/>
              <w:rPr>
                <w:rFonts w:asciiTheme="minorHAnsi" w:hAnsiTheme="minorHAnsi" w:cstheme="minorHAnsi"/>
              </w:rPr>
            </w:pPr>
            <w:r w:rsidRPr="001E58E5">
              <w:t>Number of prosecutions for hate crimes disaggregated by gender, race, language, ethnicity, religion or belief, political or other opinion, national or social origin, property, birth or other status</w:t>
            </w:r>
          </w:p>
        </w:tc>
      </w:tr>
      <w:tr w:rsidR="00347139" w:rsidRPr="00F55329" w14:paraId="37005F7D" w14:textId="77777777" w:rsidTr="001E58E5">
        <w:trPr>
          <w:gridAfter w:val="1"/>
          <w:wAfter w:w="28" w:type="dxa"/>
          <w:trHeight w:val="63"/>
        </w:trPr>
        <w:tc>
          <w:tcPr>
            <w:tcW w:w="4505" w:type="dxa"/>
            <w:tcBorders>
              <w:top w:val="single" w:sz="4" w:space="0" w:color="auto"/>
              <w:left w:val="single" w:sz="4" w:space="0" w:color="auto"/>
              <w:bottom w:val="single" w:sz="4" w:space="0" w:color="auto"/>
              <w:right w:val="single" w:sz="4" w:space="0" w:color="auto"/>
            </w:tcBorders>
            <w:shd w:val="clear" w:color="auto" w:fill="auto"/>
          </w:tcPr>
          <w:p w14:paraId="46BCAB1D" w14:textId="46791AD6" w:rsidR="00347139" w:rsidRPr="001E58E5" w:rsidRDefault="00347139" w:rsidP="00E61887">
            <w:pPr>
              <w:pStyle w:val="ListParagraph"/>
              <w:numPr>
                <w:ilvl w:val="0"/>
                <w:numId w:val="22"/>
              </w:numPr>
              <w:ind w:left="346"/>
            </w:pPr>
            <w:r w:rsidRPr="001E58E5">
              <w:t xml:space="preserve">Existence of clear, narrowly defined, legal limits on the manifestation of freedom of religion or belief when necessary to protect public safety, order, health, or morals or the fundamental rights and freedoms of others;  </w:t>
            </w:r>
          </w:p>
        </w:tc>
        <w:tc>
          <w:tcPr>
            <w:tcW w:w="4765" w:type="dxa"/>
            <w:tcBorders>
              <w:top w:val="single" w:sz="4" w:space="0" w:color="auto"/>
              <w:left w:val="single" w:sz="4" w:space="0" w:color="auto"/>
              <w:bottom w:val="single" w:sz="4" w:space="0" w:color="auto"/>
              <w:right w:val="single" w:sz="4" w:space="0" w:color="auto"/>
            </w:tcBorders>
            <w:shd w:val="clear" w:color="auto" w:fill="auto"/>
          </w:tcPr>
          <w:p w14:paraId="4A6B7E49" w14:textId="77777777" w:rsidR="00E61887" w:rsidRPr="001E58E5" w:rsidRDefault="00347139" w:rsidP="00E61887">
            <w:pPr>
              <w:pStyle w:val="ListParagraph"/>
              <w:numPr>
                <w:ilvl w:val="1"/>
                <w:numId w:val="22"/>
              </w:numPr>
              <w:ind w:left="346"/>
              <w:contextualSpacing/>
              <w:rPr>
                <w:rFonts w:asciiTheme="minorHAnsi" w:hAnsiTheme="minorHAnsi" w:cstheme="minorHAnsi"/>
              </w:rPr>
            </w:pPr>
            <w:r w:rsidRPr="001E58E5">
              <w:t xml:space="preserve">Transparency, fairness and equity of mechanisms for </w:t>
            </w:r>
            <w:r w:rsidR="00E61887" w:rsidRPr="001E58E5">
              <w:t>enforcing narrowly defined, legal limits on the manifestation of freedom of religion or belief</w:t>
            </w:r>
          </w:p>
          <w:p w14:paraId="7E55E9E2" w14:textId="77777777" w:rsidR="00E61887" w:rsidRPr="001E58E5" w:rsidRDefault="00E61887" w:rsidP="00E61887">
            <w:pPr>
              <w:pStyle w:val="ListParagraph"/>
              <w:ind w:left="346"/>
              <w:contextualSpacing/>
              <w:rPr>
                <w:rFonts w:asciiTheme="minorHAnsi" w:hAnsiTheme="minorHAnsi" w:cstheme="minorHAnsi"/>
              </w:rPr>
            </w:pPr>
          </w:p>
          <w:p w14:paraId="2827E8B9" w14:textId="2A07D555" w:rsidR="00E61887" w:rsidRPr="001E58E5" w:rsidRDefault="00E61887" w:rsidP="00E61887">
            <w:pPr>
              <w:pStyle w:val="ListParagraph"/>
              <w:numPr>
                <w:ilvl w:val="1"/>
                <w:numId w:val="22"/>
              </w:numPr>
              <w:ind w:left="346"/>
              <w:contextualSpacing/>
              <w:rPr>
                <w:rFonts w:asciiTheme="minorHAnsi" w:hAnsiTheme="minorHAnsi" w:cstheme="minorHAnsi"/>
              </w:rPr>
            </w:pPr>
            <w:r w:rsidRPr="001E58E5">
              <w:t>Training for law enforcement and security officials to enhance their knowledge, understanding, and implementation of international human rights and upholding the rule of law in the context of their counter-terrorism efforts</w:t>
            </w:r>
            <w:r w:rsidR="006430C0">
              <w:t xml:space="preserve"> and other law enforcement duties</w:t>
            </w:r>
            <w:r w:rsidRPr="001E58E5">
              <w:t xml:space="preserve">; </w:t>
            </w:r>
          </w:p>
          <w:p w14:paraId="69A5C4D6" w14:textId="72AC1A50" w:rsidR="00E61887" w:rsidRPr="001E58E5" w:rsidRDefault="00E61887" w:rsidP="00E61887">
            <w:pPr>
              <w:pStyle w:val="ListParagraph"/>
              <w:ind w:left="341"/>
              <w:rPr>
                <w:rFonts w:asciiTheme="minorHAnsi" w:hAnsiTheme="minorHAnsi" w:cstheme="minorHAnsi"/>
              </w:rPr>
            </w:pPr>
          </w:p>
        </w:tc>
        <w:tc>
          <w:tcPr>
            <w:tcW w:w="5035" w:type="dxa"/>
            <w:tcBorders>
              <w:top w:val="single" w:sz="4" w:space="0" w:color="auto"/>
              <w:left w:val="single" w:sz="4" w:space="0" w:color="auto"/>
              <w:bottom w:val="single" w:sz="4" w:space="0" w:color="auto"/>
              <w:right w:val="single" w:sz="4" w:space="0" w:color="auto"/>
            </w:tcBorders>
            <w:shd w:val="clear" w:color="auto" w:fill="auto"/>
          </w:tcPr>
          <w:p w14:paraId="1C180C09" w14:textId="72B2C7C0" w:rsidR="00F4313F" w:rsidRPr="001E58E5" w:rsidRDefault="00347139" w:rsidP="00F4313F">
            <w:pPr>
              <w:pStyle w:val="ListParagraph"/>
              <w:numPr>
                <w:ilvl w:val="2"/>
                <w:numId w:val="22"/>
              </w:numPr>
              <w:ind w:left="518" w:hanging="518"/>
              <w:contextualSpacing/>
              <w:rPr>
                <w:rFonts w:asciiTheme="minorHAnsi" w:hAnsiTheme="minorHAnsi" w:cstheme="minorHAnsi"/>
              </w:rPr>
            </w:pPr>
            <w:r w:rsidRPr="001E58E5">
              <w:t xml:space="preserve">Reports of impunity for violations of the right to </w:t>
            </w:r>
            <w:r w:rsidR="00E61887" w:rsidRPr="001E58E5">
              <w:t>manifest</w:t>
            </w:r>
            <w:r w:rsidRPr="001E58E5">
              <w:t xml:space="preserve"> religion or belief, in particular for public officials and/or State agents</w:t>
            </w:r>
            <w:r w:rsidR="00F4313F" w:rsidRPr="001E58E5">
              <w:t>;</w:t>
            </w:r>
          </w:p>
          <w:p w14:paraId="4FA60EEE" w14:textId="77777777" w:rsidR="00F4313F" w:rsidRPr="001E58E5" w:rsidRDefault="00F4313F" w:rsidP="00F4313F">
            <w:pPr>
              <w:pStyle w:val="ListParagraph"/>
              <w:ind w:left="518"/>
              <w:contextualSpacing/>
              <w:rPr>
                <w:rFonts w:asciiTheme="minorHAnsi" w:hAnsiTheme="minorHAnsi" w:cstheme="minorHAnsi"/>
              </w:rPr>
            </w:pPr>
          </w:p>
          <w:p w14:paraId="776DD032" w14:textId="12E5E19C" w:rsidR="00F4313F" w:rsidRPr="001E58E5" w:rsidRDefault="00F4313F" w:rsidP="00F4313F">
            <w:pPr>
              <w:pStyle w:val="ListParagraph"/>
              <w:numPr>
                <w:ilvl w:val="2"/>
                <w:numId w:val="22"/>
              </w:numPr>
              <w:ind w:left="518" w:hanging="518"/>
              <w:contextualSpacing/>
              <w:rPr>
                <w:rFonts w:asciiTheme="minorHAnsi" w:hAnsiTheme="minorHAnsi" w:cstheme="minorHAnsi"/>
              </w:rPr>
            </w:pPr>
            <w:r w:rsidRPr="001E58E5">
              <w:t>Number of persons arrested, detained or charged with violations of national security laws or public order laws for manifestations of religion or belief (disaggregated by religion/belief, ethnicity, gender);</w:t>
            </w:r>
          </w:p>
          <w:p w14:paraId="180CDA37" w14:textId="77777777" w:rsidR="00902866" w:rsidRPr="001E58E5" w:rsidRDefault="00902866" w:rsidP="00902866">
            <w:pPr>
              <w:pStyle w:val="ListParagraph"/>
              <w:ind w:left="518"/>
              <w:contextualSpacing/>
              <w:rPr>
                <w:rFonts w:asciiTheme="minorHAnsi" w:hAnsiTheme="minorHAnsi" w:cstheme="minorHAnsi"/>
              </w:rPr>
            </w:pPr>
          </w:p>
          <w:p w14:paraId="177D24FB" w14:textId="344FA46E" w:rsidR="00F4313F" w:rsidRPr="001E58E5" w:rsidRDefault="00F4313F" w:rsidP="00F4313F">
            <w:pPr>
              <w:pStyle w:val="ListParagraph"/>
              <w:numPr>
                <w:ilvl w:val="2"/>
                <w:numId w:val="22"/>
              </w:numPr>
              <w:ind w:left="518" w:hanging="518"/>
              <w:contextualSpacing/>
              <w:rPr>
                <w:rFonts w:asciiTheme="minorHAnsi" w:hAnsiTheme="minorHAnsi" w:cstheme="minorHAnsi"/>
              </w:rPr>
            </w:pPr>
            <w:r w:rsidRPr="001E58E5">
              <w:t xml:space="preserve">Reported cases of failure of State officials to exercise due diligence in protecting persons from discrimination, hostility or violence on the basis of, or involving religion or belief, including gender-based violence. </w:t>
            </w:r>
          </w:p>
        </w:tc>
      </w:tr>
      <w:tr w:rsidR="002741F3" w:rsidRPr="00F55329" w14:paraId="6389E94E" w14:textId="77777777" w:rsidTr="001E58E5">
        <w:trPr>
          <w:gridAfter w:val="1"/>
          <w:wAfter w:w="28" w:type="dxa"/>
          <w:trHeight w:val="63"/>
        </w:trPr>
        <w:tc>
          <w:tcPr>
            <w:tcW w:w="4505" w:type="dxa"/>
            <w:tcBorders>
              <w:top w:val="single" w:sz="4" w:space="0" w:color="auto"/>
              <w:left w:val="single" w:sz="4" w:space="0" w:color="auto"/>
              <w:bottom w:val="single" w:sz="4" w:space="0" w:color="auto"/>
              <w:right w:val="single" w:sz="4" w:space="0" w:color="auto"/>
            </w:tcBorders>
            <w:shd w:val="clear" w:color="auto" w:fill="auto"/>
          </w:tcPr>
          <w:p w14:paraId="09D0C9D7" w14:textId="66E9E9A0" w:rsidR="00920787" w:rsidRPr="00920787" w:rsidRDefault="0068771E" w:rsidP="00920787">
            <w:pPr>
              <w:pStyle w:val="ListParagraph"/>
              <w:numPr>
                <w:ilvl w:val="0"/>
                <w:numId w:val="22"/>
              </w:numPr>
              <w:ind w:left="346"/>
            </w:pPr>
            <w:r>
              <w:t xml:space="preserve">Number of registered and/or active NGOs including FBOs, per 100,000 of population, engaged in the promotion of the right to freedom of religion or belief, </w:t>
            </w:r>
            <w:r w:rsidR="00920787" w:rsidRPr="00920787">
              <w:t>access to justice</w:t>
            </w:r>
            <w:r w:rsidR="00920787">
              <w:t xml:space="preserve"> and </w:t>
            </w:r>
            <w:r w:rsidR="00920787" w:rsidRPr="00920787">
              <w:t>can input into potential implications of legislation when it is being developed, debated, implemented or reviewed</w:t>
            </w:r>
          </w:p>
          <w:p w14:paraId="7E6CDEA1" w14:textId="29DBEAE3" w:rsidR="00920787" w:rsidRPr="00920787" w:rsidRDefault="00920787" w:rsidP="00844918">
            <w:pPr>
              <w:pStyle w:val="ListParagraph"/>
              <w:ind w:left="346"/>
            </w:pPr>
          </w:p>
          <w:p w14:paraId="311AB6B7" w14:textId="31A5BA67" w:rsidR="002741F3" w:rsidRPr="001E58E5" w:rsidRDefault="002741F3" w:rsidP="00844918">
            <w:pPr>
              <w:pStyle w:val="ListParagraph"/>
              <w:ind w:left="346"/>
            </w:pPr>
          </w:p>
        </w:tc>
        <w:tc>
          <w:tcPr>
            <w:tcW w:w="4765" w:type="dxa"/>
            <w:tcBorders>
              <w:top w:val="single" w:sz="4" w:space="0" w:color="auto"/>
              <w:left w:val="single" w:sz="4" w:space="0" w:color="auto"/>
              <w:bottom w:val="single" w:sz="4" w:space="0" w:color="auto"/>
              <w:right w:val="single" w:sz="4" w:space="0" w:color="auto"/>
            </w:tcBorders>
            <w:shd w:val="clear" w:color="auto" w:fill="auto"/>
          </w:tcPr>
          <w:p w14:paraId="30FCA238" w14:textId="64AF1B80" w:rsidR="00920787" w:rsidRDefault="00920787" w:rsidP="00920787">
            <w:pPr>
              <w:pStyle w:val="ListParagraph"/>
              <w:numPr>
                <w:ilvl w:val="1"/>
                <w:numId w:val="22"/>
              </w:numPr>
              <w:contextualSpacing/>
            </w:pPr>
            <w:r w:rsidRPr="00920787">
              <w:t> </w:t>
            </w:r>
            <w:r w:rsidR="00844918">
              <w:t>Proporti</w:t>
            </w:r>
            <w:r w:rsidRPr="00920787">
              <w:t>on of received complaints on the</w:t>
            </w:r>
            <w:r w:rsidR="0068771E">
              <w:t xml:space="preserve"> violations of</w:t>
            </w:r>
            <w:r w:rsidRPr="00920787">
              <w:t xml:space="preserve"> freedom of expression</w:t>
            </w:r>
            <w:r w:rsidR="0068771E">
              <w:t>,</w:t>
            </w:r>
            <w:r w:rsidRPr="00920787">
              <w:t xml:space="preserve"> association</w:t>
            </w:r>
            <w:r w:rsidR="0068771E">
              <w:t xml:space="preserve"> and peaceful assembly</w:t>
            </w:r>
            <w:r w:rsidRPr="00920787">
              <w:t xml:space="preserve"> investigated and adjudicated and responded to effectively by the State</w:t>
            </w:r>
          </w:p>
          <w:p w14:paraId="07D4D3EE" w14:textId="77777777" w:rsidR="00920787" w:rsidRDefault="00920787" w:rsidP="00844918">
            <w:pPr>
              <w:pStyle w:val="ListParagraph"/>
              <w:ind w:left="720"/>
              <w:contextualSpacing/>
            </w:pPr>
          </w:p>
          <w:p w14:paraId="68E04A3E" w14:textId="1BBCB1E6" w:rsidR="002741F3" w:rsidRPr="00920787" w:rsidRDefault="00920787" w:rsidP="00844918">
            <w:pPr>
              <w:pStyle w:val="ListParagraph"/>
              <w:numPr>
                <w:ilvl w:val="1"/>
                <w:numId w:val="22"/>
              </w:numPr>
              <w:contextualSpacing/>
            </w:pPr>
            <w:r w:rsidRPr="00920787">
              <w:t xml:space="preserve"> Number of internet domains registered per 1000 population</w:t>
            </w:r>
          </w:p>
        </w:tc>
        <w:tc>
          <w:tcPr>
            <w:tcW w:w="5035" w:type="dxa"/>
            <w:tcBorders>
              <w:top w:val="single" w:sz="4" w:space="0" w:color="auto"/>
              <w:left w:val="single" w:sz="4" w:space="0" w:color="auto"/>
              <w:bottom w:val="single" w:sz="4" w:space="0" w:color="auto"/>
              <w:right w:val="single" w:sz="4" w:space="0" w:color="auto"/>
            </w:tcBorders>
            <w:shd w:val="clear" w:color="auto" w:fill="auto"/>
          </w:tcPr>
          <w:p w14:paraId="35B28EF1" w14:textId="77777777" w:rsidR="00920787" w:rsidRDefault="00920787" w:rsidP="00920787">
            <w:pPr>
              <w:contextualSpacing/>
            </w:pPr>
            <w:r>
              <w:t xml:space="preserve">4.1.1 </w:t>
            </w:r>
            <w:r w:rsidR="002741F3" w:rsidRPr="00920787">
              <w:t>Reports that civil society, including faith-based actors,</w:t>
            </w:r>
          </w:p>
          <w:p w14:paraId="7F8D1C76" w14:textId="310399FC" w:rsidR="002741F3" w:rsidRPr="00920787" w:rsidRDefault="002741F3" w:rsidP="00844918">
            <w:pPr>
              <w:contextualSpacing/>
            </w:pPr>
            <w:r w:rsidRPr="00920787">
              <w:t>have been targeted with arbitrary detention, torture, enforced disappearance and killings by state and non-state actors</w:t>
            </w:r>
          </w:p>
        </w:tc>
      </w:tr>
    </w:tbl>
    <w:p w14:paraId="10E944B1" w14:textId="1D3EE320" w:rsidR="00B31D41" w:rsidRPr="00B31D41" w:rsidRDefault="00B31D41" w:rsidP="00B31D41">
      <w:pPr>
        <w:tabs>
          <w:tab w:val="left" w:pos="8169"/>
        </w:tabs>
        <w:sectPr w:rsidR="00B31D41" w:rsidRPr="00B31D41" w:rsidSect="00E12841">
          <w:pgSz w:w="15840" w:h="12240" w:orient="landscape"/>
          <w:pgMar w:top="1440" w:right="1440" w:bottom="1440" w:left="1440" w:header="720" w:footer="720" w:gutter="0"/>
          <w:cols w:space="720"/>
          <w:docGrid w:linePitch="360"/>
        </w:sectPr>
      </w:pPr>
    </w:p>
    <w:p w14:paraId="2C73EC0C" w14:textId="02E35559" w:rsidR="004E70CE" w:rsidRDefault="004E70CE" w:rsidP="007C2951"/>
    <w:sectPr w:rsidR="004E70CE" w:rsidSect="00B4658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A93A09" w14:textId="77777777" w:rsidR="00DA0B46" w:rsidRDefault="00DA0B46" w:rsidP="0034741E">
      <w:r>
        <w:separator/>
      </w:r>
    </w:p>
  </w:endnote>
  <w:endnote w:type="continuationSeparator" w:id="0">
    <w:p w14:paraId="61359428" w14:textId="77777777" w:rsidR="00DA0B46" w:rsidRDefault="00DA0B46" w:rsidP="00347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JohnSans Text Pro">
    <w:altName w:val="Calibri"/>
    <w:charset w:val="00"/>
    <w:family w:val="swiss"/>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709262299"/>
      <w:docPartObj>
        <w:docPartGallery w:val="Page Numbers (Bottom of Page)"/>
        <w:docPartUnique/>
      </w:docPartObj>
    </w:sdtPr>
    <w:sdtEndPr>
      <w:rPr>
        <w:rStyle w:val="PageNumber"/>
      </w:rPr>
    </w:sdtEndPr>
    <w:sdtContent>
      <w:p w14:paraId="5DD9A13A" w14:textId="2303FBBC" w:rsidR="00C460DD" w:rsidRDefault="00C460DD" w:rsidP="00642B2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300917" w14:textId="77777777" w:rsidR="00C460DD" w:rsidRDefault="00C460DD" w:rsidP="003474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548668350"/>
      <w:docPartObj>
        <w:docPartGallery w:val="Page Numbers (Bottom of Page)"/>
        <w:docPartUnique/>
      </w:docPartObj>
    </w:sdtPr>
    <w:sdtEndPr>
      <w:rPr>
        <w:rStyle w:val="PageNumber"/>
      </w:rPr>
    </w:sdtEndPr>
    <w:sdtContent>
      <w:p w14:paraId="6A5DC803" w14:textId="543606BD" w:rsidR="00C460DD" w:rsidRDefault="00C460DD" w:rsidP="00642B2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3468AC">
          <w:rPr>
            <w:rStyle w:val="PageNumber"/>
            <w:noProof/>
          </w:rPr>
          <w:t>14</w:t>
        </w:r>
        <w:r>
          <w:rPr>
            <w:rStyle w:val="PageNumber"/>
          </w:rPr>
          <w:fldChar w:fldCharType="end"/>
        </w:r>
      </w:p>
    </w:sdtContent>
  </w:sdt>
  <w:p w14:paraId="659A4534" w14:textId="77777777" w:rsidR="00C460DD" w:rsidRDefault="00C460DD" w:rsidP="0034741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1ADED" w14:textId="77777777" w:rsidR="00DA0B46" w:rsidRDefault="00DA0B46" w:rsidP="0034741E">
      <w:r>
        <w:separator/>
      </w:r>
    </w:p>
  </w:footnote>
  <w:footnote w:type="continuationSeparator" w:id="0">
    <w:p w14:paraId="34FE0994" w14:textId="77777777" w:rsidR="00DA0B46" w:rsidRDefault="00DA0B46" w:rsidP="0034741E">
      <w:r>
        <w:continuationSeparator/>
      </w:r>
    </w:p>
  </w:footnote>
  <w:footnote w:id="1">
    <w:p w14:paraId="1669F018" w14:textId="77777777" w:rsidR="000E2429" w:rsidRPr="00487D61" w:rsidRDefault="000E2429" w:rsidP="000E2429">
      <w:pPr>
        <w:widowControl w:val="0"/>
        <w:autoSpaceDE w:val="0"/>
        <w:autoSpaceDN w:val="0"/>
        <w:adjustRightInd w:val="0"/>
        <w:rPr>
          <w:sz w:val="20"/>
          <w:szCs w:val="20"/>
        </w:rPr>
      </w:pPr>
      <w:r w:rsidRPr="00487D61">
        <w:rPr>
          <w:rStyle w:val="FootnoteReference"/>
          <w:sz w:val="20"/>
          <w:szCs w:val="20"/>
        </w:rPr>
        <w:footnoteRef/>
      </w:r>
      <w:r w:rsidRPr="00487D61">
        <w:rPr>
          <w:sz w:val="20"/>
          <w:szCs w:val="20"/>
        </w:rPr>
        <w:t xml:space="preserve"> Maria Green, “What We Talk About When We Talk About Indicators: Current Approaches to Human Rights Measurement,”. </w:t>
      </w:r>
      <w:r w:rsidRPr="00487D61">
        <w:rPr>
          <w:i/>
          <w:sz w:val="20"/>
          <w:szCs w:val="20"/>
        </w:rPr>
        <w:t>Human Rights Quarterly</w:t>
      </w:r>
      <w:r w:rsidRPr="00487D61">
        <w:rPr>
          <w:sz w:val="20"/>
          <w:szCs w:val="20"/>
        </w:rPr>
        <w:t xml:space="preserve"> 23 (2001): 1076, quoting Clifford W. Cobb &amp; Craig </w:t>
      </w:r>
      <w:proofErr w:type="spellStart"/>
      <w:r w:rsidRPr="00487D61">
        <w:rPr>
          <w:sz w:val="20"/>
          <w:szCs w:val="20"/>
        </w:rPr>
        <w:t>Rixford</w:t>
      </w:r>
      <w:proofErr w:type="spellEnd"/>
      <w:r w:rsidRPr="00487D61">
        <w:rPr>
          <w:sz w:val="20"/>
          <w:szCs w:val="20"/>
        </w:rPr>
        <w:t xml:space="preserve">, </w:t>
      </w:r>
      <w:r w:rsidRPr="00487D61">
        <w:rPr>
          <w:i/>
          <w:sz w:val="20"/>
          <w:szCs w:val="20"/>
        </w:rPr>
        <w:t>Lessons Learned from the History of Social Indicators, Redefining Progress</w:t>
      </w:r>
      <w:r w:rsidRPr="00487D61">
        <w:rPr>
          <w:sz w:val="20"/>
          <w:szCs w:val="20"/>
        </w:rPr>
        <w:t>, (Nov. 1998) 1</w:t>
      </w:r>
    </w:p>
  </w:footnote>
  <w:footnote w:id="2">
    <w:p w14:paraId="01FB321A" w14:textId="77777777" w:rsidR="00C460DD" w:rsidRDefault="00C460DD" w:rsidP="00C460DD">
      <w:pPr>
        <w:pStyle w:val="FootnoteText"/>
      </w:pPr>
      <w:r>
        <w:rPr>
          <w:rStyle w:val="FootnoteReference"/>
        </w:rPr>
        <w:footnoteRef/>
      </w:r>
      <w:r>
        <w:t xml:space="preserve"> </w:t>
      </w:r>
      <w:hyperlink r:id="rId1" w:history="1">
        <w:r w:rsidRPr="00AB31E2">
          <w:rPr>
            <w:rStyle w:val="Hyperlink"/>
          </w:rPr>
          <w:t>https://www.ohchr.org/Documents/Publications/Human_rights_indicators_en.pdf</w:t>
        </w:r>
      </w:hyperlink>
      <w:r>
        <w:t xml:space="preserve"> at p 76</w:t>
      </w:r>
    </w:p>
  </w:footnote>
  <w:footnote w:id="3">
    <w:p w14:paraId="6C2F8840" w14:textId="77777777" w:rsidR="00C460DD" w:rsidRDefault="00C460DD" w:rsidP="00642B28">
      <w:pPr>
        <w:pStyle w:val="FootnoteText"/>
        <w:ind w:right="1080" w:firstLine="720"/>
        <w:jc w:val="both"/>
      </w:pPr>
      <w:r>
        <w:rPr>
          <w:rStyle w:val="FootnoteReference"/>
        </w:rPr>
        <w:footnoteRef/>
      </w:r>
      <w:r>
        <w:t xml:space="preserve"> </w:t>
      </w:r>
      <w:r w:rsidRPr="00687F8F">
        <w:t>https://www.ohchr.org/Documents/Issues/HRIndicators/DataDisaggregation.pdf</w:t>
      </w:r>
    </w:p>
  </w:footnote>
  <w:footnote w:id="4">
    <w:p w14:paraId="6B14AA9A" w14:textId="1F7CDB62" w:rsidR="00C460DD" w:rsidRDefault="00C460DD" w:rsidP="00642B28">
      <w:pPr>
        <w:pStyle w:val="FootnoteText"/>
        <w:widowControl w:val="0"/>
        <w:tabs>
          <w:tab w:val="right" w:pos="1020"/>
        </w:tabs>
        <w:ind w:left="720" w:right="1080"/>
        <w:jc w:val="both"/>
      </w:pPr>
      <w:r>
        <w:tab/>
      </w:r>
      <w:r>
        <w:rPr>
          <w:rStyle w:val="FootnoteReference"/>
        </w:rPr>
        <w:footnoteRef/>
      </w:r>
      <w:r w:rsidR="00902866">
        <w:t xml:space="preserve"> </w:t>
      </w:r>
      <w:r w:rsidRPr="00402DBB">
        <w:rPr>
          <w:i/>
          <w:iCs/>
        </w:rPr>
        <w:t>See e.g</w:t>
      </w:r>
      <w:r>
        <w:t>.</w:t>
      </w:r>
      <w:r w:rsidRPr="0092768E">
        <w:t xml:space="preserve"> the peer-to-peer learning exercises related to “storytelling” in the #Faith4Rights toolkit, available online at </w:t>
      </w:r>
      <w:hyperlink r:id="rId2" w:history="1">
        <w:r w:rsidR="00642B28" w:rsidRPr="00803F91">
          <w:rPr>
            <w:rStyle w:val="Hyperlink"/>
          </w:rPr>
          <w:t>https://www.ohchr.org/Documents/Press/faith4rights-toolkit.pdf</w:t>
        </w:r>
      </w:hyperlink>
      <w:r w:rsidRPr="0092768E">
        <w:t xml:space="preserve">   </w:t>
      </w:r>
    </w:p>
  </w:footnote>
  <w:footnote w:id="5">
    <w:p w14:paraId="79520A9F" w14:textId="13F90F01" w:rsidR="00C460DD" w:rsidRPr="00C460DD" w:rsidRDefault="00C460DD" w:rsidP="00642B28">
      <w:pPr>
        <w:pStyle w:val="Heading3"/>
        <w:shd w:val="clear" w:color="auto" w:fill="FFFFFF"/>
        <w:ind w:left="720" w:right="1080"/>
        <w:jc w:val="both"/>
        <w:rPr>
          <w:rFonts w:ascii="Verdana" w:hAnsi="Verdana"/>
          <w:color w:val="262626"/>
        </w:rPr>
      </w:pPr>
      <w:r w:rsidRPr="0036335B">
        <w:rPr>
          <w:rStyle w:val="FootnoteReference"/>
          <w:b w:val="0"/>
          <w:bCs w:val="0"/>
          <w:sz w:val="20"/>
          <w:szCs w:val="20"/>
        </w:rPr>
        <w:footnoteRef/>
      </w:r>
      <w:r>
        <w:rPr>
          <w:b w:val="0"/>
          <w:bCs w:val="0"/>
          <w:sz w:val="20"/>
          <w:szCs w:val="20"/>
        </w:rPr>
        <w:t>h</w:t>
      </w:r>
      <w:r w:rsidRPr="0036335B">
        <w:rPr>
          <w:b w:val="0"/>
          <w:bCs w:val="0"/>
          <w:sz w:val="20"/>
          <w:szCs w:val="20"/>
        </w:rPr>
        <w:t>ttps://ohchr.org/Documents/Publications/Human_rights_indicators_en.pdf</w:t>
      </w:r>
    </w:p>
  </w:footnote>
  <w:footnote w:id="6">
    <w:p w14:paraId="5B6E5F1C" w14:textId="77777777" w:rsidR="00C460DD" w:rsidRDefault="00C460DD" w:rsidP="00642B28">
      <w:pPr>
        <w:pStyle w:val="FootnoteText"/>
        <w:ind w:left="720" w:right="1080"/>
        <w:jc w:val="both"/>
      </w:pPr>
      <w:r>
        <w:rPr>
          <w:rStyle w:val="FootnoteReference"/>
        </w:rPr>
        <w:footnoteRef/>
      </w:r>
      <w:r>
        <w:t xml:space="preserve"> </w:t>
      </w:r>
      <w:r w:rsidRPr="0036335B">
        <w:t>https://ohchr.org/EN/Issues/Indicators/Pages/SDGindicators.aspx</w:t>
      </w:r>
    </w:p>
  </w:footnote>
  <w:footnote w:id="7">
    <w:p w14:paraId="34439DFF" w14:textId="77777777" w:rsidR="00C460DD" w:rsidRDefault="00C460DD" w:rsidP="00642B28">
      <w:pPr>
        <w:pStyle w:val="FootnoteText"/>
        <w:ind w:left="720" w:right="1080"/>
        <w:jc w:val="both"/>
      </w:pPr>
      <w:r>
        <w:rPr>
          <w:rStyle w:val="FootnoteReference"/>
        </w:rPr>
        <w:footnoteRef/>
      </w:r>
      <w:r>
        <w:t xml:space="preserve"> </w:t>
      </w:r>
      <w:r w:rsidRPr="0036335B">
        <w:t>http://www.oas.org/en/sedi/pub/progress_indicators.pdf</w:t>
      </w:r>
    </w:p>
  </w:footnote>
  <w:footnote w:id="8">
    <w:p w14:paraId="21111DE6" w14:textId="77777777" w:rsidR="00C460DD" w:rsidRDefault="00C460DD" w:rsidP="00642B28">
      <w:pPr>
        <w:pStyle w:val="FootnoteText"/>
        <w:ind w:left="720" w:right="1080"/>
        <w:jc w:val="both"/>
      </w:pPr>
      <w:r>
        <w:rPr>
          <w:rStyle w:val="FootnoteReference"/>
        </w:rPr>
        <w:footnoteRef/>
      </w:r>
      <w:r w:rsidRPr="007F7079">
        <w:t>https://www.pseau.org/outils/ouvrages/ohchr_realizing_the_human_rights_to_water_and_sanitation_a_handbook_2014.pdf</w:t>
      </w:r>
    </w:p>
  </w:footnote>
  <w:footnote w:id="9">
    <w:p w14:paraId="28B4C75D" w14:textId="0F37BF0E" w:rsidR="00C460DD" w:rsidRDefault="00C460DD" w:rsidP="00642B28">
      <w:pPr>
        <w:pStyle w:val="FootnoteText"/>
        <w:ind w:left="720" w:right="1080"/>
        <w:jc w:val="both"/>
      </w:pPr>
      <w:r>
        <w:rPr>
          <w:rStyle w:val="FootnoteReference"/>
        </w:rPr>
        <w:footnoteRef/>
      </w:r>
      <w:r w:rsidRPr="0036335B">
        <w:t>https://www.un.org/en/genocideprevention/documents/about-us/Doc.3_Framework%20of%20Analysis%20for%20Atrocity%20Crimes_EN.pdf</w:t>
      </w:r>
    </w:p>
  </w:footnote>
  <w:footnote w:id="10">
    <w:p w14:paraId="3A510736" w14:textId="77777777" w:rsidR="00C460DD" w:rsidRDefault="00C460DD" w:rsidP="00642B28">
      <w:pPr>
        <w:pStyle w:val="FootnoteText"/>
        <w:ind w:left="720" w:right="1080"/>
        <w:jc w:val="both"/>
      </w:pPr>
      <w:r>
        <w:rPr>
          <w:rStyle w:val="FootnoteReference"/>
        </w:rPr>
        <w:footnoteRef/>
      </w:r>
      <w:r>
        <w:t xml:space="preserve"> </w:t>
      </w:r>
      <w:r w:rsidRPr="0036335B">
        <w:t>https://www.osce.org/files/f/documents/d/b/13993.pdf</w:t>
      </w:r>
    </w:p>
  </w:footnote>
  <w:footnote w:id="11">
    <w:p w14:paraId="518E86F2" w14:textId="77777777" w:rsidR="00C460DD" w:rsidRDefault="00C460DD" w:rsidP="00642B28">
      <w:pPr>
        <w:pStyle w:val="FootnoteText"/>
        <w:ind w:left="720" w:right="1080"/>
        <w:jc w:val="both"/>
      </w:pPr>
      <w:r>
        <w:rPr>
          <w:rStyle w:val="FootnoteReference"/>
        </w:rPr>
        <w:footnoteRef/>
      </w:r>
      <w:r>
        <w:t xml:space="preserve"> </w:t>
      </w:r>
      <w:r w:rsidRPr="0036335B">
        <w:t>https://www.osce.org/files/f/documents/c/e/29154.pdf</w:t>
      </w:r>
    </w:p>
  </w:footnote>
  <w:footnote w:id="12">
    <w:p w14:paraId="63DBD411" w14:textId="77777777" w:rsidR="00C460DD" w:rsidRDefault="00C460DD" w:rsidP="00C460DD">
      <w:pPr>
        <w:pStyle w:val="FootnoteText"/>
        <w:ind w:left="720"/>
      </w:pPr>
      <w:r>
        <w:rPr>
          <w:rStyle w:val="FootnoteReference"/>
        </w:rPr>
        <w:footnoteRef/>
      </w:r>
      <w:r>
        <w:t xml:space="preserve"> </w:t>
      </w:r>
      <w:r w:rsidRPr="00402DBB">
        <w:t>www.aaas.org/page/mary-robinson</w:t>
      </w:r>
    </w:p>
  </w:footnote>
  <w:footnote w:id="13">
    <w:p w14:paraId="03638E6F" w14:textId="77777777" w:rsidR="00C460DD" w:rsidRDefault="00C460DD" w:rsidP="00C460DD">
      <w:pPr>
        <w:pStyle w:val="FootnoteText"/>
        <w:ind w:left="720"/>
      </w:pPr>
      <w:r>
        <w:rPr>
          <w:rStyle w:val="FootnoteReference"/>
        </w:rPr>
        <w:footnoteRef/>
      </w:r>
      <w:r>
        <w:t xml:space="preserve"> </w:t>
      </w:r>
      <w:r w:rsidRPr="0036335B">
        <w:t>https://www.ohchr.org/documents/issues/religion/rapporteursdigestfreedomreligionbelief.pdf</w:t>
      </w:r>
    </w:p>
  </w:footnote>
  <w:footnote w:id="14">
    <w:p w14:paraId="1D5BEE46" w14:textId="77777777" w:rsidR="00C460DD" w:rsidRDefault="00C460DD" w:rsidP="00C460DD">
      <w:pPr>
        <w:pStyle w:val="FootnoteText"/>
        <w:ind w:left="720"/>
      </w:pPr>
      <w:r>
        <w:rPr>
          <w:rStyle w:val="FootnoteReference"/>
        </w:rPr>
        <w:footnoteRef/>
      </w:r>
      <w:r>
        <w:t xml:space="preserve"> </w:t>
      </w:r>
      <w:r w:rsidRPr="0036335B">
        <w:t>https://spcommreports.ohchr.org/Tmsearch/TMDocuments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444D7"/>
    <w:multiLevelType w:val="hybridMultilevel"/>
    <w:tmpl w:val="D6841182"/>
    <w:lvl w:ilvl="0" w:tplc="2EA244EE">
      <w:start w:val="1"/>
      <w:numFmt w:val="bullet"/>
      <w:lvlText w:val=""/>
      <w:lvlJc w:val="left"/>
      <w:pPr>
        <w:tabs>
          <w:tab w:val="num" w:pos="-31680"/>
        </w:tabs>
        <w:ind w:left="851"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963A89"/>
    <w:multiLevelType w:val="multilevel"/>
    <w:tmpl w:val="905A60E8"/>
    <w:lvl w:ilvl="0">
      <w:start w:val="1"/>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6437A9"/>
    <w:multiLevelType w:val="hybridMultilevel"/>
    <w:tmpl w:val="D3B2E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545D39"/>
    <w:multiLevelType w:val="multilevel"/>
    <w:tmpl w:val="0A70E6D6"/>
    <w:lvl w:ilvl="0">
      <w:start w:val="1"/>
      <w:numFmt w:val="upperRoman"/>
      <w:lvlText w:val="%1."/>
      <w:lvlJc w:val="left"/>
      <w:pPr>
        <w:ind w:left="1080" w:hanging="720"/>
      </w:pPr>
      <w:rPr>
        <w:rFonts w:hint="default"/>
        <w:i w:val="0"/>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D954887"/>
    <w:multiLevelType w:val="hybridMultilevel"/>
    <w:tmpl w:val="A2A6632E"/>
    <w:lvl w:ilvl="0" w:tplc="5DB679A2">
      <w:start w:val="1"/>
      <w:numFmt w:val="decimal"/>
      <w:pStyle w:val="ParNoG"/>
      <w:lvlText w:val="%1."/>
      <w:lvlJc w:val="left"/>
      <w:pPr>
        <w:tabs>
          <w:tab w:val="num" w:pos="1701"/>
        </w:tabs>
        <w:ind w:left="1134" w:firstLine="0"/>
      </w:pPr>
      <w:rPr>
        <w:rFonts w:ascii="Times New Roman" w:eastAsiaTheme="minorHAnsi" w:hAnsi="Times New Roman" w:cs="Times New Roman"/>
        <w:b w:val="0"/>
        <w:i w:val="0"/>
        <w:sz w:val="20"/>
      </w:rPr>
    </w:lvl>
    <w:lvl w:ilvl="1" w:tplc="48544A6C" w:tentative="1">
      <w:start w:val="1"/>
      <w:numFmt w:val="lowerLetter"/>
      <w:lvlText w:val="%2."/>
      <w:lvlJc w:val="left"/>
      <w:pPr>
        <w:tabs>
          <w:tab w:val="num" w:pos="1440"/>
        </w:tabs>
        <w:ind w:left="1440" w:hanging="360"/>
      </w:pPr>
    </w:lvl>
    <w:lvl w:ilvl="2" w:tplc="7FD4867A" w:tentative="1">
      <w:start w:val="1"/>
      <w:numFmt w:val="lowerRoman"/>
      <w:lvlText w:val="%3."/>
      <w:lvlJc w:val="right"/>
      <w:pPr>
        <w:tabs>
          <w:tab w:val="num" w:pos="2160"/>
        </w:tabs>
        <w:ind w:left="2160" w:hanging="180"/>
      </w:pPr>
    </w:lvl>
    <w:lvl w:ilvl="3" w:tplc="93743E82" w:tentative="1">
      <w:start w:val="1"/>
      <w:numFmt w:val="decimal"/>
      <w:lvlText w:val="%4."/>
      <w:lvlJc w:val="left"/>
      <w:pPr>
        <w:tabs>
          <w:tab w:val="num" w:pos="2880"/>
        </w:tabs>
        <w:ind w:left="2880" w:hanging="360"/>
      </w:pPr>
    </w:lvl>
    <w:lvl w:ilvl="4" w:tplc="4B883084" w:tentative="1">
      <w:start w:val="1"/>
      <w:numFmt w:val="lowerLetter"/>
      <w:lvlText w:val="%5."/>
      <w:lvlJc w:val="left"/>
      <w:pPr>
        <w:tabs>
          <w:tab w:val="num" w:pos="3600"/>
        </w:tabs>
        <w:ind w:left="3600" w:hanging="360"/>
      </w:pPr>
    </w:lvl>
    <w:lvl w:ilvl="5" w:tplc="8DD460B0" w:tentative="1">
      <w:start w:val="1"/>
      <w:numFmt w:val="lowerRoman"/>
      <w:lvlText w:val="%6."/>
      <w:lvlJc w:val="right"/>
      <w:pPr>
        <w:tabs>
          <w:tab w:val="num" w:pos="4320"/>
        </w:tabs>
        <w:ind w:left="4320" w:hanging="180"/>
      </w:pPr>
    </w:lvl>
    <w:lvl w:ilvl="6" w:tplc="C1C4371A" w:tentative="1">
      <w:start w:val="1"/>
      <w:numFmt w:val="decimal"/>
      <w:lvlText w:val="%7."/>
      <w:lvlJc w:val="left"/>
      <w:pPr>
        <w:tabs>
          <w:tab w:val="num" w:pos="5040"/>
        </w:tabs>
        <w:ind w:left="5040" w:hanging="360"/>
      </w:pPr>
    </w:lvl>
    <w:lvl w:ilvl="7" w:tplc="2DC8D438" w:tentative="1">
      <w:start w:val="1"/>
      <w:numFmt w:val="lowerLetter"/>
      <w:lvlText w:val="%8."/>
      <w:lvlJc w:val="left"/>
      <w:pPr>
        <w:tabs>
          <w:tab w:val="num" w:pos="5760"/>
        </w:tabs>
        <w:ind w:left="5760" w:hanging="360"/>
      </w:pPr>
    </w:lvl>
    <w:lvl w:ilvl="8" w:tplc="00DAF13E" w:tentative="1">
      <w:start w:val="1"/>
      <w:numFmt w:val="lowerRoman"/>
      <w:lvlText w:val="%9."/>
      <w:lvlJc w:val="right"/>
      <w:pPr>
        <w:tabs>
          <w:tab w:val="num" w:pos="6480"/>
        </w:tabs>
        <w:ind w:left="6480" w:hanging="180"/>
      </w:pPr>
    </w:lvl>
  </w:abstractNum>
  <w:abstractNum w:abstractNumId="5" w15:restartNumberingAfterBreak="0">
    <w:nsid w:val="10CD43C0"/>
    <w:multiLevelType w:val="multilevel"/>
    <w:tmpl w:val="7E6437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1A6D8A"/>
    <w:multiLevelType w:val="hybridMultilevel"/>
    <w:tmpl w:val="D3B2E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B93045"/>
    <w:multiLevelType w:val="multilevel"/>
    <w:tmpl w:val="25B4B1E8"/>
    <w:lvl w:ilvl="0">
      <w:start w:val="1"/>
      <w:numFmt w:val="decimal"/>
      <w:lvlText w:val="%1."/>
      <w:lvlJc w:val="left"/>
      <w:pPr>
        <w:ind w:left="460" w:hanging="460"/>
      </w:pPr>
      <w:rPr>
        <w:rFonts w:hint="default"/>
      </w:rPr>
    </w:lvl>
    <w:lvl w:ilvl="1">
      <w:start w:val="3"/>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15231004"/>
    <w:multiLevelType w:val="multilevel"/>
    <w:tmpl w:val="AD02CF44"/>
    <w:lvl w:ilvl="0">
      <w:start w:val="1"/>
      <w:numFmt w:val="decimal"/>
      <w:lvlText w:val="%1."/>
      <w:lvlJc w:val="left"/>
      <w:pPr>
        <w:ind w:left="720" w:hanging="360"/>
      </w:pPr>
      <w:rPr>
        <w:rFonts w:hint="default"/>
        <w:sz w:val="20"/>
        <w:szCs w:val="20"/>
      </w:rPr>
    </w:lvl>
    <w:lvl w:ilvl="1">
      <w:start w:val="1"/>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18B87CC5"/>
    <w:multiLevelType w:val="hybridMultilevel"/>
    <w:tmpl w:val="E932C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D5594D"/>
    <w:multiLevelType w:val="multilevel"/>
    <w:tmpl w:val="0A70E6D6"/>
    <w:lvl w:ilvl="0">
      <w:start w:val="1"/>
      <w:numFmt w:val="upperRoman"/>
      <w:lvlText w:val="%1."/>
      <w:lvlJc w:val="left"/>
      <w:pPr>
        <w:ind w:left="1080" w:hanging="720"/>
      </w:pPr>
      <w:rPr>
        <w:rFonts w:hint="default"/>
        <w:i w:val="0"/>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315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1706BBA"/>
    <w:multiLevelType w:val="hybridMultilevel"/>
    <w:tmpl w:val="F51268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9031CEB"/>
    <w:multiLevelType w:val="hybridMultilevel"/>
    <w:tmpl w:val="31A86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6A122E"/>
    <w:multiLevelType w:val="multilevel"/>
    <w:tmpl w:val="905A60E8"/>
    <w:lvl w:ilvl="0">
      <w:start w:val="4"/>
      <w:numFmt w:val="decimal"/>
      <w:lvlText w:val="%1."/>
      <w:lvlJc w:val="left"/>
      <w:pPr>
        <w:ind w:left="500" w:hanging="500"/>
      </w:pPr>
      <w:rPr>
        <w:rFonts w:hint="default"/>
      </w:rPr>
    </w:lvl>
    <w:lvl w:ilvl="1">
      <w:start w:val="1"/>
      <w:numFmt w:val="decimal"/>
      <w:lvlText w:val="%1.%2."/>
      <w:lvlJc w:val="left"/>
      <w:pPr>
        <w:ind w:left="500" w:hanging="5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DB94652"/>
    <w:multiLevelType w:val="multilevel"/>
    <w:tmpl w:val="7E6437B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1D87478"/>
    <w:multiLevelType w:val="hybridMultilevel"/>
    <w:tmpl w:val="2A58FFAA"/>
    <w:lvl w:ilvl="0" w:tplc="37D8D5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AA54BA"/>
    <w:multiLevelType w:val="multilevel"/>
    <w:tmpl w:val="7E6437B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BA57794"/>
    <w:multiLevelType w:val="multilevel"/>
    <w:tmpl w:val="904AD05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CB35B59"/>
    <w:multiLevelType w:val="multilevel"/>
    <w:tmpl w:val="50DA35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F943F1B"/>
    <w:multiLevelType w:val="multilevel"/>
    <w:tmpl w:val="75666F70"/>
    <w:lvl w:ilvl="0">
      <w:start w:val="4"/>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C5C1FFD"/>
    <w:multiLevelType w:val="multilevel"/>
    <w:tmpl w:val="735E6D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CDC50E7"/>
    <w:multiLevelType w:val="multilevel"/>
    <w:tmpl w:val="C594648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BB6FAF"/>
    <w:multiLevelType w:val="multilevel"/>
    <w:tmpl w:val="5530A5E2"/>
    <w:lvl w:ilvl="0">
      <w:start w:val="1"/>
      <w:numFmt w:val="decimal"/>
      <w:lvlText w:val="%1."/>
      <w:lvlJc w:val="left"/>
      <w:pPr>
        <w:ind w:left="720" w:hanging="360"/>
      </w:pPr>
      <w:rPr>
        <w:rFonts w:hint="default"/>
      </w:rPr>
    </w:lvl>
    <w:lvl w:ilvl="1">
      <w:start w:val="2"/>
      <w:numFmt w:val="decimal"/>
      <w:isLgl/>
      <w:lvlText w:val="%1.%2."/>
      <w:lvlJc w:val="left"/>
      <w:pPr>
        <w:ind w:left="820" w:hanging="4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440" w:hanging="108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1800" w:hanging="1440"/>
      </w:pPr>
      <w:rPr>
        <w:rFonts w:hint="default"/>
        <w:color w:val="000000"/>
      </w:rPr>
    </w:lvl>
  </w:abstractNum>
  <w:abstractNum w:abstractNumId="23" w15:restartNumberingAfterBreak="0">
    <w:nsid w:val="5217731C"/>
    <w:multiLevelType w:val="multilevel"/>
    <w:tmpl w:val="AD02CF44"/>
    <w:lvl w:ilvl="0">
      <w:start w:val="1"/>
      <w:numFmt w:val="decimal"/>
      <w:lvlText w:val="%1."/>
      <w:lvlJc w:val="left"/>
      <w:pPr>
        <w:ind w:left="720" w:hanging="360"/>
      </w:pPr>
      <w:rPr>
        <w:rFonts w:hint="default"/>
        <w:sz w:val="20"/>
        <w:szCs w:val="20"/>
      </w:rPr>
    </w:lvl>
    <w:lvl w:ilvl="1">
      <w:start w:val="1"/>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2E01085"/>
    <w:multiLevelType w:val="multilevel"/>
    <w:tmpl w:val="AD02CF44"/>
    <w:lvl w:ilvl="0">
      <w:start w:val="1"/>
      <w:numFmt w:val="decimal"/>
      <w:lvlText w:val="%1."/>
      <w:lvlJc w:val="left"/>
      <w:pPr>
        <w:ind w:left="720" w:hanging="360"/>
      </w:pPr>
      <w:rPr>
        <w:rFonts w:hint="default"/>
        <w:sz w:val="20"/>
        <w:szCs w:val="20"/>
      </w:rPr>
    </w:lvl>
    <w:lvl w:ilvl="1">
      <w:start w:val="1"/>
      <w:numFmt w:val="decimal"/>
      <w:isLgl/>
      <w:lvlText w:val="%1.%2."/>
      <w:lvlJc w:val="left"/>
      <w:pPr>
        <w:ind w:left="820" w:hanging="4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54870BEE"/>
    <w:multiLevelType w:val="multilevel"/>
    <w:tmpl w:val="7E6437B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A4C6CDC"/>
    <w:multiLevelType w:val="multilevel"/>
    <w:tmpl w:val="0A70E6D6"/>
    <w:lvl w:ilvl="0">
      <w:start w:val="1"/>
      <w:numFmt w:val="upperRoman"/>
      <w:lvlText w:val="%1."/>
      <w:lvlJc w:val="left"/>
      <w:pPr>
        <w:ind w:left="1080" w:hanging="720"/>
      </w:pPr>
      <w:rPr>
        <w:rFonts w:hint="default"/>
        <w:i w:val="0"/>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315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5B005D25"/>
    <w:multiLevelType w:val="multilevel"/>
    <w:tmpl w:val="503C643A"/>
    <w:lvl w:ilvl="0">
      <w:start w:val="4"/>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15049A"/>
    <w:multiLevelType w:val="multilevel"/>
    <w:tmpl w:val="92868CE8"/>
    <w:lvl w:ilvl="0">
      <w:start w:val="1"/>
      <w:numFmt w:val="decimal"/>
      <w:lvlText w:val="%1."/>
      <w:lvlJc w:val="left"/>
      <w:pPr>
        <w:ind w:left="460" w:hanging="460"/>
      </w:pPr>
      <w:rPr>
        <w:rFonts w:hint="default"/>
      </w:rPr>
    </w:lvl>
    <w:lvl w:ilvl="1">
      <w:start w:val="2"/>
      <w:numFmt w:val="decimal"/>
      <w:lvlText w:val="%1.%2."/>
      <w:lvlJc w:val="left"/>
      <w:pPr>
        <w:ind w:left="460" w:hanging="4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C2F052B"/>
    <w:multiLevelType w:val="hybridMultilevel"/>
    <w:tmpl w:val="D3B2E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0D4496"/>
    <w:multiLevelType w:val="hybridMultilevel"/>
    <w:tmpl w:val="C436F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A81C4C"/>
    <w:multiLevelType w:val="multilevel"/>
    <w:tmpl w:val="0A70E6D6"/>
    <w:lvl w:ilvl="0">
      <w:start w:val="1"/>
      <w:numFmt w:val="upperRoman"/>
      <w:lvlText w:val="%1."/>
      <w:lvlJc w:val="left"/>
      <w:pPr>
        <w:ind w:left="1080" w:hanging="720"/>
      </w:pPr>
      <w:rPr>
        <w:rFonts w:hint="default"/>
        <w:i w:val="0"/>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315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E585637"/>
    <w:multiLevelType w:val="multilevel"/>
    <w:tmpl w:val="6F86C2F8"/>
    <w:lvl w:ilvl="0">
      <w:start w:val="1"/>
      <w:numFmt w:val="decimal"/>
      <w:lvlText w:val="%1."/>
      <w:lvlJc w:val="left"/>
      <w:pPr>
        <w:ind w:left="460" w:hanging="460"/>
      </w:pPr>
      <w:rPr>
        <w:rFonts w:hint="default"/>
        <w:color w:val="000000"/>
      </w:rPr>
    </w:lvl>
    <w:lvl w:ilvl="1">
      <w:start w:val="3"/>
      <w:numFmt w:val="decimal"/>
      <w:lvlText w:val="%1.%2."/>
      <w:lvlJc w:val="left"/>
      <w:pPr>
        <w:ind w:left="460" w:hanging="460"/>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3" w15:restartNumberingAfterBreak="0">
    <w:nsid w:val="7E5A1415"/>
    <w:multiLevelType w:val="multilevel"/>
    <w:tmpl w:val="F856923A"/>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EED2A03"/>
    <w:multiLevelType w:val="multilevel"/>
    <w:tmpl w:val="F856923A"/>
    <w:lvl w:ilvl="0">
      <w:start w:val="1"/>
      <w:numFmt w:val="decimal"/>
      <w:lvlText w:val="%1."/>
      <w:lvlJc w:val="left"/>
      <w:pPr>
        <w:ind w:left="720" w:hanging="360"/>
      </w:pPr>
      <w:rPr>
        <w:rFonts w:ascii="Times New Roman" w:hAnsi="Times New Roman" w:cs="Times New Roman" w:hint="default"/>
        <w:b w:val="0"/>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FA7012E"/>
    <w:multiLevelType w:val="hybridMultilevel"/>
    <w:tmpl w:val="B8C4A858"/>
    <w:lvl w:ilvl="0" w:tplc="86A84FCC">
      <w:start w:val="1"/>
      <w:numFmt w:val="decimal"/>
      <w:lvlText w:val="%1."/>
      <w:lvlJc w:val="left"/>
      <w:pPr>
        <w:ind w:left="1498" w:hanging="360"/>
      </w:pPr>
      <w:rPr>
        <w:rFonts w:hint="default"/>
      </w:r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num w:numId="1">
    <w:abstractNumId w:val="10"/>
  </w:num>
  <w:num w:numId="2">
    <w:abstractNumId w:val="15"/>
  </w:num>
  <w:num w:numId="3">
    <w:abstractNumId w:val="22"/>
  </w:num>
  <w:num w:numId="4">
    <w:abstractNumId w:val="17"/>
  </w:num>
  <w:num w:numId="5">
    <w:abstractNumId w:val="9"/>
  </w:num>
  <w:num w:numId="6">
    <w:abstractNumId w:val="14"/>
  </w:num>
  <w:num w:numId="7">
    <w:abstractNumId w:val="28"/>
  </w:num>
  <w:num w:numId="8">
    <w:abstractNumId w:val="7"/>
  </w:num>
  <w:num w:numId="9">
    <w:abstractNumId w:val="25"/>
  </w:num>
  <w:num w:numId="10">
    <w:abstractNumId w:val="5"/>
  </w:num>
  <w:num w:numId="11">
    <w:abstractNumId w:val="19"/>
  </w:num>
  <w:num w:numId="12">
    <w:abstractNumId w:val="16"/>
  </w:num>
  <w:num w:numId="13">
    <w:abstractNumId w:val="32"/>
  </w:num>
  <w:num w:numId="14">
    <w:abstractNumId w:val="3"/>
  </w:num>
  <w:num w:numId="15">
    <w:abstractNumId w:val="24"/>
  </w:num>
  <w:num w:numId="16">
    <w:abstractNumId w:val="21"/>
  </w:num>
  <w:num w:numId="17">
    <w:abstractNumId w:val="31"/>
  </w:num>
  <w:num w:numId="18">
    <w:abstractNumId w:val="20"/>
  </w:num>
  <w:num w:numId="19">
    <w:abstractNumId w:val="1"/>
  </w:num>
  <w:num w:numId="20">
    <w:abstractNumId w:val="13"/>
  </w:num>
  <w:num w:numId="21">
    <w:abstractNumId w:val="26"/>
  </w:num>
  <w:num w:numId="22">
    <w:abstractNumId w:val="33"/>
  </w:num>
  <w:num w:numId="23">
    <w:abstractNumId w:val="0"/>
  </w:num>
  <w:num w:numId="24">
    <w:abstractNumId w:val="4"/>
  </w:num>
  <w:num w:numId="25">
    <w:abstractNumId w:val="35"/>
  </w:num>
  <w:num w:numId="26">
    <w:abstractNumId w:val="2"/>
  </w:num>
  <w:num w:numId="27">
    <w:abstractNumId w:val="30"/>
  </w:num>
  <w:num w:numId="28">
    <w:abstractNumId w:val="11"/>
  </w:num>
  <w:num w:numId="29">
    <w:abstractNumId w:val="12"/>
  </w:num>
  <w:num w:numId="30">
    <w:abstractNumId w:val="29"/>
  </w:num>
  <w:num w:numId="31">
    <w:abstractNumId w:val="6"/>
  </w:num>
  <w:num w:numId="32">
    <w:abstractNumId w:val="18"/>
  </w:num>
  <w:num w:numId="33">
    <w:abstractNumId w:val="27"/>
  </w:num>
  <w:num w:numId="34">
    <w:abstractNumId w:val="34"/>
  </w:num>
  <w:num w:numId="35">
    <w:abstractNumId w:val="8"/>
  </w:num>
  <w:num w:numId="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841"/>
    <w:rsid w:val="00043B75"/>
    <w:rsid w:val="000A7B7C"/>
    <w:rsid w:val="000D1983"/>
    <w:rsid w:val="000E2429"/>
    <w:rsid w:val="000E35D5"/>
    <w:rsid w:val="000F292D"/>
    <w:rsid w:val="001262F6"/>
    <w:rsid w:val="001340DF"/>
    <w:rsid w:val="00134CD8"/>
    <w:rsid w:val="00167728"/>
    <w:rsid w:val="001A49DE"/>
    <w:rsid w:val="001A4ED1"/>
    <w:rsid w:val="001A5A25"/>
    <w:rsid w:val="001B1BFB"/>
    <w:rsid w:val="001B1E20"/>
    <w:rsid w:val="001D622B"/>
    <w:rsid w:val="001E58E5"/>
    <w:rsid w:val="001E6456"/>
    <w:rsid w:val="00232D30"/>
    <w:rsid w:val="00256408"/>
    <w:rsid w:val="00261736"/>
    <w:rsid w:val="002741F3"/>
    <w:rsid w:val="002979DB"/>
    <w:rsid w:val="002A2F4B"/>
    <w:rsid w:val="002A6E77"/>
    <w:rsid w:val="002C1352"/>
    <w:rsid w:val="00314A01"/>
    <w:rsid w:val="003463F1"/>
    <w:rsid w:val="003468AC"/>
    <w:rsid w:val="00347139"/>
    <w:rsid w:val="0034741E"/>
    <w:rsid w:val="00365B4E"/>
    <w:rsid w:val="0037241E"/>
    <w:rsid w:val="00382469"/>
    <w:rsid w:val="00396307"/>
    <w:rsid w:val="003A7177"/>
    <w:rsid w:val="003D08DF"/>
    <w:rsid w:val="003F7CD1"/>
    <w:rsid w:val="0047259B"/>
    <w:rsid w:val="0049702F"/>
    <w:rsid w:val="004E70CE"/>
    <w:rsid w:val="00502A7F"/>
    <w:rsid w:val="005642DB"/>
    <w:rsid w:val="00572359"/>
    <w:rsid w:val="0059029D"/>
    <w:rsid w:val="005932B9"/>
    <w:rsid w:val="005E3BC8"/>
    <w:rsid w:val="005F6EE8"/>
    <w:rsid w:val="00611A5B"/>
    <w:rsid w:val="00642B28"/>
    <w:rsid w:val="006430C0"/>
    <w:rsid w:val="00665F37"/>
    <w:rsid w:val="0068771E"/>
    <w:rsid w:val="006E75FB"/>
    <w:rsid w:val="006F768A"/>
    <w:rsid w:val="007174B5"/>
    <w:rsid w:val="00741E4C"/>
    <w:rsid w:val="00746292"/>
    <w:rsid w:val="007C123B"/>
    <w:rsid w:val="007C2951"/>
    <w:rsid w:val="007E5F42"/>
    <w:rsid w:val="007F2FA6"/>
    <w:rsid w:val="00804E06"/>
    <w:rsid w:val="00844918"/>
    <w:rsid w:val="00861CD3"/>
    <w:rsid w:val="0087079D"/>
    <w:rsid w:val="00894F67"/>
    <w:rsid w:val="008A1AC6"/>
    <w:rsid w:val="008A2B57"/>
    <w:rsid w:val="008B75E9"/>
    <w:rsid w:val="008C3C7C"/>
    <w:rsid w:val="008D0D20"/>
    <w:rsid w:val="008D4DE4"/>
    <w:rsid w:val="008E3296"/>
    <w:rsid w:val="008E5FDD"/>
    <w:rsid w:val="008F4615"/>
    <w:rsid w:val="00902866"/>
    <w:rsid w:val="009029FB"/>
    <w:rsid w:val="00915D73"/>
    <w:rsid w:val="00916F7F"/>
    <w:rsid w:val="00920787"/>
    <w:rsid w:val="00927E1D"/>
    <w:rsid w:val="00964374"/>
    <w:rsid w:val="009A081F"/>
    <w:rsid w:val="009A0872"/>
    <w:rsid w:val="009B4B64"/>
    <w:rsid w:val="009D73AC"/>
    <w:rsid w:val="009F3E15"/>
    <w:rsid w:val="00A16051"/>
    <w:rsid w:val="00AB5607"/>
    <w:rsid w:val="00AE6CE1"/>
    <w:rsid w:val="00AF2A5D"/>
    <w:rsid w:val="00AF455E"/>
    <w:rsid w:val="00B31D41"/>
    <w:rsid w:val="00B32896"/>
    <w:rsid w:val="00B4658E"/>
    <w:rsid w:val="00B76D8E"/>
    <w:rsid w:val="00B77FFA"/>
    <w:rsid w:val="00BC5B6A"/>
    <w:rsid w:val="00BD3CE1"/>
    <w:rsid w:val="00C23490"/>
    <w:rsid w:val="00C460DD"/>
    <w:rsid w:val="00CA5FF6"/>
    <w:rsid w:val="00CE30EF"/>
    <w:rsid w:val="00CF7A32"/>
    <w:rsid w:val="00D0165D"/>
    <w:rsid w:val="00D2331A"/>
    <w:rsid w:val="00D2409B"/>
    <w:rsid w:val="00D25E20"/>
    <w:rsid w:val="00DA0B46"/>
    <w:rsid w:val="00DA6D5E"/>
    <w:rsid w:val="00DB5BDB"/>
    <w:rsid w:val="00DE2110"/>
    <w:rsid w:val="00E12841"/>
    <w:rsid w:val="00E17E66"/>
    <w:rsid w:val="00E24469"/>
    <w:rsid w:val="00E61887"/>
    <w:rsid w:val="00E80083"/>
    <w:rsid w:val="00ED6D40"/>
    <w:rsid w:val="00EE0F1B"/>
    <w:rsid w:val="00EE4D95"/>
    <w:rsid w:val="00F204DF"/>
    <w:rsid w:val="00F256E6"/>
    <w:rsid w:val="00F4313F"/>
    <w:rsid w:val="00F43853"/>
    <w:rsid w:val="00F71DE6"/>
    <w:rsid w:val="00FA273A"/>
    <w:rsid w:val="00FA79F5"/>
    <w:rsid w:val="00FB034F"/>
    <w:rsid w:val="00FC74B2"/>
    <w:rsid w:val="00FD31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E5E967"/>
  <w15:chartTrackingRefBased/>
  <w15:docId w15:val="{BF00715D-C6F9-BE43-80C9-3EFDE7FFB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841"/>
    <w:rPr>
      <w:rFonts w:ascii="Times New Roman" w:eastAsia="Times New Roman" w:hAnsi="Times New Roman" w:cs="Times New Roman"/>
    </w:rPr>
  </w:style>
  <w:style w:type="paragraph" w:styleId="Heading3">
    <w:name w:val="heading 3"/>
    <w:basedOn w:val="Normal"/>
    <w:link w:val="Heading3Char"/>
    <w:uiPriority w:val="9"/>
    <w:qFormat/>
    <w:rsid w:val="00B4658E"/>
    <w:pPr>
      <w:spacing w:before="100" w:beforeAutospacing="1" w:after="100" w:afterAutospacing="1"/>
      <w:outlineLvl w:val="2"/>
    </w:pPr>
    <w:rPr>
      <w:b/>
      <w:bCs/>
      <w:sz w:val="26"/>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4658E"/>
    <w:rPr>
      <w:rFonts w:eastAsia="Times New Roman" w:cs="Times New Roman"/>
      <w:b/>
      <w:bCs/>
      <w:sz w:val="26"/>
      <w:szCs w:val="27"/>
      <w:lang w:eastAsia="en-GB"/>
    </w:rPr>
  </w:style>
  <w:style w:type="table" w:styleId="TableGrid">
    <w:name w:val="Table Grid"/>
    <w:basedOn w:val="TableNormal"/>
    <w:uiPriority w:val="39"/>
    <w:rsid w:val="00E12841"/>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2841"/>
    <w:pPr>
      <w:spacing w:before="100" w:beforeAutospacing="1" w:after="100" w:afterAutospacing="1"/>
    </w:pPr>
  </w:style>
  <w:style w:type="paragraph" w:styleId="NormalWeb">
    <w:name w:val="Normal (Web)"/>
    <w:basedOn w:val="Normal"/>
    <w:uiPriority w:val="99"/>
    <w:unhideWhenUsed/>
    <w:rsid w:val="00FA79F5"/>
    <w:pPr>
      <w:spacing w:before="100" w:beforeAutospacing="1" w:after="100" w:afterAutospacing="1"/>
    </w:pPr>
  </w:style>
  <w:style w:type="character" w:customStyle="1" w:styleId="A4">
    <w:name w:val="A4"/>
    <w:uiPriority w:val="99"/>
    <w:rsid w:val="003463F1"/>
    <w:rPr>
      <w:rFonts w:cs="JohnSans Text Pro"/>
      <w:color w:val="211D1E"/>
      <w:sz w:val="9"/>
      <w:szCs w:val="9"/>
    </w:rPr>
  </w:style>
  <w:style w:type="paragraph" w:styleId="Footer">
    <w:name w:val="footer"/>
    <w:basedOn w:val="Normal"/>
    <w:link w:val="FooterChar"/>
    <w:uiPriority w:val="99"/>
    <w:unhideWhenUsed/>
    <w:rsid w:val="0034741E"/>
    <w:pPr>
      <w:tabs>
        <w:tab w:val="center" w:pos="4680"/>
        <w:tab w:val="right" w:pos="9360"/>
      </w:tabs>
    </w:pPr>
  </w:style>
  <w:style w:type="character" w:customStyle="1" w:styleId="FooterChar">
    <w:name w:val="Footer Char"/>
    <w:basedOn w:val="DefaultParagraphFont"/>
    <w:link w:val="Footer"/>
    <w:uiPriority w:val="99"/>
    <w:rsid w:val="0034741E"/>
    <w:rPr>
      <w:rFonts w:ascii="Times New Roman" w:eastAsia="Times New Roman" w:hAnsi="Times New Roman" w:cs="Times New Roman"/>
    </w:rPr>
  </w:style>
  <w:style w:type="character" w:styleId="PageNumber">
    <w:name w:val="page number"/>
    <w:basedOn w:val="DefaultParagraphFont"/>
    <w:uiPriority w:val="99"/>
    <w:semiHidden/>
    <w:unhideWhenUsed/>
    <w:rsid w:val="0034741E"/>
  </w:style>
  <w:style w:type="paragraph" w:styleId="FootnoteText">
    <w:name w:val="footnote text"/>
    <w:aliases w:val="5_G,Footnote Text Char Char Char Char Char,Footnote Text Char Char Char Char,Footnote reference,FA Fu,Footnote Text Char Char Char,ft,FOOTNOTES,fn,single space,FA Fußnotentext,FA Fuﬂnotentext,ﬂnotentext,Note de bas de page2,5_, Char1"/>
    <w:basedOn w:val="Normal"/>
    <w:link w:val="FootnoteTextChar"/>
    <w:uiPriority w:val="99"/>
    <w:unhideWhenUsed/>
    <w:qFormat/>
    <w:rsid w:val="00C460DD"/>
    <w:rPr>
      <w:sz w:val="20"/>
      <w:szCs w:val="20"/>
    </w:rPr>
  </w:style>
  <w:style w:type="character" w:customStyle="1" w:styleId="FootnoteTextChar">
    <w:name w:val="Footnote Text Char"/>
    <w:aliases w:val="5_G Char,Footnote Text Char Char Char Char Char Char,Footnote Text Char Char Char Char Char1,Footnote reference Char,FA Fu Char,Footnote Text Char Char Char Char1,ft Char,FOOTNOTES Char,fn Char,single space Char,FA Fußnotentext Char"/>
    <w:basedOn w:val="DefaultParagraphFont"/>
    <w:link w:val="FootnoteText"/>
    <w:uiPriority w:val="99"/>
    <w:qFormat/>
    <w:rsid w:val="00C460DD"/>
    <w:rPr>
      <w:rFonts w:ascii="Times New Roman" w:eastAsia="Times New Roman" w:hAnsi="Times New Roman" w:cs="Times New Roman"/>
      <w:sz w:val="20"/>
      <w:szCs w:val="20"/>
    </w:rPr>
  </w:style>
  <w:style w:type="character" w:styleId="FootnoteReference">
    <w:name w:val="footnote reference"/>
    <w:aliases w:val="4_G,4_G Char Char Char Char,Footnotes refss Char Char Char Char,ftref Char Char Char Char,BVI fnr Char Char Char Char,BVI fnr Car Car Char Char Char Char,BVI fnr Car Char Char Char Char,BVI fnr Car Car Car Car Char Char1 Char Char,Ref"/>
    <w:basedOn w:val="DefaultParagraphFont"/>
    <w:link w:val="4GCharCharChar"/>
    <w:unhideWhenUsed/>
    <w:qFormat/>
    <w:rsid w:val="00C460DD"/>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C460DD"/>
    <w:pPr>
      <w:spacing w:after="160" w:line="240" w:lineRule="exact"/>
      <w:jc w:val="both"/>
    </w:pPr>
    <w:rPr>
      <w:rFonts w:asciiTheme="minorHAnsi" w:eastAsiaTheme="minorHAnsi" w:hAnsiTheme="minorHAnsi" w:cstheme="minorBidi"/>
      <w:vertAlign w:val="superscript"/>
    </w:rPr>
  </w:style>
  <w:style w:type="character" w:styleId="Hyperlink">
    <w:name w:val="Hyperlink"/>
    <w:uiPriority w:val="99"/>
    <w:rsid w:val="00C460DD"/>
    <w:rPr>
      <w:color w:val="auto"/>
      <w:u w:val="none"/>
    </w:rPr>
  </w:style>
  <w:style w:type="paragraph" w:customStyle="1" w:styleId="ParNoG">
    <w:name w:val="_ParNo_G"/>
    <w:basedOn w:val="Normal"/>
    <w:qFormat/>
    <w:rsid w:val="00C460DD"/>
    <w:pPr>
      <w:numPr>
        <w:numId w:val="24"/>
      </w:numPr>
      <w:spacing w:after="120" w:line="240" w:lineRule="atLeast"/>
      <w:ind w:right="1134"/>
      <w:jc w:val="both"/>
    </w:pPr>
    <w:rPr>
      <w:sz w:val="20"/>
      <w:szCs w:val="20"/>
      <w:lang w:val="en-GB"/>
    </w:rPr>
  </w:style>
  <w:style w:type="paragraph" w:customStyle="1" w:styleId="Default">
    <w:name w:val="Default"/>
    <w:rsid w:val="00C460DD"/>
    <w:pPr>
      <w:autoSpaceDE w:val="0"/>
      <w:autoSpaceDN w:val="0"/>
      <w:adjustRightInd w:val="0"/>
    </w:pPr>
    <w:rPr>
      <w:rFonts w:ascii="Calibri" w:hAnsi="Calibri" w:cs="Calibri"/>
      <w:color w:val="000000"/>
    </w:rPr>
  </w:style>
  <w:style w:type="paragraph" w:styleId="BalloonText">
    <w:name w:val="Balloon Text"/>
    <w:basedOn w:val="Normal"/>
    <w:link w:val="BalloonTextChar"/>
    <w:uiPriority w:val="99"/>
    <w:semiHidden/>
    <w:unhideWhenUsed/>
    <w:rsid w:val="00C460DD"/>
    <w:rPr>
      <w:sz w:val="18"/>
      <w:szCs w:val="18"/>
    </w:rPr>
  </w:style>
  <w:style w:type="character" w:customStyle="1" w:styleId="BalloonTextChar">
    <w:name w:val="Balloon Text Char"/>
    <w:basedOn w:val="DefaultParagraphFont"/>
    <w:link w:val="BalloonText"/>
    <w:uiPriority w:val="99"/>
    <w:semiHidden/>
    <w:rsid w:val="00C460DD"/>
    <w:rPr>
      <w:rFonts w:ascii="Times New Roman" w:eastAsia="Times New Roman" w:hAnsi="Times New Roman" w:cs="Times New Roman"/>
      <w:sz w:val="18"/>
      <w:szCs w:val="18"/>
    </w:rPr>
  </w:style>
  <w:style w:type="paragraph" w:styleId="Revision">
    <w:name w:val="Revision"/>
    <w:hidden/>
    <w:uiPriority w:val="99"/>
    <w:semiHidden/>
    <w:rsid w:val="00902866"/>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B5BDB"/>
    <w:rPr>
      <w:sz w:val="16"/>
      <w:szCs w:val="16"/>
    </w:rPr>
  </w:style>
  <w:style w:type="paragraph" w:styleId="CommentText">
    <w:name w:val="annotation text"/>
    <w:basedOn w:val="Normal"/>
    <w:link w:val="CommentTextChar"/>
    <w:uiPriority w:val="99"/>
    <w:semiHidden/>
    <w:unhideWhenUsed/>
    <w:rsid w:val="00DB5BDB"/>
    <w:rPr>
      <w:sz w:val="20"/>
      <w:szCs w:val="20"/>
    </w:rPr>
  </w:style>
  <w:style w:type="character" w:customStyle="1" w:styleId="CommentTextChar">
    <w:name w:val="Comment Text Char"/>
    <w:basedOn w:val="DefaultParagraphFont"/>
    <w:link w:val="CommentText"/>
    <w:uiPriority w:val="99"/>
    <w:semiHidden/>
    <w:rsid w:val="00DB5BD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5BDB"/>
    <w:rPr>
      <w:b/>
      <w:bCs/>
    </w:rPr>
  </w:style>
  <w:style w:type="character" w:customStyle="1" w:styleId="CommentSubjectChar">
    <w:name w:val="Comment Subject Char"/>
    <w:basedOn w:val="CommentTextChar"/>
    <w:link w:val="CommentSubject"/>
    <w:uiPriority w:val="99"/>
    <w:semiHidden/>
    <w:rsid w:val="00DB5BDB"/>
    <w:rPr>
      <w:rFonts w:ascii="Times New Roman" w:eastAsia="Times New Roman" w:hAnsi="Times New Roman" w:cs="Times New Roman"/>
      <w:b/>
      <w:bCs/>
      <w:sz w:val="20"/>
      <w:szCs w:val="20"/>
    </w:rPr>
  </w:style>
  <w:style w:type="character" w:customStyle="1" w:styleId="UnresolvedMention">
    <w:name w:val="Unresolved Mention"/>
    <w:basedOn w:val="DefaultParagraphFont"/>
    <w:uiPriority w:val="99"/>
    <w:semiHidden/>
    <w:unhideWhenUsed/>
    <w:rsid w:val="00642B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71077">
      <w:bodyDiv w:val="1"/>
      <w:marLeft w:val="0"/>
      <w:marRight w:val="0"/>
      <w:marTop w:val="0"/>
      <w:marBottom w:val="0"/>
      <w:divBdr>
        <w:top w:val="none" w:sz="0" w:space="0" w:color="auto"/>
        <w:left w:val="none" w:sz="0" w:space="0" w:color="auto"/>
        <w:bottom w:val="none" w:sz="0" w:space="0" w:color="auto"/>
        <w:right w:val="none" w:sz="0" w:space="0" w:color="auto"/>
      </w:divBdr>
      <w:divsChild>
        <w:div w:id="764493839">
          <w:marLeft w:val="0"/>
          <w:marRight w:val="0"/>
          <w:marTop w:val="0"/>
          <w:marBottom w:val="0"/>
          <w:divBdr>
            <w:top w:val="none" w:sz="0" w:space="0" w:color="auto"/>
            <w:left w:val="none" w:sz="0" w:space="0" w:color="auto"/>
            <w:bottom w:val="none" w:sz="0" w:space="0" w:color="auto"/>
            <w:right w:val="none" w:sz="0" w:space="0" w:color="auto"/>
          </w:divBdr>
          <w:divsChild>
            <w:div w:id="79643240">
              <w:marLeft w:val="0"/>
              <w:marRight w:val="0"/>
              <w:marTop w:val="0"/>
              <w:marBottom w:val="0"/>
              <w:divBdr>
                <w:top w:val="none" w:sz="0" w:space="0" w:color="auto"/>
                <w:left w:val="none" w:sz="0" w:space="0" w:color="auto"/>
                <w:bottom w:val="none" w:sz="0" w:space="0" w:color="auto"/>
                <w:right w:val="none" w:sz="0" w:space="0" w:color="auto"/>
              </w:divBdr>
              <w:divsChild>
                <w:div w:id="14789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93187">
      <w:bodyDiv w:val="1"/>
      <w:marLeft w:val="0"/>
      <w:marRight w:val="0"/>
      <w:marTop w:val="0"/>
      <w:marBottom w:val="0"/>
      <w:divBdr>
        <w:top w:val="none" w:sz="0" w:space="0" w:color="auto"/>
        <w:left w:val="none" w:sz="0" w:space="0" w:color="auto"/>
        <w:bottom w:val="none" w:sz="0" w:space="0" w:color="auto"/>
        <w:right w:val="none" w:sz="0" w:space="0" w:color="auto"/>
      </w:divBdr>
    </w:div>
    <w:div w:id="332226936">
      <w:bodyDiv w:val="1"/>
      <w:marLeft w:val="0"/>
      <w:marRight w:val="0"/>
      <w:marTop w:val="0"/>
      <w:marBottom w:val="0"/>
      <w:divBdr>
        <w:top w:val="none" w:sz="0" w:space="0" w:color="auto"/>
        <w:left w:val="none" w:sz="0" w:space="0" w:color="auto"/>
        <w:bottom w:val="none" w:sz="0" w:space="0" w:color="auto"/>
        <w:right w:val="none" w:sz="0" w:space="0" w:color="auto"/>
      </w:divBdr>
      <w:divsChild>
        <w:div w:id="224799848">
          <w:marLeft w:val="0"/>
          <w:marRight w:val="0"/>
          <w:marTop w:val="0"/>
          <w:marBottom w:val="0"/>
          <w:divBdr>
            <w:top w:val="none" w:sz="0" w:space="0" w:color="auto"/>
            <w:left w:val="none" w:sz="0" w:space="0" w:color="auto"/>
            <w:bottom w:val="none" w:sz="0" w:space="0" w:color="auto"/>
            <w:right w:val="none" w:sz="0" w:space="0" w:color="auto"/>
          </w:divBdr>
          <w:divsChild>
            <w:div w:id="1188104259">
              <w:marLeft w:val="0"/>
              <w:marRight w:val="0"/>
              <w:marTop w:val="0"/>
              <w:marBottom w:val="0"/>
              <w:divBdr>
                <w:top w:val="none" w:sz="0" w:space="0" w:color="auto"/>
                <w:left w:val="none" w:sz="0" w:space="0" w:color="auto"/>
                <w:bottom w:val="none" w:sz="0" w:space="0" w:color="auto"/>
                <w:right w:val="none" w:sz="0" w:space="0" w:color="auto"/>
              </w:divBdr>
              <w:divsChild>
                <w:div w:id="169222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556980">
      <w:bodyDiv w:val="1"/>
      <w:marLeft w:val="0"/>
      <w:marRight w:val="0"/>
      <w:marTop w:val="0"/>
      <w:marBottom w:val="0"/>
      <w:divBdr>
        <w:top w:val="none" w:sz="0" w:space="0" w:color="auto"/>
        <w:left w:val="none" w:sz="0" w:space="0" w:color="auto"/>
        <w:bottom w:val="none" w:sz="0" w:space="0" w:color="auto"/>
        <w:right w:val="none" w:sz="0" w:space="0" w:color="auto"/>
      </w:divBdr>
      <w:divsChild>
        <w:div w:id="1025323216">
          <w:marLeft w:val="0"/>
          <w:marRight w:val="0"/>
          <w:marTop w:val="0"/>
          <w:marBottom w:val="0"/>
          <w:divBdr>
            <w:top w:val="none" w:sz="0" w:space="0" w:color="auto"/>
            <w:left w:val="none" w:sz="0" w:space="0" w:color="auto"/>
            <w:bottom w:val="none" w:sz="0" w:space="0" w:color="auto"/>
            <w:right w:val="none" w:sz="0" w:space="0" w:color="auto"/>
          </w:divBdr>
          <w:divsChild>
            <w:div w:id="1981493700">
              <w:marLeft w:val="0"/>
              <w:marRight w:val="0"/>
              <w:marTop w:val="0"/>
              <w:marBottom w:val="0"/>
              <w:divBdr>
                <w:top w:val="none" w:sz="0" w:space="0" w:color="auto"/>
                <w:left w:val="none" w:sz="0" w:space="0" w:color="auto"/>
                <w:bottom w:val="none" w:sz="0" w:space="0" w:color="auto"/>
                <w:right w:val="none" w:sz="0" w:space="0" w:color="auto"/>
              </w:divBdr>
              <w:divsChild>
                <w:div w:id="14597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111849">
      <w:bodyDiv w:val="1"/>
      <w:marLeft w:val="0"/>
      <w:marRight w:val="0"/>
      <w:marTop w:val="0"/>
      <w:marBottom w:val="0"/>
      <w:divBdr>
        <w:top w:val="none" w:sz="0" w:space="0" w:color="auto"/>
        <w:left w:val="none" w:sz="0" w:space="0" w:color="auto"/>
        <w:bottom w:val="none" w:sz="0" w:space="0" w:color="auto"/>
        <w:right w:val="none" w:sz="0" w:space="0" w:color="auto"/>
      </w:divBdr>
    </w:div>
    <w:div w:id="795836072">
      <w:bodyDiv w:val="1"/>
      <w:marLeft w:val="0"/>
      <w:marRight w:val="0"/>
      <w:marTop w:val="0"/>
      <w:marBottom w:val="0"/>
      <w:divBdr>
        <w:top w:val="none" w:sz="0" w:space="0" w:color="auto"/>
        <w:left w:val="none" w:sz="0" w:space="0" w:color="auto"/>
        <w:bottom w:val="none" w:sz="0" w:space="0" w:color="auto"/>
        <w:right w:val="none" w:sz="0" w:space="0" w:color="auto"/>
      </w:divBdr>
    </w:div>
    <w:div w:id="994842296">
      <w:bodyDiv w:val="1"/>
      <w:marLeft w:val="0"/>
      <w:marRight w:val="0"/>
      <w:marTop w:val="0"/>
      <w:marBottom w:val="0"/>
      <w:divBdr>
        <w:top w:val="none" w:sz="0" w:space="0" w:color="auto"/>
        <w:left w:val="none" w:sz="0" w:space="0" w:color="auto"/>
        <w:bottom w:val="none" w:sz="0" w:space="0" w:color="auto"/>
        <w:right w:val="none" w:sz="0" w:space="0" w:color="auto"/>
      </w:divBdr>
    </w:div>
    <w:div w:id="1031733720">
      <w:bodyDiv w:val="1"/>
      <w:marLeft w:val="0"/>
      <w:marRight w:val="0"/>
      <w:marTop w:val="0"/>
      <w:marBottom w:val="0"/>
      <w:divBdr>
        <w:top w:val="none" w:sz="0" w:space="0" w:color="auto"/>
        <w:left w:val="none" w:sz="0" w:space="0" w:color="auto"/>
        <w:bottom w:val="none" w:sz="0" w:space="0" w:color="auto"/>
        <w:right w:val="none" w:sz="0" w:space="0" w:color="auto"/>
      </w:divBdr>
    </w:div>
    <w:div w:id="1173572529">
      <w:bodyDiv w:val="1"/>
      <w:marLeft w:val="0"/>
      <w:marRight w:val="0"/>
      <w:marTop w:val="0"/>
      <w:marBottom w:val="0"/>
      <w:divBdr>
        <w:top w:val="none" w:sz="0" w:space="0" w:color="auto"/>
        <w:left w:val="none" w:sz="0" w:space="0" w:color="auto"/>
        <w:bottom w:val="none" w:sz="0" w:space="0" w:color="auto"/>
        <w:right w:val="none" w:sz="0" w:space="0" w:color="auto"/>
      </w:divBdr>
    </w:div>
    <w:div w:id="1301612323">
      <w:bodyDiv w:val="1"/>
      <w:marLeft w:val="0"/>
      <w:marRight w:val="0"/>
      <w:marTop w:val="0"/>
      <w:marBottom w:val="0"/>
      <w:divBdr>
        <w:top w:val="none" w:sz="0" w:space="0" w:color="auto"/>
        <w:left w:val="none" w:sz="0" w:space="0" w:color="auto"/>
        <w:bottom w:val="none" w:sz="0" w:space="0" w:color="auto"/>
        <w:right w:val="none" w:sz="0" w:space="0" w:color="auto"/>
      </w:divBdr>
    </w:div>
    <w:div w:id="1305626744">
      <w:bodyDiv w:val="1"/>
      <w:marLeft w:val="0"/>
      <w:marRight w:val="0"/>
      <w:marTop w:val="0"/>
      <w:marBottom w:val="0"/>
      <w:divBdr>
        <w:top w:val="none" w:sz="0" w:space="0" w:color="auto"/>
        <w:left w:val="none" w:sz="0" w:space="0" w:color="auto"/>
        <w:bottom w:val="none" w:sz="0" w:space="0" w:color="auto"/>
        <w:right w:val="none" w:sz="0" w:space="0" w:color="auto"/>
      </w:divBdr>
    </w:div>
    <w:div w:id="1525241929">
      <w:bodyDiv w:val="1"/>
      <w:marLeft w:val="0"/>
      <w:marRight w:val="0"/>
      <w:marTop w:val="0"/>
      <w:marBottom w:val="0"/>
      <w:divBdr>
        <w:top w:val="none" w:sz="0" w:space="0" w:color="auto"/>
        <w:left w:val="none" w:sz="0" w:space="0" w:color="auto"/>
        <w:bottom w:val="none" w:sz="0" w:space="0" w:color="auto"/>
        <w:right w:val="none" w:sz="0" w:space="0" w:color="auto"/>
      </w:divBdr>
    </w:div>
    <w:div w:id="1610507377">
      <w:bodyDiv w:val="1"/>
      <w:marLeft w:val="0"/>
      <w:marRight w:val="0"/>
      <w:marTop w:val="0"/>
      <w:marBottom w:val="0"/>
      <w:divBdr>
        <w:top w:val="none" w:sz="0" w:space="0" w:color="auto"/>
        <w:left w:val="none" w:sz="0" w:space="0" w:color="auto"/>
        <w:bottom w:val="none" w:sz="0" w:space="0" w:color="auto"/>
        <w:right w:val="none" w:sz="0" w:space="0" w:color="auto"/>
      </w:divBdr>
      <w:divsChild>
        <w:div w:id="394862577">
          <w:marLeft w:val="0"/>
          <w:marRight w:val="0"/>
          <w:marTop w:val="0"/>
          <w:marBottom w:val="0"/>
          <w:divBdr>
            <w:top w:val="none" w:sz="0" w:space="0" w:color="auto"/>
            <w:left w:val="none" w:sz="0" w:space="0" w:color="auto"/>
            <w:bottom w:val="none" w:sz="0" w:space="0" w:color="auto"/>
            <w:right w:val="none" w:sz="0" w:space="0" w:color="auto"/>
          </w:divBdr>
          <w:divsChild>
            <w:div w:id="122888248">
              <w:marLeft w:val="0"/>
              <w:marRight w:val="0"/>
              <w:marTop w:val="0"/>
              <w:marBottom w:val="0"/>
              <w:divBdr>
                <w:top w:val="none" w:sz="0" w:space="0" w:color="auto"/>
                <w:left w:val="none" w:sz="0" w:space="0" w:color="auto"/>
                <w:bottom w:val="none" w:sz="0" w:space="0" w:color="auto"/>
                <w:right w:val="none" w:sz="0" w:space="0" w:color="auto"/>
              </w:divBdr>
              <w:divsChild>
                <w:div w:id="207678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707250">
      <w:bodyDiv w:val="1"/>
      <w:marLeft w:val="0"/>
      <w:marRight w:val="0"/>
      <w:marTop w:val="0"/>
      <w:marBottom w:val="0"/>
      <w:divBdr>
        <w:top w:val="none" w:sz="0" w:space="0" w:color="auto"/>
        <w:left w:val="none" w:sz="0" w:space="0" w:color="auto"/>
        <w:bottom w:val="none" w:sz="0" w:space="0" w:color="auto"/>
        <w:right w:val="none" w:sz="0" w:space="0" w:color="auto"/>
      </w:divBdr>
    </w:div>
    <w:div w:id="1983075821">
      <w:bodyDiv w:val="1"/>
      <w:marLeft w:val="0"/>
      <w:marRight w:val="0"/>
      <w:marTop w:val="0"/>
      <w:marBottom w:val="0"/>
      <w:divBdr>
        <w:top w:val="none" w:sz="0" w:space="0" w:color="auto"/>
        <w:left w:val="none" w:sz="0" w:space="0" w:color="auto"/>
        <w:bottom w:val="none" w:sz="0" w:space="0" w:color="auto"/>
        <w:right w:val="none" w:sz="0" w:space="0" w:color="auto"/>
      </w:divBdr>
      <w:divsChild>
        <w:div w:id="1790858486">
          <w:marLeft w:val="0"/>
          <w:marRight w:val="0"/>
          <w:marTop w:val="0"/>
          <w:marBottom w:val="0"/>
          <w:divBdr>
            <w:top w:val="none" w:sz="0" w:space="0" w:color="auto"/>
            <w:left w:val="none" w:sz="0" w:space="0" w:color="auto"/>
            <w:bottom w:val="none" w:sz="0" w:space="0" w:color="auto"/>
            <w:right w:val="none" w:sz="0" w:space="0" w:color="auto"/>
          </w:divBdr>
          <w:divsChild>
            <w:div w:id="1215385588">
              <w:marLeft w:val="0"/>
              <w:marRight w:val="0"/>
              <w:marTop w:val="0"/>
              <w:marBottom w:val="0"/>
              <w:divBdr>
                <w:top w:val="none" w:sz="0" w:space="0" w:color="auto"/>
                <w:left w:val="none" w:sz="0" w:space="0" w:color="auto"/>
                <w:bottom w:val="none" w:sz="0" w:space="0" w:color="auto"/>
                <w:right w:val="none" w:sz="0" w:space="0" w:color="auto"/>
              </w:divBdr>
              <w:divsChild>
                <w:div w:id="197578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ohchr.org/Documents/Press/faith4rights-toolkit.pdf" TargetMode="External"/><Relationship Id="rId1" Type="http://schemas.openxmlformats.org/officeDocument/2006/relationships/hyperlink" Target="https://www.ohchr.org/Documents/Publications/Human_rights_indicators_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E15E3E-E9C5-4430-A356-BAEBF79C5692}"/>
</file>

<file path=customXml/itemProps2.xml><?xml version="1.0" encoding="utf-8"?>
<ds:datastoreItem xmlns:ds="http://schemas.openxmlformats.org/officeDocument/2006/customXml" ds:itemID="{EC0519CC-9CF4-4C60-8785-A347F0C83DE7}">
  <ds:schemaRef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http://purl.org/dc/elements/1.1/"/>
    <ds:schemaRef ds:uri="http://schemas.microsoft.com/office/2006/metadata/properties"/>
    <ds:schemaRef ds:uri="f62cadcd-e163-4118-ac05-a32b5a627a72"/>
    <ds:schemaRef ds:uri="c6dba373-5722-4c9c-915a-b35ecc6dedf9"/>
    <ds:schemaRef ds:uri="http://www.w3.org/XML/1998/namespace"/>
    <ds:schemaRef ds:uri="http://purl.org/dc/dcmitype/"/>
  </ds:schemaRefs>
</ds:datastoreItem>
</file>

<file path=customXml/itemProps3.xml><?xml version="1.0" encoding="utf-8"?>
<ds:datastoreItem xmlns:ds="http://schemas.openxmlformats.org/officeDocument/2006/customXml" ds:itemID="{85D9286A-C687-4C94-BE6E-ADBB7AFB3130}">
  <ds:schemaRefs>
    <ds:schemaRef ds:uri="http://schemas.microsoft.com/sharepoint/v3/contenttype/forms"/>
  </ds:schemaRefs>
</ds:datastoreItem>
</file>

<file path=customXml/itemProps4.xml><?xml version="1.0" encoding="utf-8"?>
<ds:datastoreItem xmlns:ds="http://schemas.openxmlformats.org/officeDocument/2006/customXml" ds:itemID="{7B8EBE27-36FA-4B7B-870F-D8D7B1F64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4643</Words>
  <Characters>26470</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Richter</dc:creator>
  <cp:keywords/>
  <dc:description/>
  <cp:lastModifiedBy>SEREFIDIS Damianos</cp:lastModifiedBy>
  <cp:revision>3</cp:revision>
  <dcterms:created xsi:type="dcterms:W3CDTF">2020-10-09T14:58:00Z</dcterms:created>
  <dcterms:modified xsi:type="dcterms:W3CDTF">2020-10-09T15:21:00Z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