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38F59" w14:textId="552D6318" w:rsidR="00D07984" w:rsidRPr="002A58C6" w:rsidRDefault="00D07984" w:rsidP="008A71E6">
      <w:pPr>
        <w:jc w:val="center"/>
        <w:rPr>
          <w:rFonts w:ascii="Times New Roman" w:hAnsi="Times New Roman" w:cs="Times New Roman"/>
          <w:b/>
          <w:sz w:val="28"/>
          <w:szCs w:val="28"/>
        </w:rPr>
      </w:pPr>
      <w:bookmarkStart w:id="0" w:name="_GoBack"/>
      <w:bookmarkEnd w:id="0"/>
      <w:r w:rsidRPr="002A58C6">
        <w:rPr>
          <w:rFonts w:ascii="Times New Roman" w:hAnsi="Times New Roman" w:cs="Times New Roman"/>
          <w:b/>
          <w:sz w:val="28"/>
          <w:szCs w:val="28"/>
        </w:rPr>
        <w:t xml:space="preserve">Written Submission of OSCE Office for Democratic Institutions and Human Rights to the Human Rights Committee for </w:t>
      </w:r>
      <w:r w:rsidR="00E81FD7" w:rsidRPr="002A58C6">
        <w:rPr>
          <w:rFonts w:ascii="Times New Roman" w:hAnsi="Times New Roman" w:cs="Times New Roman"/>
          <w:b/>
          <w:sz w:val="28"/>
          <w:szCs w:val="28"/>
        </w:rPr>
        <w:t xml:space="preserve">Thematic </w:t>
      </w:r>
      <w:r w:rsidRPr="002A58C6">
        <w:rPr>
          <w:rFonts w:ascii="Times New Roman" w:hAnsi="Times New Roman" w:cs="Times New Roman"/>
          <w:b/>
          <w:sz w:val="28"/>
          <w:szCs w:val="28"/>
        </w:rPr>
        <w:t>Report of the High Commissioner for Human Rights on new technologies, and their impact on the promotion and protection of human rights in the context of assemblies</w:t>
      </w:r>
    </w:p>
    <w:p w14:paraId="6E7EF9F5" w14:textId="38BF568E" w:rsidR="00D07984" w:rsidRPr="002A58C6" w:rsidRDefault="0097073E" w:rsidP="00081B3A">
      <w:pPr>
        <w:ind w:left="2880" w:firstLine="720"/>
        <w:jc w:val="both"/>
        <w:rPr>
          <w:rFonts w:ascii="Times New Roman" w:hAnsi="Times New Roman" w:cs="Times New Roman"/>
          <w:sz w:val="24"/>
          <w:szCs w:val="24"/>
        </w:rPr>
      </w:pPr>
      <w:r>
        <w:rPr>
          <w:rFonts w:ascii="Times New Roman" w:hAnsi="Times New Roman" w:cs="Times New Roman"/>
          <w:sz w:val="24"/>
          <w:szCs w:val="24"/>
        </w:rPr>
        <w:t>17</w:t>
      </w:r>
      <w:r w:rsidR="00D07984" w:rsidRPr="002A58C6">
        <w:rPr>
          <w:rFonts w:ascii="Times New Roman" w:hAnsi="Times New Roman" w:cs="Times New Roman"/>
          <w:sz w:val="24"/>
          <w:szCs w:val="24"/>
        </w:rPr>
        <w:t xml:space="preserve"> October 2019</w:t>
      </w:r>
    </w:p>
    <w:p w14:paraId="4DDD310E" w14:textId="77777777" w:rsidR="004C624E" w:rsidRPr="002A58C6" w:rsidRDefault="004C624E" w:rsidP="008A71E6">
      <w:pPr>
        <w:jc w:val="both"/>
        <w:rPr>
          <w:rFonts w:ascii="Times New Roman" w:hAnsi="Times New Roman" w:cs="Times New Roman"/>
          <w:b/>
          <w:i/>
          <w:sz w:val="24"/>
          <w:szCs w:val="24"/>
        </w:rPr>
      </w:pPr>
    </w:p>
    <w:p w14:paraId="2A186298" w14:textId="24E33508" w:rsidR="00C41102" w:rsidRPr="002A58C6" w:rsidRDefault="00C41102" w:rsidP="00081B3A">
      <w:pPr>
        <w:pStyle w:val="ListParagraph"/>
        <w:ind w:left="567" w:hanging="425"/>
        <w:jc w:val="both"/>
        <w:rPr>
          <w:rFonts w:ascii="Times New Roman" w:hAnsi="Times New Roman"/>
          <w:b/>
          <w:i/>
          <w:sz w:val="24"/>
          <w:szCs w:val="24"/>
          <w:lang w:val="en-US"/>
        </w:rPr>
      </w:pPr>
      <w:r w:rsidRPr="002A58C6">
        <w:rPr>
          <w:rFonts w:ascii="Times New Roman" w:hAnsi="Times New Roman"/>
          <w:b/>
          <w:i/>
          <w:sz w:val="24"/>
          <w:szCs w:val="24"/>
        </w:rPr>
        <w:t>1)</w:t>
      </w:r>
      <w:r w:rsidR="008A71E6" w:rsidRPr="002A58C6">
        <w:rPr>
          <w:rFonts w:ascii="Times New Roman" w:hAnsi="Times New Roman"/>
          <w:b/>
          <w:i/>
          <w:sz w:val="24"/>
          <w:szCs w:val="24"/>
        </w:rPr>
        <w:t xml:space="preserve"> </w:t>
      </w:r>
      <w:r w:rsidRPr="002A58C6">
        <w:rPr>
          <w:rFonts w:ascii="Times New Roman" w:hAnsi="Times New Roman"/>
          <w:b/>
          <w:i/>
          <w:sz w:val="24"/>
          <w:szCs w:val="24"/>
        </w:rPr>
        <w:t xml:space="preserve">Laws, policies and programmes that have been developed to address the impact of new technologies, including information and communications, technology on human rights in the context of assemblies, including peaceful protests. </w:t>
      </w:r>
    </w:p>
    <w:p w14:paraId="04DE5FD8" w14:textId="77777777" w:rsidR="00FD1B75" w:rsidRPr="002A58C6" w:rsidRDefault="00FD1B75" w:rsidP="00FD1B75">
      <w:pPr>
        <w:jc w:val="both"/>
        <w:rPr>
          <w:rFonts w:ascii="Times New Roman" w:hAnsi="Times New Roman" w:cs="Times New Roman"/>
          <w:b/>
          <w:sz w:val="24"/>
          <w:szCs w:val="24"/>
          <w:lang w:val="en-US"/>
        </w:rPr>
      </w:pPr>
    </w:p>
    <w:p w14:paraId="52E45765" w14:textId="3E62AF9F" w:rsidR="00996B7E" w:rsidRPr="002A58C6" w:rsidRDefault="003E1D3E" w:rsidP="00FD1B75">
      <w:pPr>
        <w:jc w:val="both"/>
        <w:rPr>
          <w:rFonts w:ascii="Times New Roman" w:hAnsi="Times New Roman" w:cs="Times New Roman"/>
          <w:b/>
          <w:sz w:val="24"/>
          <w:szCs w:val="24"/>
          <w:lang w:val="en-US"/>
        </w:rPr>
      </w:pPr>
      <w:r w:rsidRPr="002A58C6">
        <w:rPr>
          <w:rFonts w:ascii="Times New Roman" w:hAnsi="Times New Roman" w:cs="Times New Roman"/>
          <w:b/>
          <w:sz w:val="24"/>
          <w:szCs w:val="24"/>
          <w:lang w:val="en-US"/>
        </w:rPr>
        <w:t>OSCE ODIHR</w:t>
      </w:r>
      <w:r w:rsidR="004C624E" w:rsidRPr="002A58C6">
        <w:rPr>
          <w:rFonts w:ascii="Times New Roman" w:hAnsi="Times New Roman" w:cs="Times New Roman"/>
          <w:b/>
          <w:sz w:val="24"/>
          <w:szCs w:val="24"/>
          <w:lang w:val="en-US"/>
        </w:rPr>
        <w:t>’s</w:t>
      </w:r>
      <w:r w:rsidRPr="002A58C6">
        <w:rPr>
          <w:rFonts w:ascii="Times New Roman" w:hAnsi="Times New Roman" w:cs="Times New Roman"/>
          <w:b/>
          <w:sz w:val="24"/>
          <w:szCs w:val="24"/>
          <w:lang w:val="en-US"/>
        </w:rPr>
        <w:t xml:space="preserve"> </w:t>
      </w:r>
      <w:r w:rsidR="00996B7E" w:rsidRPr="002A58C6">
        <w:rPr>
          <w:rFonts w:ascii="Times New Roman" w:hAnsi="Times New Roman" w:cs="Times New Roman"/>
          <w:b/>
          <w:sz w:val="24"/>
          <w:szCs w:val="24"/>
          <w:lang w:val="en-US"/>
        </w:rPr>
        <w:t>work on New Technologies and Assemblies</w:t>
      </w:r>
      <w:r w:rsidR="00FD1B75" w:rsidRPr="002A58C6">
        <w:rPr>
          <w:rFonts w:ascii="Times New Roman" w:hAnsi="Times New Roman" w:cs="Times New Roman"/>
          <w:b/>
          <w:sz w:val="24"/>
          <w:szCs w:val="24"/>
          <w:lang w:val="en-US"/>
        </w:rPr>
        <w:t>:</w:t>
      </w:r>
    </w:p>
    <w:p w14:paraId="742EEA2F" w14:textId="6FC910E6" w:rsidR="00B92F3A" w:rsidRPr="002A58C6" w:rsidRDefault="00B92F3A" w:rsidP="00081B3A">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t>Freedom of peaceful assembly (</w:t>
      </w:r>
      <w:proofErr w:type="spellStart"/>
      <w:r w:rsidRPr="002A58C6">
        <w:rPr>
          <w:rFonts w:ascii="Times New Roman" w:hAnsi="Times New Roman"/>
          <w:sz w:val="24"/>
          <w:szCs w:val="24"/>
        </w:rPr>
        <w:t>FoPA</w:t>
      </w:r>
      <w:proofErr w:type="spellEnd"/>
      <w:r w:rsidRPr="002A58C6">
        <w:rPr>
          <w:rFonts w:ascii="Times New Roman" w:hAnsi="Times New Roman"/>
          <w:sz w:val="24"/>
          <w:szCs w:val="24"/>
        </w:rPr>
        <w:t xml:space="preserve">) is a fundamental freedom that has been recognized as one of the foundations of a functioning democracy. OSCE participating States </w:t>
      </w:r>
      <w:r w:rsidR="00CE57AA" w:rsidRPr="002A58C6">
        <w:rPr>
          <w:rFonts w:ascii="Times New Roman" w:hAnsi="Times New Roman"/>
          <w:sz w:val="24"/>
          <w:szCs w:val="24"/>
        </w:rPr>
        <w:t>have</w:t>
      </w:r>
      <w:r w:rsidRPr="002A58C6">
        <w:rPr>
          <w:rFonts w:ascii="Times New Roman" w:hAnsi="Times New Roman"/>
          <w:sz w:val="24"/>
          <w:szCs w:val="24"/>
        </w:rPr>
        <w:t xml:space="preserve"> committed to guaranteeing the right to freedom of assembly to every individual without discrimination (Copenhagen Document 1990, para (9.2) Paris 1990 Charter for a New Europe (preamble) and the Helsinki Statement from the OSCE Ministerial Meeting 2008). Within its mandate to support OSCE participating States in implementing their human dimension commitments, the OSCE Office for Democratic Institutions and Human Rights (ODIHR) has developed a range of tools to assist efforts of governments and civil society towards the full enjoyment of t</w:t>
      </w:r>
      <w:r w:rsidR="00EB79E5" w:rsidRPr="002A58C6">
        <w:rPr>
          <w:rFonts w:ascii="Times New Roman" w:hAnsi="Times New Roman"/>
          <w:sz w:val="24"/>
          <w:szCs w:val="24"/>
        </w:rPr>
        <w:t>he freedom of peaceful assembly.</w:t>
      </w:r>
      <w:r w:rsidRPr="002A58C6">
        <w:rPr>
          <w:rFonts w:ascii="Times New Roman" w:hAnsi="Times New Roman"/>
          <w:sz w:val="24"/>
          <w:szCs w:val="24"/>
        </w:rPr>
        <w:t xml:space="preserve"> </w:t>
      </w:r>
    </w:p>
    <w:p w14:paraId="46DAF18E" w14:textId="77777777" w:rsidR="00B92F3A" w:rsidRPr="002A58C6" w:rsidRDefault="00B92F3A" w:rsidP="00081B3A">
      <w:pPr>
        <w:pStyle w:val="ListParagraph"/>
        <w:ind w:left="567" w:hanging="425"/>
        <w:jc w:val="both"/>
        <w:rPr>
          <w:rFonts w:ascii="Times New Roman" w:hAnsi="Times New Roman"/>
          <w:sz w:val="24"/>
          <w:szCs w:val="24"/>
        </w:rPr>
      </w:pPr>
    </w:p>
    <w:p w14:paraId="7A11CCDE" w14:textId="7DE5D8D0" w:rsidR="0071141F" w:rsidRPr="002A58C6" w:rsidRDefault="00B92F3A" w:rsidP="00081B3A">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t xml:space="preserve">Together with the Council of Europe’s European Commission for Democracy through Law (Venice Commission), ODIHR issued </w:t>
      </w:r>
      <w:r w:rsidRPr="002A58C6">
        <w:rPr>
          <w:rFonts w:ascii="Times New Roman" w:hAnsi="Times New Roman"/>
          <w:i/>
          <w:sz w:val="24"/>
          <w:szCs w:val="24"/>
        </w:rPr>
        <w:t>Guidelines on Freedom of Peaceful Assembly</w:t>
      </w:r>
      <w:r w:rsidRPr="002A58C6">
        <w:rPr>
          <w:rFonts w:ascii="Times New Roman" w:hAnsi="Times New Roman"/>
          <w:sz w:val="24"/>
          <w:szCs w:val="24"/>
        </w:rPr>
        <w:t xml:space="preserve"> (Guidelines).</w:t>
      </w:r>
      <w:r w:rsidRPr="002A58C6">
        <w:rPr>
          <w:rStyle w:val="FootnoteReference"/>
          <w:rFonts w:ascii="Times New Roman" w:hAnsi="Times New Roman"/>
          <w:sz w:val="24"/>
          <w:szCs w:val="24"/>
        </w:rPr>
        <w:footnoteReference w:id="1"/>
      </w:r>
      <w:r w:rsidRPr="002A58C6">
        <w:rPr>
          <w:rFonts w:ascii="Times New Roman" w:hAnsi="Times New Roman"/>
          <w:sz w:val="24"/>
          <w:szCs w:val="24"/>
        </w:rPr>
        <w:t xml:space="preserve"> The Guidelines </w:t>
      </w:r>
      <w:r w:rsidR="00EB79E5" w:rsidRPr="002A58C6">
        <w:rPr>
          <w:rFonts w:ascii="Times New Roman" w:hAnsi="Times New Roman"/>
          <w:sz w:val="24"/>
          <w:szCs w:val="24"/>
        </w:rPr>
        <w:t>refer</w:t>
      </w:r>
      <w:r w:rsidRPr="002A58C6">
        <w:rPr>
          <w:rFonts w:ascii="Times New Roman" w:hAnsi="Times New Roman"/>
          <w:sz w:val="24"/>
          <w:szCs w:val="24"/>
        </w:rPr>
        <w:t xml:space="preserve"> to relevant jurisprudence, particularly the case law of the European Court of Human Rights and of national constitutional courts and examples of good national legislation and state practices. The work on third edition of the Guidelines is ongoing and </w:t>
      </w:r>
      <w:proofErr w:type="gramStart"/>
      <w:r w:rsidRPr="002A58C6">
        <w:rPr>
          <w:rFonts w:ascii="Times New Roman" w:hAnsi="Times New Roman"/>
          <w:sz w:val="24"/>
          <w:szCs w:val="24"/>
        </w:rPr>
        <w:t>is planned to be issued</w:t>
      </w:r>
      <w:proofErr w:type="gramEnd"/>
      <w:r w:rsidRPr="002A58C6">
        <w:rPr>
          <w:rFonts w:ascii="Times New Roman" w:hAnsi="Times New Roman"/>
          <w:sz w:val="24"/>
          <w:szCs w:val="24"/>
        </w:rPr>
        <w:t xml:space="preserve"> by the end of 2019.</w:t>
      </w:r>
      <w:r w:rsidR="006D430E" w:rsidRPr="002A58C6">
        <w:rPr>
          <w:rFonts w:ascii="Times New Roman" w:hAnsi="Times New Roman"/>
          <w:sz w:val="24"/>
          <w:szCs w:val="24"/>
        </w:rPr>
        <w:t xml:space="preserve"> Th</w:t>
      </w:r>
      <w:r w:rsidR="003F25D3" w:rsidRPr="002A58C6">
        <w:rPr>
          <w:rFonts w:ascii="Times New Roman" w:hAnsi="Times New Roman"/>
          <w:sz w:val="24"/>
          <w:szCs w:val="24"/>
        </w:rPr>
        <w:t xml:space="preserve">e upcoming edition of the guidelines will address </w:t>
      </w:r>
      <w:r w:rsidR="00B61A0C" w:rsidRPr="002A58C6">
        <w:rPr>
          <w:rFonts w:ascii="Times New Roman" w:hAnsi="Times New Roman"/>
          <w:sz w:val="24"/>
          <w:szCs w:val="24"/>
        </w:rPr>
        <w:t xml:space="preserve">some of the issues and </w:t>
      </w:r>
      <w:r w:rsidR="003F25D3" w:rsidRPr="002A58C6">
        <w:rPr>
          <w:rFonts w:ascii="Times New Roman" w:hAnsi="Times New Roman"/>
          <w:sz w:val="24"/>
          <w:szCs w:val="24"/>
        </w:rPr>
        <w:t>question</w:t>
      </w:r>
      <w:r w:rsidR="00B61A0C" w:rsidRPr="002A58C6">
        <w:rPr>
          <w:rFonts w:ascii="Times New Roman" w:hAnsi="Times New Roman"/>
          <w:sz w:val="24"/>
          <w:szCs w:val="24"/>
        </w:rPr>
        <w:t>s</w:t>
      </w:r>
      <w:r w:rsidR="003F25D3" w:rsidRPr="002A58C6">
        <w:rPr>
          <w:rFonts w:ascii="Times New Roman" w:hAnsi="Times New Roman"/>
          <w:sz w:val="24"/>
          <w:szCs w:val="24"/>
        </w:rPr>
        <w:t xml:space="preserve"> </w:t>
      </w:r>
      <w:r w:rsidR="00B61A0C" w:rsidRPr="002A58C6">
        <w:rPr>
          <w:rFonts w:ascii="Times New Roman" w:hAnsi="Times New Roman"/>
          <w:sz w:val="24"/>
          <w:szCs w:val="24"/>
        </w:rPr>
        <w:t>concerning</w:t>
      </w:r>
      <w:r w:rsidR="003F25D3" w:rsidRPr="002A58C6">
        <w:rPr>
          <w:rFonts w:ascii="Times New Roman" w:hAnsi="Times New Roman"/>
          <w:sz w:val="24"/>
          <w:szCs w:val="24"/>
        </w:rPr>
        <w:t xml:space="preserve"> new technologies and assemblies</w:t>
      </w:r>
      <w:r w:rsidR="00855A78" w:rsidRPr="002A58C6">
        <w:rPr>
          <w:rFonts w:ascii="Times New Roman" w:hAnsi="Times New Roman"/>
          <w:sz w:val="24"/>
          <w:szCs w:val="24"/>
        </w:rPr>
        <w:t>.</w:t>
      </w:r>
      <w:r w:rsidRPr="002A58C6">
        <w:rPr>
          <w:rFonts w:ascii="Times New Roman" w:hAnsi="Times New Roman"/>
          <w:sz w:val="24"/>
          <w:szCs w:val="24"/>
        </w:rPr>
        <w:t xml:space="preserve"> </w:t>
      </w:r>
    </w:p>
    <w:p w14:paraId="17ED576A" w14:textId="77777777" w:rsidR="0071141F" w:rsidRPr="002A58C6" w:rsidRDefault="0071141F" w:rsidP="00081B3A">
      <w:pPr>
        <w:pStyle w:val="ListParagraph"/>
        <w:ind w:left="567" w:hanging="425"/>
        <w:jc w:val="both"/>
        <w:rPr>
          <w:rFonts w:ascii="Times New Roman" w:hAnsi="Times New Roman"/>
          <w:sz w:val="24"/>
          <w:szCs w:val="24"/>
        </w:rPr>
      </w:pPr>
    </w:p>
    <w:p w14:paraId="51265641" w14:textId="5D59A723" w:rsidR="00081B3A" w:rsidRPr="002A58C6" w:rsidRDefault="00B92F3A" w:rsidP="00081B3A">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lastRenderedPageBreak/>
        <w:t>ODIHR also provides legal reviews of draft and existing legislation of OSCE participating States upon their request. The reviews are often published in co-operation with the Venice Commission of the Council of Europe,</w:t>
      </w:r>
      <w:r w:rsidRPr="002A58C6">
        <w:rPr>
          <w:rStyle w:val="FootnoteReference"/>
          <w:rFonts w:ascii="Times New Roman" w:hAnsi="Times New Roman"/>
          <w:sz w:val="24"/>
          <w:szCs w:val="24"/>
        </w:rPr>
        <w:footnoteReference w:id="2"/>
      </w:r>
      <w:r w:rsidRPr="002A58C6">
        <w:rPr>
          <w:rFonts w:ascii="Times New Roman" w:hAnsi="Times New Roman"/>
          <w:sz w:val="24"/>
          <w:szCs w:val="24"/>
        </w:rPr>
        <w:t xml:space="preserve"> and supported by the ODIHR Panel of Experts on Freedom of Peaceful Assembly, officially established in 2006.</w:t>
      </w:r>
      <w:r w:rsidRPr="002A58C6">
        <w:rPr>
          <w:rStyle w:val="FootnoteReference"/>
          <w:rFonts w:ascii="Times New Roman" w:hAnsi="Times New Roman"/>
          <w:sz w:val="24"/>
          <w:szCs w:val="24"/>
        </w:rPr>
        <w:footnoteReference w:id="3"/>
      </w:r>
      <w:r w:rsidR="00081B3A" w:rsidRPr="002A58C6">
        <w:rPr>
          <w:rFonts w:ascii="Times New Roman" w:hAnsi="Times New Roman"/>
          <w:sz w:val="24"/>
          <w:szCs w:val="24"/>
        </w:rPr>
        <w:br/>
      </w:r>
    </w:p>
    <w:p w14:paraId="3F680915" w14:textId="39C238E8" w:rsidR="00BD2F97" w:rsidRPr="002A58C6" w:rsidRDefault="00B92F3A" w:rsidP="00081B3A">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t>In line with its mandate to support participating States in the implementation of their commitments on freedom of peaceful assembly, ODIHR has been monitoring public assemblies across the OSCE space. Since 2011, ODIHR has monitored public assemblies in thirty OSCE participating States and published key findings and recommendations in regular thematic reports</w:t>
      </w:r>
      <w:r w:rsidR="00DD7CEF" w:rsidRPr="002A58C6">
        <w:rPr>
          <w:rFonts w:ascii="Times New Roman" w:hAnsi="Times New Roman"/>
          <w:sz w:val="24"/>
          <w:szCs w:val="24"/>
        </w:rPr>
        <w:t>.</w:t>
      </w:r>
      <w:r w:rsidRPr="002A58C6">
        <w:rPr>
          <w:rFonts w:ascii="Times New Roman" w:hAnsi="Times New Roman"/>
          <w:sz w:val="24"/>
          <w:szCs w:val="24"/>
        </w:rPr>
        <w:t xml:space="preserve"> </w:t>
      </w:r>
      <w:r w:rsidR="00BD2F97" w:rsidRPr="002A58C6">
        <w:rPr>
          <w:rFonts w:ascii="Times New Roman" w:hAnsi="Times New Roman"/>
          <w:sz w:val="24"/>
          <w:szCs w:val="24"/>
        </w:rPr>
        <w:t>Some of the findings refer to the m</w:t>
      </w:r>
      <w:r w:rsidR="00081B3A" w:rsidRPr="002A58C6">
        <w:rPr>
          <w:rFonts w:ascii="Times New Roman" w:hAnsi="Times New Roman"/>
          <w:sz w:val="24"/>
          <w:szCs w:val="24"/>
        </w:rPr>
        <w:t>anner in which new technologies</w:t>
      </w:r>
      <w:r w:rsidR="00BD2F97" w:rsidRPr="002A58C6">
        <w:rPr>
          <w:rFonts w:ascii="Times New Roman" w:hAnsi="Times New Roman"/>
          <w:sz w:val="24"/>
          <w:szCs w:val="24"/>
        </w:rPr>
        <w:t xml:space="preserve"> a</w:t>
      </w:r>
      <w:r w:rsidR="007C02CC" w:rsidRPr="002A58C6">
        <w:rPr>
          <w:rFonts w:ascii="Times New Roman" w:hAnsi="Times New Roman"/>
          <w:sz w:val="24"/>
          <w:szCs w:val="24"/>
        </w:rPr>
        <w:t>re used to assist in the organisation of protest through the conduit of social media not only by the organisers but also by authorities</w:t>
      </w:r>
      <w:r w:rsidR="00DC3407" w:rsidRPr="002A58C6">
        <w:rPr>
          <w:rFonts w:ascii="Times New Roman" w:hAnsi="Times New Roman"/>
          <w:sz w:val="24"/>
          <w:szCs w:val="24"/>
        </w:rPr>
        <w:t>.</w:t>
      </w:r>
      <w:r w:rsidR="007C02CC" w:rsidRPr="002A58C6">
        <w:rPr>
          <w:rStyle w:val="FootnoteReference"/>
          <w:rFonts w:ascii="Times New Roman" w:hAnsi="Times New Roman"/>
          <w:sz w:val="24"/>
          <w:szCs w:val="24"/>
        </w:rPr>
        <w:footnoteReference w:id="4"/>
      </w:r>
      <w:r w:rsidRPr="002A58C6">
        <w:rPr>
          <w:rFonts w:ascii="Times New Roman" w:hAnsi="Times New Roman"/>
          <w:sz w:val="24"/>
          <w:szCs w:val="24"/>
        </w:rPr>
        <w:t xml:space="preserve"> </w:t>
      </w:r>
    </w:p>
    <w:p w14:paraId="15314BD0" w14:textId="77777777" w:rsidR="00BD2F97" w:rsidRPr="002A58C6" w:rsidRDefault="00BD2F97" w:rsidP="00081B3A">
      <w:pPr>
        <w:pStyle w:val="ListParagraph"/>
        <w:ind w:left="567" w:hanging="425"/>
        <w:jc w:val="both"/>
        <w:rPr>
          <w:rFonts w:ascii="Times New Roman" w:hAnsi="Times New Roman"/>
          <w:sz w:val="24"/>
          <w:szCs w:val="24"/>
        </w:rPr>
      </w:pPr>
    </w:p>
    <w:p w14:paraId="45CEBC1D" w14:textId="75BBA602" w:rsidR="00487E53" w:rsidRPr="002A58C6" w:rsidRDefault="00B92F3A" w:rsidP="00081B3A">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t>Moreover, ODIHR has developed tools and offered training programmes for law enforcement officials on the human rights compliant policing of assemblies and, for civil society and OSCE field operations, on the monitoring of public assemblies.</w:t>
      </w:r>
      <w:r w:rsidRPr="002A58C6">
        <w:rPr>
          <w:rStyle w:val="FootnoteReference"/>
          <w:rFonts w:ascii="Times New Roman" w:hAnsi="Times New Roman"/>
          <w:sz w:val="24"/>
          <w:szCs w:val="24"/>
        </w:rPr>
        <w:footnoteReference w:id="5"/>
      </w:r>
      <w:r w:rsidR="00E71DDC" w:rsidRPr="002A58C6">
        <w:rPr>
          <w:rFonts w:ascii="Times New Roman" w:hAnsi="Times New Roman"/>
          <w:sz w:val="24"/>
          <w:szCs w:val="24"/>
        </w:rPr>
        <w:t xml:space="preserve"> </w:t>
      </w:r>
      <w:proofErr w:type="gramStart"/>
      <w:r w:rsidR="00E71DDC" w:rsidRPr="002A58C6">
        <w:rPr>
          <w:rFonts w:ascii="Times New Roman" w:hAnsi="Times New Roman"/>
          <w:sz w:val="24"/>
          <w:szCs w:val="24"/>
        </w:rPr>
        <w:t>Already</w:t>
      </w:r>
      <w:r w:rsidR="0055053F" w:rsidRPr="002A58C6">
        <w:rPr>
          <w:rFonts w:ascii="Times New Roman" w:hAnsi="Times New Roman"/>
          <w:sz w:val="24"/>
          <w:szCs w:val="24"/>
        </w:rPr>
        <w:t xml:space="preserve"> </w:t>
      </w:r>
      <w:r w:rsidR="00E71DDC" w:rsidRPr="002A58C6">
        <w:rPr>
          <w:rFonts w:ascii="Times New Roman" w:hAnsi="Times New Roman"/>
          <w:sz w:val="24"/>
          <w:szCs w:val="24"/>
        </w:rPr>
        <w:t>in 2011, the Handbook on Monitoring Assemblies</w:t>
      </w:r>
      <w:r w:rsidR="00631E99" w:rsidRPr="002A58C6">
        <w:rPr>
          <w:rFonts w:ascii="Times New Roman" w:hAnsi="Times New Roman"/>
          <w:sz w:val="24"/>
          <w:szCs w:val="24"/>
        </w:rPr>
        <w:t xml:space="preserve"> (currently under revision)</w:t>
      </w:r>
      <w:r w:rsidR="00E71DDC" w:rsidRPr="002A58C6">
        <w:rPr>
          <w:rFonts w:ascii="Times New Roman" w:hAnsi="Times New Roman"/>
          <w:sz w:val="24"/>
          <w:szCs w:val="24"/>
        </w:rPr>
        <w:t xml:space="preserve"> recognised the import</w:t>
      </w:r>
      <w:r w:rsidR="008F3A31" w:rsidRPr="002A58C6">
        <w:rPr>
          <w:rFonts w:ascii="Times New Roman" w:hAnsi="Times New Roman"/>
          <w:sz w:val="24"/>
          <w:szCs w:val="24"/>
        </w:rPr>
        <w:t>a</w:t>
      </w:r>
      <w:r w:rsidR="00E71DDC" w:rsidRPr="002A58C6">
        <w:rPr>
          <w:rFonts w:ascii="Times New Roman" w:hAnsi="Times New Roman"/>
          <w:sz w:val="24"/>
          <w:szCs w:val="24"/>
        </w:rPr>
        <w:t xml:space="preserve">nce </w:t>
      </w:r>
      <w:r w:rsidR="008F3A31" w:rsidRPr="002A58C6">
        <w:rPr>
          <w:rFonts w:ascii="Times New Roman" w:hAnsi="Times New Roman"/>
          <w:sz w:val="24"/>
          <w:szCs w:val="24"/>
        </w:rPr>
        <w:t xml:space="preserve">of social media stating that; </w:t>
      </w:r>
      <w:r w:rsidR="008F3A31" w:rsidRPr="002A58C6">
        <w:rPr>
          <w:rFonts w:ascii="Times New Roman" w:hAnsi="Times New Roman"/>
          <w:i/>
          <w:sz w:val="24"/>
          <w:szCs w:val="24"/>
        </w:rPr>
        <w:t>"</w:t>
      </w:r>
      <w:r w:rsidR="008F3A31" w:rsidRPr="002A58C6">
        <w:rPr>
          <w:rFonts w:ascii="Times New Roman" w:hAnsi="Times New Roman"/>
          <w:i/>
        </w:rPr>
        <w:t xml:space="preserve"> </w:t>
      </w:r>
      <w:r w:rsidR="008F3A31" w:rsidRPr="002A58C6">
        <w:rPr>
          <w:rFonts w:ascii="Times New Roman" w:hAnsi="Times New Roman"/>
          <w:b/>
          <w:i/>
          <w:sz w:val="24"/>
          <w:szCs w:val="24"/>
        </w:rPr>
        <w:t>Monitoring social media:</w:t>
      </w:r>
      <w:r w:rsidR="008F3A31" w:rsidRPr="002A58C6">
        <w:rPr>
          <w:rFonts w:ascii="Times New Roman" w:hAnsi="Times New Roman"/>
          <w:i/>
          <w:sz w:val="24"/>
          <w:szCs w:val="24"/>
        </w:rPr>
        <w:t xml:space="preserve"> It is useful to continue to monitor social networks and other forms of media in the aftermath of an assembly, to gauge people’s responses to the event and also to keep track of any follow-up activities by state bodies or other organizations.</w:t>
      </w:r>
      <w:r w:rsidR="008F3A31" w:rsidRPr="002A58C6">
        <w:rPr>
          <w:rFonts w:ascii="Times New Roman" w:hAnsi="Times New Roman"/>
          <w:sz w:val="24"/>
          <w:szCs w:val="24"/>
        </w:rPr>
        <w:t>”</w:t>
      </w:r>
      <w:r w:rsidR="008F3A31" w:rsidRPr="002A58C6">
        <w:rPr>
          <w:rStyle w:val="FootnoteReference"/>
          <w:rFonts w:ascii="Times New Roman" w:hAnsi="Times New Roman"/>
          <w:sz w:val="24"/>
          <w:szCs w:val="24"/>
        </w:rPr>
        <w:footnoteReference w:id="6"/>
      </w:r>
      <w:proofErr w:type="gramEnd"/>
    </w:p>
    <w:p w14:paraId="1378C348" w14:textId="77777777" w:rsidR="00487E53" w:rsidRPr="002A58C6" w:rsidRDefault="00487E53" w:rsidP="00081B3A">
      <w:pPr>
        <w:pStyle w:val="ListParagraph"/>
        <w:ind w:left="567" w:hanging="425"/>
        <w:jc w:val="both"/>
        <w:rPr>
          <w:rFonts w:ascii="Times New Roman" w:hAnsi="Times New Roman"/>
          <w:sz w:val="24"/>
          <w:szCs w:val="24"/>
        </w:rPr>
      </w:pPr>
    </w:p>
    <w:p w14:paraId="3AF259F9" w14:textId="77777777" w:rsidR="00DD7CEF" w:rsidRPr="002A58C6" w:rsidRDefault="00DD7CEF" w:rsidP="00081B3A">
      <w:pPr>
        <w:pStyle w:val="ListParagraph"/>
        <w:ind w:left="567" w:hanging="425"/>
        <w:jc w:val="both"/>
        <w:rPr>
          <w:rFonts w:ascii="Times New Roman" w:hAnsi="Times New Roman"/>
          <w:b/>
          <w:i/>
          <w:sz w:val="24"/>
          <w:szCs w:val="24"/>
        </w:rPr>
      </w:pPr>
    </w:p>
    <w:p w14:paraId="36B49A1F" w14:textId="77777777" w:rsidR="00FD1B75" w:rsidRPr="002A58C6" w:rsidRDefault="00FD1B75" w:rsidP="00081B3A">
      <w:pPr>
        <w:pStyle w:val="ListParagraph"/>
        <w:ind w:left="567" w:hanging="425"/>
        <w:jc w:val="both"/>
        <w:rPr>
          <w:rFonts w:ascii="Times New Roman" w:hAnsi="Times New Roman"/>
          <w:b/>
          <w:i/>
          <w:sz w:val="24"/>
          <w:szCs w:val="24"/>
        </w:rPr>
      </w:pPr>
    </w:p>
    <w:p w14:paraId="22BCC7AD" w14:textId="4FE4905A" w:rsidR="0001352E" w:rsidRPr="002A58C6" w:rsidRDefault="00C41102" w:rsidP="00FD1B75">
      <w:pPr>
        <w:pStyle w:val="ListParagraph"/>
        <w:ind w:left="567" w:hanging="425"/>
        <w:rPr>
          <w:rFonts w:ascii="Times New Roman" w:hAnsi="Times New Roman"/>
          <w:b/>
          <w:i/>
          <w:sz w:val="24"/>
          <w:szCs w:val="24"/>
          <w:lang w:val="en-US"/>
        </w:rPr>
      </w:pPr>
      <w:r w:rsidRPr="002A58C6">
        <w:rPr>
          <w:rFonts w:ascii="Times New Roman" w:hAnsi="Times New Roman"/>
          <w:b/>
          <w:i/>
          <w:sz w:val="24"/>
          <w:szCs w:val="24"/>
        </w:rPr>
        <w:t>2) Effective uses of such technologies as enablers of the exercise of human rights, including peaceful protests.</w:t>
      </w:r>
      <w:r w:rsidR="00FD1B75" w:rsidRPr="002A58C6">
        <w:rPr>
          <w:rFonts w:ascii="Times New Roman" w:hAnsi="Times New Roman"/>
          <w:b/>
          <w:i/>
          <w:sz w:val="24"/>
          <w:szCs w:val="24"/>
        </w:rPr>
        <w:br/>
      </w:r>
    </w:p>
    <w:p w14:paraId="1CB2E2A3" w14:textId="403FDFAD" w:rsidR="00C41102" w:rsidRPr="002A58C6" w:rsidRDefault="00C41102" w:rsidP="00081B3A">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lastRenderedPageBreak/>
        <w:t xml:space="preserve">The Internet and social media have greatly facilitated the exercise of fundamental rights, including that of the right to freedom of peaceful assembly by </w:t>
      </w:r>
      <w:r w:rsidR="008A19C2" w:rsidRPr="002A58C6">
        <w:rPr>
          <w:rFonts w:ascii="Times New Roman" w:hAnsi="Times New Roman"/>
          <w:sz w:val="24"/>
          <w:szCs w:val="24"/>
        </w:rPr>
        <w:t>str</w:t>
      </w:r>
      <w:r w:rsidRPr="002A58C6">
        <w:rPr>
          <w:rFonts w:ascii="Times New Roman" w:hAnsi="Times New Roman"/>
          <w:sz w:val="24"/>
          <w:szCs w:val="24"/>
        </w:rPr>
        <w:t>essing the right to freedom of expression, which is inextricably linked with freedom of peaceful assembly. The Internet and social media can be used to discuss, prepare, organize and publicize assemblies, as well as to jointly exercise th</w:t>
      </w:r>
      <w:r w:rsidR="0057700D" w:rsidRPr="002A58C6">
        <w:rPr>
          <w:rFonts w:ascii="Times New Roman" w:hAnsi="Times New Roman"/>
          <w:sz w:val="24"/>
          <w:szCs w:val="24"/>
        </w:rPr>
        <w:t>is</w:t>
      </w:r>
      <w:r w:rsidRPr="002A58C6">
        <w:rPr>
          <w:rFonts w:ascii="Times New Roman" w:hAnsi="Times New Roman"/>
          <w:sz w:val="24"/>
          <w:szCs w:val="24"/>
        </w:rPr>
        <w:t xml:space="preserve"> right. </w:t>
      </w:r>
    </w:p>
    <w:p w14:paraId="5E3958DC" w14:textId="77777777" w:rsidR="004C624E" w:rsidRPr="002A58C6" w:rsidRDefault="004C624E" w:rsidP="00081B3A">
      <w:pPr>
        <w:pStyle w:val="ListParagraph"/>
        <w:ind w:left="567" w:hanging="425"/>
        <w:jc w:val="both"/>
        <w:rPr>
          <w:rFonts w:ascii="Times New Roman" w:hAnsi="Times New Roman"/>
          <w:sz w:val="24"/>
          <w:szCs w:val="24"/>
        </w:rPr>
      </w:pPr>
    </w:p>
    <w:p w14:paraId="7AFA4281" w14:textId="77777777" w:rsidR="00C41102" w:rsidRPr="002A58C6" w:rsidRDefault="00C41102" w:rsidP="00081B3A">
      <w:pPr>
        <w:pStyle w:val="ListParagraph"/>
        <w:numPr>
          <w:ilvl w:val="0"/>
          <w:numId w:val="7"/>
        </w:numPr>
        <w:ind w:left="567" w:hanging="425"/>
        <w:jc w:val="both"/>
        <w:rPr>
          <w:rFonts w:ascii="Times New Roman" w:hAnsi="Times New Roman"/>
          <w:sz w:val="24"/>
          <w:szCs w:val="24"/>
          <w:lang w:val="en-AU"/>
        </w:rPr>
      </w:pPr>
      <w:r w:rsidRPr="002A58C6">
        <w:rPr>
          <w:rFonts w:ascii="Times New Roman" w:hAnsi="Times New Roman"/>
          <w:sz w:val="24"/>
          <w:szCs w:val="24"/>
        </w:rPr>
        <w:t xml:space="preserve">Internet-based technologies play an increasingly instrumental part in the exercise of the right to </w:t>
      </w:r>
      <w:proofErr w:type="spellStart"/>
      <w:r w:rsidRPr="002A58C6">
        <w:rPr>
          <w:rFonts w:ascii="Times New Roman" w:hAnsi="Times New Roman"/>
          <w:sz w:val="24"/>
          <w:szCs w:val="24"/>
        </w:rPr>
        <w:t>FoPA</w:t>
      </w:r>
      <w:proofErr w:type="spellEnd"/>
      <w:r w:rsidRPr="002A58C6">
        <w:rPr>
          <w:rFonts w:ascii="Times New Roman" w:hAnsi="Times New Roman"/>
          <w:sz w:val="24"/>
          <w:szCs w:val="24"/>
        </w:rPr>
        <w:t xml:space="preserve"> and it is hard to imagine an assembly that does not involve some form of reliance on the Internet.</w:t>
      </w:r>
      <w:r w:rsidRPr="002A58C6">
        <w:rPr>
          <w:rFonts w:ascii="Times New Roman" w:hAnsi="Times New Roman"/>
          <w:sz w:val="24"/>
          <w:szCs w:val="24"/>
          <w:vertAlign w:val="superscript"/>
        </w:rPr>
        <w:footnoteReference w:id="7"/>
      </w:r>
      <w:r w:rsidRPr="002A58C6">
        <w:rPr>
          <w:rFonts w:ascii="Times New Roman" w:hAnsi="Times New Roman"/>
          <w:sz w:val="24"/>
          <w:szCs w:val="24"/>
        </w:rPr>
        <w:t xml:space="preserve"> In many areas, the Internet is accessible, cheap, fast, and borderless and </w:t>
      </w:r>
      <w:r w:rsidRPr="002A58C6">
        <w:rPr>
          <w:rFonts w:ascii="Times New Roman" w:hAnsi="Times New Roman"/>
          <w:sz w:val="24"/>
          <w:szCs w:val="24"/>
          <w:lang w:val="en-AU"/>
        </w:rPr>
        <w:t>has reduced the cost of communicating with others.</w:t>
      </w:r>
      <w:r w:rsidRPr="002A58C6">
        <w:rPr>
          <w:rFonts w:ascii="Times New Roman" w:hAnsi="Times New Roman"/>
          <w:sz w:val="24"/>
          <w:szCs w:val="24"/>
          <w:vertAlign w:val="superscript"/>
          <w:lang w:val="en-AU"/>
        </w:rPr>
        <w:footnoteReference w:id="8"/>
      </w:r>
      <w:r w:rsidRPr="002A58C6">
        <w:rPr>
          <w:rFonts w:ascii="Times New Roman" w:hAnsi="Times New Roman"/>
          <w:sz w:val="24"/>
          <w:szCs w:val="24"/>
          <w:lang w:val="en-AU"/>
        </w:rPr>
        <w:t xml:space="preserve"> However, the so-called ‘digital divide’ continues to exist and States are under increasing obligations to reduce it, given the importance of the Internet to everyday life</w:t>
      </w:r>
      <w:r w:rsidRPr="002A58C6">
        <w:rPr>
          <w:rStyle w:val="FootnoteReference"/>
          <w:rFonts w:ascii="Times New Roman" w:eastAsia="Calibri" w:hAnsi="Times New Roman"/>
          <w:sz w:val="24"/>
          <w:szCs w:val="24"/>
          <w:lang w:val="en-AU"/>
        </w:rPr>
        <w:footnoteReference w:id="9"/>
      </w:r>
      <w:r w:rsidRPr="002A58C6">
        <w:rPr>
          <w:rFonts w:ascii="Times New Roman" w:hAnsi="Times New Roman"/>
          <w:sz w:val="24"/>
          <w:szCs w:val="24"/>
          <w:lang w:val="en-AU"/>
        </w:rPr>
        <w:t xml:space="preserve"> and to political participation in particular. </w:t>
      </w:r>
    </w:p>
    <w:p w14:paraId="6DD63836" w14:textId="77777777" w:rsidR="00C41102" w:rsidRPr="002A58C6" w:rsidRDefault="00C41102" w:rsidP="00081B3A">
      <w:pPr>
        <w:pStyle w:val="ListParagraph"/>
        <w:ind w:left="567" w:hanging="425"/>
        <w:jc w:val="both"/>
        <w:rPr>
          <w:rFonts w:ascii="Times New Roman" w:hAnsi="Times New Roman"/>
          <w:sz w:val="24"/>
          <w:szCs w:val="24"/>
          <w:lang w:val="en-AU"/>
        </w:rPr>
      </w:pPr>
    </w:p>
    <w:p w14:paraId="7DED1025" w14:textId="4C6A5B4E" w:rsidR="00801127" w:rsidRPr="002A58C6" w:rsidRDefault="00C41102" w:rsidP="00081B3A">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t>The role social media in mobilisation of assemblies is increasingly pivotal to the exercise of the right to assemble. In particular</w:t>
      </w:r>
      <w:r w:rsidR="006072C0" w:rsidRPr="002A58C6">
        <w:rPr>
          <w:rFonts w:ascii="Times New Roman" w:hAnsi="Times New Roman"/>
          <w:sz w:val="24"/>
          <w:szCs w:val="24"/>
        </w:rPr>
        <w:t>,</w:t>
      </w:r>
      <w:r w:rsidRPr="002A58C6">
        <w:rPr>
          <w:rFonts w:ascii="Times New Roman" w:hAnsi="Times New Roman"/>
          <w:sz w:val="24"/>
          <w:szCs w:val="24"/>
        </w:rPr>
        <w:t xml:space="preserve"> this raises the issue of the ease of organising assemblies horizontally without the need for formal organisations or organisers; and which in turn makes it easier to mobilise </w:t>
      </w:r>
      <w:r w:rsidR="002A58C6" w:rsidRPr="002A58C6">
        <w:rPr>
          <w:rFonts w:ascii="Times New Roman" w:hAnsi="Times New Roman"/>
          <w:sz w:val="24"/>
          <w:szCs w:val="24"/>
        </w:rPr>
        <w:t>on</w:t>
      </w:r>
      <w:r w:rsidRPr="002A58C6">
        <w:rPr>
          <w:rFonts w:ascii="Times New Roman" w:hAnsi="Times New Roman"/>
          <w:sz w:val="24"/>
          <w:szCs w:val="24"/>
        </w:rPr>
        <w:t xml:space="preserve"> short notice and without formal notification. Social media is also increasingly used during an assembly via forms of visual recording or live streaming of and from assemblies.</w:t>
      </w:r>
    </w:p>
    <w:p w14:paraId="0A9166A9" w14:textId="77777777" w:rsidR="00801127" w:rsidRPr="002A58C6" w:rsidRDefault="00801127" w:rsidP="00081B3A">
      <w:pPr>
        <w:pStyle w:val="ListParagraph"/>
        <w:ind w:left="567" w:hanging="425"/>
        <w:jc w:val="both"/>
        <w:rPr>
          <w:rFonts w:ascii="Times New Roman" w:hAnsi="Times New Roman"/>
          <w:sz w:val="24"/>
          <w:szCs w:val="24"/>
        </w:rPr>
      </w:pPr>
    </w:p>
    <w:p w14:paraId="5EDD797C" w14:textId="3A5F1AD0" w:rsidR="002A58C6" w:rsidRPr="002A58C6" w:rsidRDefault="00F71D00" w:rsidP="002A58C6">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t>Additionally</w:t>
      </w:r>
      <w:r w:rsidR="00801127" w:rsidRPr="002A58C6">
        <w:rPr>
          <w:rFonts w:ascii="Times New Roman" w:hAnsi="Times New Roman"/>
          <w:sz w:val="24"/>
          <w:szCs w:val="24"/>
        </w:rPr>
        <w:t xml:space="preserve">, there is </w:t>
      </w:r>
      <w:r w:rsidR="006D0818" w:rsidRPr="002A58C6">
        <w:rPr>
          <w:rFonts w:ascii="Times New Roman" w:hAnsi="Times New Roman"/>
          <w:sz w:val="24"/>
          <w:szCs w:val="24"/>
        </w:rPr>
        <w:t>increased evidence of not only organisers but also authorities</w:t>
      </w:r>
      <w:r w:rsidR="00BB4341" w:rsidRPr="002A58C6">
        <w:rPr>
          <w:rFonts w:ascii="Times New Roman" w:hAnsi="Times New Roman"/>
          <w:sz w:val="24"/>
          <w:szCs w:val="24"/>
        </w:rPr>
        <w:t xml:space="preserve"> </w:t>
      </w:r>
      <w:r w:rsidR="006D0818" w:rsidRPr="002A58C6">
        <w:rPr>
          <w:rFonts w:ascii="Times New Roman" w:hAnsi="Times New Roman"/>
          <w:sz w:val="24"/>
          <w:szCs w:val="24"/>
        </w:rPr>
        <w:t>using social m</w:t>
      </w:r>
      <w:r w:rsidR="00BB4341" w:rsidRPr="002A58C6">
        <w:rPr>
          <w:rFonts w:ascii="Times New Roman" w:hAnsi="Times New Roman"/>
          <w:sz w:val="24"/>
          <w:szCs w:val="24"/>
        </w:rPr>
        <w:t xml:space="preserve">edia to co-ordinate efforts, </w:t>
      </w:r>
      <w:r w:rsidR="00A43A7D" w:rsidRPr="002A58C6">
        <w:rPr>
          <w:rFonts w:ascii="Times New Roman" w:hAnsi="Times New Roman"/>
          <w:sz w:val="24"/>
          <w:szCs w:val="24"/>
        </w:rPr>
        <w:t xml:space="preserve">and exchange information </w:t>
      </w:r>
      <w:r w:rsidR="009C77BF" w:rsidRPr="002A58C6">
        <w:rPr>
          <w:rFonts w:ascii="Times New Roman" w:hAnsi="Times New Roman"/>
          <w:sz w:val="24"/>
          <w:szCs w:val="24"/>
        </w:rPr>
        <w:t xml:space="preserve">between authorities and organisers, </w:t>
      </w:r>
      <w:r w:rsidR="00BB4341" w:rsidRPr="002A58C6">
        <w:rPr>
          <w:rFonts w:ascii="Times New Roman" w:hAnsi="Times New Roman"/>
          <w:sz w:val="24"/>
          <w:szCs w:val="24"/>
        </w:rPr>
        <w:t xml:space="preserve">in particular during </w:t>
      </w:r>
      <w:r w:rsidR="009C77BF" w:rsidRPr="002A58C6">
        <w:rPr>
          <w:rFonts w:ascii="Times New Roman" w:hAnsi="Times New Roman"/>
          <w:sz w:val="24"/>
          <w:szCs w:val="24"/>
        </w:rPr>
        <w:t xml:space="preserve">large scale </w:t>
      </w:r>
      <w:r w:rsidR="00BB4341" w:rsidRPr="002A58C6">
        <w:rPr>
          <w:rFonts w:ascii="Times New Roman" w:hAnsi="Times New Roman"/>
          <w:sz w:val="24"/>
          <w:szCs w:val="24"/>
        </w:rPr>
        <w:t>assemblies, such as the</w:t>
      </w:r>
      <w:r w:rsidR="000253BD" w:rsidRPr="002A58C6">
        <w:rPr>
          <w:rFonts w:ascii="Times New Roman" w:hAnsi="Times New Roman"/>
          <w:sz w:val="24"/>
          <w:szCs w:val="24"/>
        </w:rPr>
        <w:t xml:space="preserve"> example already referred to above</w:t>
      </w:r>
      <w:r w:rsidR="00D7766C" w:rsidRPr="002A58C6">
        <w:rPr>
          <w:rFonts w:ascii="Times New Roman" w:hAnsi="Times New Roman"/>
          <w:sz w:val="24"/>
          <w:szCs w:val="24"/>
        </w:rPr>
        <w:t xml:space="preserve"> in footnote </w:t>
      </w:r>
      <w:r w:rsidR="00FA7145" w:rsidRPr="002A58C6">
        <w:rPr>
          <w:rFonts w:ascii="Times New Roman" w:hAnsi="Times New Roman"/>
          <w:sz w:val="24"/>
          <w:szCs w:val="24"/>
        </w:rPr>
        <w:t>4</w:t>
      </w:r>
      <w:r w:rsidR="000253BD" w:rsidRPr="002A58C6">
        <w:rPr>
          <w:rFonts w:ascii="Times New Roman" w:hAnsi="Times New Roman"/>
          <w:sz w:val="24"/>
          <w:szCs w:val="24"/>
        </w:rPr>
        <w:t xml:space="preserve">, </w:t>
      </w:r>
      <w:r w:rsidR="00D7766C" w:rsidRPr="002A58C6">
        <w:rPr>
          <w:rFonts w:ascii="Times New Roman" w:hAnsi="Times New Roman"/>
          <w:sz w:val="24"/>
          <w:szCs w:val="24"/>
        </w:rPr>
        <w:t>(</w:t>
      </w:r>
      <w:r w:rsidR="000253BD" w:rsidRPr="002A58C6">
        <w:rPr>
          <w:rFonts w:ascii="Times New Roman" w:hAnsi="Times New Roman"/>
          <w:sz w:val="24"/>
          <w:szCs w:val="24"/>
        </w:rPr>
        <w:t>Qu</w:t>
      </w:r>
      <w:r w:rsidR="00FA7145" w:rsidRPr="002A58C6">
        <w:rPr>
          <w:rFonts w:ascii="Times New Roman" w:hAnsi="Times New Roman"/>
          <w:sz w:val="24"/>
          <w:szCs w:val="24"/>
        </w:rPr>
        <w:t>é</w:t>
      </w:r>
      <w:r w:rsidR="000253BD" w:rsidRPr="002A58C6">
        <w:rPr>
          <w:rFonts w:ascii="Times New Roman" w:hAnsi="Times New Roman"/>
          <w:sz w:val="24"/>
          <w:szCs w:val="24"/>
        </w:rPr>
        <w:t>bec  G7 summit</w:t>
      </w:r>
      <w:r w:rsidR="00D7766C" w:rsidRPr="002A58C6">
        <w:rPr>
          <w:rFonts w:ascii="Times New Roman" w:hAnsi="Times New Roman"/>
          <w:sz w:val="24"/>
          <w:szCs w:val="24"/>
        </w:rPr>
        <w:t>)</w:t>
      </w:r>
      <w:r w:rsidR="00A43A7D" w:rsidRPr="002A58C6">
        <w:rPr>
          <w:rFonts w:ascii="Times New Roman" w:hAnsi="Times New Roman"/>
          <w:sz w:val="24"/>
          <w:szCs w:val="24"/>
        </w:rPr>
        <w:t>.</w:t>
      </w:r>
    </w:p>
    <w:p w14:paraId="6D947394" w14:textId="77777777" w:rsidR="002A58C6" w:rsidRPr="002A58C6" w:rsidRDefault="002A58C6" w:rsidP="002A58C6">
      <w:pPr>
        <w:spacing w:after="0"/>
        <w:jc w:val="both"/>
        <w:rPr>
          <w:rFonts w:ascii="Times New Roman" w:hAnsi="Times New Roman" w:cs="Times New Roman"/>
          <w:sz w:val="24"/>
          <w:szCs w:val="24"/>
        </w:rPr>
      </w:pPr>
    </w:p>
    <w:p w14:paraId="6F11883F" w14:textId="6C2FFA17" w:rsidR="00C41102" w:rsidRPr="002A58C6" w:rsidRDefault="00C41102" w:rsidP="002A58C6">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lastRenderedPageBreak/>
        <w:t>The planning and publicizing of an assembly are integral parts of the exercise of the rights to freedom of speech and assembly and should be facilitated and protected accordingly.</w:t>
      </w:r>
      <w:r w:rsidRPr="002A58C6">
        <w:rPr>
          <w:rFonts w:ascii="Times New Roman" w:hAnsi="Times New Roman"/>
          <w:sz w:val="24"/>
          <w:szCs w:val="24"/>
          <w:lang w:val="en-US"/>
        </w:rPr>
        <w:t xml:space="preserve"> </w:t>
      </w:r>
      <w:r w:rsidRPr="002A58C6">
        <w:rPr>
          <w:rFonts w:ascii="Times New Roman" w:hAnsi="Times New Roman"/>
          <w:sz w:val="24"/>
          <w:szCs w:val="24"/>
        </w:rPr>
        <w:t>Given the presumption in favour of peaceful assembly, organizers have the right to publicize the holding of an assembly ahead of time, both on and offline.</w:t>
      </w:r>
      <w:r w:rsidRPr="002A58C6">
        <w:rPr>
          <w:rStyle w:val="FootnoteReference"/>
          <w:rFonts w:ascii="Times New Roman" w:hAnsi="Times New Roman"/>
          <w:sz w:val="24"/>
          <w:szCs w:val="24"/>
        </w:rPr>
        <w:footnoteReference w:id="10"/>
      </w:r>
      <w:r w:rsidRPr="002A58C6">
        <w:rPr>
          <w:rFonts w:ascii="Times New Roman" w:hAnsi="Times New Roman"/>
          <w:sz w:val="24"/>
          <w:szCs w:val="24"/>
        </w:rPr>
        <w:t xml:space="preserve"> Because of their importance in people’s everyday lives,</w:t>
      </w:r>
      <w:r w:rsidRPr="002A58C6">
        <w:rPr>
          <w:rStyle w:val="FootnoteReference"/>
          <w:rFonts w:ascii="Times New Roman" w:hAnsi="Times New Roman"/>
          <w:sz w:val="24"/>
          <w:szCs w:val="24"/>
        </w:rPr>
        <w:footnoteReference w:id="11"/>
      </w:r>
      <w:r w:rsidRPr="002A58C6">
        <w:rPr>
          <w:rFonts w:ascii="Times New Roman" w:hAnsi="Times New Roman"/>
          <w:sz w:val="24"/>
          <w:szCs w:val="24"/>
        </w:rPr>
        <w:t xml:space="preserve"> the Internet and social media</w:t>
      </w:r>
      <w:r w:rsidR="005A1305">
        <w:rPr>
          <w:rFonts w:ascii="Times New Roman" w:hAnsi="Times New Roman"/>
          <w:sz w:val="24"/>
          <w:szCs w:val="24"/>
        </w:rPr>
        <w:t xml:space="preserve"> </w:t>
      </w:r>
      <w:proofErr w:type="gramStart"/>
      <w:r w:rsidR="005A1305">
        <w:rPr>
          <w:rFonts w:ascii="Times New Roman" w:hAnsi="Times New Roman"/>
          <w:sz w:val="24"/>
          <w:szCs w:val="24"/>
        </w:rPr>
        <w:t xml:space="preserve">are </w:t>
      </w:r>
      <w:r w:rsidRPr="002A58C6">
        <w:rPr>
          <w:rFonts w:ascii="Times New Roman" w:hAnsi="Times New Roman"/>
          <w:sz w:val="24"/>
          <w:szCs w:val="24"/>
        </w:rPr>
        <w:t>often used</w:t>
      </w:r>
      <w:proofErr w:type="gramEnd"/>
      <w:r w:rsidRPr="002A58C6">
        <w:rPr>
          <w:rFonts w:ascii="Times New Roman" w:hAnsi="Times New Roman"/>
          <w:sz w:val="24"/>
          <w:szCs w:val="24"/>
        </w:rPr>
        <w:t xml:space="preserve"> to discuss, prepare, organize and publicize assemblies.</w:t>
      </w:r>
      <w:r w:rsidRPr="002A58C6">
        <w:rPr>
          <w:rStyle w:val="FootnoteReference"/>
          <w:rFonts w:ascii="Times New Roman" w:hAnsi="Times New Roman"/>
          <w:sz w:val="24"/>
          <w:szCs w:val="24"/>
        </w:rPr>
        <w:footnoteReference w:id="12"/>
      </w:r>
      <w:r w:rsidRPr="002A58C6">
        <w:rPr>
          <w:rFonts w:ascii="Times New Roman" w:hAnsi="Times New Roman"/>
          <w:sz w:val="24"/>
          <w:szCs w:val="24"/>
        </w:rPr>
        <w:t xml:space="preserve"> Legal requirements to notify of an assembly should not impede </w:t>
      </w:r>
      <w:r w:rsidR="00BC0B64" w:rsidRPr="002A58C6">
        <w:rPr>
          <w:rFonts w:ascii="Times New Roman" w:hAnsi="Times New Roman"/>
          <w:sz w:val="24"/>
          <w:szCs w:val="24"/>
        </w:rPr>
        <w:t xml:space="preserve">activities remain entirely online or </w:t>
      </w:r>
      <w:r w:rsidRPr="002A58C6">
        <w:rPr>
          <w:rFonts w:ascii="Times New Roman" w:hAnsi="Times New Roman"/>
          <w:sz w:val="24"/>
          <w:szCs w:val="24"/>
        </w:rPr>
        <w:t xml:space="preserve">the planning process </w:t>
      </w:r>
      <w:r w:rsidR="00BC0B64" w:rsidRPr="002A58C6">
        <w:rPr>
          <w:rFonts w:ascii="Times New Roman" w:hAnsi="Times New Roman"/>
          <w:sz w:val="24"/>
          <w:szCs w:val="24"/>
        </w:rPr>
        <w:t xml:space="preserve">of assemblies </w:t>
      </w:r>
      <w:r w:rsidRPr="002A58C6">
        <w:rPr>
          <w:rFonts w:ascii="Times New Roman" w:hAnsi="Times New Roman"/>
          <w:sz w:val="24"/>
          <w:szCs w:val="24"/>
        </w:rPr>
        <w:t>tak</w:t>
      </w:r>
      <w:r w:rsidR="002A58C6" w:rsidRPr="002A58C6">
        <w:rPr>
          <w:rFonts w:ascii="Times New Roman" w:hAnsi="Times New Roman"/>
          <w:sz w:val="24"/>
          <w:szCs w:val="24"/>
        </w:rPr>
        <w:t>ing</w:t>
      </w:r>
      <w:r w:rsidRPr="002A58C6">
        <w:rPr>
          <w:rFonts w:ascii="Times New Roman" w:hAnsi="Times New Roman"/>
          <w:sz w:val="24"/>
          <w:szCs w:val="24"/>
        </w:rPr>
        <w:t xml:space="preserve"> place offline.  </w:t>
      </w:r>
    </w:p>
    <w:p w14:paraId="6520796A" w14:textId="77777777" w:rsidR="00C41102" w:rsidRPr="002A58C6" w:rsidRDefault="00C41102" w:rsidP="00081B3A">
      <w:pPr>
        <w:ind w:left="567" w:hanging="425"/>
        <w:contextualSpacing/>
        <w:jc w:val="both"/>
        <w:rPr>
          <w:rFonts w:ascii="Times New Roman" w:hAnsi="Times New Roman" w:cs="Times New Roman"/>
          <w:sz w:val="24"/>
          <w:szCs w:val="24"/>
        </w:rPr>
      </w:pPr>
    </w:p>
    <w:p w14:paraId="7FFAEF53" w14:textId="77777777" w:rsidR="00C41102" w:rsidRPr="002A58C6" w:rsidRDefault="00C41102" w:rsidP="00081B3A">
      <w:pPr>
        <w:pStyle w:val="ListParagraph"/>
        <w:ind w:left="567" w:hanging="425"/>
        <w:jc w:val="both"/>
        <w:rPr>
          <w:rFonts w:ascii="Times New Roman" w:hAnsi="Times New Roman"/>
          <w:b/>
          <w:i/>
          <w:sz w:val="24"/>
          <w:szCs w:val="24"/>
        </w:rPr>
      </w:pPr>
    </w:p>
    <w:p w14:paraId="17F92555" w14:textId="77777777" w:rsidR="00C41102" w:rsidRPr="002A58C6" w:rsidRDefault="00C41102" w:rsidP="00081B3A">
      <w:pPr>
        <w:pStyle w:val="ListParagraph"/>
        <w:ind w:left="567" w:hanging="425"/>
        <w:jc w:val="both"/>
        <w:rPr>
          <w:rFonts w:ascii="Times New Roman" w:hAnsi="Times New Roman"/>
          <w:b/>
          <w:i/>
          <w:sz w:val="24"/>
          <w:szCs w:val="24"/>
          <w:lang w:val="en-US"/>
        </w:rPr>
      </w:pPr>
      <w:r w:rsidRPr="002A58C6">
        <w:rPr>
          <w:rFonts w:ascii="Times New Roman" w:hAnsi="Times New Roman"/>
          <w:b/>
          <w:i/>
          <w:sz w:val="24"/>
          <w:szCs w:val="24"/>
          <w:lang w:val="en-US"/>
        </w:rPr>
        <w:t xml:space="preserve">3) The human rights challenges posed by interferences with the availability and use of such technologies in the context of assemblies, including peaceful protests (e.g. through network disruptions, blocking of internet services or restrictions on secure and confidential information. </w:t>
      </w:r>
    </w:p>
    <w:p w14:paraId="4C19EC38" w14:textId="77777777" w:rsidR="00C41102" w:rsidRPr="002A58C6" w:rsidRDefault="00C41102" w:rsidP="00081B3A">
      <w:pPr>
        <w:pStyle w:val="ListParagraph"/>
        <w:ind w:left="567" w:hanging="425"/>
        <w:jc w:val="both"/>
        <w:rPr>
          <w:rFonts w:ascii="Times New Roman" w:hAnsi="Times New Roman"/>
          <w:b/>
          <w:i/>
          <w:sz w:val="24"/>
          <w:szCs w:val="24"/>
          <w:lang w:val="en-US"/>
        </w:rPr>
      </w:pPr>
    </w:p>
    <w:p w14:paraId="1748CBA8" w14:textId="2DD14C91" w:rsidR="00C414A1" w:rsidRPr="002A58C6" w:rsidRDefault="00C414A1" w:rsidP="002A58C6">
      <w:pPr>
        <w:pStyle w:val="ListParagraph"/>
        <w:numPr>
          <w:ilvl w:val="0"/>
          <w:numId w:val="7"/>
        </w:numPr>
        <w:ind w:left="567" w:hanging="425"/>
        <w:jc w:val="both"/>
        <w:rPr>
          <w:rFonts w:ascii="Times New Roman" w:hAnsi="Times New Roman"/>
          <w:sz w:val="24"/>
          <w:szCs w:val="24"/>
          <w:lang w:val="en-US"/>
        </w:rPr>
      </w:pPr>
      <w:r w:rsidRPr="002A58C6">
        <w:rPr>
          <w:rFonts w:ascii="Times New Roman" w:hAnsi="Times New Roman"/>
          <w:sz w:val="24"/>
          <w:szCs w:val="24"/>
        </w:rPr>
        <w:t>First and foremost</w:t>
      </w:r>
      <w:r w:rsidR="002A58C6" w:rsidRPr="002A58C6">
        <w:rPr>
          <w:rFonts w:ascii="Times New Roman" w:hAnsi="Times New Roman"/>
          <w:sz w:val="24"/>
          <w:szCs w:val="24"/>
        </w:rPr>
        <w:t>,</w:t>
      </w:r>
      <w:r w:rsidRPr="002A58C6">
        <w:rPr>
          <w:rFonts w:ascii="Times New Roman" w:hAnsi="Times New Roman"/>
          <w:sz w:val="24"/>
          <w:szCs w:val="24"/>
        </w:rPr>
        <w:t xml:space="preserve"> it should be re-emphasized that with reference to freedom of assembly </w:t>
      </w:r>
      <w:r w:rsidRPr="002A58C6">
        <w:rPr>
          <w:rFonts w:ascii="Times New Roman" w:hAnsi="Times New Roman"/>
          <w:sz w:val="24"/>
          <w:szCs w:val="24"/>
          <w:lang w:val="en-US"/>
        </w:rPr>
        <w:t xml:space="preserve">States are </w:t>
      </w:r>
      <w:r w:rsidRPr="002A58C6">
        <w:rPr>
          <w:rFonts w:ascii="Times New Roman" w:hAnsi="Times New Roman"/>
          <w:i/>
          <w:sz w:val="24"/>
          <w:szCs w:val="24"/>
          <w:lang w:val="en-US"/>
        </w:rPr>
        <w:t>“under a stronger obligation to ensure the right with positive measures”</w:t>
      </w:r>
      <w:r w:rsidRPr="002A58C6">
        <w:rPr>
          <w:rFonts w:ascii="Times New Roman" w:hAnsi="Times New Roman"/>
          <w:sz w:val="24"/>
          <w:szCs w:val="24"/>
          <w:lang w:val="en-US"/>
        </w:rPr>
        <w:t xml:space="preserve"> precisely as a result of the democratic function of the right, which is in literature, jurisprudence and practice, and indisputable fact.</w:t>
      </w:r>
      <w:r w:rsidRPr="002A58C6">
        <w:rPr>
          <w:rFonts w:ascii="Times New Roman" w:hAnsi="Times New Roman"/>
          <w:vertAlign w:val="superscript"/>
          <w:lang w:val="en-US"/>
        </w:rPr>
        <w:footnoteReference w:id="13"/>
      </w:r>
      <w:r w:rsidRPr="002A58C6">
        <w:rPr>
          <w:rFonts w:ascii="Times New Roman" w:hAnsi="Times New Roman"/>
          <w:sz w:val="24"/>
          <w:szCs w:val="24"/>
          <w:lang w:val="en-US"/>
        </w:rPr>
        <w:t xml:space="preserve"> Indeed the </w:t>
      </w:r>
      <w:r w:rsidR="00627EDE" w:rsidRPr="002A58C6">
        <w:rPr>
          <w:rFonts w:ascii="Times New Roman" w:hAnsi="Times New Roman"/>
          <w:sz w:val="24"/>
          <w:szCs w:val="24"/>
          <w:lang w:val="en-US"/>
        </w:rPr>
        <w:t>Human Right</w:t>
      </w:r>
      <w:r w:rsidR="00695982" w:rsidRPr="002A58C6">
        <w:rPr>
          <w:rFonts w:ascii="Times New Roman" w:hAnsi="Times New Roman"/>
          <w:sz w:val="24"/>
          <w:szCs w:val="24"/>
          <w:lang w:val="en-US"/>
        </w:rPr>
        <w:t>s</w:t>
      </w:r>
      <w:r w:rsidR="00627EDE" w:rsidRPr="002A58C6">
        <w:rPr>
          <w:rFonts w:ascii="Times New Roman" w:hAnsi="Times New Roman"/>
          <w:sz w:val="24"/>
          <w:szCs w:val="24"/>
          <w:lang w:val="en-US"/>
        </w:rPr>
        <w:t xml:space="preserve"> Committee (</w:t>
      </w:r>
      <w:r w:rsidRPr="002A58C6">
        <w:rPr>
          <w:rFonts w:ascii="Times New Roman" w:hAnsi="Times New Roman"/>
          <w:sz w:val="24"/>
          <w:szCs w:val="24"/>
          <w:lang w:val="en-US"/>
        </w:rPr>
        <w:t>HRC</w:t>
      </w:r>
      <w:r w:rsidR="00627EDE" w:rsidRPr="002A58C6">
        <w:rPr>
          <w:rFonts w:ascii="Times New Roman" w:hAnsi="Times New Roman"/>
          <w:sz w:val="24"/>
          <w:szCs w:val="24"/>
          <w:lang w:val="en-US"/>
        </w:rPr>
        <w:t>)</w:t>
      </w:r>
      <w:r w:rsidRPr="002A58C6">
        <w:rPr>
          <w:rFonts w:ascii="Times New Roman" w:hAnsi="Times New Roman"/>
          <w:sz w:val="24"/>
          <w:szCs w:val="24"/>
          <w:lang w:val="en-US"/>
        </w:rPr>
        <w:t xml:space="preserve"> i</w:t>
      </w:r>
      <w:r w:rsidR="00663EA0" w:rsidRPr="002A58C6">
        <w:rPr>
          <w:rFonts w:ascii="Times New Roman" w:hAnsi="Times New Roman"/>
          <w:sz w:val="24"/>
          <w:szCs w:val="24"/>
          <w:lang w:val="en-US"/>
        </w:rPr>
        <w:t>n</w:t>
      </w:r>
      <w:r w:rsidRPr="002A58C6">
        <w:rPr>
          <w:rFonts w:ascii="Times New Roman" w:hAnsi="Times New Roman"/>
          <w:sz w:val="24"/>
          <w:szCs w:val="24"/>
          <w:lang w:val="en-US"/>
        </w:rPr>
        <w:t xml:space="preserve"> its case </w:t>
      </w:r>
      <w:proofErr w:type="gramStart"/>
      <w:r w:rsidRPr="002A58C6">
        <w:rPr>
          <w:rFonts w:ascii="Times New Roman" w:hAnsi="Times New Roman"/>
          <w:sz w:val="24"/>
          <w:szCs w:val="24"/>
          <w:lang w:val="en-US"/>
        </w:rPr>
        <w:t>law,</w:t>
      </w:r>
      <w:proofErr w:type="gramEnd"/>
      <w:r w:rsidRPr="002A58C6">
        <w:rPr>
          <w:rFonts w:ascii="Times New Roman" w:hAnsi="Times New Roman"/>
          <w:sz w:val="24"/>
          <w:szCs w:val="24"/>
          <w:lang w:val="en-US"/>
        </w:rPr>
        <w:t xml:space="preserve"> has emphasized that </w:t>
      </w:r>
      <w:r w:rsidRPr="002A58C6">
        <w:rPr>
          <w:rFonts w:ascii="Times New Roman" w:hAnsi="Times New Roman"/>
          <w:sz w:val="24"/>
          <w:szCs w:val="24"/>
          <w:lang w:val="en-AU"/>
        </w:rPr>
        <w:t>“</w:t>
      </w:r>
      <w:r w:rsidRPr="002A58C6">
        <w:rPr>
          <w:rFonts w:ascii="Times New Roman" w:hAnsi="Times New Roman"/>
          <w:i/>
          <w:sz w:val="24"/>
          <w:szCs w:val="24"/>
          <w:lang w:val="en-AU"/>
        </w:rPr>
        <w:t xml:space="preserve">When a State party imposes restrictions with the aim of reconciling an individual’s right to assembly and the aforementioned interests of general concern, it should be guided by the objective </w:t>
      </w:r>
      <w:r w:rsidRPr="002A58C6">
        <w:rPr>
          <w:rFonts w:ascii="Times New Roman" w:hAnsi="Times New Roman"/>
          <w:b/>
          <w:i/>
          <w:sz w:val="24"/>
          <w:szCs w:val="24"/>
          <w:lang w:val="en-AU"/>
        </w:rPr>
        <w:t>of facilitating the right</w:t>
      </w:r>
      <w:r w:rsidRPr="002A58C6">
        <w:rPr>
          <w:rFonts w:ascii="Times New Roman" w:hAnsi="Times New Roman"/>
          <w:i/>
          <w:sz w:val="24"/>
          <w:szCs w:val="24"/>
          <w:lang w:val="en-AU"/>
        </w:rPr>
        <w:t>, rather than seeking unnecessary or disproportionate limitations to it.”</w:t>
      </w:r>
      <w:r w:rsidRPr="00B159FE">
        <w:rPr>
          <w:rStyle w:val="FootnoteReference"/>
          <w:rFonts w:ascii="Times New Roman" w:hAnsi="Times New Roman"/>
          <w:sz w:val="24"/>
          <w:szCs w:val="24"/>
          <w:lang w:val="en-AU"/>
        </w:rPr>
        <w:footnoteReference w:id="14"/>
      </w:r>
      <w:r w:rsidRPr="002A58C6">
        <w:rPr>
          <w:rFonts w:ascii="Times New Roman" w:hAnsi="Times New Roman"/>
          <w:sz w:val="24"/>
          <w:szCs w:val="24"/>
          <w:lang w:val="en-AU"/>
        </w:rPr>
        <w:t xml:space="preserve"> </w:t>
      </w:r>
      <w:r w:rsidRPr="002A58C6">
        <w:rPr>
          <w:rFonts w:ascii="Times New Roman" w:hAnsi="Times New Roman"/>
          <w:sz w:val="24"/>
          <w:szCs w:val="24"/>
          <w:lang w:val="en-US"/>
        </w:rPr>
        <w:t>Importantly, General Comment 31 [80]</w:t>
      </w:r>
      <w:r w:rsidRPr="002A58C6">
        <w:rPr>
          <w:rFonts w:ascii="Times New Roman" w:hAnsi="Times New Roman"/>
          <w:vertAlign w:val="superscript"/>
          <w:lang w:val="en-US"/>
        </w:rPr>
        <w:footnoteReference w:id="15"/>
      </w:r>
      <w:r w:rsidRPr="002A58C6">
        <w:rPr>
          <w:rFonts w:ascii="Times New Roman" w:hAnsi="Times New Roman"/>
          <w:sz w:val="24"/>
          <w:szCs w:val="24"/>
          <w:lang w:val="en-US"/>
        </w:rPr>
        <w:t xml:space="preserve"> states that the obligations of </w:t>
      </w:r>
      <w:r w:rsidRPr="002A58C6">
        <w:rPr>
          <w:rFonts w:ascii="Times New Roman" w:hAnsi="Times New Roman"/>
          <w:sz w:val="24"/>
          <w:szCs w:val="24"/>
          <w:lang w:val="en-US"/>
        </w:rPr>
        <w:lastRenderedPageBreak/>
        <w:t>the State extend not only to the operation of its agents, but also in offering protection against acts committe</w:t>
      </w:r>
      <w:r w:rsidR="00945C79" w:rsidRPr="002A58C6">
        <w:rPr>
          <w:rFonts w:ascii="Times New Roman" w:hAnsi="Times New Roman"/>
          <w:sz w:val="24"/>
          <w:szCs w:val="24"/>
          <w:lang w:val="en-US"/>
        </w:rPr>
        <w:t>d</w:t>
      </w:r>
      <w:r w:rsidRPr="002A58C6">
        <w:rPr>
          <w:rFonts w:ascii="Times New Roman" w:hAnsi="Times New Roman"/>
          <w:sz w:val="24"/>
          <w:szCs w:val="24"/>
          <w:lang w:val="en-US"/>
        </w:rPr>
        <w:t xml:space="preserve"> by private agents and private parties. In the case of </w:t>
      </w:r>
      <w:r w:rsidR="00945C79" w:rsidRPr="002A58C6">
        <w:rPr>
          <w:rFonts w:ascii="Times New Roman" w:hAnsi="Times New Roman"/>
          <w:sz w:val="24"/>
          <w:szCs w:val="24"/>
          <w:lang w:val="en-US"/>
        </w:rPr>
        <w:t>“</w:t>
      </w:r>
      <w:r w:rsidRPr="002A58C6">
        <w:rPr>
          <w:rFonts w:ascii="Times New Roman" w:hAnsi="Times New Roman"/>
          <w:sz w:val="24"/>
          <w:szCs w:val="24"/>
          <w:lang w:val="en-US"/>
        </w:rPr>
        <w:t>online assemblies</w:t>
      </w:r>
      <w:r w:rsidR="00945C79" w:rsidRPr="002A58C6">
        <w:rPr>
          <w:rFonts w:ascii="Times New Roman" w:hAnsi="Times New Roman"/>
          <w:sz w:val="24"/>
          <w:szCs w:val="24"/>
          <w:lang w:val="en-US"/>
        </w:rPr>
        <w:t>”</w:t>
      </w:r>
      <w:r w:rsidR="00B159FE" w:rsidRPr="002A58C6">
        <w:rPr>
          <w:rFonts w:ascii="Times New Roman" w:hAnsi="Times New Roman"/>
          <w:sz w:val="24"/>
          <w:szCs w:val="24"/>
          <w:lang w:val="en-US"/>
        </w:rPr>
        <w:t>, collective</w:t>
      </w:r>
      <w:r w:rsidR="00945C79" w:rsidRPr="002A58C6">
        <w:rPr>
          <w:rFonts w:ascii="Times New Roman" w:hAnsi="Times New Roman"/>
          <w:sz w:val="24"/>
          <w:szCs w:val="24"/>
          <w:lang w:val="en-US"/>
        </w:rPr>
        <w:t xml:space="preserve"> online actions of individuals</w:t>
      </w:r>
      <w:r w:rsidR="00B159FE">
        <w:rPr>
          <w:rFonts w:ascii="Times New Roman" w:hAnsi="Times New Roman"/>
          <w:sz w:val="24"/>
          <w:szCs w:val="24"/>
          <w:lang w:val="en-US"/>
        </w:rPr>
        <w:t>, this may include</w:t>
      </w:r>
      <w:r w:rsidRPr="002A58C6">
        <w:rPr>
          <w:rFonts w:ascii="Times New Roman" w:hAnsi="Times New Roman"/>
          <w:sz w:val="24"/>
          <w:szCs w:val="24"/>
          <w:lang w:val="en-US"/>
        </w:rPr>
        <w:t xml:space="preserve"> </w:t>
      </w:r>
      <w:proofErr w:type="gramStart"/>
      <w:r w:rsidRPr="002A58C6">
        <w:rPr>
          <w:rFonts w:ascii="Times New Roman" w:hAnsi="Times New Roman"/>
          <w:sz w:val="24"/>
          <w:szCs w:val="24"/>
          <w:lang w:val="en-US"/>
        </w:rPr>
        <w:t>privately-owned</w:t>
      </w:r>
      <w:proofErr w:type="gramEnd"/>
      <w:r w:rsidRPr="002A58C6">
        <w:rPr>
          <w:rFonts w:ascii="Times New Roman" w:hAnsi="Times New Roman"/>
          <w:sz w:val="24"/>
          <w:szCs w:val="24"/>
          <w:lang w:val="en-US"/>
        </w:rPr>
        <w:t xml:space="preserve"> </w:t>
      </w:r>
      <w:r w:rsidR="006759D3" w:rsidRPr="002A58C6">
        <w:rPr>
          <w:rFonts w:ascii="Times New Roman" w:hAnsi="Times New Roman"/>
          <w:sz w:val="24"/>
          <w:szCs w:val="24"/>
          <w:lang w:val="en-US"/>
        </w:rPr>
        <w:t>I</w:t>
      </w:r>
      <w:r w:rsidRPr="002A58C6">
        <w:rPr>
          <w:rFonts w:ascii="Times New Roman" w:hAnsi="Times New Roman"/>
          <w:sz w:val="24"/>
          <w:szCs w:val="24"/>
          <w:lang w:val="en-US"/>
        </w:rPr>
        <w:t>nternet platforms and social media networks.</w:t>
      </w:r>
    </w:p>
    <w:p w14:paraId="5A969C7E" w14:textId="77777777" w:rsidR="00C414A1" w:rsidRPr="002A58C6" w:rsidRDefault="00C414A1" w:rsidP="00081B3A">
      <w:pPr>
        <w:pStyle w:val="ListParagraph"/>
        <w:ind w:left="567" w:hanging="425"/>
        <w:jc w:val="both"/>
        <w:rPr>
          <w:rFonts w:ascii="Times New Roman" w:hAnsi="Times New Roman"/>
          <w:sz w:val="24"/>
          <w:szCs w:val="24"/>
        </w:rPr>
      </w:pPr>
    </w:p>
    <w:p w14:paraId="192428AB" w14:textId="1D5915AB" w:rsidR="00C41102" w:rsidRPr="002A58C6" w:rsidRDefault="001327F1" w:rsidP="00081B3A">
      <w:pPr>
        <w:pStyle w:val="ListParagraph"/>
        <w:numPr>
          <w:ilvl w:val="0"/>
          <w:numId w:val="7"/>
        </w:numPr>
        <w:ind w:left="567" w:hanging="425"/>
        <w:jc w:val="both"/>
        <w:rPr>
          <w:rFonts w:ascii="Times New Roman" w:hAnsi="Times New Roman"/>
          <w:sz w:val="24"/>
          <w:szCs w:val="24"/>
        </w:rPr>
      </w:pPr>
      <w:proofErr w:type="gramStart"/>
      <w:r w:rsidRPr="002A58C6">
        <w:rPr>
          <w:rFonts w:ascii="Times New Roman" w:hAnsi="Times New Roman"/>
          <w:sz w:val="24"/>
          <w:szCs w:val="24"/>
        </w:rPr>
        <w:t>Following this interpretation of the right under international law, it can be said that since a plethora of documents ha</w:t>
      </w:r>
      <w:r w:rsidR="008701E6" w:rsidRPr="002A58C6">
        <w:rPr>
          <w:rFonts w:ascii="Times New Roman" w:hAnsi="Times New Roman"/>
          <w:sz w:val="24"/>
          <w:szCs w:val="24"/>
        </w:rPr>
        <w:t>ve</w:t>
      </w:r>
      <w:r w:rsidRPr="002A58C6">
        <w:rPr>
          <w:rFonts w:ascii="Times New Roman" w:hAnsi="Times New Roman"/>
          <w:sz w:val="24"/>
          <w:szCs w:val="24"/>
        </w:rPr>
        <w:t xml:space="preserve"> recognised that people have “the sam</w:t>
      </w:r>
      <w:r w:rsidR="00422515">
        <w:rPr>
          <w:rFonts w:ascii="Times New Roman" w:hAnsi="Times New Roman"/>
          <w:sz w:val="24"/>
          <w:szCs w:val="24"/>
        </w:rPr>
        <w:t>e rights online as offline”,</w:t>
      </w:r>
      <w:r w:rsidR="005A1305">
        <w:rPr>
          <w:rFonts w:ascii="Times New Roman" w:hAnsi="Times New Roman"/>
          <w:sz w:val="24"/>
          <w:szCs w:val="24"/>
        </w:rPr>
        <w:t xml:space="preserve"> S</w:t>
      </w:r>
      <w:r w:rsidRPr="002A58C6">
        <w:rPr>
          <w:rFonts w:ascii="Times New Roman" w:hAnsi="Times New Roman"/>
          <w:sz w:val="24"/>
          <w:szCs w:val="24"/>
        </w:rPr>
        <w:t>tate</w:t>
      </w:r>
      <w:r w:rsidR="00422515">
        <w:rPr>
          <w:rFonts w:ascii="Times New Roman" w:hAnsi="Times New Roman"/>
          <w:sz w:val="24"/>
          <w:szCs w:val="24"/>
        </w:rPr>
        <w:t>s</w:t>
      </w:r>
      <w:r w:rsidR="0097073E">
        <w:rPr>
          <w:rFonts w:ascii="Times New Roman" w:hAnsi="Times New Roman"/>
          <w:sz w:val="24"/>
          <w:szCs w:val="24"/>
        </w:rPr>
        <w:t xml:space="preserve"> shall</w:t>
      </w:r>
      <w:r w:rsidRPr="002A58C6">
        <w:rPr>
          <w:rFonts w:ascii="Times New Roman" w:hAnsi="Times New Roman"/>
          <w:sz w:val="24"/>
          <w:szCs w:val="24"/>
        </w:rPr>
        <w:t xml:space="preserve"> facilitate the exercise of the right also through online means, and th</w:t>
      </w:r>
      <w:r w:rsidR="00B159FE">
        <w:rPr>
          <w:rFonts w:ascii="Times New Roman" w:hAnsi="Times New Roman"/>
          <w:sz w:val="24"/>
          <w:szCs w:val="24"/>
        </w:rPr>
        <w:t xml:space="preserve">rough providing, among others, </w:t>
      </w:r>
      <w:r w:rsidRPr="002A58C6">
        <w:rPr>
          <w:rFonts w:ascii="Times New Roman" w:hAnsi="Times New Roman"/>
          <w:sz w:val="24"/>
          <w:szCs w:val="24"/>
        </w:rPr>
        <w:t xml:space="preserve">access to the </w:t>
      </w:r>
      <w:r w:rsidR="00F461FD" w:rsidRPr="002A58C6">
        <w:rPr>
          <w:rFonts w:ascii="Times New Roman" w:hAnsi="Times New Roman"/>
          <w:sz w:val="24"/>
          <w:szCs w:val="24"/>
        </w:rPr>
        <w:t>I</w:t>
      </w:r>
      <w:r w:rsidRPr="002A58C6">
        <w:rPr>
          <w:rFonts w:ascii="Times New Roman" w:hAnsi="Times New Roman"/>
          <w:sz w:val="24"/>
          <w:szCs w:val="24"/>
        </w:rPr>
        <w:t>nternet</w:t>
      </w:r>
      <w:r w:rsidR="00F461FD" w:rsidRPr="002A58C6">
        <w:rPr>
          <w:rFonts w:ascii="Times New Roman" w:hAnsi="Times New Roman"/>
          <w:sz w:val="24"/>
          <w:szCs w:val="24"/>
        </w:rPr>
        <w:t xml:space="preserve">, which has been recognised as </w:t>
      </w:r>
      <w:r w:rsidR="00B31472" w:rsidRPr="002A58C6">
        <w:rPr>
          <w:rFonts w:ascii="Times New Roman" w:hAnsi="Times New Roman"/>
          <w:sz w:val="24"/>
          <w:szCs w:val="24"/>
        </w:rPr>
        <w:t xml:space="preserve">essential to everyday life, </w:t>
      </w:r>
      <w:r w:rsidR="00422515">
        <w:rPr>
          <w:rFonts w:ascii="Times New Roman" w:hAnsi="Times New Roman"/>
          <w:sz w:val="24"/>
          <w:szCs w:val="24"/>
        </w:rPr>
        <w:t>and</w:t>
      </w:r>
      <w:r w:rsidR="00B31472" w:rsidRPr="002A58C6">
        <w:rPr>
          <w:rFonts w:ascii="Times New Roman" w:hAnsi="Times New Roman"/>
          <w:sz w:val="24"/>
          <w:szCs w:val="24"/>
        </w:rPr>
        <w:t xml:space="preserve"> according to the European Court of Human Right – “increasingly recognized as a right”</w:t>
      </w:r>
      <w:r w:rsidR="00B159FE">
        <w:rPr>
          <w:rFonts w:ascii="Times New Roman" w:hAnsi="Times New Roman"/>
          <w:sz w:val="24"/>
          <w:szCs w:val="24"/>
        </w:rPr>
        <w:t>.</w:t>
      </w:r>
      <w:r w:rsidR="00B31472" w:rsidRPr="002A58C6">
        <w:rPr>
          <w:rStyle w:val="FootnoteReference"/>
          <w:rFonts w:ascii="Times New Roman" w:hAnsi="Times New Roman"/>
          <w:sz w:val="24"/>
          <w:szCs w:val="24"/>
        </w:rPr>
        <w:footnoteReference w:id="16"/>
      </w:r>
      <w:proofErr w:type="gramEnd"/>
      <w:r w:rsidRPr="002A58C6">
        <w:rPr>
          <w:rFonts w:ascii="Times New Roman" w:hAnsi="Times New Roman"/>
          <w:sz w:val="24"/>
          <w:szCs w:val="24"/>
        </w:rPr>
        <w:t xml:space="preserve">  Therefore, l</w:t>
      </w:r>
      <w:r w:rsidR="00C41102" w:rsidRPr="002A58C6">
        <w:rPr>
          <w:rFonts w:ascii="Times New Roman" w:hAnsi="Times New Roman"/>
          <w:sz w:val="24"/>
          <w:szCs w:val="24"/>
        </w:rPr>
        <w:t xml:space="preserve">egislation and State policies should ensure that the </w:t>
      </w:r>
      <w:r w:rsidR="006759D3" w:rsidRPr="002A58C6">
        <w:rPr>
          <w:rFonts w:ascii="Times New Roman" w:hAnsi="Times New Roman"/>
          <w:sz w:val="24"/>
          <w:szCs w:val="24"/>
        </w:rPr>
        <w:t>I</w:t>
      </w:r>
      <w:r w:rsidR="00C41102" w:rsidRPr="002A58C6">
        <w:rPr>
          <w:rFonts w:ascii="Times New Roman" w:hAnsi="Times New Roman"/>
          <w:sz w:val="24"/>
          <w:szCs w:val="24"/>
        </w:rPr>
        <w:t xml:space="preserve">nternet and social media </w:t>
      </w:r>
      <w:proofErr w:type="gramStart"/>
      <w:r w:rsidR="00C41102" w:rsidRPr="002A58C6">
        <w:rPr>
          <w:rFonts w:ascii="Times New Roman" w:hAnsi="Times New Roman"/>
          <w:sz w:val="24"/>
          <w:szCs w:val="24"/>
        </w:rPr>
        <w:t>can</w:t>
      </w:r>
      <w:proofErr w:type="gramEnd"/>
      <w:r w:rsidR="00C41102" w:rsidRPr="002A58C6">
        <w:rPr>
          <w:rFonts w:ascii="Times New Roman" w:hAnsi="Times New Roman"/>
          <w:sz w:val="24"/>
          <w:szCs w:val="24"/>
        </w:rPr>
        <w:t xml:space="preserve"> be used to prepare, mobilize and organize assemblies,</w:t>
      </w:r>
      <w:r w:rsidR="00C41102" w:rsidRPr="002A58C6">
        <w:rPr>
          <w:rStyle w:val="FootnoteReference"/>
          <w:rFonts w:ascii="Times New Roman" w:hAnsi="Times New Roman"/>
          <w:sz w:val="24"/>
          <w:szCs w:val="24"/>
        </w:rPr>
        <w:footnoteReference w:id="17"/>
      </w:r>
      <w:r w:rsidR="00C41102" w:rsidRPr="002A58C6">
        <w:rPr>
          <w:rFonts w:ascii="Times New Roman" w:hAnsi="Times New Roman"/>
          <w:sz w:val="24"/>
          <w:szCs w:val="24"/>
        </w:rPr>
        <w:t xml:space="preserve"> which later take place in the street or another chosen location. </w:t>
      </w:r>
    </w:p>
    <w:p w14:paraId="7055C25A" w14:textId="77777777" w:rsidR="00C41102" w:rsidRPr="002A58C6" w:rsidRDefault="00C41102" w:rsidP="00081B3A">
      <w:pPr>
        <w:pStyle w:val="ListParagraph"/>
        <w:ind w:left="567" w:hanging="425"/>
        <w:jc w:val="both"/>
        <w:rPr>
          <w:rFonts w:ascii="Times New Roman" w:hAnsi="Times New Roman"/>
          <w:sz w:val="24"/>
          <w:szCs w:val="24"/>
        </w:rPr>
      </w:pPr>
    </w:p>
    <w:p w14:paraId="1E1C3E09" w14:textId="26257667" w:rsidR="00A125F4" w:rsidRPr="002A58C6" w:rsidRDefault="005A1305" w:rsidP="00081B3A">
      <w:pPr>
        <w:pStyle w:val="ListParagraph"/>
        <w:numPr>
          <w:ilvl w:val="0"/>
          <w:numId w:val="7"/>
        </w:numPr>
        <w:ind w:left="567" w:hanging="425"/>
        <w:jc w:val="both"/>
        <w:rPr>
          <w:rFonts w:ascii="Times New Roman" w:hAnsi="Times New Roman"/>
          <w:sz w:val="24"/>
          <w:szCs w:val="24"/>
        </w:rPr>
      </w:pPr>
      <w:r>
        <w:rPr>
          <w:rFonts w:ascii="Times New Roman" w:hAnsi="Times New Roman"/>
          <w:sz w:val="24"/>
          <w:szCs w:val="24"/>
        </w:rPr>
        <w:t>Indeed, S</w:t>
      </w:r>
      <w:r w:rsidR="006C29B1" w:rsidRPr="002A58C6">
        <w:rPr>
          <w:rFonts w:ascii="Times New Roman" w:hAnsi="Times New Roman"/>
          <w:sz w:val="24"/>
          <w:szCs w:val="24"/>
        </w:rPr>
        <w:t xml:space="preserve">tates </w:t>
      </w:r>
      <w:proofErr w:type="gramStart"/>
      <w:r w:rsidR="006C29B1" w:rsidRPr="002A58C6">
        <w:rPr>
          <w:rFonts w:ascii="Times New Roman" w:hAnsi="Times New Roman"/>
          <w:sz w:val="24"/>
          <w:szCs w:val="24"/>
        </w:rPr>
        <w:t xml:space="preserve">should </w:t>
      </w:r>
      <w:r w:rsidR="00B15F33" w:rsidRPr="002A58C6">
        <w:rPr>
          <w:rFonts w:ascii="Times New Roman" w:hAnsi="Times New Roman"/>
          <w:sz w:val="24"/>
          <w:szCs w:val="24"/>
        </w:rPr>
        <w:t>at the very least not interfere</w:t>
      </w:r>
      <w:proofErr w:type="gramEnd"/>
      <w:r w:rsidR="00B15F33" w:rsidRPr="002A58C6">
        <w:rPr>
          <w:rFonts w:ascii="Times New Roman" w:hAnsi="Times New Roman"/>
          <w:sz w:val="24"/>
          <w:szCs w:val="24"/>
        </w:rPr>
        <w:t xml:space="preserve"> with the new technologies</w:t>
      </w:r>
      <w:r w:rsidR="00A82933" w:rsidRPr="002A58C6">
        <w:rPr>
          <w:rFonts w:ascii="Times New Roman" w:hAnsi="Times New Roman"/>
          <w:sz w:val="24"/>
          <w:szCs w:val="24"/>
        </w:rPr>
        <w:t xml:space="preserve"> used to exercise fundamental rights</w:t>
      </w:r>
      <w:r w:rsidR="00B15F33" w:rsidRPr="002A58C6">
        <w:rPr>
          <w:rFonts w:ascii="Times New Roman" w:hAnsi="Times New Roman"/>
          <w:sz w:val="24"/>
          <w:szCs w:val="24"/>
        </w:rPr>
        <w:t xml:space="preserve">, </w:t>
      </w:r>
      <w:r w:rsidR="001D3313" w:rsidRPr="002A58C6">
        <w:rPr>
          <w:rFonts w:ascii="Times New Roman" w:hAnsi="Times New Roman"/>
          <w:sz w:val="24"/>
          <w:szCs w:val="24"/>
        </w:rPr>
        <w:t xml:space="preserve">through </w:t>
      </w:r>
      <w:r w:rsidR="00C41102" w:rsidRPr="002A58C6">
        <w:rPr>
          <w:rFonts w:ascii="Times New Roman" w:hAnsi="Times New Roman"/>
          <w:sz w:val="24"/>
          <w:szCs w:val="24"/>
        </w:rPr>
        <w:t xml:space="preserve">closing down access to the Internet and blocking sites. </w:t>
      </w:r>
      <w:proofErr w:type="gramStart"/>
      <w:r w:rsidR="00932820" w:rsidRPr="002A58C6">
        <w:rPr>
          <w:rFonts w:ascii="Times New Roman" w:hAnsi="Times New Roman"/>
          <w:sz w:val="24"/>
          <w:szCs w:val="24"/>
        </w:rPr>
        <w:t>A</w:t>
      </w:r>
      <w:r w:rsidR="00932820" w:rsidRPr="002A58C6">
        <w:rPr>
          <w:rFonts w:ascii="Times New Roman" w:hAnsi="Times New Roman"/>
          <w:sz w:val="24"/>
          <w:szCs w:val="24"/>
          <w:lang w:val="en-AU"/>
        </w:rPr>
        <w:t xml:space="preserve">n Internet shutdown, </w:t>
      </w:r>
      <w:r w:rsidR="00667507" w:rsidRPr="002A58C6">
        <w:rPr>
          <w:rFonts w:ascii="Times New Roman" w:hAnsi="Times New Roman"/>
          <w:sz w:val="24"/>
          <w:szCs w:val="24"/>
          <w:lang w:val="en-AU"/>
        </w:rPr>
        <w:t>(</w:t>
      </w:r>
      <w:r w:rsidR="00E64828" w:rsidRPr="002A58C6">
        <w:rPr>
          <w:rFonts w:ascii="Times New Roman" w:hAnsi="Times New Roman"/>
          <w:sz w:val="24"/>
          <w:szCs w:val="24"/>
          <w:lang w:val="en-AU"/>
        </w:rPr>
        <w:t>already practiced by States</w:t>
      </w:r>
      <w:r w:rsidR="00667507" w:rsidRPr="002A58C6">
        <w:rPr>
          <w:rStyle w:val="FootnoteReference"/>
          <w:rFonts w:ascii="Times New Roman" w:hAnsi="Times New Roman"/>
          <w:sz w:val="24"/>
          <w:szCs w:val="24"/>
          <w:lang w:val="en-AU"/>
        </w:rPr>
        <w:footnoteReference w:id="18"/>
      </w:r>
      <w:r w:rsidR="00667507" w:rsidRPr="002A58C6">
        <w:rPr>
          <w:rFonts w:ascii="Times New Roman" w:hAnsi="Times New Roman"/>
          <w:sz w:val="24"/>
          <w:szCs w:val="24"/>
          <w:lang w:val="en-AU"/>
        </w:rPr>
        <w:t>)</w:t>
      </w:r>
      <w:r w:rsidR="00E64828" w:rsidRPr="002A58C6">
        <w:rPr>
          <w:rFonts w:ascii="Times New Roman" w:hAnsi="Times New Roman"/>
          <w:sz w:val="24"/>
          <w:szCs w:val="24"/>
          <w:lang w:val="en-AU"/>
        </w:rPr>
        <w:t xml:space="preserve">, </w:t>
      </w:r>
      <w:r w:rsidR="00932820" w:rsidRPr="002A58C6">
        <w:rPr>
          <w:rFonts w:ascii="Times New Roman" w:hAnsi="Times New Roman"/>
          <w:sz w:val="24"/>
          <w:szCs w:val="24"/>
          <w:lang w:val="en-AU"/>
        </w:rPr>
        <w:t xml:space="preserve">whether whole or partial (for example, filtering) could be considered as a blanket ban, </w:t>
      </w:r>
      <w:r w:rsidR="00CE2ABF" w:rsidRPr="002A58C6">
        <w:rPr>
          <w:rFonts w:ascii="Times New Roman" w:hAnsi="Times New Roman"/>
          <w:sz w:val="24"/>
          <w:szCs w:val="24"/>
          <w:lang w:val="en-AU"/>
        </w:rPr>
        <w:t xml:space="preserve">not only with respect to the right to freedom expression but </w:t>
      </w:r>
      <w:r w:rsidR="00932820" w:rsidRPr="002A58C6">
        <w:rPr>
          <w:rFonts w:ascii="Times New Roman" w:hAnsi="Times New Roman"/>
          <w:sz w:val="24"/>
          <w:szCs w:val="24"/>
          <w:lang w:val="en-AU"/>
        </w:rPr>
        <w:t xml:space="preserve">on the right to freedom of assembly </w:t>
      </w:r>
      <w:r w:rsidR="00CE2ABF" w:rsidRPr="002A58C6">
        <w:rPr>
          <w:rFonts w:ascii="Times New Roman" w:hAnsi="Times New Roman"/>
          <w:sz w:val="24"/>
          <w:szCs w:val="24"/>
          <w:lang w:val="en-AU"/>
        </w:rPr>
        <w:t>(including “</w:t>
      </w:r>
      <w:r w:rsidR="00932820" w:rsidRPr="002A58C6">
        <w:rPr>
          <w:rFonts w:ascii="Times New Roman" w:hAnsi="Times New Roman"/>
          <w:sz w:val="24"/>
          <w:szCs w:val="24"/>
          <w:lang w:val="en-AU"/>
        </w:rPr>
        <w:t xml:space="preserve">online </w:t>
      </w:r>
      <w:r w:rsidR="00CE2ABF" w:rsidRPr="002A58C6">
        <w:rPr>
          <w:rFonts w:ascii="Times New Roman" w:hAnsi="Times New Roman"/>
          <w:sz w:val="24"/>
          <w:szCs w:val="24"/>
          <w:lang w:val="en-AU"/>
        </w:rPr>
        <w:t xml:space="preserve">gatherings”) </w:t>
      </w:r>
      <w:r w:rsidR="00932820" w:rsidRPr="002A58C6">
        <w:rPr>
          <w:rFonts w:ascii="Times New Roman" w:hAnsi="Times New Roman"/>
          <w:sz w:val="24"/>
          <w:szCs w:val="24"/>
          <w:lang w:val="en-AU"/>
        </w:rPr>
        <w:t xml:space="preserve">- which would not meet the demands of the permissible limitations set out in </w:t>
      </w:r>
      <w:r w:rsidR="00085D0F" w:rsidRPr="002A58C6">
        <w:rPr>
          <w:rFonts w:ascii="Times New Roman" w:hAnsi="Times New Roman"/>
          <w:sz w:val="24"/>
          <w:szCs w:val="24"/>
          <w:lang w:val="en-AU"/>
        </w:rPr>
        <w:t xml:space="preserve">Article </w:t>
      </w:r>
      <w:r w:rsidR="00FE1538">
        <w:rPr>
          <w:rFonts w:ascii="Times New Roman" w:hAnsi="Times New Roman"/>
          <w:sz w:val="24"/>
          <w:szCs w:val="24"/>
          <w:lang w:val="en-AU"/>
        </w:rPr>
        <w:t xml:space="preserve">19 and Article </w:t>
      </w:r>
      <w:r w:rsidR="00085D0F" w:rsidRPr="002A58C6">
        <w:rPr>
          <w:rFonts w:ascii="Times New Roman" w:hAnsi="Times New Roman"/>
          <w:sz w:val="24"/>
          <w:szCs w:val="24"/>
          <w:lang w:val="en-AU"/>
        </w:rPr>
        <w:t xml:space="preserve">21 </w:t>
      </w:r>
      <w:r w:rsidR="00FE1538">
        <w:rPr>
          <w:rFonts w:ascii="Times New Roman" w:hAnsi="Times New Roman"/>
          <w:sz w:val="24"/>
          <w:szCs w:val="24"/>
          <w:lang w:val="en-AU"/>
        </w:rPr>
        <w:t xml:space="preserve">of the </w:t>
      </w:r>
      <w:r w:rsidR="00932820" w:rsidRPr="002A58C6">
        <w:rPr>
          <w:rFonts w:ascii="Times New Roman" w:hAnsi="Times New Roman"/>
          <w:sz w:val="24"/>
          <w:szCs w:val="24"/>
          <w:lang w:val="en-AU"/>
        </w:rPr>
        <w:t>ICCPR.</w:t>
      </w:r>
      <w:proofErr w:type="gramEnd"/>
      <w:r w:rsidR="00932820" w:rsidRPr="002A58C6">
        <w:rPr>
          <w:rFonts w:ascii="Times New Roman" w:hAnsi="Times New Roman"/>
          <w:sz w:val="24"/>
          <w:szCs w:val="24"/>
          <w:lang w:val="en-AU"/>
        </w:rPr>
        <w:t xml:space="preserve">  It has been said in the context of the freedom of expression</w:t>
      </w:r>
      <w:r w:rsidR="00932820" w:rsidRPr="002A58C6">
        <w:rPr>
          <w:rFonts w:ascii="Times New Roman" w:hAnsi="Times New Roman"/>
          <w:sz w:val="24"/>
          <w:szCs w:val="24"/>
          <w:vertAlign w:val="superscript"/>
          <w:lang w:val="en-AU"/>
        </w:rPr>
        <w:footnoteReference w:id="19"/>
      </w:r>
      <w:r w:rsidR="00932820" w:rsidRPr="002A58C6">
        <w:rPr>
          <w:rFonts w:ascii="Times New Roman" w:hAnsi="Times New Roman"/>
          <w:sz w:val="24"/>
          <w:szCs w:val="24"/>
          <w:lang w:val="en-AU"/>
        </w:rPr>
        <w:t xml:space="preserve"> and would </w:t>
      </w:r>
      <w:r w:rsidR="00A125F4" w:rsidRPr="002A58C6">
        <w:rPr>
          <w:rFonts w:ascii="Times New Roman" w:hAnsi="Times New Roman"/>
          <w:sz w:val="24"/>
          <w:szCs w:val="24"/>
          <w:lang w:val="en-AU"/>
        </w:rPr>
        <w:t xml:space="preserve">thus, </w:t>
      </w:r>
      <w:r w:rsidR="00932820" w:rsidRPr="002A58C6">
        <w:rPr>
          <w:rFonts w:ascii="Times New Roman" w:hAnsi="Times New Roman"/>
          <w:sz w:val="24"/>
          <w:szCs w:val="24"/>
          <w:lang w:val="en-AU"/>
        </w:rPr>
        <w:t>equally apply to the freedom of assembly</w:t>
      </w:r>
      <w:r w:rsidR="00932820" w:rsidRPr="002A58C6">
        <w:rPr>
          <w:rFonts w:ascii="Times New Roman" w:hAnsi="Times New Roman"/>
          <w:sz w:val="24"/>
          <w:szCs w:val="24"/>
          <w:vertAlign w:val="superscript"/>
          <w:lang w:val="en-AU"/>
        </w:rPr>
        <w:footnoteReference w:id="20"/>
      </w:r>
      <w:r w:rsidR="00A125F4" w:rsidRPr="002A58C6">
        <w:rPr>
          <w:rFonts w:ascii="Times New Roman" w:hAnsi="Times New Roman"/>
          <w:sz w:val="24"/>
          <w:szCs w:val="24"/>
          <w:lang w:val="en-AU"/>
        </w:rPr>
        <w:t xml:space="preserve"> that </w:t>
      </w:r>
      <w:r w:rsidR="00932820" w:rsidRPr="002A58C6">
        <w:rPr>
          <w:rFonts w:ascii="Times New Roman" w:hAnsi="Times New Roman"/>
          <w:sz w:val="24"/>
          <w:szCs w:val="24"/>
          <w:lang w:val="en-AU"/>
        </w:rPr>
        <w:t xml:space="preserve"> </w:t>
      </w:r>
      <w:r w:rsidR="00A125F4" w:rsidRPr="002A58C6">
        <w:rPr>
          <w:rFonts w:ascii="Times New Roman" w:hAnsi="Times New Roman"/>
          <w:sz w:val="24"/>
          <w:szCs w:val="24"/>
          <w:lang w:val="en-US"/>
        </w:rPr>
        <w:t>“</w:t>
      </w:r>
      <w:r w:rsidR="00A125F4" w:rsidRPr="002A58C6">
        <w:rPr>
          <w:rFonts w:ascii="Times New Roman" w:hAnsi="Times New Roman"/>
          <w:i/>
          <w:sz w:val="24"/>
          <w:szCs w:val="24"/>
        </w:rPr>
        <w:t>Filtering of content on the Internet, using communications ‘kill switches’ (i.e. shutting down entire parts of communications systems) and the physical takeover of broadcasting stations are measures which can never be justified under human rights law”</w:t>
      </w:r>
      <w:r w:rsidR="00932820" w:rsidRPr="002A58C6">
        <w:rPr>
          <w:rFonts w:ascii="Times New Roman" w:hAnsi="Times New Roman"/>
          <w:sz w:val="24"/>
          <w:szCs w:val="24"/>
          <w:lang w:val="en-AU"/>
        </w:rPr>
        <w:t xml:space="preserve"> </w:t>
      </w:r>
      <w:r w:rsidR="00A125F4" w:rsidRPr="002A58C6">
        <w:rPr>
          <w:rFonts w:ascii="Times New Roman" w:hAnsi="Times New Roman"/>
          <w:sz w:val="24"/>
          <w:szCs w:val="24"/>
          <w:lang w:val="en-AU"/>
        </w:rPr>
        <w:t>.</w:t>
      </w:r>
      <w:r w:rsidR="00A125F4" w:rsidRPr="002A58C6">
        <w:rPr>
          <w:rStyle w:val="FootnoteReference"/>
          <w:rFonts w:ascii="Times New Roman" w:hAnsi="Times New Roman"/>
          <w:sz w:val="24"/>
          <w:szCs w:val="24"/>
          <w:lang w:val="en-AU"/>
        </w:rPr>
        <w:footnoteReference w:id="21"/>
      </w:r>
    </w:p>
    <w:p w14:paraId="3C84AA6C" w14:textId="77777777" w:rsidR="00A125F4" w:rsidRPr="002A58C6" w:rsidRDefault="00A125F4" w:rsidP="00081B3A">
      <w:pPr>
        <w:pStyle w:val="ListParagraph"/>
        <w:ind w:left="567" w:hanging="425"/>
        <w:jc w:val="both"/>
        <w:rPr>
          <w:rFonts w:ascii="Times New Roman" w:hAnsi="Times New Roman"/>
          <w:sz w:val="24"/>
          <w:szCs w:val="24"/>
          <w:lang w:val="en-AU"/>
        </w:rPr>
      </w:pPr>
    </w:p>
    <w:p w14:paraId="39019920" w14:textId="2AFCA1C9" w:rsidR="006C29B1" w:rsidRPr="002A58C6" w:rsidRDefault="00A125F4" w:rsidP="00081B3A">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lang w:val="en-AU"/>
        </w:rPr>
        <w:t xml:space="preserve">Owing to the above, </w:t>
      </w:r>
      <w:r w:rsidR="00422515">
        <w:rPr>
          <w:rFonts w:ascii="Times New Roman" w:hAnsi="Times New Roman"/>
          <w:sz w:val="24"/>
          <w:szCs w:val="24"/>
          <w:lang w:val="en-AU"/>
        </w:rPr>
        <w:t>States</w:t>
      </w:r>
      <w:r w:rsidRPr="002A58C6">
        <w:rPr>
          <w:rFonts w:ascii="Times New Roman" w:hAnsi="Times New Roman"/>
          <w:sz w:val="24"/>
          <w:szCs w:val="24"/>
          <w:lang w:val="en-AU"/>
        </w:rPr>
        <w:t xml:space="preserve"> should also be</w:t>
      </w:r>
      <w:r w:rsidR="00422515">
        <w:rPr>
          <w:rFonts w:ascii="Times New Roman" w:hAnsi="Times New Roman"/>
          <w:sz w:val="24"/>
          <w:szCs w:val="24"/>
          <w:lang w:val="en-AU"/>
        </w:rPr>
        <w:t>ar</w:t>
      </w:r>
      <w:r w:rsidRPr="002A58C6">
        <w:rPr>
          <w:rFonts w:ascii="Times New Roman" w:hAnsi="Times New Roman"/>
          <w:sz w:val="24"/>
          <w:szCs w:val="24"/>
          <w:lang w:val="en-AU"/>
        </w:rPr>
        <w:t xml:space="preserve"> </w:t>
      </w:r>
      <w:r w:rsidR="00932820" w:rsidRPr="002A58C6">
        <w:rPr>
          <w:rFonts w:ascii="Times New Roman" w:hAnsi="Times New Roman"/>
          <w:sz w:val="24"/>
          <w:szCs w:val="24"/>
          <w:lang w:val="en-AU"/>
        </w:rPr>
        <w:t>in mind that the more general the ban</w:t>
      </w:r>
      <w:r w:rsidR="007C68C2" w:rsidRPr="002A58C6">
        <w:rPr>
          <w:rFonts w:ascii="Times New Roman" w:hAnsi="Times New Roman"/>
          <w:sz w:val="24"/>
          <w:szCs w:val="24"/>
          <w:lang w:val="en-AU"/>
        </w:rPr>
        <w:t xml:space="preserve"> (shutdown, filtering)</w:t>
      </w:r>
      <w:r w:rsidR="00932820" w:rsidRPr="002A58C6">
        <w:rPr>
          <w:rFonts w:ascii="Times New Roman" w:hAnsi="Times New Roman"/>
          <w:sz w:val="24"/>
          <w:szCs w:val="24"/>
          <w:lang w:val="en-AU"/>
        </w:rPr>
        <w:t>, the less likely it is to really respond to a pressing social need</w:t>
      </w:r>
      <w:r w:rsidR="00932820" w:rsidRPr="002A58C6">
        <w:rPr>
          <w:rFonts w:ascii="Times New Roman" w:hAnsi="Times New Roman"/>
          <w:sz w:val="24"/>
          <w:szCs w:val="24"/>
          <w:vertAlign w:val="superscript"/>
          <w:lang w:val="en-AU"/>
        </w:rPr>
        <w:footnoteReference w:id="22"/>
      </w:r>
      <w:r w:rsidR="00932820" w:rsidRPr="002A58C6">
        <w:rPr>
          <w:rFonts w:ascii="Times New Roman" w:hAnsi="Times New Roman"/>
          <w:sz w:val="24"/>
          <w:szCs w:val="24"/>
          <w:lang w:val="en-AU"/>
        </w:rPr>
        <w:t xml:space="preserve"> for it to be introduced, even for the</w:t>
      </w:r>
      <w:r w:rsidR="0064521B">
        <w:rPr>
          <w:rFonts w:ascii="Times New Roman" w:hAnsi="Times New Roman"/>
          <w:sz w:val="24"/>
          <w:szCs w:val="24"/>
          <w:lang w:val="en-AU"/>
        </w:rPr>
        <w:t xml:space="preserve"> purposes of national security.</w:t>
      </w:r>
      <w:r w:rsidR="00932820" w:rsidRPr="002A58C6">
        <w:rPr>
          <w:rFonts w:ascii="Times New Roman" w:hAnsi="Times New Roman"/>
          <w:sz w:val="24"/>
          <w:szCs w:val="24"/>
          <w:lang w:val="en-AU"/>
        </w:rPr>
        <w:t xml:space="preserve"> It is considered that such a drastic measure would only be available to States under the extremely limited circumstances permitted based on official derogation, and here, the livelihood of the entire country (as opposed to one political group in power) would have to be at stake</w:t>
      </w:r>
      <w:r w:rsidR="00E10C54" w:rsidRPr="002A58C6">
        <w:rPr>
          <w:rFonts w:ascii="Times New Roman" w:hAnsi="Times New Roman"/>
          <w:sz w:val="24"/>
          <w:szCs w:val="24"/>
          <w:lang w:val="en-AU"/>
        </w:rPr>
        <w:t>.</w:t>
      </w:r>
      <w:r w:rsidR="00FC09CD" w:rsidRPr="002A58C6">
        <w:rPr>
          <w:rFonts w:ascii="Times New Roman" w:hAnsi="Times New Roman"/>
        </w:rPr>
        <w:t xml:space="preserve"> </w:t>
      </w:r>
      <w:r w:rsidR="00FC09CD" w:rsidRPr="002A58C6">
        <w:rPr>
          <w:rFonts w:ascii="Times New Roman" w:hAnsi="Times New Roman"/>
          <w:sz w:val="24"/>
          <w:szCs w:val="24"/>
        </w:rPr>
        <w:t>States should therefore, ensure that Internet access is maintained at all times, including during times of political unrest</w:t>
      </w:r>
      <w:r w:rsidR="00BC7870" w:rsidRPr="002A58C6">
        <w:rPr>
          <w:rFonts w:ascii="Times New Roman" w:hAnsi="Times New Roman"/>
          <w:sz w:val="24"/>
          <w:szCs w:val="24"/>
        </w:rPr>
        <w:t>.</w:t>
      </w:r>
      <w:r w:rsidR="00FC09CD" w:rsidRPr="002A58C6">
        <w:rPr>
          <w:rStyle w:val="FootnoteReference"/>
          <w:rFonts w:ascii="Times New Roman" w:hAnsi="Times New Roman"/>
          <w:sz w:val="24"/>
          <w:szCs w:val="24"/>
        </w:rPr>
        <w:footnoteReference w:id="23"/>
      </w:r>
      <w:r w:rsidR="00FC09CD" w:rsidRPr="002A58C6">
        <w:rPr>
          <w:rFonts w:ascii="Times New Roman" w:hAnsi="Times New Roman"/>
          <w:sz w:val="24"/>
          <w:szCs w:val="24"/>
        </w:rPr>
        <w:t xml:space="preserve"> </w:t>
      </w:r>
    </w:p>
    <w:p w14:paraId="0D5C342C" w14:textId="77777777" w:rsidR="006C29B1" w:rsidRPr="002A58C6" w:rsidRDefault="006C29B1" w:rsidP="00081B3A">
      <w:pPr>
        <w:pStyle w:val="ListParagraph"/>
        <w:ind w:left="567" w:hanging="425"/>
        <w:jc w:val="both"/>
        <w:rPr>
          <w:rFonts w:ascii="Times New Roman" w:hAnsi="Times New Roman"/>
          <w:sz w:val="24"/>
          <w:szCs w:val="24"/>
        </w:rPr>
      </w:pPr>
    </w:p>
    <w:p w14:paraId="1987FEFB" w14:textId="69EC8620" w:rsidR="00C41102" w:rsidRPr="002A58C6" w:rsidRDefault="00C41102" w:rsidP="00081B3A">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t xml:space="preserve">Furthermore, </w:t>
      </w:r>
      <w:r w:rsidR="00AD7AB9" w:rsidRPr="002A58C6">
        <w:rPr>
          <w:rFonts w:ascii="Times New Roman" w:hAnsi="Times New Roman"/>
          <w:sz w:val="24"/>
          <w:szCs w:val="24"/>
        </w:rPr>
        <w:t xml:space="preserve">the question posed </w:t>
      </w:r>
      <w:r w:rsidRPr="002A58C6">
        <w:rPr>
          <w:rFonts w:ascii="Times New Roman" w:hAnsi="Times New Roman"/>
          <w:sz w:val="24"/>
          <w:szCs w:val="24"/>
        </w:rPr>
        <w:t>requires consideration of the role of Internet Service Providers (ISP)</w:t>
      </w:r>
      <w:r w:rsidR="00631E99" w:rsidRPr="002A58C6">
        <w:rPr>
          <w:rFonts w:ascii="Times New Roman" w:hAnsi="Times New Roman"/>
          <w:sz w:val="24"/>
          <w:szCs w:val="24"/>
        </w:rPr>
        <w:t>,</w:t>
      </w:r>
      <w:r w:rsidR="003A0B42" w:rsidRPr="002A58C6">
        <w:rPr>
          <w:rStyle w:val="FootnoteReference"/>
          <w:rFonts w:ascii="Times New Roman" w:hAnsi="Times New Roman"/>
          <w:sz w:val="24"/>
          <w:szCs w:val="24"/>
        </w:rPr>
        <w:footnoteReference w:id="24"/>
      </w:r>
      <w:r w:rsidRPr="002A58C6">
        <w:rPr>
          <w:rFonts w:ascii="Times New Roman" w:hAnsi="Times New Roman"/>
          <w:sz w:val="24"/>
          <w:szCs w:val="24"/>
        </w:rPr>
        <w:t xml:space="preserve"> which can be described as follows: </w:t>
      </w:r>
    </w:p>
    <w:p w14:paraId="114DA679" w14:textId="77777777" w:rsidR="00C41102" w:rsidRPr="002A58C6" w:rsidRDefault="00C41102" w:rsidP="00081B3A">
      <w:pPr>
        <w:pStyle w:val="ListParagraph"/>
        <w:ind w:left="567" w:hanging="425"/>
        <w:jc w:val="both"/>
        <w:rPr>
          <w:rFonts w:ascii="Times New Roman" w:hAnsi="Times New Roman"/>
          <w:sz w:val="24"/>
          <w:szCs w:val="24"/>
        </w:rPr>
      </w:pPr>
    </w:p>
    <w:p w14:paraId="342EDBED" w14:textId="3F453601" w:rsidR="00F4056E" w:rsidRPr="002A58C6" w:rsidRDefault="00C41102" w:rsidP="00631E99">
      <w:pPr>
        <w:pStyle w:val="ListParagraph"/>
        <w:ind w:left="567"/>
        <w:jc w:val="both"/>
        <w:rPr>
          <w:rFonts w:ascii="Times New Roman" w:hAnsi="Times New Roman"/>
          <w:sz w:val="24"/>
          <w:szCs w:val="24"/>
        </w:rPr>
      </w:pPr>
      <w:r w:rsidRPr="002A58C6">
        <w:rPr>
          <w:rFonts w:ascii="Times New Roman" w:hAnsi="Times New Roman"/>
          <w:sz w:val="24"/>
          <w:szCs w:val="24"/>
        </w:rPr>
        <w:t xml:space="preserve">States have the ultimate obligation to protect human rights, the obligations to respect, protect and fulfil, extend also to </w:t>
      </w:r>
      <w:r w:rsidR="00F82D72" w:rsidRPr="002A58C6">
        <w:rPr>
          <w:rFonts w:ascii="Times New Roman" w:hAnsi="Times New Roman"/>
          <w:sz w:val="24"/>
          <w:szCs w:val="24"/>
        </w:rPr>
        <w:t xml:space="preserve">acts committed by </w:t>
      </w:r>
      <w:r w:rsidRPr="002A58C6">
        <w:rPr>
          <w:rFonts w:ascii="Times New Roman" w:hAnsi="Times New Roman"/>
          <w:sz w:val="24"/>
          <w:szCs w:val="24"/>
        </w:rPr>
        <w:t>third parties</w:t>
      </w:r>
      <w:r w:rsidR="00780709" w:rsidRPr="002A58C6">
        <w:rPr>
          <w:rFonts w:ascii="Times New Roman" w:hAnsi="Times New Roman"/>
          <w:sz w:val="24"/>
          <w:szCs w:val="24"/>
        </w:rPr>
        <w:t>,</w:t>
      </w:r>
      <w:r w:rsidR="00DD7CEF" w:rsidRPr="002A58C6">
        <w:rPr>
          <w:rStyle w:val="FootnoteReference"/>
          <w:rFonts w:ascii="Times New Roman" w:hAnsi="Times New Roman"/>
          <w:sz w:val="24"/>
          <w:szCs w:val="24"/>
        </w:rPr>
        <w:footnoteReference w:id="25"/>
      </w:r>
      <w:r w:rsidRPr="002A58C6">
        <w:rPr>
          <w:rFonts w:ascii="Times New Roman" w:hAnsi="Times New Roman"/>
          <w:sz w:val="24"/>
          <w:szCs w:val="24"/>
        </w:rPr>
        <w:t xml:space="preserve"> which in this case also means, ISPs</w:t>
      </w:r>
      <w:r w:rsidR="00631E99" w:rsidRPr="002A58C6">
        <w:rPr>
          <w:rFonts w:ascii="Times New Roman" w:hAnsi="Times New Roman"/>
          <w:sz w:val="24"/>
          <w:szCs w:val="24"/>
        </w:rPr>
        <w:t>,</w:t>
      </w:r>
      <w:r w:rsidRPr="002A58C6">
        <w:rPr>
          <w:rStyle w:val="FootnoteReference"/>
          <w:rFonts w:ascii="Times New Roman" w:hAnsi="Times New Roman"/>
          <w:sz w:val="24"/>
          <w:szCs w:val="24"/>
        </w:rPr>
        <w:footnoteReference w:id="26"/>
      </w:r>
      <w:r w:rsidRPr="002A58C6">
        <w:rPr>
          <w:rFonts w:ascii="Times New Roman" w:hAnsi="Times New Roman"/>
          <w:sz w:val="24"/>
          <w:szCs w:val="24"/>
        </w:rPr>
        <w:t xml:space="preserve"> which, while privately owned companies, host the publicly available space for expression and assembly. </w:t>
      </w:r>
    </w:p>
    <w:p w14:paraId="04B7E170" w14:textId="77777777" w:rsidR="00F4056E" w:rsidRPr="002A58C6" w:rsidRDefault="00F4056E" w:rsidP="00081B3A">
      <w:pPr>
        <w:pStyle w:val="ListParagraph"/>
        <w:ind w:left="567" w:hanging="425"/>
        <w:jc w:val="both"/>
        <w:rPr>
          <w:rFonts w:ascii="Times New Roman" w:hAnsi="Times New Roman"/>
          <w:sz w:val="24"/>
          <w:szCs w:val="24"/>
        </w:rPr>
      </w:pPr>
    </w:p>
    <w:p w14:paraId="666262A5" w14:textId="03BD34A2" w:rsidR="00117B4B" w:rsidRPr="002A58C6" w:rsidRDefault="00C41102" w:rsidP="00081B3A">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t xml:space="preserve">States should </w:t>
      </w:r>
      <w:r w:rsidR="00E030AE" w:rsidRPr="002A58C6">
        <w:rPr>
          <w:rFonts w:ascii="Times New Roman" w:hAnsi="Times New Roman"/>
          <w:sz w:val="24"/>
          <w:szCs w:val="24"/>
        </w:rPr>
        <w:t xml:space="preserve">therefore </w:t>
      </w:r>
      <w:r w:rsidRPr="002A58C6">
        <w:rPr>
          <w:rFonts w:ascii="Times New Roman" w:hAnsi="Times New Roman"/>
          <w:sz w:val="24"/>
          <w:szCs w:val="24"/>
        </w:rPr>
        <w:t xml:space="preserve">ensure that self-regulation </w:t>
      </w:r>
      <w:r w:rsidR="00D74AD4" w:rsidRPr="002A58C6">
        <w:rPr>
          <w:rFonts w:ascii="Times New Roman" w:hAnsi="Times New Roman"/>
          <w:sz w:val="24"/>
          <w:szCs w:val="24"/>
        </w:rPr>
        <w:t xml:space="preserve">by ISPs </w:t>
      </w:r>
      <w:r w:rsidRPr="002A58C6">
        <w:rPr>
          <w:rFonts w:ascii="Times New Roman" w:hAnsi="Times New Roman"/>
          <w:sz w:val="24"/>
          <w:szCs w:val="24"/>
        </w:rPr>
        <w:t xml:space="preserve">does not lead to a censorship of content, which would </w:t>
      </w:r>
      <w:r w:rsidR="0064521B">
        <w:rPr>
          <w:rFonts w:ascii="Times New Roman" w:hAnsi="Times New Roman"/>
          <w:sz w:val="24"/>
          <w:szCs w:val="24"/>
        </w:rPr>
        <w:t xml:space="preserve">not </w:t>
      </w:r>
      <w:r w:rsidRPr="002A58C6">
        <w:rPr>
          <w:rFonts w:ascii="Times New Roman" w:hAnsi="Times New Roman"/>
          <w:sz w:val="24"/>
          <w:szCs w:val="24"/>
        </w:rPr>
        <w:t>ordinarily be permissible and acceptable in a democratic society. This also applies to assemblies expressing views that may ‘offend, shock or disturb’ the State or any sector of the population</w:t>
      </w:r>
      <w:r w:rsidRPr="002A58C6">
        <w:rPr>
          <w:rFonts w:ascii="Times New Roman" w:hAnsi="Times New Roman"/>
          <w:vertAlign w:val="superscript"/>
        </w:rPr>
        <w:footnoteReference w:id="27"/>
      </w:r>
      <w:r w:rsidRPr="002A58C6">
        <w:rPr>
          <w:rFonts w:ascii="Times New Roman" w:hAnsi="Times New Roman"/>
          <w:sz w:val="24"/>
          <w:szCs w:val="24"/>
        </w:rPr>
        <w:t xml:space="preserve"> for as long as they do not incite violence</w:t>
      </w:r>
      <w:r w:rsidR="00BC706F">
        <w:rPr>
          <w:rFonts w:ascii="Times New Roman" w:hAnsi="Times New Roman"/>
          <w:sz w:val="24"/>
          <w:szCs w:val="24"/>
        </w:rPr>
        <w:t>.</w:t>
      </w:r>
      <w:r w:rsidRPr="002A58C6">
        <w:rPr>
          <w:rFonts w:ascii="Times New Roman" w:hAnsi="Times New Roman"/>
          <w:vertAlign w:val="superscript"/>
        </w:rPr>
        <w:footnoteReference w:id="28"/>
      </w:r>
      <w:r w:rsidRPr="002A58C6">
        <w:rPr>
          <w:rFonts w:ascii="Times New Roman" w:hAnsi="Times New Roman"/>
          <w:sz w:val="24"/>
          <w:szCs w:val="24"/>
        </w:rPr>
        <w:t xml:space="preserve"> </w:t>
      </w:r>
      <w:r w:rsidR="00BC706F">
        <w:rPr>
          <w:rFonts w:ascii="Times New Roman" w:hAnsi="Times New Roman"/>
          <w:sz w:val="24"/>
          <w:szCs w:val="24"/>
        </w:rPr>
        <w:t xml:space="preserve">As </w:t>
      </w:r>
      <w:proofErr w:type="gramStart"/>
      <w:r w:rsidR="00BC706F">
        <w:rPr>
          <w:rFonts w:ascii="Times New Roman" w:hAnsi="Times New Roman"/>
          <w:sz w:val="24"/>
          <w:szCs w:val="24"/>
        </w:rPr>
        <w:t>well</w:t>
      </w:r>
      <w:proofErr w:type="gramEnd"/>
      <w:r w:rsidR="00BC706F">
        <w:rPr>
          <w:rFonts w:ascii="Times New Roman" w:hAnsi="Times New Roman"/>
          <w:sz w:val="24"/>
          <w:szCs w:val="24"/>
        </w:rPr>
        <w:t xml:space="preserve"> as ensure</w:t>
      </w:r>
      <w:r w:rsidRPr="002A58C6">
        <w:rPr>
          <w:rFonts w:ascii="Times New Roman" w:hAnsi="Times New Roman"/>
          <w:sz w:val="24"/>
          <w:szCs w:val="24"/>
        </w:rPr>
        <w:t xml:space="preserve"> that these ISPs do not interfere with the message sought to be conveyed by the expression and/or assembly, through catch-all algorithms or un</w:t>
      </w:r>
      <w:r w:rsidR="00BC706F">
        <w:rPr>
          <w:rFonts w:ascii="Times New Roman" w:hAnsi="Times New Roman"/>
          <w:sz w:val="24"/>
          <w:szCs w:val="24"/>
        </w:rPr>
        <w:t>warranted take down of content.</w:t>
      </w:r>
      <w:r w:rsidRPr="002A58C6">
        <w:rPr>
          <w:rFonts w:ascii="Times New Roman" w:hAnsi="Times New Roman"/>
          <w:sz w:val="24"/>
          <w:szCs w:val="24"/>
        </w:rPr>
        <w:t xml:space="preserve"> On the other hand, ISPs </w:t>
      </w:r>
      <w:proofErr w:type="gramStart"/>
      <w:r w:rsidRPr="002A58C6">
        <w:rPr>
          <w:rFonts w:ascii="Times New Roman" w:hAnsi="Times New Roman"/>
          <w:sz w:val="24"/>
          <w:szCs w:val="24"/>
        </w:rPr>
        <w:t>may</w:t>
      </w:r>
      <w:r w:rsidR="0097073E">
        <w:rPr>
          <w:rFonts w:ascii="Times New Roman" w:hAnsi="Times New Roman"/>
          <w:sz w:val="24"/>
          <w:szCs w:val="24"/>
        </w:rPr>
        <w:t xml:space="preserve">, in some jurisdictions, </w:t>
      </w:r>
      <w:r w:rsidRPr="002A58C6">
        <w:rPr>
          <w:rFonts w:ascii="Times New Roman" w:hAnsi="Times New Roman"/>
          <w:sz w:val="24"/>
          <w:szCs w:val="24"/>
        </w:rPr>
        <w:t>be held</w:t>
      </w:r>
      <w:proofErr w:type="gramEnd"/>
      <w:r w:rsidRPr="002A58C6">
        <w:rPr>
          <w:rFonts w:ascii="Times New Roman" w:hAnsi="Times New Roman"/>
          <w:sz w:val="24"/>
          <w:szCs w:val="24"/>
        </w:rPr>
        <w:t xml:space="preserve"> accountable whe</w:t>
      </w:r>
      <w:r w:rsidR="00311372" w:rsidRPr="002A58C6">
        <w:rPr>
          <w:rFonts w:ascii="Times New Roman" w:hAnsi="Times New Roman"/>
          <w:sz w:val="24"/>
          <w:szCs w:val="24"/>
        </w:rPr>
        <w:t>n</w:t>
      </w:r>
      <w:r w:rsidRPr="002A58C6">
        <w:rPr>
          <w:rFonts w:ascii="Times New Roman" w:hAnsi="Times New Roman"/>
          <w:sz w:val="24"/>
          <w:szCs w:val="24"/>
        </w:rPr>
        <w:t xml:space="preserve"> they do not react to or remove content or expression</w:t>
      </w:r>
      <w:r w:rsidR="00BC706F">
        <w:rPr>
          <w:rFonts w:ascii="Times New Roman" w:hAnsi="Times New Roman"/>
          <w:sz w:val="24"/>
          <w:szCs w:val="24"/>
        </w:rPr>
        <w:t>,</w:t>
      </w:r>
      <w:r w:rsidRPr="002A58C6">
        <w:rPr>
          <w:rFonts w:ascii="Times New Roman" w:hAnsi="Times New Roman"/>
          <w:sz w:val="24"/>
          <w:szCs w:val="24"/>
        </w:rPr>
        <w:t xml:space="preserve"> which amounts to an incitement to violence or hate speech.</w:t>
      </w:r>
      <w:r w:rsidRPr="002A58C6">
        <w:rPr>
          <w:rFonts w:ascii="Times New Roman" w:hAnsi="Times New Roman"/>
          <w:vertAlign w:val="superscript"/>
        </w:rPr>
        <w:footnoteReference w:id="29"/>
      </w:r>
      <w:r w:rsidRPr="002A58C6">
        <w:rPr>
          <w:rFonts w:ascii="Times New Roman" w:hAnsi="Times New Roman"/>
          <w:sz w:val="24"/>
          <w:szCs w:val="24"/>
        </w:rPr>
        <w:t xml:space="preserve"> </w:t>
      </w:r>
      <w:r w:rsidR="004E34F3" w:rsidRPr="002A58C6">
        <w:rPr>
          <w:rFonts w:ascii="Times New Roman" w:hAnsi="Times New Roman"/>
          <w:sz w:val="24"/>
          <w:szCs w:val="24"/>
          <w:lang w:val="en-US"/>
        </w:rPr>
        <w:t>States</w:t>
      </w:r>
      <w:r w:rsidR="00BC706F">
        <w:rPr>
          <w:rFonts w:ascii="Times New Roman" w:hAnsi="Times New Roman"/>
          <w:sz w:val="24"/>
          <w:szCs w:val="24"/>
          <w:lang w:val="en-US"/>
        </w:rPr>
        <w:t>’</w:t>
      </w:r>
      <w:r w:rsidR="004E34F3" w:rsidRPr="002A58C6">
        <w:rPr>
          <w:rFonts w:ascii="Times New Roman" w:hAnsi="Times New Roman"/>
          <w:sz w:val="24"/>
          <w:szCs w:val="24"/>
          <w:lang w:val="en-US"/>
        </w:rPr>
        <w:t xml:space="preserve"> authorities regularly request </w:t>
      </w:r>
      <w:r w:rsidR="00BC706F" w:rsidRPr="002A58C6">
        <w:rPr>
          <w:rFonts w:ascii="Times New Roman" w:hAnsi="Times New Roman"/>
          <w:sz w:val="24"/>
          <w:szCs w:val="24"/>
          <w:lang w:val="en-US"/>
        </w:rPr>
        <w:t xml:space="preserve">information on the online activity of persons and groups </w:t>
      </w:r>
      <w:r w:rsidR="00BC706F">
        <w:rPr>
          <w:rFonts w:ascii="Times New Roman" w:hAnsi="Times New Roman"/>
          <w:sz w:val="24"/>
          <w:szCs w:val="24"/>
          <w:lang w:val="en-US"/>
        </w:rPr>
        <w:t>from social media platforms</w:t>
      </w:r>
      <w:r w:rsidR="004E34F3" w:rsidRPr="002A58C6">
        <w:rPr>
          <w:rFonts w:ascii="Times New Roman" w:hAnsi="Times New Roman"/>
          <w:sz w:val="24"/>
          <w:szCs w:val="24"/>
          <w:lang w:val="en-US"/>
        </w:rPr>
        <w:t>, for example, Facebook received 322,923 such requests in 2018 alone.</w:t>
      </w:r>
      <w:r w:rsidR="004E34F3" w:rsidRPr="002A58C6">
        <w:rPr>
          <w:rFonts w:ascii="Times New Roman" w:hAnsi="Times New Roman"/>
          <w:sz w:val="24"/>
          <w:szCs w:val="24"/>
          <w:vertAlign w:val="superscript"/>
          <w:lang w:val="en-US"/>
        </w:rPr>
        <w:footnoteReference w:id="30"/>
      </w:r>
      <w:r w:rsidR="004E34F3" w:rsidRPr="002A58C6">
        <w:rPr>
          <w:rFonts w:ascii="Times New Roman" w:hAnsi="Times New Roman"/>
          <w:sz w:val="24"/>
          <w:szCs w:val="24"/>
          <w:lang w:val="en-US"/>
        </w:rPr>
        <w:t xml:space="preserve"> </w:t>
      </w:r>
      <w:r w:rsidR="005A053F" w:rsidRPr="002A58C6">
        <w:rPr>
          <w:rFonts w:ascii="Times New Roman" w:hAnsi="Times New Roman"/>
          <w:sz w:val="24"/>
          <w:szCs w:val="24"/>
          <w:lang w:val="en-US"/>
        </w:rPr>
        <w:t xml:space="preserve">In this regard, </w:t>
      </w:r>
      <w:r w:rsidR="005A053F" w:rsidRPr="002A58C6">
        <w:rPr>
          <w:rFonts w:ascii="Times New Roman" w:hAnsi="Times New Roman"/>
          <w:sz w:val="24"/>
          <w:szCs w:val="24"/>
        </w:rPr>
        <w:t>ISPs should also respect and protect the privacy of users, and should not be compelled by the State to divulge information thereon without a court order.</w:t>
      </w:r>
      <w:r w:rsidR="004E34F3" w:rsidRPr="002A58C6">
        <w:rPr>
          <w:rFonts w:ascii="Times New Roman" w:hAnsi="Times New Roman"/>
          <w:sz w:val="24"/>
          <w:szCs w:val="24"/>
          <w:lang w:val="en-US"/>
        </w:rPr>
        <w:t xml:space="preserve"> </w:t>
      </w:r>
    </w:p>
    <w:p w14:paraId="52CA27D8" w14:textId="77777777" w:rsidR="00117B4B" w:rsidRPr="002A58C6" w:rsidRDefault="00117B4B" w:rsidP="00081B3A">
      <w:pPr>
        <w:pStyle w:val="ListParagraph"/>
        <w:ind w:left="567" w:hanging="425"/>
        <w:jc w:val="both"/>
        <w:rPr>
          <w:rFonts w:ascii="Times New Roman" w:hAnsi="Times New Roman"/>
          <w:sz w:val="24"/>
          <w:szCs w:val="24"/>
        </w:rPr>
      </w:pPr>
    </w:p>
    <w:p w14:paraId="4D1AE37F" w14:textId="5A91D802" w:rsidR="00C41102" w:rsidRPr="002A58C6" w:rsidRDefault="00E53B90" w:rsidP="00081B3A">
      <w:pPr>
        <w:pStyle w:val="ListParagraph"/>
        <w:numPr>
          <w:ilvl w:val="0"/>
          <w:numId w:val="7"/>
        </w:numPr>
        <w:ind w:left="567" w:hanging="425"/>
        <w:jc w:val="both"/>
        <w:rPr>
          <w:rFonts w:ascii="Times New Roman" w:hAnsi="Times New Roman"/>
          <w:b/>
          <w:i/>
          <w:sz w:val="24"/>
          <w:szCs w:val="24"/>
          <w:lang w:val="en-US"/>
        </w:rPr>
      </w:pPr>
      <w:r w:rsidRPr="002A58C6">
        <w:rPr>
          <w:rFonts w:ascii="Times New Roman" w:hAnsi="Times New Roman"/>
          <w:sz w:val="24"/>
          <w:szCs w:val="24"/>
        </w:rPr>
        <w:t xml:space="preserve">Last but not least, States </w:t>
      </w:r>
      <w:r w:rsidR="00311372" w:rsidRPr="002A58C6">
        <w:rPr>
          <w:rFonts w:ascii="Times New Roman" w:hAnsi="Times New Roman"/>
          <w:sz w:val="24"/>
          <w:szCs w:val="24"/>
        </w:rPr>
        <w:t xml:space="preserve">should </w:t>
      </w:r>
      <w:r w:rsidRPr="002A58C6">
        <w:rPr>
          <w:rFonts w:ascii="Times New Roman" w:hAnsi="Times New Roman"/>
          <w:sz w:val="24"/>
          <w:szCs w:val="24"/>
        </w:rPr>
        <w:t xml:space="preserve">themselves </w:t>
      </w:r>
      <w:r w:rsidR="00C17525" w:rsidRPr="002A58C6">
        <w:rPr>
          <w:rFonts w:ascii="Times New Roman" w:hAnsi="Times New Roman"/>
          <w:sz w:val="24"/>
          <w:szCs w:val="24"/>
        </w:rPr>
        <w:t>refrain from interfering with content of the message of the assembly</w:t>
      </w:r>
      <w:r w:rsidR="005A053F" w:rsidRPr="002A58C6">
        <w:rPr>
          <w:rFonts w:ascii="Times New Roman" w:hAnsi="Times New Roman"/>
          <w:sz w:val="24"/>
          <w:szCs w:val="24"/>
        </w:rPr>
        <w:t xml:space="preserve"> through laws which affect </w:t>
      </w:r>
      <w:r w:rsidR="000C777E" w:rsidRPr="002A58C6">
        <w:rPr>
          <w:rFonts w:ascii="Times New Roman" w:hAnsi="Times New Roman"/>
          <w:sz w:val="24"/>
          <w:szCs w:val="24"/>
        </w:rPr>
        <w:t xml:space="preserve">online </w:t>
      </w:r>
      <w:r w:rsidR="005A053F" w:rsidRPr="002A58C6">
        <w:rPr>
          <w:rFonts w:ascii="Times New Roman" w:hAnsi="Times New Roman"/>
          <w:sz w:val="24"/>
          <w:szCs w:val="24"/>
        </w:rPr>
        <w:t xml:space="preserve">content. </w:t>
      </w:r>
      <w:r w:rsidR="00077F63">
        <w:rPr>
          <w:rFonts w:ascii="Times New Roman" w:hAnsi="Times New Roman"/>
          <w:sz w:val="24"/>
          <w:szCs w:val="24"/>
        </w:rPr>
        <w:t xml:space="preserve">For instance, </w:t>
      </w:r>
      <w:r w:rsidR="00234E12" w:rsidRPr="002A58C6">
        <w:rPr>
          <w:rFonts w:ascii="Times New Roman" w:hAnsi="Times New Roman"/>
          <w:sz w:val="24"/>
          <w:szCs w:val="24"/>
          <w:lang w:val="en-US"/>
        </w:rPr>
        <w:t>approximately</w:t>
      </w:r>
      <w:r w:rsidR="00503AA6" w:rsidRPr="002A58C6">
        <w:rPr>
          <w:rFonts w:ascii="Times New Roman" w:hAnsi="Times New Roman"/>
          <w:sz w:val="24"/>
          <w:szCs w:val="24"/>
          <w:lang w:val="en-US"/>
        </w:rPr>
        <w:t>, 52 nations including France, Russia, Denmark, Singapore, Egypt, and Brazil have laws against fake news</w:t>
      </w:r>
      <w:r w:rsidR="00077F63">
        <w:rPr>
          <w:rFonts w:ascii="Times New Roman" w:hAnsi="Times New Roman"/>
          <w:sz w:val="24"/>
          <w:szCs w:val="24"/>
          <w:lang w:val="en-US"/>
        </w:rPr>
        <w:t>.</w:t>
      </w:r>
      <w:r w:rsidR="00B55985" w:rsidRPr="002A58C6">
        <w:rPr>
          <w:rFonts w:ascii="Times New Roman" w:hAnsi="Times New Roman"/>
          <w:sz w:val="24"/>
          <w:szCs w:val="24"/>
          <w:lang w:val="en-US"/>
        </w:rPr>
        <w:t xml:space="preserve"> </w:t>
      </w:r>
      <w:r w:rsidR="00BD2A35" w:rsidRPr="002A58C6">
        <w:rPr>
          <w:rFonts w:ascii="Times New Roman" w:hAnsi="Times New Roman"/>
          <w:sz w:val="24"/>
          <w:szCs w:val="24"/>
          <w:lang w:val="en-US"/>
        </w:rPr>
        <w:t xml:space="preserve">Some of these laws could serve to </w:t>
      </w:r>
      <w:r w:rsidR="00503AA6" w:rsidRPr="002A58C6">
        <w:rPr>
          <w:rFonts w:ascii="Times New Roman" w:hAnsi="Times New Roman"/>
          <w:sz w:val="24"/>
          <w:szCs w:val="24"/>
          <w:lang w:val="en-US"/>
        </w:rPr>
        <w:t xml:space="preserve">limit dissent and encourage support for controversial government policies, </w:t>
      </w:r>
      <w:r w:rsidR="00BD2A35" w:rsidRPr="002A58C6">
        <w:rPr>
          <w:rFonts w:ascii="Times New Roman" w:hAnsi="Times New Roman"/>
          <w:sz w:val="24"/>
          <w:szCs w:val="24"/>
          <w:lang w:val="en-US"/>
        </w:rPr>
        <w:t xml:space="preserve">while </w:t>
      </w:r>
      <w:r w:rsidR="00503AA6" w:rsidRPr="002A58C6">
        <w:rPr>
          <w:rFonts w:ascii="Times New Roman" w:hAnsi="Times New Roman"/>
          <w:sz w:val="24"/>
          <w:szCs w:val="24"/>
          <w:lang w:val="en-US"/>
        </w:rPr>
        <w:t xml:space="preserve">others </w:t>
      </w:r>
      <w:r w:rsidR="00BD2A35" w:rsidRPr="002A58C6">
        <w:rPr>
          <w:rFonts w:ascii="Times New Roman" w:hAnsi="Times New Roman"/>
          <w:sz w:val="24"/>
          <w:szCs w:val="24"/>
          <w:lang w:val="en-US"/>
        </w:rPr>
        <w:t xml:space="preserve">will serve </w:t>
      </w:r>
      <w:r w:rsidR="00503AA6" w:rsidRPr="002A58C6">
        <w:rPr>
          <w:rFonts w:ascii="Times New Roman" w:hAnsi="Times New Roman"/>
          <w:sz w:val="24"/>
          <w:szCs w:val="24"/>
          <w:lang w:val="en-US"/>
        </w:rPr>
        <w:t>to preserve truth in media.</w:t>
      </w:r>
      <w:r w:rsidR="00BD2A35" w:rsidRPr="002A58C6">
        <w:rPr>
          <w:rStyle w:val="FootnoteReference"/>
          <w:rFonts w:ascii="Times New Roman" w:hAnsi="Times New Roman"/>
          <w:sz w:val="24"/>
          <w:szCs w:val="24"/>
          <w:lang w:val="en-US"/>
        </w:rPr>
        <w:footnoteReference w:id="31"/>
      </w:r>
      <w:r w:rsidR="00B141F3" w:rsidRPr="002A58C6" w:rsidDel="00B141F3">
        <w:rPr>
          <w:rFonts w:ascii="Times New Roman" w:hAnsi="Times New Roman"/>
          <w:sz w:val="24"/>
          <w:szCs w:val="24"/>
        </w:rPr>
        <w:t xml:space="preserve"> </w:t>
      </w:r>
      <w:r w:rsidR="00337B7E" w:rsidRPr="002A58C6">
        <w:rPr>
          <w:rFonts w:ascii="Times New Roman" w:hAnsi="Times New Roman"/>
          <w:sz w:val="24"/>
          <w:szCs w:val="24"/>
        </w:rPr>
        <w:t>Indeed, it can be easily seen how the content of the message conveyed by an assembly, which is at the core of the right, could be affected.</w:t>
      </w:r>
      <w:r w:rsidR="002C6F57" w:rsidRPr="002A58C6">
        <w:rPr>
          <w:rFonts w:ascii="Times New Roman" w:hAnsi="Times New Roman"/>
          <w:sz w:val="24"/>
          <w:szCs w:val="24"/>
        </w:rPr>
        <w:t xml:space="preserve"> </w:t>
      </w:r>
      <w:r w:rsidR="00077F63" w:rsidRPr="002A58C6">
        <w:rPr>
          <w:rFonts w:ascii="Times New Roman" w:hAnsi="Times New Roman"/>
          <w:sz w:val="24"/>
          <w:szCs w:val="24"/>
        </w:rPr>
        <w:t>Furthermore</w:t>
      </w:r>
      <w:r w:rsidR="00D60877" w:rsidRPr="002A58C6">
        <w:rPr>
          <w:rFonts w:ascii="Times New Roman" w:hAnsi="Times New Roman"/>
          <w:sz w:val="24"/>
          <w:szCs w:val="24"/>
        </w:rPr>
        <w:t>, as illustrated by the Special Rapporteur on Freedom of Peaceful Assembly and Association</w:t>
      </w:r>
      <w:r w:rsidR="00304584" w:rsidRPr="002A58C6">
        <w:rPr>
          <w:rFonts w:ascii="Times New Roman" w:hAnsi="Times New Roman"/>
          <w:sz w:val="24"/>
          <w:szCs w:val="24"/>
        </w:rPr>
        <w:t>, in his recent report</w:t>
      </w:r>
      <w:r w:rsidR="00077F63">
        <w:rPr>
          <w:rFonts w:ascii="Times New Roman" w:hAnsi="Times New Roman"/>
          <w:sz w:val="24"/>
          <w:szCs w:val="24"/>
        </w:rPr>
        <w:t>,</w:t>
      </w:r>
      <w:r w:rsidR="00304584" w:rsidRPr="002A58C6">
        <w:rPr>
          <w:rStyle w:val="FootnoteReference"/>
          <w:rFonts w:ascii="Times New Roman" w:hAnsi="Times New Roman"/>
          <w:sz w:val="24"/>
          <w:szCs w:val="24"/>
        </w:rPr>
        <w:footnoteReference w:id="32"/>
      </w:r>
      <w:r w:rsidR="00BC25BB" w:rsidRPr="002A58C6">
        <w:rPr>
          <w:rFonts w:ascii="Times New Roman" w:hAnsi="Times New Roman"/>
          <w:sz w:val="24"/>
          <w:szCs w:val="24"/>
        </w:rPr>
        <w:t xml:space="preserve"> cybercrime laws, anti-terrorism laws, surveillance laws (in addition to</w:t>
      </w:r>
      <w:r w:rsidR="003C6EE0" w:rsidRPr="002A58C6">
        <w:rPr>
          <w:rFonts w:ascii="Times New Roman" w:hAnsi="Times New Roman"/>
          <w:sz w:val="24"/>
          <w:szCs w:val="24"/>
        </w:rPr>
        <w:t xml:space="preserve"> ‘fake news’ laws and freedom of</w:t>
      </w:r>
      <w:r w:rsidR="00BC25BB" w:rsidRPr="002A58C6">
        <w:rPr>
          <w:rFonts w:ascii="Times New Roman" w:hAnsi="Times New Roman"/>
          <w:sz w:val="24"/>
          <w:szCs w:val="24"/>
        </w:rPr>
        <w:t xml:space="preserve"> assembly law</w:t>
      </w:r>
      <w:r w:rsidR="005C5854" w:rsidRPr="002A58C6">
        <w:rPr>
          <w:rFonts w:ascii="Times New Roman" w:hAnsi="Times New Roman"/>
          <w:sz w:val="24"/>
          <w:szCs w:val="24"/>
        </w:rPr>
        <w:t>s) could impinge on the right to exercise freedom of assembly online.</w:t>
      </w:r>
    </w:p>
    <w:p w14:paraId="3B8836F3" w14:textId="77777777" w:rsidR="003C6EE0" w:rsidRPr="002A58C6" w:rsidRDefault="003C6EE0" w:rsidP="003C6EE0">
      <w:pPr>
        <w:pStyle w:val="ListParagraph"/>
        <w:rPr>
          <w:rFonts w:ascii="Times New Roman" w:hAnsi="Times New Roman"/>
          <w:b/>
          <w:i/>
          <w:sz w:val="24"/>
          <w:szCs w:val="24"/>
          <w:lang w:val="en-US"/>
        </w:rPr>
      </w:pPr>
    </w:p>
    <w:p w14:paraId="1C9C8432" w14:textId="77777777" w:rsidR="003C6EE0" w:rsidRPr="002A58C6" w:rsidRDefault="003C6EE0" w:rsidP="003C6EE0">
      <w:pPr>
        <w:pStyle w:val="ListParagraph"/>
        <w:ind w:left="567"/>
        <w:jc w:val="both"/>
        <w:rPr>
          <w:rFonts w:ascii="Times New Roman" w:hAnsi="Times New Roman"/>
          <w:b/>
          <w:i/>
          <w:sz w:val="24"/>
          <w:szCs w:val="24"/>
          <w:lang w:val="en-US"/>
        </w:rPr>
      </w:pPr>
    </w:p>
    <w:p w14:paraId="3D61E7B5" w14:textId="77777777" w:rsidR="00DD7CEF" w:rsidRPr="002A58C6" w:rsidRDefault="00DD7CEF" w:rsidP="00081B3A">
      <w:pPr>
        <w:pStyle w:val="ListParagraph"/>
        <w:ind w:left="567" w:hanging="425"/>
        <w:jc w:val="both"/>
        <w:rPr>
          <w:rFonts w:ascii="Times New Roman" w:hAnsi="Times New Roman"/>
          <w:b/>
          <w:i/>
          <w:sz w:val="24"/>
          <w:szCs w:val="24"/>
          <w:lang w:val="en-US"/>
        </w:rPr>
      </w:pPr>
    </w:p>
    <w:p w14:paraId="1B964FB0" w14:textId="065DBAB4" w:rsidR="00C41102" w:rsidRPr="002A58C6" w:rsidRDefault="00C41102" w:rsidP="00081B3A">
      <w:pPr>
        <w:pStyle w:val="ListParagraph"/>
        <w:ind w:left="567" w:hanging="425"/>
        <w:jc w:val="both"/>
        <w:rPr>
          <w:rFonts w:ascii="Times New Roman" w:hAnsi="Times New Roman"/>
          <w:b/>
          <w:i/>
          <w:sz w:val="24"/>
          <w:szCs w:val="24"/>
          <w:lang w:val="en-US"/>
        </w:rPr>
      </w:pPr>
      <w:r w:rsidRPr="002A58C6">
        <w:rPr>
          <w:rFonts w:ascii="Times New Roman" w:hAnsi="Times New Roman"/>
          <w:b/>
          <w:i/>
          <w:sz w:val="24"/>
          <w:szCs w:val="24"/>
          <w:lang w:val="en-US"/>
        </w:rPr>
        <w:t xml:space="preserve">4) The human rights challenges posed by the new technologies, including information and communications technology, in the context of assemblies, including peaceful protests (surveillance and monitoring tools by the authorities, including biometrics-based recognition technology to identify protestors).   </w:t>
      </w:r>
    </w:p>
    <w:p w14:paraId="707BD087" w14:textId="77777777" w:rsidR="00C41102" w:rsidRPr="002A58C6" w:rsidRDefault="00C41102" w:rsidP="00081B3A">
      <w:pPr>
        <w:pStyle w:val="ListParagraph"/>
        <w:ind w:left="567" w:hanging="425"/>
        <w:jc w:val="both"/>
        <w:rPr>
          <w:rFonts w:ascii="Times New Roman" w:hAnsi="Times New Roman"/>
          <w:b/>
          <w:i/>
          <w:sz w:val="24"/>
          <w:szCs w:val="24"/>
          <w:lang w:val="en-US"/>
        </w:rPr>
      </w:pPr>
    </w:p>
    <w:p w14:paraId="68D55513" w14:textId="5B2DBC0D" w:rsidR="00CC77F6" w:rsidRPr="002A58C6" w:rsidRDefault="00C41102" w:rsidP="00081B3A">
      <w:pPr>
        <w:pStyle w:val="ListParagraph"/>
        <w:numPr>
          <w:ilvl w:val="0"/>
          <w:numId w:val="7"/>
        </w:numPr>
        <w:ind w:left="567" w:hanging="425"/>
        <w:jc w:val="both"/>
        <w:rPr>
          <w:rFonts w:ascii="Times New Roman" w:hAnsi="Times New Roman"/>
          <w:sz w:val="24"/>
          <w:szCs w:val="24"/>
        </w:rPr>
      </w:pPr>
      <w:r w:rsidRPr="002A58C6">
        <w:rPr>
          <w:rFonts w:ascii="Times New Roman" w:hAnsi="Times New Roman"/>
          <w:iCs/>
          <w:sz w:val="24"/>
          <w:szCs w:val="24"/>
          <w:lang w:val="en-AU"/>
        </w:rPr>
        <w:t xml:space="preserve">While the benefits of amplifying the message of assemblies through technology are numerous, the same technology can also be used against protesters who use it to co-ordinate their efforts. Traditional assemblies, allow participants if they so desire, a certain level of anonymity or at least a smaller likelihood of being ‘singled out’ or identified – due to the presence of other people. However, the use of new technologies does not always offer the same due to the availability of surveillance and tracking tools by the State or third parties. </w:t>
      </w:r>
    </w:p>
    <w:p w14:paraId="5C7D2D82" w14:textId="77777777" w:rsidR="008304D4" w:rsidRPr="002A58C6" w:rsidRDefault="008304D4" w:rsidP="00081B3A">
      <w:pPr>
        <w:pStyle w:val="ListParagraph"/>
        <w:ind w:left="567" w:hanging="425"/>
        <w:jc w:val="both"/>
        <w:rPr>
          <w:rFonts w:ascii="Times New Roman" w:hAnsi="Times New Roman"/>
          <w:sz w:val="24"/>
          <w:szCs w:val="24"/>
        </w:rPr>
      </w:pPr>
    </w:p>
    <w:p w14:paraId="58FBB0B8" w14:textId="473132C4" w:rsidR="00C41102" w:rsidRPr="002A58C6" w:rsidRDefault="00CC77F6" w:rsidP="00081B3A">
      <w:pPr>
        <w:pStyle w:val="ListParagraph"/>
        <w:numPr>
          <w:ilvl w:val="0"/>
          <w:numId w:val="7"/>
        </w:numPr>
        <w:ind w:left="567" w:hanging="425"/>
        <w:jc w:val="both"/>
        <w:rPr>
          <w:rFonts w:ascii="Times New Roman" w:hAnsi="Times New Roman"/>
          <w:sz w:val="24"/>
          <w:szCs w:val="24"/>
        </w:rPr>
      </w:pPr>
      <w:r w:rsidRPr="002A58C6">
        <w:rPr>
          <w:rFonts w:ascii="Times New Roman" w:hAnsi="Times New Roman"/>
          <w:iCs/>
          <w:sz w:val="24"/>
          <w:szCs w:val="24"/>
          <w:lang w:val="en-AU"/>
        </w:rPr>
        <w:t>The use and abuse of surveillance tools has been an area of growing concern for human rights</w:t>
      </w:r>
      <w:r w:rsidR="00E557A4" w:rsidRPr="002A58C6">
        <w:rPr>
          <w:rFonts w:ascii="Times New Roman" w:hAnsi="Times New Roman"/>
          <w:iCs/>
          <w:sz w:val="24"/>
          <w:szCs w:val="24"/>
          <w:lang w:val="en-AU"/>
        </w:rPr>
        <w:t>, since the technologies themselves appeared</w:t>
      </w:r>
      <w:r w:rsidR="00160983" w:rsidRPr="002A58C6">
        <w:rPr>
          <w:rFonts w:ascii="Times New Roman" w:hAnsi="Times New Roman"/>
          <w:iCs/>
          <w:sz w:val="24"/>
          <w:szCs w:val="24"/>
          <w:lang w:val="en-AU"/>
        </w:rPr>
        <w:t>.</w:t>
      </w:r>
      <w:r w:rsidRPr="002A58C6">
        <w:rPr>
          <w:rFonts w:ascii="Times New Roman" w:hAnsi="Times New Roman"/>
          <w:iCs/>
          <w:sz w:val="24"/>
          <w:szCs w:val="24"/>
          <w:lang w:val="en-AU"/>
        </w:rPr>
        <w:t xml:space="preserve"> In May 2019, the UN Special Rapporteur on Freedom of Opinion and Expression, issued a special Report on “Surveillance and Human Rights”,</w:t>
      </w:r>
      <w:r w:rsidRPr="002A58C6">
        <w:rPr>
          <w:rFonts w:ascii="Times New Roman" w:hAnsi="Times New Roman"/>
          <w:iCs/>
          <w:sz w:val="24"/>
          <w:szCs w:val="24"/>
          <w:vertAlign w:val="superscript"/>
          <w:lang w:val="en-AU"/>
        </w:rPr>
        <w:footnoteReference w:id="33"/>
      </w:r>
      <w:r w:rsidR="00077F63">
        <w:rPr>
          <w:rFonts w:ascii="Times New Roman" w:hAnsi="Times New Roman"/>
          <w:iCs/>
          <w:sz w:val="24"/>
          <w:szCs w:val="24"/>
          <w:lang w:val="en-AU"/>
        </w:rPr>
        <w:t xml:space="preserve"> which while focusing</w:t>
      </w:r>
      <w:r w:rsidRPr="002A58C6">
        <w:rPr>
          <w:rFonts w:ascii="Times New Roman" w:hAnsi="Times New Roman"/>
          <w:iCs/>
          <w:sz w:val="24"/>
          <w:szCs w:val="24"/>
          <w:lang w:val="en-AU"/>
        </w:rPr>
        <w:t xml:space="preserve"> on the individual freedom of expression, calls for a moratorium on the sale of surveillance tools to States, </w:t>
      </w:r>
      <w:proofErr w:type="gramStart"/>
      <w:r w:rsidRPr="002A58C6">
        <w:rPr>
          <w:rFonts w:ascii="Times New Roman" w:hAnsi="Times New Roman"/>
          <w:iCs/>
          <w:sz w:val="24"/>
          <w:szCs w:val="24"/>
          <w:lang w:val="en-AU"/>
        </w:rPr>
        <w:t>until such time as</w:t>
      </w:r>
      <w:proofErr w:type="gramEnd"/>
      <w:r w:rsidRPr="002A58C6">
        <w:rPr>
          <w:rFonts w:ascii="Times New Roman" w:hAnsi="Times New Roman"/>
          <w:iCs/>
          <w:sz w:val="24"/>
          <w:szCs w:val="24"/>
          <w:lang w:val="en-AU"/>
        </w:rPr>
        <w:t xml:space="preserve"> adequate legal s</w:t>
      </w:r>
      <w:r w:rsidR="000578D9" w:rsidRPr="002A58C6">
        <w:rPr>
          <w:rFonts w:ascii="Times New Roman" w:hAnsi="Times New Roman"/>
          <w:iCs/>
          <w:sz w:val="24"/>
          <w:szCs w:val="24"/>
          <w:lang w:val="en-AU"/>
        </w:rPr>
        <w:t xml:space="preserve">afeguards can be put in place. </w:t>
      </w:r>
      <w:proofErr w:type="gramStart"/>
      <w:r w:rsidRPr="002A58C6">
        <w:rPr>
          <w:rFonts w:ascii="Times New Roman" w:hAnsi="Times New Roman"/>
          <w:iCs/>
          <w:sz w:val="24"/>
          <w:szCs w:val="24"/>
          <w:lang w:val="en-AU"/>
        </w:rPr>
        <w:t>The Special Rapporteur expresse</w:t>
      </w:r>
      <w:r w:rsidR="00932288" w:rsidRPr="002A58C6">
        <w:rPr>
          <w:rFonts w:ascii="Times New Roman" w:hAnsi="Times New Roman"/>
          <w:iCs/>
          <w:sz w:val="24"/>
          <w:szCs w:val="24"/>
          <w:lang w:val="en-AU"/>
        </w:rPr>
        <w:t>d</w:t>
      </w:r>
      <w:r w:rsidRPr="002A58C6">
        <w:rPr>
          <w:rFonts w:ascii="Times New Roman" w:hAnsi="Times New Roman"/>
          <w:iCs/>
          <w:sz w:val="24"/>
          <w:szCs w:val="24"/>
          <w:lang w:val="en-AU"/>
        </w:rPr>
        <w:t xml:space="preserve"> grave concerns at the uncontrolled nature of the surveillance tools industry</w:t>
      </w:r>
      <w:r w:rsidR="00DE1F84">
        <w:rPr>
          <w:rFonts w:ascii="Times New Roman" w:hAnsi="Times New Roman"/>
          <w:iCs/>
          <w:sz w:val="24"/>
          <w:szCs w:val="24"/>
          <w:lang w:val="en-AU"/>
        </w:rPr>
        <w:t>, and given</w:t>
      </w:r>
      <w:r w:rsidR="00160983" w:rsidRPr="002A58C6">
        <w:rPr>
          <w:rFonts w:ascii="Times New Roman" w:hAnsi="Times New Roman"/>
          <w:iCs/>
          <w:sz w:val="24"/>
          <w:szCs w:val="24"/>
          <w:lang w:val="en-AU"/>
        </w:rPr>
        <w:t xml:space="preserve"> that the freedom of expression in inextricably linked with </w:t>
      </w:r>
      <w:r w:rsidR="00DE1F84">
        <w:rPr>
          <w:rFonts w:ascii="Times New Roman" w:hAnsi="Times New Roman"/>
          <w:iCs/>
          <w:sz w:val="24"/>
          <w:szCs w:val="24"/>
          <w:lang w:val="en-AU"/>
        </w:rPr>
        <w:t>the right to peaceful assembly,</w:t>
      </w:r>
      <w:r w:rsidR="00577CB1" w:rsidRPr="002A58C6">
        <w:rPr>
          <w:rFonts w:ascii="Times New Roman" w:hAnsi="Times New Roman"/>
          <w:iCs/>
          <w:sz w:val="24"/>
          <w:szCs w:val="24"/>
          <w:lang w:val="en-AU"/>
        </w:rPr>
        <w:t xml:space="preserve"> consideration should be given to this report, in the context of assemblies,</w:t>
      </w:r>
      <w:r w:rsidR="00C31E94" w:rsidRPr="002A58C6">
        <w:rPr>
          <w:rFonts w:ascii="Times New Roman" w:hAnsi="Times New Roman"/>
          <w:iCs/>
          <w:sz w:val="24"/>
          <w:szCs w:val="24"/>
          <w:lang w:val="en-AU"/>
        </w:rPr>
        <w:t xml:space="preserve"> in general, </w:t>
      </w:r>
      <w:r w:rsidR="00230990" w:rsidRPr="002A58C6">
        <w:rPr>
          <w:rFonts w:ascii="Times New Roman" w:hAnsi="Times New Roman"/>
          <w:iCs/>
          <w:sz w:val="24"/>
          <w:szCs w:val="24"/>
          <w:lang w:val="en-AU"/>
        </w:rPr>
        <w:t xml:space="preserve">as </w:t>
      </w:r>
      <w:r w:rsidR="00C41102" w:rsidRPr="002A58C6">
        <w:rPr>
          <w:rFonts w:ascii="Times New Roman" w:hAnsi="Times New Roman"/>
          <w:iCs/>
          <w:sz w:val="24"/>
          <w:szCs w:val="24"/>
          <w:lang w:val="en-AU"/>
        </w:rPr>
        <w:t>States should refrain from using surveillance tools to track (or less still, persecute) persons taking part in assemblies and protest actions.</w:t>
      </w:r>
      <w:proofErr w:type="gramEnd"/>
      <w:r w:rsidR="00C41102" w:rsidRPr="002A58C6">
        <w:rPr>
          <w:rFonts w:ascii="Times New Roman" w:hAnsi="Times New Roman"/>
          <w:iCs/>
          <w:sz w:val="24"/>
          <w:szCs w:val="24"/>
          <w:lang w:val="en-AU"/>
        </w:rPr>
        <w:t xml:space="preserve"> Such technologies include facial recognition tools, surveillance of Internet portals and social media sites used by activists and identification of a person’s whereabouts through location tracking (to establish attendance at a demonstration or rally). Such tools should only be employed where such interference can be justified based on strictly proven and proportional grounds of national security or public order and should be subject to judicial review.</w:t>
      </w:r>
    </w:p>
    <w:p w14:paraId="4AB76F6A" w14:textId="77777777" w:rsidR="00C41102" w:rsidRPr="002A58C6" w:rsidRDefault="00C41102" w:rsidP="00081B3A">
      <w:pPr>
        <w:pStyle w:val="ListParagraph"/>
        <w:ind w:left="567" w:hanging="425"/>
        <w:jc w:val="both"/>
        <w:rPr>
          <w:rFonts w:ascii="Times New Roman" w:hAnsi="Times New Roman"/>
          <w:b/>
          <w:i/>
          <w:sz w:val="24"/>
          <w:szCs w:val="24"/>
        </w:rPr>
      </w:pPr>
    </w:p>
    <w:p w14:paraId="18B09F49" w14:textId="14322494" w:rsidR="00DE1F84" w:rsidRPr="00DE1F84" w:rsidRDefault="00C41102" w:rsidP="00DE1F84">
      <w:pPr>
        <w:pStyle w:val="ListParagraph"/>
        <w:numPr>
          <w:ilvl w:val="0"/>
          <w:numId w:val="7"/>
        </w:numPr>
        <w:ind w:left="567" w:hanging="425"/>
        <w:jc w:val="both"/>
        <w:rPr>
          <w:rFonts w:ascii="Times New Roman" w:hAnsi="Times New Roman"/>
          <w:b/>
          <w:i/>
          <w:sz w:val="24"/>
          <w:szCs w:val="24"/>
          <w:lang w:val="en-US"/>
        </w:rPr>
      </w:pPr>
      <w:r w:rsidRPr="002A58C6">
        <w:rPr>
          <w:rFonts w:ascii="Times New Roman" w:hAnsi="Times New Roman"/>
          <w:sz w:val="24"/>
          <w:szCs w:val="24"/>
        </w:rPr>
        <w:t xml:space="preserve">In general, intrusive overt or covert surveillance methods should only be applied where there is clear evidence that imminent unlawful activities, such as violence or use of </w:t>
      </w:r>
      <w:r w:rsidR="00DE1F84" w:rsidRPr="002A58C6">
        <w:rPr>
          <w:rFonts w:ascii="Times New Roman" w:hAnsi="Times New Roman"/>
          <w:sz w:val="24"/>
          <w:szCs w:val="24"/>
        </w:rPr>
        <w:t>firearms</w:t>
      </w:r>
      <w:r w:rsidRPr="002A58C6">
        <w:rPr>
          <w:rFonts w:ascii="Times New Roman" w:hAnsi="Times New Roman"/>
          <w:sz w:val="24"/>
          <w:szCs w:val="24"/>
        </w:rPr>
        <w:t xml:space="preserve"> </w:t>
      </w:r>
      <w:proofErr w:type="gramStart"/>
      <w:r w:rsidRPr="002A58C6">
        <w:rPr>
          <w:rFonts w:ascii="Times New Roman" w:hAnsi="Times New Roman"/>
          <w:sz w:val="24"/>
          <w:szCs w:val="24"/>
        </w:rPr>
        <w:t>are planned</w:t>
      </w:r>
      <w:proofErr w:type="gramEnd"/>
      <w:r w:rsidRPr="002A58C6">
        <w:rPr>
          <w:rFonts w:ascii="Times New Roman" w:hAnsi="Times New Roman"/>
          <w:sz w:val="24"/>
          <w:szCs w:val="24"/>
        </w:rPr>
        <w:t xml:space="preserve"> to take place during an assembly.</w:t>
      </w:r>
      <w:r w:rsidRPr="002A58C6">
        <w:rPr>
          <w:rStyle w:val="FootnoteReference"/>
          <w:rFonts w:ascii="Times New Roman" w:hAnsi="Times New Roman"/>
          <w:sz w:val="24"/>
          <w:szCs w:val="24"/>
        </w:rPr>
        <w:footnoteReference w:id="34"/>
      </w:r>
    </w:p>
    <w:p w14:paraId="7A3A16E9" w14:textId="5D733F32" w:rsidR="00C41102" w:rsidRPr="00DE1F84" w:rsidRDefault="00C41102" w:rsidP="00DE1F84">
      <w:pPr>
        <w:spacing w:after="0" w:line="240" w:lineRule="auto"/>
        <w:jc w:val="both"/>
        <w:rPr>
          <w:rFonts w:ascii="Times New Roman" w:hAnsi="Times New Roman"/>
          <w:b/>
          <w:i/>
          <w:sz w:val="24"/>
          <w:szCs w:val="24"/>
          <w:lang w:val="en-US"/>
        </w:rPr>
      </w:pPr>
    </w:p>
    <w:p w14:paraId="218DEDF2" w14:textId="6F3B9787" w:rsidR="00C41102" w:rsidRPr="002A58C6" w:rsidRDefault="00C41102" w:rsidP="00DE1F84">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t xml:space="preserve">Digital images of organizers and participants in an assembly </w:t>
      </w:r>
      <w:proofErr w:type="gramStart"/>
      <w:r w:rsidRPr="002A58C6">
        <w:rPr>
          <w:rFonts w:ascii="Times New Roman" w:hAnsi="Times New Roman"/>
          <w:sz w:val="24"/>
          <w:szCs w:val="24"/>
        </w:rPr>
        <w:t>should not be recorded</w:t>
      </w:r>
      <w:proofErr w:type="gramEnd"/>
      <w:r w:rsidRPr="002A58C6">
        <w:rPr>
          <w:rFonts w:ascii="Times New Roman" w:hAnsi="Times New Roman"/>
          <w:sz w:val="24"/>
          <w:szCs w:val="24"/>
        </w:rPr>
        <w:t xml:space="preserve"> except where specifically authorized by law and necessary in cases where there is probable cause to believe that the planners, organizers or participants will engage in serious unlawful activity. The use of image recording for the purpose of identification (including facial recognition software)</w:t>
      </w:r>
      <w:r w:rsidRPr="002A58C6">
        <w:rPr>
          <w:rStyle w:val="FootnoteReference"/>
          <w:rFonts w:ascii="Times New Roman" w:hAnsi="Times New Roman"/>
          <w:sz w:val="24"/>
          <w:szCs w:val="24"/>
        </w:rPr>
        <w:footnoteReference w:id="35"/>
      </w:r>
      <w:r w:rsidRPr="002A58C6">
        <w:rPr>
          <w:rFonts w:ascii="Times New Roman" w:hAnsi="Times New Roman"/>
          <w:sz w:val="24"/>
          <w:szCs w:val="24"/>
        </w:rPr>
        <w:t xml:space="preserve"> </w:t>
      </w:r>
      <w:proofErr w:type="gramStart"/>
      <w:r w:rsidRPr="002A58C6">
        <w:rPr>
          <w:rFonts w:ascii="Times New Roman" w:hAnsi="Times New Roman"/>
          <w:sz w:val="24"/>
          <w:szCs w:val="24"/>
        </w:rPr>
        <w:t>should be confined</w:t>
      </w:r>
      <w:proofErr w:type="gramEnd"/>
      <w:r w:rsidRPr="002A58C6">
        <w:rPr>
          <w:rFonts w:ascii="Times New Roman" w:hAnsi="Times New Roman"/>
          <w:sz w:val="24"/>
          <w:szCs w:val="24"/>
        </w:rPr>
        <w:t xml:space="preserve"> to those circumstances where criminal offences are actually taking place, or wh</w:t>
      </w:r>
      <w:r w:rsidR="00DE1F84">
        <w:rPr>
          <w:rFonts w:ascii="Times New Roman" w:hAnsi="Times New Roman"/>
          <w:sz w:val="24"/>
          <w:szCs w:val="24"/>
        </w:rPr>
        <w:t>ere there is a reasonable suspic</w:t>
      </w:r>
      <w:r w:rsidRPr="002A58C6">
        <w:rPr>
          <w:rFonts w:ascii="Times New Roman" w:hAnsi="Times New Roman"/>
          <w:sz w:val="24"/>
          <w:szCs w:val="24"/>
        </w:rPr>
        <w:t>ion of imminent criminal behaviour. In all situations, there should be adequate safeguards against abuse.</w:t>
      </w:r>
      <w:r w:rsidRPr="002A58C6">
        <w:rPr>
          <w:rStyle w:val="FootnoteReference"/>
          <w:rFonts w:ascii="Times New Roman" w:hAnsi="Times New Roman"/>
          <w:sz w:val="24"/>
          <w:szCs w:val="24"/>
        </w:rPr>
        <w:footnoteReference w:id="36"/>
      </w:r>
      <w:r w:rsidRPr="002A58C6">
        <w:rPr>
          <w:rStyle w:val="FootnoteReference"/>
          <w:rFonts w:ascii="Times New Roman" w:hAnsi="Times New Roman"/>
          <w:sz w:val="24"/>
          <w:szCs w:val="24"/>
        </w:rPr>
        <w:t xml:space="preserve"> </w:t>
      </w:r>
      <w:r w:rsidRPr="002A58C6">
        <w:rPr>
          <w:rFonts w:ascii="Times New Roman" w:hAnsi="Times New Roman"/>
          <w:sz w:val="24"/>
          <w:szCs w:val="24"/>
        </w:rPr>
        <w:t>The taking and retention of digital imagery for purposes of identifying persons engaged in lawful activities, or the retention of data extracted from such images (such as details of an individual’s presence at an assembly) in a permanent or systematic record may give rise to violations of the right to privacy.</w:t>
      </w:r>
      <w:r w:rsidRPr="002A58C6">
        <w:rPr>
          <w:rStyle w:val="FootnoteReference"/>
          <w:rFonts w:ascii="Times New Roman" w:hAnsi="Times New Roman"/>
          <w:sz w:val="24"/>
          <w:szCs w:val="24"/>
        </w:rPr>
        <w:footnoteReference w:id="37"/>
      </w:r>
      <w:r w:rsidRPr="002A58C6">
        <w:rPr>
          <w:rFonts w:ascii="Times New Roman" w:hAnsi="Times New Roman"/>
          <w:sz w:val="24"/>
          <w:szCs w:val="24"/>
        </w:rPr>
        <w:t xml:space="preserve"> </w:t>
      </w:r>
    </w:p>
    <w:p w14:paraId="5CEE15C8" w14:textId="77777777" w:rsidR="00C41102" w:rsidRPr="002A58C6" w:rsidRDefault="00C41102" w:rsidP="00081B3A">
      <w:pPr>
        <w:pStyle w:val="ListParagraph"/>
        <w:ind w:left="567" w:hanging="425"/>
        <w:jc w:val="both"/>
        <w:rPr>
          <w:rFonts w:ascii="Times New Roman" w:hAnsi="Times New Roman"/>
          <w:sz w:val="24"/>
          <w:szCs w:val="24"/>
        </w:rPr>
      </w:pPr>
    </w:p>
    <w:p w14:paraId="34C694B1" w14:textId="6AEB5BEB" w:rsidR="002C1CB5" w:rsidRPr="002A58C6" w:rsidRDefault="00C41102" w:rsidP="00081B3A">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t xml:space="preserve">Moreover, the use of digital image recording devices by law enforcement officers during a public assembly may have a ‘chilling effect’ on </w:t>
      </w:r>
      <w:r w:rsidR="009C1CD0" w:rsidRPr="002A58C6">
        <w:rPr>
          <w:rFonts w:ascii="Times New Roman" w:hAnsi="Times New Roman"/>
          <w:sz w:val="24"/>
          <w:szCs w:val="24"/>
        </w:rPr>
        <w:t xml:space="preserve">freedom of peaceful assembly </w:t>
      </w:r>
      <w:r w:rsidRPr="002A58C6">
        <w:rPr>
          <w:rFonts w:ascii="Times New Roman" w:hAnsi="Times New Roman"/>
          <w:sz w:val="24"/>
          <w:szCs w:val="24"/>
        </w:rPr>
        <w:t>and curtail the exercise of this right.</w:t>
      </w:r>
      <w:r w:rsidRPr="002A58C6">
        <w:rPr>
          <w:rStyle w:val="FootnoteReference"/>
          <w:rFonts w:ascii="Times New Roman" w:hAnsi="Times New Roman"/>
          <w:sz w:val="24"/>
          <w:szCs w:val="24"/>
        </w:rPr>
        <w:footnoteReference w:id="38"/>
      </w:r>
      <w:r w:rsidRPr="002A58C6">
        <w:rPr>
          <w:rFonts w:ascii="Times New Roman" w:hAnsi="Times New Roman"/>
          <w:sz w:val="24"/>
          <w:szCs w:val="24"/>
        </w:rPr>
        <w:t xml:space="preserve"> Laws, and policies of law enforcement agencies should codify operating procedures relating to digital recording at public assemblies, including a description of the (lawful and legitimate) purposes for and the circumstances in which such activities may take place, and procedures and policies for the retention and processing of resulting data.</w:t>
      </w:r>
      <w:r w:rsidRPr="002A58C6">
        <w:rPr>
          <w:rStyle w:val="FootnoteReference"/>
          <w:rFonts w:ascii="Times New Roman" w:hAnsi="Times New Roman"/>
          <w:sz w:val="24"/>
          <w:szCs w:val="24"/>
        </w:rPr>
        <w:footnoteReference w:id="39"/>
      </w:r>
      <w:r w:rsidRPr="002A58C6">
        <w:rPr>
          <w:rFonts w:ascii="Times New Roman" w:hAnsi="Times New Roman"/>
          <w:sz w:val="24"/>
          <w:szCs w:val="24"/>
        </w:rPr>
        <w:t xml:space="preserve"> The information obtained in this manner should be destroyed after a reasonable period set out in law.</w:t>
      </w:r>
      <w:r w:rsidRPr="002A58C6">
        <w:rPr>
          <w:rStyle w:val="FootnoteReference"/>
          <w:rFonts w:ascii="Times New Roman" w:hAnsi="Times New Roman"/>
          <w:sz w:val="24"/>
          <w:szCs w:val="24"/>
        </w:rPr>
        <w:footnoteReference w:id="40"/>
      </w:r>
      <w:r w:rsidRPr="002A58C6">
        <w:rPr>
          <w:rFonts w:ascii="Times New Roman" w:hAnsi="Times New Roman"/>
          <w:sz w:val="24"/>
          <w:szCs w:val="24"/>
        </w:rPr>
        <w:t xml:space="preserve"> </w:t>
      </w:r>
      <w:r w:rsidR="002C1CB5" w:rsidRPr="002A58C6">
        <w:rPr>
          <w:rFonts w:ascii="Times New Roman" w:hAnsi="Times New Roman"/>
          <w:sz w:val="24"/>
          <w:szCs w:val="24"/>
        </w:rPr>
        <w:br/>
      </w:r>
    </w:p>
    <w:p w14:paraId="41430784" w14:textId="77777777" w:rsidR="002C1CB5" w:rsidRPr="002A58C6" w:rsidRDefault="002C1CB5" w:rsidP="00081B3A">
      <w:pPr>
        <w:pStyle w:val="ListParagraph"/>
        <w:ind w:left="426" w:hanging="284"/>
        <w:jc w:val="both"/>
        <w:rPr>
          <w:rFonts w:ascii="Times New Roman" w:hAnsi="Times New Roman"/>
          <w:sz w:val="24"/>
          <w:szCs w:val="24"/>
        </w:rPr>
      </w:pPr>
    </w:p>
    <w:p w14:paraId="43843C27" w14:textId="0FE38BEA" w:rsidR="002C1CB5" w:rsidRPr="002A58C6" w:rsidRDefault="00EA085D" w:rsidP="00081B3A">
      <w:pPr>
        <w:pStyle w:val="ListParagraph"/>
        <w:ind w:left="426" w:hanging="284"/>
        <w:jc w:val="both"/>
        <w:rPr>
          <w:rFonts w:ascii="Times New Roman" w:hAnsi="Times New Roman"/>
          <w:b/>
          <w:i/>
          <w:sz w:val="24"/>
          <w:szCs w:val="24"/>
        </w:rPr>
      </w:pPr>
      <w:r w:rsidRPr="002A58C6">
        <w:rPr>
          <w:rFonts w:ascii="Times New Roman" w:hAnsi="Times New Roman"/>
          <w:b/>
          <w:i/>
          <w:sz w:val="24"/>
          <w:szCs w:val="24"/>
        </w:rPr>
        <w:t>5)</w:t>
      </w:r>
      <w:r w:rsidRPr="002A58C6">
        <w:rPr>
          <w:rFonts w:ascii="Times New Roman" w:hAnsi="Times New Roman"/>
          <w:b/>
          <w:i/>
          <w:sz w:val="24"/>
          <w:szCs w:val="24"/>
        </w:rPr>
        <w:tab/>
        <w:t>The impact on human rights of the use of new less-lethal weapon</w:t>
      </w:r>
      <w:r w:rsidR="00016584" w:rsidRPr="002A58C6">
        <w:rPr>
          <w:rFonts w:ascii="Times New Roman" w:hAnsi="Times New Roman"/>
          <w:b/>
          <w:i/>
          <w:sz w:val="24"/>
          <w:szCs w:val="24"/>
        </w:rPr>
        <w:t xml:space="preserve">s and ammunition technology in the context of assemblies including peaceful protest </w:t>
      </w:r>
    </w:p>
    <w:p w14:paraId="43047EE8" w14:textId="77777777" w:rsidR="00D07984" w:rsidRPr="002A58C6" w:rsidRDefault="00D07984" w:rsidP="00081B3A">
      <w:pPr>
        <w:pStyle w:val="ListParagraph"/>
        <w:ind w:left="426" w:hanging="284"/>
        <w:jc w:val="both"/>
        <w:rPr>
          <w:rFonts w:ascii="Times New Roman" w:hAnsi="Times New Roman"/>
          <w:b/>
          <w:i/>
          <w:sz w:val="24"/>
          <w:szCs w:val="24"/>
        </w:rPr>
      </w:pPr>
    </w:p>
    <w:p w14:paraId="6BA1BF68" w14:textId="03F14BB4" w:rsidR="004F0111" w:rsidRPr="002A58C6" w:rsidRDefault="004F0111" w:rsidP="004F0111">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t>As emphasized</w:t>
      </w:r>
      <w:r w:rsidR="00F81544" w:rsidRPr="002A58C6">
        <w:rPr>
          <w:rFonts w:ascii="Times New Roman" w:hAnsi="Times New Roman"/>
          <w:sz w:val="24"/>
          <w:szCs w:val="24"/>
        </w:rPr>
        <w:t xml:space="preserve"> above</w:t>
      </w:r>
      <w:r w:rsidRPr="002A58C6">
        <w:rPr>
          <w:rFonts w:ascii="Times New Roman" w:hAnsi="Times New Roman"/>
          <w:sz w:val="24"/>
          <w:szCs w:val="24"/>
        </w:rPr>
        <w:t>,</w:t>
      </w:r>
      <w:r w:rsidR="00F81544" w:rsidRPr="002A58C6">
        <w:rPr>
          <w:rFonts w:ascii="Times New Roman" w:hAnsi="Times New Roman"/>
          <w:sz w:val="24"/>
          <w:szCs w:val="24"/>
        </w:rPr>
        <w:t xml:space="preserve"> new technology of any kind can be used both to enhance and limit the right to peaceful assembly. </w:t>
      </w:r>
      <w:r w:rsidR="00F8300C" w:rsidRPr="002A58C6">
        <w:rPr>
          <w:rFonts w:ascii="Times New Roman" w:hAnsi="Times New Roman"/>
          <w:sz w:val="24"/>
          <w:szCs w:val="24"/>
        </w:rPr>
        <w:t xml:space="preserve">Law enforcement officials must </w:t>
      </w:r>
      <w:r w:rsidR="00611BB4">
        <w:rPr>
          <w:rFonts w:ascii="Times New Roman" w:hAnsi="Times New Roman"/>
          <w:sz w:val="24"/>
          <w:szCs w:val="24"/>
        </w:rPr>
        <w:t xml:space="preserve">at </w:t>
      </w:r>
      <w:r w:rsidR="00F8300C" w:rsidRPr="002A58C6">
        <w:rPr>
          <w:rFonts w:ascii="Times New Roman" w:hAnsi="Times New Roman"/>
          <w:sz w:val="24"/>
          <w:szCs w:val="24"/>
        </w:rPr>
        <w:t>all times respect human rights in their professional capacity</w:t>
      </w:r>
      <w:r w:rsidR="00214753" w:rsidRPr="002A58C6">
        <w:rPr>
          <w:rFonts w:ascii="Times New Roman" w:hAnsi="Times New Roman"/>
          <w:sz w:val="24"/>
          <w:szCs w:val="24"/>
        </w:rPr>
        <w:t>.</w:t>
      </w:r>
      <w:r w:rsidR="00F8300C" w:rsidRPr="002A58C6">
        <w:rPr>
          <w:rStyle w:val="FootnoteReference"/>
          <w:rFonts w:ascii="Times New Roman" w:hAnsi="Times New Roman"/>
          <w:sz w:val="24"/>
          <w:szCs w:val="24"/>
        </w:rPr>
        <w:footnoteReference w:id="41"/>
      </w:r>
      <w:r w:rsidR="00214753" w:rsidRPr="002A58C6">
        <w:rPr>
          <w:rFonts w:ascii="Times New Roman" w:hAnsi="Times New Roman"/>
          <w:sz w:val="24"/>
          <w:szCs w:val="24"/>
        </w:rPr>
        <w:t xml:space="preserve"> </w:t>
      </w:r>
      <w:r w:rsidRPr="002A58C6">
        <w:rPr>
          <w:rFonts w:ascii="Times New Roman" w:hAnsi="Times New Roman"/>
          <w:sz w:val="24"/>
          <w:szCs w:val="24"/>
        </w:rPr>
        <w:t>It is recognized that the use of force may be warranted during assemblies depending on the situation.</w:t>
      </w:r>
      <w:r w:rsidRPr="002A58C6">
        <w:rPr>
          <w:rStyle w:val="FootnoteReference"/>
          <w:rFonts w:ascii="Times New Roman" w:hAnsi="Times New Roman"/>
          <w:sz w:val="24"/>
          <w:szCs w:val="24"/>
        </w:rPr>
        <w:footnoteReference w:id="42"/>
      </w:r>
      <w:r w:rsidRPr="002A58C6">
        <w:rPr>
          <w:rFonts w:ascii="Times New Roman" w:hAnsi="Times New Roman"/>
          <w:sz w:val="24"/>
          <w:szCs w:val="24"/>
        </w:rPr>
        <w:t xml:space="preserve"> </w:t>
      </w:r>
      <w:r w:rsidR="00214753" w:rsidRPr="002A58C6">
        <w:rPr>
          <w:rFonts w:ascii="Times New Roman" w:hAnsi="Times New Roman"/>
          <w:sz w:val="24"/>
          <w:szCs w:val="24"/>
        </w:rPr>
        <w:t>Furthermore, there is a</w:t>
      </w:r>
      <w:r w:rsidR="007760AF" w:rsidRPr="002A58C6">
        <w:rPr>
          <w:rFonts w:ascii="Times New Roman" w:hAnsi="Times New Roman"/>
          <w:sz w:val="24"/>
          <w:szCs w:val="24"/>
        </w:rPr>
        <w:t>n</w:t>
      </w:r>
      <w:r w:rsidR="00214753" w:rsidRPr="002A58C6">
        <w:rPr>
          <w:rFonts w:ascii="Times New Roman" w:hAnsi="Times New Roman"/>
          <w:sz w:val="24"/>
          <w:szCs w:val="24"/>
        </w:rPr>
        <w:t xml:space="preserve"> </w:t>
      </w:r>
      <w:r w:rsidR="007760AF" w:rsidRPr="002A58C6">
        <w:rPr>
          <w:rFonts w:ascii="Times New Roman" w:hAnsi="Times New Roman"/>
          <w:sz w:val="24"/>
          <w:szCs w:val="24"/>
        </w:rPr>
        <w:t xml:space="preserve">absolute </w:t>
      </w:r>
      <w:r w:rsidR="00214753" w:rsidRPr="002A58C6">
        <w:rPr>
          <w:rFonts w:ascii="Times New Roman" w:hAnsi="Times New Roman"/>
          <w:sz w:val="24"/>
          <w:szCs w:val="24"/>
        </w:rPr>
        <w:t xml:space="preserve">ban </w:t>
      </w:r>
      <w:r w:rsidR="007760AF" w:rsidRPr="002A58C6">
        <w:rPr>
          <w:rFonts w:ascii="Times New Roman" w:hAnsi="Times New Roman"/>
          <w:sz w:val="24"/>
          <w:szCs w:val="24"/>
        </w:rPr>
        <w:t>(</w:t>
      </w:r>
      <w:r w:rsidR="007760AF" w:rsidRPr="002A58C6">
        <w:rPr>
          <w:rFonts w:ascii="Times New Roman" w:hAnsi="Times New Roman"/>
          <w:i/>
          <w:sz w:val="24"/>
          <w:szCs w:val="24"/>
        </w:rPr>
        <w:t xml:space="preserve">jus </w:t>
      </w:r>
      <w:proofErr w:type="spellStart"/>
      <w:r w:rsidR="007760AF" w:rsidRPr="002A58C6">
        <w:rPr>
          <w:rFonts w:ascii="Times New Roman" w:hAnsi="Times New Roman"/>
          <w:i/>
          <w:sz w:val="24"/>
          <w:szCs w:val="24"/>
        </w:rPr>
        <w:t>cogens</w:t>
      </w:r>
      <w:proofErr w:type="spellEnd"/>
      <w:r w:rsidR="007760AF" w:rsidRPr="002A58C6">
        <w:rPr>
          <w:rFonts w:ascii="Times New Roman" w:hAnsi="Times New Roman"/>
          <w:sz w:val="24"/>
          <w:szCs w:val="24"/>
        </w:rPr>
        <w:t xml:space="preserve">) </w:t>
      </w:r>
      <w:r w:rsidR="00214753" w:rsidRPr="002A58C6">
        <w:rPr>
          <w:rFonts w:ascii="Times New Roman" w:hAnsi="Times New Roman"/>
          <w:sz w:val="24"/>
          <w:szCs w:val="24"/>
        </w:rPr>
        <w:t xml:space="preserve">on torture, cruel and degrading </w:t>
      </w:r>
      <w:r w:rsidR="007760AF" w:rsidRPr="002A58C6">
        <w:rPr>
          <w:rFonts w:ascii="Times New Roman" w:hAnsi="Times New Roman"/>
          <w:sz w:val="24"/>
          <w:szCs w:val="24"/>
        </w:rPr>
        <w:t>treatment</w:t>
      </w:r>
      <w:r w:rsidRPr="002A58C6">
        <w:rPr>
          <w:rFonts w:ascii="Times New Roman" w:hAnsi="Times New Roman"/>
          <w:sz w:val="24"/>
          <w:szCs w:val="24"/>
        </w:rPr>
        <w:t>.</w:t>
      </w:r>
      <w:r w:rsidR="007760AF" w:rsidRPr="002A58C6">
        <w:rPr>
          <w:rStyle w:val="FootnoteReference"/>
          <w:rFonts w:ascii="Times New Roman" w:hAnsi="Times New Roman"/>
          <w:sz w:val="24"/>
          <w:szCs w:val="24"/>
        </w:rPr>
        <w:footnoteReference w:id="43"/>
      </w:r>
      <w:r w:rsidR="00F81544" w:rsidRPr="002A58C6">
        <w:rPr>
          <w:rFonts w:ascii="Times New Roman" w:hAnsi="Times New Roman"/>
          <w:sz w:val="24"/>
          <w:szCs w:val="24"/>
        </w:rPr>
        <w:t xml:space="preserve"> </w:t>
      </w:r>
    </w:p>
    <w:p w14:paraId="1E41DE0E" w14:textId="77777777" w:rsidR="004F0111" w:rsidRPr="002A58C6" w:rsidRDefault="004F0111" w:rsidP="004F0111">
      <w:pPr>
        <w:pStyle w:val="ListParagraph"/>
        <w:ind w:left="567"/>
        <w:jc w:val="both"/>
        <w:rPr>
          <w:rFonts w:ascii="Times New Roman" w:hAnsi="Times New Roman"/>
          <w:sz w:val="24"/>
          <w:szCs w:val="24"/>
        </w:rPr>
      </w:pPr>
    </w:p>
    <w:p w14:paraId="4BFA667C" w14:textId="3738EF52" w:rsidR="00F55E00" w:rsidRPr="002A58C6" w:rsidRDefault="00717915" w:rsidP="004F0111">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t>It can be an advantage that the increasing availability of various less lethal weapons can lead to greater restraint in the use of firearms and allow for graduated use of force, even if this depends on the context and the specific weapon. On the other hand less lethal weapons may by definition be lethal or may lead to serious injuries. Such risks will</w:t>
      </w:r>
      <w:r w:rsidR="00ED1ED7" w:rsidRPr="002A58C6">
        <w:rPr>
          <w:rFonts w:ascii="Times New Roman" w:hAnsi="Times New Roman"/>
          <w:sz w:val="24"/>
          <w:szCs w:val="24"/>
        </w:rPr>
        <w:t xml:space="preserve"> vary in </w:t>
      </w:r>
      <w:r w:rsidRPr="002A58C6">
        <w:rPr>
          <w:rFonts w:ascii="Times New Roman" w:hAnsi="Times New Roman"/>
          <w:sz w:val="24"/>
          <w:szCs w:val="24"/>
        </w:rPr>
        <w:t xml:space="preserve">the context of its use, and the vulnerabilities of the persons against whom they are used; bystanders may also be affected </w:t>
      </w:r>
      <w:r w:rsidR="00ED1ED7" w:rsidRPr="002A58C6">
        <w:rPr>
          <w:rFonts w:ascii="Times New Roman" w:hAnsi="Times New Roman"/>
          <w:sz w:val="24"/>
          <w:szCs w:val="24"/>
        </w:rPr>
        <w:t xml:space="preserve">if the </w:t>
      </w:r>
      <w:r w:rsidRPr="002A58C6">
        <w:rPr>
          <w:rFonts w:ascii="Times New Roman" w:hAnsi="Times New Roman"/>
          <w:sz w:val="24"/>
          <w:szCs w:val="24"/>
        </w:rPr>
        <w:t xml:space="preserve">weapons </w:t>
      </w:r>
      <w:r w:rsidR="00ED1ED7" w:rsidRPr="002A58C6">
        <w:rPr>
          <w:rFonts w:ascii="Times New Roman" w:hAnsi="Times New Roman"/>
          <w:sz w:val="24"/>
          <w:szCs w:val="24"/>
        </w:rPr>
        <w:t>are hard to direct at one person at the time.</w:t>
      </w:r>
      <w:r w:rsidR="00ED1ED7" w:rsidRPr="00954C06">
        <w:rPr>
          <w:rStyle w:val="FootnoteReference"/>
          <w:rFonts w:ascii="Times New Roman" w:hAnsi="Times New Roman"/>
          <w:sz w:val="24"/>
          <w:szCs w:val="24"/>
        </w:rPr>
        <w:footnoteReference w:id="44"/>
      </w:r>
      <w:r w:rsidR="00ED1ED7" w:rsidRPr="00954C06">
        <w:rPr>
          <w:rFonts w:ascii="Times New Roman" w:hAnsi="Times New Roman"/>
          <w:sz w:val="24"/>
          <w:szCs w:val="24"/>
        </w:rPr>
        <w:t xml:space="preserve"> </w:t>
      </w:r>
    </w:p>
    <w:p w14:paraId="3F1ADF09" w14:textId="77777777" w:rsidR="00F55E00" w:rsidRPr="002A58C6" w:rsidRDefault="00F55E00" w:rsidP="00081B3A">
      <w:pPr>
        <w:pStyle w:val="ListParagraph"/>
        <w:ind w:left="567"/>
        <w:jc w:val="both"/>
        <w:rPr>
          <w:rFonts w:ascii="Times New Roman" w:hAnsi="Times New Roman"/>
          <w:sz w:val="24"/>
          <w:szCs w:val="24"/>
        </w:rPr>
      </w:pPr>
    </w:p>
    <w:p w14:paraId="68CF8A8D" w14:textId="35898239" w:rsidR="007760AF" w:rsidRPr="00954C06" w:rsidRDefault="002E50D4" w:rsidP="00954C06">
      <w:pPr>
        <w:pStyle w:val="ListParagraph"/>
        <w:numPr>
          <w:ilvl w:val="0"/>
          <w:numId w:val="7"/>
        </w:numPr>
        <w:ind w:left="567" w:hanging="425"/>
        <w:jc w:val="both"/>
        <w:rPr>
          <w:rFonts w:ascii="Times New Roman" w:hAnsi="Times New Roman"/>
          <w:sz w:val="24"/>
          <w:szCs w:val="24"/>
        </w:rPr>
      </w:pPr>
      <w:r w:rsidRPr="002A58C6">
        <w:rPr>
          <w:rFonts w:ascii="Times New Roman" w:hAnsi="Times New Roman"/>
          <w:sz w:val="24"/>
          <w:szCs w:val="24"/>
        </w:rPr>
        <w:t>Law enforcement officials should only resort to the use of force in line with the principles of exceptionality, proportionality and necessity, and they should differentiate between individuals engaged in violence and those who wish to assemble peacefully. These principles also apply to less-lethal weapons. Use of forceful methods of crowd control, including attenuated energy projectiles (AEPs), baton rounds or plastic/rubber bullets must be strictly regulated</w:t>
      </w:r>
      <w:r w:rsidR="00F55E00" w:rsidRPr="002A58C6">
        <w:rPr>
          <w:rFonts w:ascii="Times New Roman" w:hAnsi="Times New Roman"/>
          <w:sz w:val="24"/>
          <w:szCs w:val="24"/>
        </w:rPr>
        <w:t>.</w:t>
      </w:r>
      <w:r w:rsidRPr="002A58C6">
        <w:rPr>
          <w:rStyle w:val="FootnoteReference"/>
          <w:rFonts w:ascii="Times New Roman" w:hAnsi="Times New Roman"/>
          <w:sz w:val="24"/>
          <w:szCs w:val="24"/>
        </w:rPr>
        <w:footnoteReference w:id="45"/>
      </w:r>
      <w:r w:rsidR="00F55E00" w:rsidRPr="002A58C6">
        <w:rPr>
          <w:rFonts w:ascii="Times New Roman" w:hAnsi="Times New Roman"/>
          <w:sz w:val="24"/>
          <w:szCs w:val="24"/>
        </w:rPr>
        <w:t xml:space="preserve"> </w:t>
      </w:r>
      <w:r w:rsidRPr="002A58C6">
        <w:rPr>
          <w:rFonts w:ascii="Times New Roman" w:hAnsi="Times New Roman"/>
          <w:sz w:val="24"/>
          <w:szCs w:val="24"/>
        </w:rPr>
        <w:t>ODIHR recommends to participating States to ensure that law enforcement officials are adequately trained, resourced and equipped (including with less lethal technologies) so as to best enable differentiated and proportionate use of force in the context of policing assemblies</w:t>
      </w:r>
      <w:r w:rsidR="00F55E00" w:rsidRPr="002A58C6">
        <w:rPr>
          <w:rFonts w:ascii="Times New Roman" w:hAnsi="Times New Roman"/>
          <w:sz w:val="24"/>
          <w:szCs w:val="24"/>
        </w:rPr>
        <w:t>.</w:t>
      </w:r>
      <w:r w:rsidRPr="002A58C6">
        <w:rPr>
          <w:rStyle w:val="FootnoteReference"/>
          <w:rFonts w:ascii="Times New Roman" w:hAnsi="Times New Roman"/>
          <w:sz w:val="24"/>
          <w:szCs w:val="24"/>
        </w:rPr>
        <w:footnoteReference w:id="46"/>
      </w:r>
      <w:r w:rsidRPr="002A58C6">
        <w:rPr>
          <w:rFonts w:ascii="Times New Roman" w:hAnsi="Times New Roman"/>
          <w:sz w:val="24"/>
          <w:szCs w:val="24"/>
        </w:rPr>
        <w:t xml:space="preserve"> </w:t>
      </w:r>
    </w:p>
    <w:sectPr w:rsidR="007760AF" w:rsidRPr="00954C06">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2DED21" w16cid:durableId="213EF2EA"/>
  <w16cid:commentId w16cid:paraId="46C84850" w16cid:durableId="213F01D5"/>
  <w16cid:commentId w16cid:paraId="4049A78D" w16cid:durableId="213F0D28"/>
  <w16cid:commentId w16cid:paraId="6F33AFA0" w16cid:durableId="213F0D14"/>
  <w16cid:commentId w16cid:paraId="6A421DC7" w16cid:durableId="21406018"/>
  <w16cid:commentId w16cid:paraId="0380BDFD" w16cid:durableId="21406F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25E12" w14:textId="77777777" w:rsidR="00BF43F8" w:rsidRDefault="00BF43F8" w:rsidP="00B748E7">
      <w:pPr>
        <w:spacing w:after="0" w:line="240" w:lineRule="auto"/>
      </w:pPr>
      <w:r>
        <w:separator/>
      </w:r>
    </w:p>
  </w:endnote>
  <w:endnote w:type="continuationSeparator" w:id="0">
    <w:p w14:paraId="1F6A6FC5" w14:textId="77777777" w:rsidR="00BF43F8" w:rsidRDefault="00BF43F8" w:rsidP="00B7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D99EE" w14:textId="77777777" w:rsidR="00BF43F8" w:rsidRDefault="00BF43F8" w:rsidP="00B748E7">
      <w:pPr>
        <w:spacing w:after="0" w:line="240" w:lineRule="auto"/>
      </w:pPr>
      <w:r>
        <w:separator/>
      </w:r>
    </w:p>
  </w:footnote>
  <w:footnote w:type="continuationSeparator" w:id="0">
    <w:p w14:paraId="620C0903" w14:textId="77777777" w:rsidR="00BF43F8" w:rsidRDefault="00BF43F8" w:rsidP="00B748E7">
      <w:pPr>
        <w:spacing w:after="0" w:line="240" w:lineRule="auto"/>
      </w:pPr>
      <w:r>
        <w:continuationSeparator/>
      </w:r>
    </w:p>
  </w:footnote>
  <w:footnote w:id="1">
    <w:p w14:paraId="7EB6C055" w14:textId="77777777" w:rsidR="00B92F3A" w:rsidRPr="006072C0" w:rsidRDefault="00B92F3A"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OSCE/ODIHR-Venice Commission Guidelines on Freedom of Peaceful Assembly, 2nd edition (2010), available here: </w:t>
      </w:r>
      <w:hyperlink r:id="rId1" w:history="1">
        <w:r w:rsidRPr="006072C0">
          <w:rPr>
            <w:rStyle w:val="Hyperlink"/>
            <w:rFonts w:ascii="Times New Roman" w:hAnsi="Times New Roman"/>
            <w:sz w:val="20"/>
            <w:szCs w:val="20"/>
          </w:rPr>
          <w:t>http://www.osce.org/odihr/73405</w:t>
        </w:r>
      </w:hyperlink>
      <w:r w:rsidRPr="006072C0">
        <w:rPr>
          <w:rFonts w:ascii="Times New Roman" w:hAnsi="Times New Roman" w:cs="Times New Roman"/>
          <w:sz w:val="20"/>
          <w:szCs w:val="20"/>
        </w:rPr>
        <w:t xml:space="preserve">  </w:t>
      </w:r>
    </w:p>
  </w:footnote>
  <w:footnote w:id="2">
    <w:p w14:paraId="43FD87B9" w14:textId="77777777" w:rsidR="00B92F3A" w:rsidRPr="006072C0" w:rsidRDefault="00B92F3A"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All reviews can be found here:   </w:t>
      </w:r>
      <w:hyperlink r:id="rId2" w:history="1">
        <w:r w:rsidRPr="006072C0">
          <w:rPr>
            <w:rStyle w:val="Hyperlink"/>
            <w:rFonts w:ascii="Times New Roman" w:hAnsi="Times New Roman"/>
            <w:sz w:val="20"/>
            <w:szCs w:val="20"/>
          </w:rPr>
          <w:t>http://www.legislationline.org/topics/topic/15</w:t>
        </w:r>
      </w:hyperlink>
      <w:r w:rsidRPr="006072C0">
        <w:rPr>
          <w:rFonts w:ascii="Times New Roman" w:hAnsi="Times New Roman" w:cs="Times New Roman"/>
          <w:sz w:val="20"/>
          <w:szCs w:val="20"/>
        </w:rPr>
        <w:t xml:space="preserve"> </w:t>
      </w:r>
    </w:p>
  </w:footnote>
  <w:footnote w:id="3">
    <w:p w14:paraId="704C8E02" w14:textId="77777777" w:rsidR="00B92F3A" w:rsidRPr="006072C0" w:rsidRDefault="00B92F3A"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Factsheet: </w:t>
      </w:r>
      <w:hyperlink r:id="rId3" w:history="1">
        <w:r w:rsidRPr="006072C0">
          <w:rPr>
            <w:rStyle w:val="Hyperlink"/>
            <w:rFonts w:ascii="Times New Roman" w:hAnsi="Times New Roman"/>
            <w:sz w:val="20"/>
            <w:szCs w:val="20"/>
          </w:rPr>
          <w:t>https://www.osce.org/odihr/41784?download=true</w:t>
        </w:r>
      </w:hyperlink>
      <w:r w:rsidRPr="006072C0">
        <w:rPr>
          <w:rFonts w:ascii="Times New Roman" w:hAnsi="Times New Roman" w:cs="Times New Roman"/>
          <w:sz w:val="20"/>
          <w:szCs w:val="20"/>
        </w:rPr>
        <w:t xml:space="preserve"> </w:t>
      </w:r>
    </w:p>
  </w:footnote>
  <w:footnote w:id="4">
    <w:p w14:paraId="0EE58172" w14:textId="007F2CC3" w:rsidR="008C3F10" w:rsidRPr="006072C0" w:rsidRDefault="007C02CC"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00B579FE" w:rsidRPr="006072C0">
        <w:rPr>
          <w:rFonts w:ascii="Times New Roman" w:hAnsi="Times New Roman" w:cs="Times New Roman"/>
          <w:sz w:val="20"/>
          <w:szCs w:val="20"/>
        </w:rPr>
        <w:t>For example</w:t>
      </w:r>
      <w:r w:rsidR="00F9330A" w:rsidRPr="006072C0">
        <w:rPr>
          <w:rFonts w:ascii="Times New Roman" w:hAnsi="Times New Roman" w:cs="Times New Roman"/>
          <w:sz w:val="20"/>
          <w:szCs w:val="20"/>
        </w:rPr>
        <w:t xml:space="preserve"> </w:t>
      </w:r>
      <w:r w:rsidR="005A51FB" w:rsidRPr="006072C0">
        <w:rPr>
          <w:rFonts w:ascii="Times New Roman" w:hAnsi="Times New Roman" w:cs="Times New Roman"/>
          <w:sz w:val="20"/>
          <w:szCs w:val="20"/>
        </w:rPr>
        <w:t xml:space="preserve">OSCE ODIHR Report Monitoring of Freedom of Peaceful Assembly in Selected OSCE Participating States (May 2017–June 2018) </w:t>
      </w:r>
      <w:r w:rsidR="00B579FE" w:rsidRPr="006072C0">
        <w:rPr>
          <w:rFonts w:ascii="Times New Roman" w:hAnsi="Times New Roman" w:cs="Times New Roman"/>
          <w:sz w:val="20"/>
          <w:szCs w:val="20"/>
        </w:rPr>
        <w:t xml:space="preserve">; </w:t>
      </w:r>
      <w:r w:rsidR="004567AB" w:rsidRPr="006072C0">
        <w:rPr>
          <w:rFonts w:ascii="Times New Roman" w:hAnsi="Times New Roman" w:cs="Times New Roman"/>
          <w:sz w:val="20"/>
          <w:szCs w:val="20"/>
          <w:lang w:val="en-US"/>
        </w:rPr>
        <w:t>Par</w:t>
      </w:r>
      <w:r w:rsidR="000578D9" w:rsidRPr="006072C0">
        <w:rPr>
          <w:rFonts w:ascii="Times New Roman" w:hAnsi="Times New Roman" w:cs="Times New Roman"/>
          <w:sz w:val="20"/>
          <w:szCs w:val="20"/>
          <w:lang w:val="en-US"/>
        </w:rPr>
        <w:t>a</w:t>
      </w:r>
      <w:r w:rsidR="004567AB" w:rsidRPr="006072C0">
        <w:rPr>
          <w:rFonts w:ascii="Times New Roman" w:hAnsi="Times New Roman" w:cs="Times New Roman"/>
          <w:sz w:val="20"/>
          <w:szCs w:val="20"/>
          <w:lang w:val="en-US"/>
        </w:rPr>
        <w:t xml:space="preserve"> 187</w:t>
      </w:r>
      <w:r w:rsidR="00B579FE" w:rsidRPr="006072C0">
        <w:rPr>
          <w:rFonts w:ascii="Times New Roman" w:hAnsi="Times New Roman" w:cs="Times New Roman"/>
          <w:sz w:val="20"/>
          <w:szCs w:val="20"/>
          <w:lang w:val="en-US"/>
        </w:rPr>
        <w:t xml:space="preserve"> states that </w:t>
      </w:r>
      <w:r w:rsidR="00C614A6" w:rsidRPr="006072C0">
        <w:rPr>
          <w:rFonts w:ascii="Times New Roman" w:hAnsi="Times New Roman" w:cs="Times New Roman"/>
          <w:sz w:val="20"/>
          <w:szCs w:val="20"/>
          <w:lang w:val="en-US"/>
        </w:rPr>
        <w:t xml:space="preserve"> in Quebec, Canada, </w:t>
      </w:r>
      <w:r w:rsidR="00B579FE" w:rsidRPr="006072C0">
        <w:rPr>
          <w:rFonts w:ascii="Times New Roman" w:hAnsi="Times New Roman" w:cs="Times New Roman"/>
          <w:i/>
          <w:sz w:val="20"/>
          <w:szCs w:val="20"/>
          <w:lang w:val="en-US"/>
        </w:rPr>
        <w:t>“</w:t>
      </w:r>
      <w:r w:rsidR="00B579FE" w:rsidRPr="006072C0">
        <w:rPr>
          <w:rFonts w:ascii="Times New Roman" w:hAnsi="Times New Roman" w:cs="Times New Roman"/>
          <w:i/>
          <w:sz w:val="20"/>
          <w:szCs w:val="20"/>
        </w:rPr>
        <w:t xml:space="preserve">Police services from the so-called Integrated Security Unit (formed for the purposes of the facilitation of the G7 Summit) shared information on </w:t>
      </w:r>
      <w:r w:rsidR="00B579FE" w:rsidRPr="006072C0">
        <w:rPr>
          <w:rFonts w:ascii="Times New Roman" w:hAnsi="Times New Roman" w:cs="Times New Roman"/>
          <w:b/>
          <w:i/>
          <w:sz w:val="20"/>
          <w:szCs w:val="20"/>
        </w:rPr>
        <w:t>social media</w:t>
      </w:r>
      <w:r w:rsidR="00B579FE" w:rsidRPr="006072C0">
        <w:rPr>
          <w:rFonts w:ascii="Times New Roman" w:hAnsi="Times New Roman" w:cs="Times New Roman"/>
          <w:i/>
          <w:sz w:val="20"/>
          <w:szCs w:val="20"/>
        </w:rPr>
        <w:t xml:space="preserve"> before the planned protests and formed partnerships with conventional media to ensure that relevant messages could be conveyed</w:t>
      </w:r>
      <w:r w:rsidR="00C614A6" w:rsidRPr="006072C0">
        <w:rPr>
          <w:rFonts w:ascii="Times New Roman" w:hAnsi="Times New Roman" w:cs="Times New Roman"/>
          <w:sz w:val="20"/>
          <w:szCs w:val="20"/>
        </w:rPr>
        <w:t>”</w:t>
      </w:r>
      <w:r w:rsidR="009C2CF8" w:rsidRPr="006072C0">
        <w:rPr>
          <w:rFonts w:ascii="Times New Roman" w:hAnsi="Times New Roman" w:cs="Times New Roman"/>
          <w:sz w:val="20"/>
          <w:szCs w:val="20"/>
        </w:rPr>
        <w:t xml:space="preserve"> and par</w:t>
      </w:r>
      <w:r w:rsidR="000578D9" w:rsidRPr="006072C0">
        <w:rPr>
          <w:rFonts w:ascii="Times New Roman" w:hAnsi="Times New Roman" w:cs="Times New Roman"/>
          <w:sz w:val="20"/>
          <w:szCs w:val="20"/>
        </w:rPr>
        <w:t>a</w:t>
      </w:r>
      <w:r w:rsidR="009C2CF8" w:rsidRPr="006072C0">
        <w:rPr>
          <w:rFonts w:ascii="Times New Roman" w:hAnsi="Times New Roman" w:cs="Times New Roman"/>
          <w:sz w:val="20"/>
          <w:szCs w:val="20"/>
        </w:rPr>
        <w:t xml:space="preserve"> </w:t>
      </w:r>
      <w:r w:rsidR="003C2E37" w:rsidRPr="006072C0">
        <w:rPr>
          <w:rFonts w:ascii="Times New Roman" w:hAnsi="Times New Roman" w:cs="Times New Roman"/>
          <w:sz w:val="20"/>
          <w:szCs w:val="20"/>
        </w:rPr>
        <w:t>346 stating that “</w:t>
      </w:r>
      <w:r w:rsidR="009C2CF8" w:rsidRPr="006072C0">
        <w:rPr>
          <w:rFonts w:ascii="Times New Roman" w:hAnsi="Times New Roman" w:cs="Times New Roman"/>
          <w:sz w:val="20"/>
          <w:szCs w:val="20"/>
        </w:rPr>
        <w:t xml:space="preserve"> </w:t>
      </w:r>
      <w:r w:rsidR="003C2E37" w:rsidRPr="006072C0">
        <w:rPr>
          <w:rFonts w:ascii="Times New Roman" w:hAnsi="Times New Roman" w:cs="Times New Roman"/>
          <w:i/>
          <w:sz w:val="20"/>
          <w:szCs w:val="20"/>
        </w:rPr>
        <w:t xml:space="preserve">The Integrated Security Unit in Canada supported the work of journalists by holding information and technical briefings, establishing special telephone lines and </w:t>
      </w:r>
      <w:r w:rsidR="003C2E37" w:rsidRPr="006072C0">
        <w:rPr>
          <w:rFonts w:ascii="Times New Roman" w:hAnsi="Times New Roman" w:cs="Times New Roman"/>
          <w:b/>
          <w:i/>
          <w:sz w:val="20"/>
          <w:szCs w:val="20"/>
        </w:rPr>
        <w:t>social media accounts</w:t>
      </w:r>
      <w:r w:rsidR="003C2E37" w:rsidRPr="006072C0">
        <w:rPr>
          <w:rFonts w:ascii="Times New Roman" w:hAnsi="Times New Roman" w:cs="Times New Roman"/>
          <w:i/>
          <w:sz w:val="20"/>
          <w:szCs w:val="20"/>
        </w:rPr>
        <w:t xml:space="preserve"> to facilitate media inquiries and granting accreditation to provide access to designated Summit sites</w:t>
      </w:r>
      <w:r w:rsidR="00F9330A" w:rsidRPr="006072C0">
        <w:rPr>
          <w:rFonts w:ascii="Times New Roman" w:hAnsi="Times New Roman" w:cs="Times New Roman"/>
          <w:i/>
          <w:sz w:val="20"/>
          <w:szCs w:val="20"/>
        </w:rPr>
        <w:t>”</w:t>
      </w:r>
      <w:r w:rsidR="005A51FB" w:rsidRPr="006072C0">
        <w:rPr>
          <w:rFonts w:ascii="Times New Roman" w:hAnsi="Times New Roman" w:cs="Times New Roman"/>
          <w:sz w:val="20"/>
          <w:szCs w:val="20"/>
        </w:rPr>
        <w:t xml:space="preserve"> </w:t>
      </w:r>
      <w:r w:rsidR="008C3F10" w:rsidRPr="006072C0">
        <w:rPr>
          <w:rFonts w:ascii="Times New Roman" w:hAnsi="Times New Roman" w:cs="Times New Roman"/>
          <w:sz w:val="20"/>
          <w:szCs w:val="20"/>
        </w:rPr>
        <w:t>https://www.osce.org/odihr/430793?download=true</w:t>
      </w:r>
    </w:p>
  </w:footnote>
  <w:footnote w:id="5">
    <w:p w14:paraId="0AC2FBB3" w14:textId="3422347A" w:rsidR="00B92F3A" w:rsidRPr="006072C0" w:rsidRDefault="00B92F3A" w:rsidP="006072C0">
      <w:pPr>
        <w:pStyle w:val="CommentText"/>
        <w:spacing w:after="0"/>
        <w:rPr>
          <w:rFonts w:ascii="Times New Roman" w:hAnsi="Times New Roman" w:cs="Times New Roman"/>
        </w:rPr>
      </w:pPr>
      <w:r w:rsidRPr="006072C0">
        <w:rPr>
          <w:rStyle w:val="FootnoteReference"/>
          <w:rFonts w:ascii="Times New Roman" w:hAnsi="Times New Roman" w:cs="Times New Roman"/>
        </w:rPr>
        <w:footnoteRef/>
      </w:r>
      <w:bookmarkStart w:id="1" w:name="_Hlk20914422"/>
      <w:r w:rsidR="006072C0">
        <w:rPr>
          <w:rFonts w:ascii="Times New Roman" w:hAnsi="Times New Roman" w:cs="Times New Roman"/>
        </w:rPr>
        <w:t xml:space="preserve"> </w:t>
      </w:r>
      <w:r w:rsidRPr="006072C0">
        <w:rPr>
          <w:rFonts w:ascii="Times New Roman" w:hAnsi="Times New Roman" w:cs="Times New Roman"/>
        </w:rPr>
        <w:t xml:space="preserve">Handbook on Monitoring Freedom of Peaceful Assembly in 2011, </w:t>
      </w:r>
      <w:hyperlink r:id="rId4" w:history="1">
        <w:r w:rsidRPr="006072C0">
          <w:rPr>
            <w:rStyle w:val="Hyperlink"/>
            <w:rFonts w:ascii="Times New Roman" w:hAnsi="Times New Roman"/>
          </w:rPr>
          <w:t>http://www.osce.org/odihr/82979?download=true</w:t>
        </w:r>
      </w:hyperlink>
      <w:bookmarkEnd w:id="1"/>
      <w:r w:rsidRPr="006072C0">
        <w:rPr>
          <w:rFonts w:ascii="Times New Roman" w:hAnsi="Times New Roman" w:cs="Times New Roman"/>
        </w:rPr>
        <w:t xml:space="preserve">. </w:t>
      </w:r>
    </w:p>
  </w:footnote>
  <w:footnote w:id="6">
    <w:p w14:paraId="3E517626" w14:textId="0FB69047" w:rsidR="008F3A31" w:rsidRPr="006072C0" w:rsidRDefault="008F3A31"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007830C6" w:rsidRPr="006072C0">
        <w:rPr>
          <w:rFonts w:ascii="Times New Roman" w:hAnsi="Times New Roman" w:cs="Times New Roman"/>
          <w:sz w:val="20"/>
          <w:szCs w:val="20"/>
        </w:rPr>
        <w:t xml:space="preserve">Ibid, </w:t>
      </w:r>
      <w:r w:rsidR="00457138" w:rsidRPr="006072C0">
        <w:rPr>
          <w:rFonts w:ascii="Times New Roman" w:hAnsi="Times New Roman" w:cs="Times New Roman"/>
          <w:sz w:val="20"/>
          <w:szCs w:val="20"/>
          <w:lang w:val="en-US"/>
        </w:rPr>
        <w:t xml:space="preserve">page 54 </w:t>
      </w:r>
    </w:p>
  </w:footnote>
  <w:footnote w:id="7">
    <w:p w14:paraId="0C3791E8" w14:textId="77777777" w:rsidR="00C41102" w:rsidRPr="006072C0" w:rsidRDefault="00C41102"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 L Youmans, J C York, “Social Media and the Activist Toolkit: User Agreements, Corporate Interests and the Information Infrastructure of Modern Social Movements”, </w:t>
      </w:r>
      <w:r w:rsidRPr="006072C0">
        <w:rPr>
          <w:rFonts w:ascii="Times New Roman" w:hAnsi="Times New Roman" w:cs="Times New Roman"/>
          <w:i/>
          <w:sz w:val="20"/>
          <w:szCs w:val="20"/>
        </w:rPr>
        <w:t>Journal of Communication</w:t>
      </w:r>
      <w:r w:rsidRPr="006072C0">
        <w:rPr>
          <w:rFonts w:ascii="Times New Roman" w:hAnsi="Times New Roman" w:cs="Times New Roman"/>
          <w:sz w:val="20"/>
          <w:szCs w:val="20"/>
        </w:rPr>
        <w:t xml:space="preserve"> Vol. 62, 2012, p 315. In </w:t>
      </w:r>
      <w:proofErr w:type="spellStart"/>
      <w:r w:rsidRPr="006072C0">
        <w:rPr>
          <w:rFonts w:ascii="Times New Roman" w:hAnsi="Times New Roman" w:cs="Times New Roman"/>
          <w:i/>
          <w:sz w:val="20"/>
          <w:szCs w:val="20"/>
        </w:rPr>
        <w:t>Packingham</w:t>
      </w:r>
      <w:proofErr w:type="spellEnd"/>
      <w:r w:rsidRPr="006072C0">
        <w:rPr>
          <w:rFonts w:ascii="Times New Roman" w:hAnsi="Times New Roman" w:cs="Times New Roman"/>
          <w:i/>
          <w:sz w:val="20"/>
          <w:szCs w:val="20"/>
        </w:rPr>
        <w:t xml:space="preserve"> v. North Carolina</w:t>
      </w:r>
      <w:r w:rsidRPr="006072C0">
        <w:rPr>
          <w:rFonts w:ascii="Times New Roman" w:hAnsi="Times New Roman" w:cs="Times New Roman"/>
          <w:sz w:val="20"/>
          <w:szCs w:val="20"/>
        </w:rPr>
        <w:t>, 137 S. Ct. 1730, 1735 (2017), the US Supreme Court analogized the internet to the “essential venues for public gatherings.”</w:t>
      </w:r>
    </w:p>
  </w:footnote>
  <w:footnote w:id="8">
    <w:p w14:paraId="4AE528CE" w14:textId="77777777" w:rsidR="00C41102" w:rsidRPr="006072C0" w:rsidRDefault="00C41102"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Jonathon </w:t>
      </w:r>
      <w:proofErr w:type="spellStart"/>
      <w:r w:rsidRPr="006072C0">
        <w:rPr>
          <w:rFonts w:ascii="Times New Roman" w:hAnsi="Times New Roman" w:cs="Times New Roman"/>
          <w:sz w:val="20"/>
          <w:szCs w:val="20"/>
        </w:rPr>
        <w:t>Zittrain</w:t>
      </w:r>
      <w:proofErr w:type="spellEnd"/>
      <w:r w:rsidRPr="006072C0">
        <w:rPr>
          <w:rFonts w:ascii="Times New Roman" w:hAnsi="Times New Roman" w:cs="Times New Roman"/>
          <w:sz w:val="20"/>
          <w:szCs w:val="20"/>
        </w:rPr>
        <w:t xml:space="preserve">, “Ubiquitous human computing”, </w:t>
      </w:r>
      <w:r w:rsidRPr="006072C0">
        <w:rPr>
          <w:rFonts w:ascii="Times New Roman" w:hAnsi="Times New Roman" w:cs="Times New Roman"/>
          <w:i/>
          <w:sz w:val="20"/>
          <w:szCs w:val="20"/>
        </w:rPr>
        <w:t xml:space="preserve">Philosophical Transactions of the Royal Society </w:t>
      </w:r>
      <w:proofErr w:type="gramStart"/>
      <w:r w:rsidRPr="006072C0">
        <w:rPr>
          <w:rFonts w:ascii="Times New Roman" w:hAnsi="Times New Roman" w:cs="Times New Roman"/>
          <w:i/>
          <w:sz w:val="20"/>
          <w:szCs w:val="20"/>
        </w:rPr>
        <w:t>A</w:t>
      </w:r>
      <w:proofErr w:type="gramEnd"/>
      <w:r w:rsidRPr="006072C0">
        <w:rPr>
          <w:rFonts w:ascii="Times New Roman" w:hAnsi="Times New Roman" w:cs="Times New Roman"/>
          <w:sz w:val="20"/>
          <w:szCs w:val="20"/>
        </w:rPr>
        <w:t xml:space="preserve"> Vol. 366 No.188, 2008 pp. 3813-3821.</w:t>
      </w:r>
    </w:p>
  </w:footnote>
  <w:footnote w:id="9">
    <w:p w14:paraId="545B312A" w14:textId="77777777" w:rsidR="00C41102" w:rsidRPr="006072C0" w:rsidRDefault="00C41102"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bookmarkStart w:id="2" w:name="_Hlk20998138"/>
      <w:proofErr w:type="spellStart"/>
      <w:r w:rsidRPr="006072C0">
        <w:rPr>
          <w:rFonts w:ascii="Times New Roman" w:hAnsi="Times New Roman" w:cs="Times New Roman"/>
          <w:i/>
          <w:sz w:val="20"/>
          <w:szCs w:val="20"/>
          <w:lang w:val="en-US"/>
        </w:rPr>
        <w:t>Kalda</w:t>
      </w:r>
      <w:proofErr w:type="spellEnd"/>
      <w:r w:rsidRPr="006072C0">
        <w:rPr>
          <w:rFonts w:ascii="Times New Roman" w:hAnsi="Times New Roman" w:cs="Times New Roman"/>
          <w:i/>
          <w:sz w:val="20"/>
          <w:szCs w:val="20"/>
          <w:lang w:val="en-US"/>
        </w:rPr>
        <w:t xml:space="preserve"> v. Estonia</w:t>
      </w:r>
      <w:r w:rsidRPr="006072C0">
        <w:rPr>
          <w:rFonts w:ascii="Times New Roman" w:hAnsi="Times New Roman" w:cs="Times New Roman"/>
          <w:sz w:val="20"/>
          <w:szCs w:val="20"/>
          <w:lang w:val="en-US"/>
        </w:rPr>
        <w:t xml:space="preserve"> (2016), </w:t>
      </w:r>
      <w:r w:rsidRPr="006072C0">
        <w:rPr>
          <w:rFonts w:ascii="Times New Roman" w:hAnsi="Times New Roman" w:cs="Times New Roman"/>
          <w:sz w:val="20"/>
          <w:szCs w:val="20"/>
        </w:rPr>
        <w:t xml:space="preserve">Application No 17429/10, 19 January 2016, para. </w:t>
      </w:r>
      <w:proofErr w:type="gramStart"/>
      <w:r w:rsidRPr="006072C0">
        <w:rPr>
          <w:rFonts w:ascii="Times New Roman" w:hAnsi="Times New Roman" w:cs="Times New Roman"/>
          <w:sz w:val="20"/>
          <w:szCs w:val="20"/>
        </w:rPr>
        <w:t>52</w:t>
      </w:r>
      <w:bookmarkEnd w:id="2"/>
      <w:proofErr w:type="gramEnd"/>
      <w:r w:rsidRPr="006072C0">
        <w:rPr>
          <w:rFonts w:ascii="Times New Roman" w:hAnsi="Times New Roman" w:cs="Times New Roman"/>
          <w:sz w:val="20"/>
          <w:szCs w:val="20"/>
        </w:rPr>
        <w:t>, where the Court explicitly recognized the importance of the Internet for the enjoyment of a range of human rights. “The Court cannot overlook the fact that in a number of Council of Europe and other international instruments the public-service value of the Internet and its importance for the enjoyment of a range of human rights has been recognised. Internet access has increasingly been understood as a right, and calls have been made to develop effective policies to attain universal access to the Internet and to overcome the “digital divide”…The Court considers that these developments reflect the important role the Internet plays in people’s everyday lives.”</w:t>
      </w:r>
    </w:p>
  </w:footnote>
  <w:footnote w:id="10">
    <w:p w14:paraId="4979F94A" w14:textId="77777777" w:rsidR="00C41102" w:rsidRPr="006072C0" w:rsidRDefault="00C41102"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UN Human Rights Committee Views (on the merits): </w:t>
      </w:r>
      <w:proofErr w:type="spellStart"/>
      <w:r w:rsidRPr="006072C0">
        <w:rPr>
          <w:rFonts w:ascii="Times New Roman" w:hAnsi="Times New Roman" w:cs="Times New Roman"/>
          <w:i/>
          <w:sz w:val="20"/>
          <w:szCs w:val="20"/>
        </w:rPr>
        <w:t>Tulzhenkova</w:t>
      </w:r>
      <w:proofErr w:type="spellEnd"/>
      <w:r w:rsidRPr="006072C0">
        <w:rPr>
          <w:rFonts w:ascii="Times New Roman" w:hAnsi="Times New Roman" w:cs="Times New Roman"/>
          <w:i/>
          <w:sz w:val="20"/>
          <w:szCs w:val="20"/>
        </w:rPr>
        <w:t xml:space="preserve"> v. Belarus</w:t>
      </w:r>
      <w:r w:rsidRPr="006072C0">
        <w:rPr>
          <w:rFonts w:ascii="Times New Roman" w:hAnsi="Times New Roman" w:cs="Times New Roman"/>
          <w:sz w:val="20"/>
          <w:szCs w:val="20"/>
        </w:rPr>
        <w:t xml:space="preserve"> (1226/03) 26 October 2011, CCPR/C/103/D/1838/2008, para. 9.3. The Committee stated its view that the circulation of publicity for an upcoming assembly </w:t>
      </w:r>
      <w:proofErr w:type="gramStart"/>
      <w:r w:rsidRPr="006072C0">
        <w:rPr>
          <w:rFonts w:ascii="Times New Roman" w:hAnsi="Times New Roman" w:cs="Times New Roman"/>
          <w:sz w:val="20"/>
          <w:szCs w:val="20"/>
        </w:rPr>
        <w:t>cannot legitimately be penalized</w:t>
      </w:r>
      <w:proofErr w:type="gramEnd"/>
      <w:r w:rsidRPr="006072C0">
        <w:rPr>
          <w:rFonts w:ascii="Times New Roman" w:hAnsi="Times New Roman" w:cs="Times New Roman"/>
          <w:sz w:val="20"/>
          <w:szCs w:val="20"/>
        </w:rPr>
        <w:t xml:space="preserve"> in the absence of a “specific indication of what dangers would have been created by the early distribution of the information.”</w:t>
      </w:r>
    </w:p>
  </w:footnote>
  <w:footnote w:id="11">
    <w:p w14:paraId="675D6E56" w14:textId="3D7E6FC9" w:rsidR="00C41102" w:rsidRPr="006072C0" w:rsidRDefault="00C41102"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Pr="006072C0">
        <w:rPr>
          <w:rFonts w:ascii="Times New Roman" w:hAnsi="Times New Roman" w:cs="Times New Roman"/>
          <w:i/>
          <w:sz w:val="20"/>
          <w:szCs w:val="20"/>
        </w:rPr>
        <w:t xml:space="preserve">Op. </w:t>
      </w:r>
      <w:proofErr w:type="spellStart"/>
      <w:r w:rsidRPr="006072C0">
        <w:rPr>
          <w:rFonts w:ascii="Times New Roman" w:hAnsi="Times New Roman" w:cs="Times New Roman"/>
          <w:i/>
          <w:sz w:val="20"/>
          <w:szCs w:val="20"/>
        </w:rPr>
        <w:t>cit</w:t>
      </w:r>
      <w:proofErr w:type="spellEnd"/>
      <w:r w:rsidRPr="006072C0">
        <w:rPr>
          <w:rFonts w:ascii="Times New Roman" w:hAnsi="Times New Roman" w:cs="Times New Roman"/>
          <w:sz w:val="20"/>
          <w:szCs w:val="20"/>
        </w:rPr>
        <w:t xml:space="preserve"> note 9</w:t>
      </w:r>
      <w:r w:rsidRPr="006072C0">
        <w:rPr>
          <w:rFonts w:ascii="Times New Roman" w:hAnsi="Times New Roman" w:cs="Times New Roman"/>
          <w:b/>
          <w:sz w:val="20"/>
          <w:szCs w:val="20"/>
        </w:rPr>
        <w:t xml:space="preserve"> </w:t>
      </w:r>
      <w:r w:rsidRPr="006072C0">
        <w:rPr>
          <w:rFonts w:ascii="Times New Roman" w:hAnsi="Times New Roman" w:cs="Times New Roman"/>
          <w:sz w:val="20"/>
          <w:szCs w:val="20"/>
        </w:rPr>
        <w:t>(</w:t>
      </w:r>
      <w:proofErr w:type="spellStart"/>
      <w:r w:rsidRPr="006072C0">
        <w:rPr>
          <w:rFonts w:ascii="Times New Roman" w:hAnsi="Times New Roman" w:cs="Times New Roman"/>
          <w:i/>
          <w:sz w:val="20"/>
          <w:szCs w:val="20"/>
        </w:rPr>
        <w:t>Kalda</w:t>
      </w:r>
      <w:proofErr w:type="spellEnd"/>
      <w:r w:rsidRPr="006072C0">
        <w:rPr>
          <w:rFonts w:ascii="Times New Roman" w:hAnsi="Times New Roman" w:cs="Times New Roman"/>
          <w:i/>
          <w:sz w:val="20"/>
          <w:szCs w:val="20"/>
        </w:rPr>
        <w:t xml:space="preserve"> v. Estonia)</w:t>
      </w:r>
      <w:r w:rsidRPr="006072C0">
        <w:rPr>
          <w:rFonts w:ascii="Times New Roman" w:hAnsi="Times New Roman" w:cs="Times New Roman"/>
          <w:sz w:val="20"/>
          <w:szCs w:val="20"/>
        </w:rPr>
        <w:t xml:space="preserve">, para. 52. See also </w:t>
      </w:r>
      <w:proofErr w:type="spellStart"/>
      <w:r w:rsidRPr="006072C0">
        <w:rPr>
          <w:rFonts w:ascii="Times New Roman" w:hAnsi="Times New Roman" w:cs="Times New Roman"/>
          <w:i/>
          <w:sz w:val="20"/>
          <w:szCs w:val="20"/>
        </w:rPr>
        <w:t>Jankovskis</w:t>
      </w:r>
      <w:proofErr w:type="spellEnd"/>
      <w:r w:rsidRPr="006072C0">
        <w:rPr>
          <w:rFonts w:ascii="Times New Roman" w:hAnsi="Times New Roman" w:cs="Times New Roman"/>
          <w:i/>
          <w:sz w:val="20"/>
          <w:szCs w:val="20"/>
        </w:rPr>
        <w:t xml:space="preserve"> v. Lithuania</w:t>
      </w:r>
      <w:r w:rsidRPr="006072C0">
        <w:rPr>
          <w:rFonts w:ascii="Times New Roman" w:hAnsi="Times New Roman" w:cs="Times New Roman"/>
          <w:sz w:val="20"/>
          <w:szCs w:val="20"/>
        </w:rPr>
        <w:t xml:space="preserve"> Application No 21575/08, 17 January 2017), para.62.</w:t>
      </w:r>
    </w:p>
  </w:footnote>
  <w:footnote w:id="12">
    <w:p w14:paraId="065ECD03" w14:textId="77777777" w:rsidR="00C41102" w:rsidRPr="006072C0" w:rsidRDefault="00C41102"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Pr="006072C0">
        <w:rPr>
          <w:rFonts w:ascii="Times New Roman" w:hAnsi="Times New Roman" w:cs="Times New Roman"/>
          <w:bCs/>
          <w:sz w:val="20"/>
          <w:szCs w:val="20"/>
        </w:rPr>
        <w:t xml:space="preserve">Recommendation CM/Rec (2016) </w:t>
      </w:r>
      <w:proofErr w:type="gramStart"/>
      <w:r w:rsidRPr="006072C0">
        <w:rPr>
          <w:rFonts w:ascii="Times New Roman" w:hAnsi="Times New Roman" w:cs="Times New Roman"/>
          <w:bCs/>
          <w:sz w:val="20"/>
          <w:szCs w:val="20"/>
        </w:rPr>
        <w:t>5</w:t>
      </w:r>
      <w:proofErr w:type="gramEnd"/>
      <w:r w:rsidRPr="006072C0">
        <w:rPr>
          <w:rFonts w:ascii="Times New Roman" w:hAnsi="Times New Roman" w:cs="Times New Roman"/>
          <w:sz w:val="20"/>
          <w:szCs w:val="20"/>
        </w:rPr>
        <w:t xml:space="preserve"> </w:t>
      </w:r>
      <w:r w:rsidRPr="006072C0">
        <w:rPr>
          <w:rFonts w:ascii="Times New Roman" w:hAnsi="Times New Roman" w:cs="Times New Roman"/>
          <w:bCs/>
          <w:sz w:val="20"/>
          <w:szCs w:val="20"/>
        </w:rPr>
        <w:t xml:space="preserve">of the Committee of Ministers to member States on Internet freedom (13 April 2016), para. </w:t>
      </w:r>
      <w:proofErr w:type="gramStart"/>
      <w:r w:rsidRPr="006072C0">
        <w:rPr>
          <w:rFonts w:ascii="Times New Roman" w:hAnsi="Times New Roman" w:cs="Times New Roman"/>
          <w:bCs/>
          <w:sz w:val="20"/>
          <w:szCs w:val="20"/>
        </w:rPr>
        <w:t>3.3</w:t>
      </w:r>
      <w:proofErr w:type="gramEnd"/>
      <w:r w:rsidRPr="006072C0">
        <w:rPr>
          <w:rFonts w:ascii="Times New Roman" w:hAnsi="Times New Roman" w:cs="Times New Roman"/>
          <w:bCs/>
          <w:sz w:val="20"/>
          <w:szCs w:val="20"/>
        </w:rPr>
        <w:t>: “Individuals are free to use Internet platforms, such as social media and other ICTs in order to organise themselves for purposes of peaceful assembly.” </w:t>
      </w:r>
    </w:p>
  </w:footnote>
  <w:footnote w:id="13">
    <w:p w14:paraId="5EB9AD71" w14:textId="77777777" w:rsidR="00C414A1" w:rsidRPr="006072C0" w:rsidRDefault="00C414A1"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M </w:t>
      </w:r>
      <w:r w:rsidRPr="006072C0">
        <w:rPr>
          <w:rFonts w:ascii="Times New Roman" w:hAnsi="Times New Roman" w:cs="Times New Roman"/>
          <w:sz w:val="20"/>
          <w:szCs w:val="20"/>
          <w:lang w:val="en-US"/>
        </w:rPr>
        <w:t xml:space="preserve">Nowak, </w:t>
      </w:r>
      <w:r w:rsidRPr="006072C0">
        <w:rPr>
          <w:rFonts w:ascii="Times New Roman" w:hAnsi="Times New Roman" w:cs="Times New Roman"/>
          <w:i/>
          <w:sz w:val="20"/>
          <w:szCs w:val="20"/>
          <w:lang w:val="en-US"/>
        </w:rPr>
        <w:t>“U.N. Convention on Civil and Political Rights, CCPR Commentary”</w:t>
      </w:r>
      <w:r w:rsidRPr="006072C0">
        <w:rPr>
          <w:rFonts w:ascii="Times New Roman" w:hAnsi="Times New Roman" w:cs="Times New Roman"/>
          <w:sz w:val="20"/>
          <w:szCs w:val="20"/>
          <w:lang w:val="en-US"/>
        </w:rPr>
        <w:t xml:space="preserve"> 2</w:t>
      </w:r>
      <w:r w:rsidRPr="006072C0">
        <w:rPr>
          <w:rFonts w:ascii="Times New Roman" w:hAnsi="Times New Roman" w:cs="Times New Roman"/>
          <w:sz w:val="20"/>
          <w:szCs w:val="20"/>
          <w:vertAlign w:val="superscript"/>
          <w:lang w:val="en-US"/>
        </w:rPr>
        <w:t>nd</w:t>
      </w:r>
      <w:r w:rsidRPr="006072C0">
        <w:rPr>
          <w:rFonts w:ascii="Times New Roman" w:hAnsi="Times New Roman" w:cs="Times New Roman"/>
          <w:sz w:val="20"/>
          <w:szCs w:val="20"/>
          <w:lang w:val="en-US"/>
        </w:rPr>
        <w:t xml:space="preserve"> revised edition, </w:t>
      </w:r>
      <w:proofErr w:type="spellStart"/>
      <w:r w:rsidRPr="006072C0">
        <w:rPr>
          <w:rFonts w:ascii="Times New Roman" w:hAnsi="Times New Roman" w:cs="Times New Roman"/>
          <w:sz w:val="20"/>
          <w:szCs w:val="20"/>
          <w:lang w:val="en-US"/>
        </w:rPr>
        <w:t>N.P.Engel</w:t>
      </w:r>
      <w:proofErr w:type="spellEnd"/>
      <w:r w:rsidRPr="006072C0">
        <w:rPr>
          <w:rFonts w:ascii="Times New Roman" w:hAnsi="Times New Roman" w:cs="Times New Roman"/>
          <w:sz w:val="20"/>
          <w:szCs w:val="20"/>
          <w:lang w:val="en-US"/>
        </w:rPr>
        <w:t>, Publisher 2005, page 482</w:t>
      </w:r>
    </w:p>
  </w:footnote>
  <w:footnote w:id="14">
    <w:p w14:paraId="6B7CB39B" w14:textId="74C92598" w:rsidR="00C414A1" w:rsidRPr="00422515" w:rsidRDefault="00C414A1" w:rsidP="006072C0">
      <w:pPr>
        <w:pStyle w:val="FootnoteText"/>
        <w:jc w:val="both"/>
        <w:rPr>
          <w:rFonts w:ascii="Times New Roman" w:hAnsi="Times New Roman" w:cs="Times New Roman"/>
          <w:sz w:val="20"/>
          <w:szCs w:val="20"/>
          <w:lang w:val="en-AU"/>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proofErr w:type="spellStart"/>
      <w:r w:rsidRPr="006072C0">
        <w:rPr>
          <w:rFonts w:ascii="Times New Roman" w:hAnsi="Times New Roman" w:cs="Times New Roman"/>
          <w:i/>
          <w:sz w:val="20"/>
          <w:szCs w:val="20"/>
        </w:rPr>
        <w:t>Sekerko</w:t>
      </w:r>
      <w:proofErr w:type="spellEnd"/>
      <w:r w:rsidRPr="006072C0">
        <w:rPr>
          <w:rFonts w:ascii="Times New Roman" w:hAnsi="Times New Roman" w:cs="Times New Roman"/>
          <w:i/>
          <w:sz w:val="20"/>
          <w:szCs w:val="20"/>
        </w:rPr>
        <w:t xml:space="preserve"> v Belarus </w:t>
      </w:r>
      <w:r w:rsidRPr="006072C0">
        <w:rPr>
          <w:rFonts w:ascii="Times New Roman" w:hAnsi="Times New Roman" w:cs="Times New Roman"/>
          <w:sz w:val="20"/>
          <w:szCs w:val="20"/>
          <w:lang w:val="en-AU"/>
        </w:rPr>
        <w:t>Communication No. 1851/2008 Views adopted by the United Nations Human Rights Committee at its 109th session (14 October – 1 November 2013), CCPR/C/109/D/1851/2008, par</w:t>
      </w:r>
      <w:r w:rsidR="000578D9" w:rsidRPr="006072C0">
        <w:rPr>
          <w:rFonts w:ascii="Times New Roman" w:hAnsi="Times New Roman" w:cs="Times New Roman"/>
          <w:sz w:val="20"/>
          <w:szCs w:val="20"/>
          <w:lang w:val="en-AU"/>
        </w:rPr>
        <w:t>a</w:t>
      </w:r>
      <w:r w:rsidRPr="006072C0">
        <w:rPr>
          <w:rFonts w:ascii="Times New Roman" w:hAnsi="Times New Roman" w:cs="Times New Roman"/>
          <w:sz w:val="20"/>
          <w:szCs w:val="20"/>
          <w:lang w:val="en-AU"/>
        </w:rPr>
        <w:t xml:space="preserve"> 9.6 and </w:t>
      </w:r>
      <w:proofErr w:type="spellStart"/>
      <w:r w:rsidRPr="006072C0">
        <w:rPr>
          <w:rFonts w:ascii="Times New Roman" w:hAnsi="Times New Roman" w:cs="Times New Roman"/>
          <w:i/>
          <w:sz w:val="20"/>
          <w:szCs w:val="20"/>
          <w:lang w:val="en-AU"/>
        </w:rPr>
        <w:t>Bakur</w:t>
      </w:r>
      <w:proofErr w:type="spellEnd"/>
      <w:r w:rsidRPr="006072C0">
        <w:rPr>
          <w:rFonts w:ascii="Times New Roman" w:hAnsi="Times New Roman" w:cs="Times New Roman"/>
          <w:i/>
          <w:sz w:val="20"/>
          <w:szCs w:val="20"/>
          <w:lang w:val="en-AU"/>
        </w:rPr>
        <w:t xml:space="preserve"> v Belarus </w:t>
      </w:r>
      <w:r w:rsidRPr="006072C0">
        <w:rPr>
          <w:rFonts w:ascii="Times New Roman" w:hAnsi="Times New Roman" w:cs="Times New Roman"/>
          <w:sz w:val="20"/>
          <w:szCs w:val="20"/>
          <w:lang w:val="en-AU"/>
        </w:rPr>
        <w:t>Communication No. 1902/2009, Views adopted by the United Nations Human Rights Committee at its 114th session (29 June-24 July 2015), CCPR/C/114/D/1902/2009, par</w:t>
      </w:r>
      <w:r w:rsidR="000578D9" w:rsidRPr="006072C0">
        <w:rPr>
          <w:rFonts w:ascii="Times New Roman" w:hAnsi="Times New Roman" w:cs="Times New Roman"/>
          <w:sz w:val="20"/>
          <w:szCs w:val="20"/>
          <w:lang w:val="en-AU"/>
        </w:rPr>
        <w:t>a</w:t>
      </w:r>
      <w:r w:rsidRPr="006072C0">
        <w:rPr>
          <w:rFonts w:ascii="Times New Roman" w:hAnsi="Times New Roman" w:cs="Times New Roman"/>
          <w:sz w:val="20"/>
          <w:szCs w:val="20"/>
          <w:lang w:val="en-AU"/>
        </w:rPr>
        <w:t xml:space="preserve"> 7.8</w:t>
      </w:r>
    </w:p>
  </w:footnote>
  <w:footnote w:id="15">
    <w:p w14:paraId="2A032EDB" w14:textId="158B5945" w:rsidR="00C414A1" w:rsidRPr="006072C0" w:rsidRDefault="00C414A1"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General Comment No. 31 [80] The Nature of the General Legal Obligation Imposed on States Parties to the Covenant Adopted on 29 March 2004 (2187th meeting) CCPR/C/21/Rev.1/Add. 13, par</w:t>
      </w:r>
      <w:r w:rsidR="000578D9" w:rsidRPr="006072C0">
        <w:rPr>
          <w:rFonts w:ascii="Times New Roman" w:hAnsi="Times New Roman" w:cs="Times New Roman"/>
          <w:sz w:val="20"/>
          <w:szCs w:val="20"/>
        </w:rPr>
        <w:t>a</w:t>
      </w:r>
      <w:r w:rsidRPr="006072C0">
        <w:rPr>
          <w:rFonts w:ascii="Times New Roman" w:hAnsi="Times New Roman" w:cs="Times New Roman"/>
          <w:sz w:val="20"/>
          <w:szCs w:val="20"/>
        </w:rPr>
        <w:t xml:space="preserve"> 8</w:t>
      </w:r>
    </w:p>
  </w:footnote>
  <w:footnote w:id="16">
    <w:p w14:paraId="57B68F7E" w14:textId="2BC5DBBB" w:rsidR="00B31472" w:rsidRPr="006072C0" w:rsidRDefault="00B31472"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00FA7145" w:rsidRPr="006072C0">
        <w:rPr>
          <w:rFonts w:ascii="Times New Roman" w:hAnsi="Times New Roman" w:cs="Times New Roman"/>
          <w:sz w:val="20"/>
          <w:szCs w:val="20"/>
        </w:rPr>
        <w:t>Op. cit. footnote 9 (</w:t>
      </w:r>
      <w:proofErr w:type="spellStart"/>
      <w:r w:rsidRPr="006072C0">
        <w:rPr>
          <w:rFonts w:ascii="Times New Roman" w:hAnsi="Times New Roman" w:cs="Times New Roman"/>
          <w:i/>
          <w:sz w:val="20"/>
          <w:szCs w:val="20"/>
          <w:lang w:val="en-US"/>
        </w:rPr>
        <w:t>Kalda</w:t>
      </w:r>
      <w:proofErr w:type="spellEnd"/>
      <w:r w:rsidRPr="006072C0">
        <w:rPr>
          <w:rFonts w:ascii="Times New Roman" w:hAnsi="Times New Roman" w:cs="Times New Roman"/>
          <w:i/>
          <w:sz w:val="20"/>
          <w:szCs w:val="20"/>
          <w:lang w:val="en-US"/>
        </w:rPr>
        <w:t xml:space="preserve"> v. Estonia</w:t>
      </w:r>
      <w:r w:rsidRPr="006072C0">
        <w:rPr>
          <w:rFonts w:ascii="Times New Roman" w:hAnsi="Times New Roman" w:cs="Times New Roman"/>
          <w:sz w:val="20"/>
          <w:szCs w:val="20"/>
          <w:lang w:val="en-US"/>
        </w:rPr>
        <w:t xml:space="preserve"> (2016)</w:t>
      </w:r>
      <w:r w:rsidRPr="006072C0">
        <w:rPr>
          <w:rFonts w:ascii="Times New Roman" w:hAnsi="Times New Roman" w:cs="Times New Roman"/>
          <w:sz w:val="20"/>
          <w:szCs w:val="20"/>
        </w:rPr>
        <w:t>, para. 52</w:t>
      </w:r>
      <w:r w:rsidR="00506F58" w:rsidRPr="006072C0">
        <w:rPr>
          <w:rFonts w:ascii="Times New Roman" w:hAnsi="Times New Roman" w:cs="Times New Roman"/>
          <w:sz w:val="20"/>
          <w:szCs w:val="20"/>
        </w:rPr>
        <w:t>.</w:t>
      </w:r>
    </w:p>
  </w:footnote>
  <w:footnote w:id="17">
    <w:p w14:paraId="1B38E27E" w14:textId="77777777" w:rsidR="00C41102" w:rsidRPr="006072C0" w:rsidRDefault="00C41102"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Pr="006072C0">
        <w:rPr>
          <w:rFonts w:ascii="Times New Roman" w:hAnsi="Times New Roman" w:cs="Times New Roman"/>
          <w:bCs/>
          <w:sz w:val="20"/>
          <w:szCs w:val="20"/>
        </w:rPr>
        <w:t xml:space="preserve">Recommendation CM/Rec (2016) </w:t>
      </w:r>
      <w:proofErr w:type="gramStart"/>
      <w:r w:rsidRPr="006072C0">
        <w:rPr>
          <w:rFonts w:ascii="Times New Roman" w:hAnsi="Times New Roman" w:cs="Times New Roman"/>
          <w:bCs/>
          <w:sz w:val="20"/>
          <w:szCs w:val="20"/>
        </w:rPr>
        <w:t>5</w:t>
      </w:r>
      <w:proofErr w:type="gramEnd"/>
      <w:r w:rsidRPr="006072C0">
        <w:rPr>
          <w:rFonts w:ascii="Times New Roman" w:hAnsi="Times New Roman" w:cs="Times New Roman"/>
          <w:sz w:val="20"/>
          <w:szCs w:val="20"/>
        </w:rPr>
        <w:t xml:space="preserve"> </w:t>
      </w:r>
      <w:r w:rsidRPr="006072C0">
        <w:rPr>
          <w:rFonts w:ascii="Times New Roman" w:hAnsi="Times New Roman" w:cs="Times New Roman"/>
          <w:bCs/>
          <w:sz w:val="20"/>
          <w:szCs w:val="20"/>
        </w:rPr>
        <w:t xml:space="preserve">of the Committee of Ministers to member States on Internet freedom (13 April 2016), para. </w:t>
      </w:r>
      <w:proofErr w:type="gramStart"/>
      <w:r w:rsidRPr="006072C0">
        <w:rPr>
          <w:rFonts w:ascii="Times New Roman" w:hAnsi="Times New Roman" w:cs="Times New Roman"/>
          <w:bCs/>
          <w:sz w:val="20"/>
          <w:szCs w:val="20"/>
        </w:rPr>
        <w:t>3.3</w:t>
      </w:r>
      <w:proofErr w:type="gramEnd"/>
      <w:r w:rsidRPr="006072C0">
        <w:rPr>
          <w:rFonts w:ascii="Times New Roman" w:hAnsi="Times New Roman" w:cs="Times New Roman"/>
          <w:bCs/>
          <w:sz w:val="20"/>
          <w:szCs w:val="20"/>
        </w:rPr>
        <w:t>: “Individuals are free to use Internet platforms, such as social media and other ICTs in order to organise themselves for purposes of peaceful assembly.” </w:t>
      </w:r>
    </w:p>
  </w:footnote>
  <w:footnote w:id="18">
    <w:p w14:paraId="2971AF5D" w14:textId="3C986FE4" w:rsidR="00667507" w:rsidRPr="006072C0" w:rsidRDefault="00667507"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00386828" w:rsidRPr="006072C0">
        <w:rPr>
          <w:rFonts w:ascii="Times New Roman" w:hAnsi="Times New Roman" w:cs="Times New Roman"/>
          <w:sz w:val="20"/>
          <w:szCs w:val="20"/>
        </w:rPr>
        <w:t xml:space="preserve">Egypt, January 28 to February 2, 2011, in response to the then ongoing protest the government in Tahir square, President Hosni Mubarak ordered a shutdown of all Internet access for five whole days. Source: </w:t>
      </w:r>
      <w:r w:rsidR="00CE3B46" w:rsidRPr="006072C0">
        <w:rPr>
          <w:rFonts w:ascii="Times New Roman" w:hAnsi="Times New Roman" w:cs="Times New Roman"/>
          <w:sz w:val="20"/>
          <w:szCs w:val="20"/>
          <w:lang w:val="en-AU"/>
        </w:rPr>
        <w:t xml:space="preserve">E </w:t>
      </w:r>
      <w:proofErr w:type="spellStart"/>
      <w:r w:rsidR="00CE3B46" w:rsidRPr="006072C0">
        <w:rPr>
          <w:rFonts w:ascii="Times New Roman" w:hAnsi="Times New Roman" w:cs="Times New Roman"/>
          <w:sz w:val="20"/>
          <w:szCs w:val="20"/>
          <w:lang w:val="en-AU"/>
        </w:rPr>
        <w:t>Galperin</w:t>
      </w:r>
      <w:proofErr w:type="spellEnd"/>
      <w:r w:rsidR="00CE3B46" w:rsidRPr="006072C0">
        <w:rPr>
          <w:rFonts w:ascii="Times New Roman" w:hAnsi="Times New Roman" w:cs="Times New Roman"/>
          <w:sz w:val="20"/>
          <w:szCs w:val="20"/>
          <w:lang w:val="en-AU"/>
        </w:rPr>
        <w:t xml:space="preserve">, </w:t>
      </w:r>
      <w:r w:rsidR="00CE3B46" w:rsidRPr="006072C0">
        <w:rPr>
          <w:rFonts w:ascii="Times New Roman" w:hAnsi="Times New Roman" w:cs="Times New Roman"/>
          <w:i/>
          <w:sz w:val="20"/>
          <w:szCs w:val="20"/>
          <w:lang w:val="en-AU"/>
        </w:rPr>
        <w:t>“</w:t>
      </w:r>
      <w:r w:rsidR="00CE3B46" w:rsidRPr="006072C0">
        <w:rPr>
          <w:rFonts w:ascii="Times New Roman" w:hAnsi="Times New Roman" w:cs="Times New Roman"/>
          <w:i/>
          <w:sz w:val="20"/>
          <w:szCs w:val="20"/>
          <w:lang w:val="en-US"/>
        </w:rPr>
        <w:t>Egypt's Internet Blackout Highlights Danger of Weak Links, Usefulness of Quick Links”</w:t>
      </w:r>
      <w:r w:rsidR="00CE3B46" w:rsidRPr="006072C0">
        <w:rPr>
          <w:rFonts w:ascii="Times New Roman" w:hAnsi="Times New Roman" w:cs="Times New Roman"/>
          <w:sz w:val="20"/>
          <w:szCs w:val="20"/>
          <w:lang w:val="en-AU"/>
        </w:rPr>
        <w:t xml:space="preserve"> 8 </w:t>
      </w:r>
      <w:proofErr w:type="gramStart"/>
      <w:r w:rsidR="00CE3B46" w:rsidRPr="006072C0">
        <w:rPr>
          <w:rFonts w:ascii="Times New Roman" w:hAnsi="Times New Roman" w:cs="Times New Roman"/>
          <w:sz w:val="20"/>
          <w:szCs w:val="20"/>
          <w:lang w:val="en-AU"/>
        </w:rPr>
        <w:t>February,</w:t>
      </w:r>
      <w:proofErr w:type="gramEnd"/>
      <w:r w:rsidR="00CE3B46" w:rsidRPr="006072C0">
        <w:rPr>
          <w:rFonts w:ascii="Times New Roman" w:hAnsi="Times New Roman" w:cs="Times New Roman"/>
          <w:sz w:val="20"/>
          <w:szCs w:val="20"/>
          <w:lang w:val="en-AU"/>
        </w:rPr>
        <w:t xml:space="preserve"> 2011, </w:t>
      </w:r>
      <w:hyperlink r:id="rId5" w:history="1">
        <w:r w:rsidR="00CE3B46" w:rsidRPr="006072C0">
          <w:rPr>
            <w:rStyle w:val="Hyperlink"/>
            <w:rFonts w:ascii="Times New Roman" w:hAnsi="Times New Roman"/>
            <w:sz w:val="20"/>
            <w:szCs w:val="20"/>
            <w:lang w:val="en-US"/>
          </w:rPr>
          <w:t>https://www.eff.org/deeplinks/2011/02/egypts-Internet-blackout-highlights-danger-weak</w:t>
        </w:r>
      </w:hyperlink>
      <w:r w:rsidR="001E1FC4" w:rsidRPr="006072C0">
        <w:rPr>
          <w:rFonts w:ascii="Times New Roman" w:hAnsi="Times New Roman" w:cs="Times New Roman"/>
          <w:sz w:val="20"/>
          <w:szCs w:val="20"/>
        </w:rPr>
        <w:t xml:space="preserve">. </w:t>
      </w:r>
      <w:proofErr w:type="gramStart"/>
      <w:r w:rsidR="001E1FC4" w:rsidRPr="006072C0">
        <w:rPr>
          <w:rFonts w:ascii="Times New Roman" w:hAnsi="Times New Roman" w:cs="Times New Roman"/>
          <w:sz w:val="20"/>
          <w:szCs w:val="20"/>
        </w:rPr>
        <w:t xml:space="preserve">Also, </w:t>
      </w:r>
      <w:r w:rsidR="005A4625" w:rsidRPr="006072C0">
        <w:rPr>
          <w:rFonts w:ascii="Times New Roman" w:hAnsi="Times New Roman" w:cs="Times New Roman"/>
          <w:sz w:val="20"/>
          <w:szCs w:val="20"/>
        </w:rPr>
        <w:t>i</w:t>
      </w:r>
      <w:r w:rsidR="001E1FC4" w:rsidRPr="006072C0">
        <w:rPr>
          <w:rFonts w:ascii="Times New Roman" w:hAnsi="Times New Roman" w:cs="Times New Roman"/>
          <w:sz w:val="20"/>
          <w:szCs w:val="20"/>
        </w:rPr>
        <w:t>n the run up to the early presidential elections in Kazakhstan, 2019, the OSCE ODIHR long term observation mission found that, “legally prescribed sanctions, blocking of specific websites, and limited access to social networks on a daily basis, led to self-censorship and limited online political discourse.”</w:t>
      </w:r>
      <w:r w:rsidR="005A4625" w:rsidRPr="006072C0">
        <w:rPr>
          <w:rFonts w:ascii="Times New Roman" w:hAnsi="Times New Roman" w:cs="Times New Roman"/>
          <w:sz w:val="20"/>
          <w:szCs w:val="20"/>
        </w:rPr>
        <w:t>:</w:t>
      </w:r>
      <w:r w:rsidR="00E10C54" w:rsidRPr="006072C0">
        <w:rPr>
          <w:rFonts w:ascii="Times New Roman" w:hAnsi="Times New Roman" w:cs="Times New Roman"/>
          <w:sz w:val="20"/>
          <w:szCs w:val="20"/>
        </w:rPr>
        <w:t xml:space="preserve"> OSCE ODIHR International Election Observation Mission, Republic of Kazakhstan, Early Presidential Election, 9 June 2019 Statement of Preliminary Findings and Conclusions, page 2.</w:t>
      </w:r>
      <w:proofErr w:type="gramEnd"/>
    </w:p>
  </w:footnote>
  <w:footnote w:id="19">
    <w:p w14:paraId="629AB3A2" w14:textId="77777777" w:rsidR="00932820" w:rsidRPr="006072C0" w:rsidRDefault="00932820"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Pr="006072C0">
        <w:rPr>
          <w:rFonts w:ascii="Times New Roman" w:hAnsi="Times New Roman" w:cs="Times New Roman"/>
          <w:sz w:val="20"/>
          <w:szCs w:val="20"/>
          <w:lang w:val="en-US"/>
        </w:rPr>
        <w:t xml:space="preserve">Please see: </w:t>
      </w:r>
      <w:bookmarkStart w:id="3" w:name="_Hlk13575002"/>
      <w:r w:rsidRPr="006072C0">
        <w:rPr>
          <w:rFonts w:ascii="Times New Roman" w:hAnsi="Times New Roman" w:cs="Times New Roman"/>
          <w:bCs/>
          <w:sz w:val="20"/>
          <w:szCs w:val="20"/>
          <w:lang w:val="en-US"/>
        </w:rPr>
        <w:t>Joint Declaration on Freedom of Expression and responses to conflict situations</w:t>
      </w:r>
      <w:r w:rsidRPr="006072C0">
        <w:rPr>
          <w:rFonts w:ascii="Times New Roman" w:hAnsi="Times New Roman" w:cs="Times New Roman"/>
          <w:sz w:val="20"/>
          <w:szCs w:val="20"/>
          <w:lang w:val="en-US"/>
        </w:rPr>
        <w:br/>
      </w:r>
      <w:r w:rsidRPr="006072C0">
        <w:rPr>
          <w:rFonts w:ascii="Times New Roman" w:hAnsi="Times New Roman" w:cs="Times New Roman"/>
          <w:bCs/>
          <w:sz w:val="20"/>
          <w:szCs w:val="20"/>
          <w:lang w:val="en-US"/>
        </w:rPr>
        <w:t>The United Nations (UN) Special Rapporteur on Freedom of Opinion and Expression, the Organization for Security and Co-operation in Europe (OSCE) Representative on Freedom of the Media, the Organization of American States (OAS) Special Rapporteur on Freedom of Expression and the African Commission on Human and Peoples’ Rights (ACHPR) Special Rapporteur on Freedom of Expression and Access to Information</w:t>
      </w:r>
      <w:r w:rsidRPr="006072C0">
        <w:rPr>
          <w:rFonts w:ascii="Times New Roman" w:hAnsi="Times New Roman" w:cs="Times New Roman"/>
          <w:sz w:val="20"/>
          <w:szCs w:val="20"/>
          <w:lang w:val="en-US"/>
        </w:rPr>
        <w:t>, of 4 May, 2015</w:t>
      </w:r>
      <w:bookmarkEnd w:id="3"/>
      <w:r w:rsidRPr="006072C0">
        <w:rPr>
          <w:rFonts w:ascii="Times New Roman" w:hAnsi="Times New Roman" w:cs="Times New Roman"/>
          <w:sz w:val="20"/>
          <w:szCs w:val="20"/>
          <w:lang w:val="en-US"/>
        </w:rPr>
        <w:t xml:space="preserve">, in which provision 4 c. states as follows: </w:t>
      </w:r>
      <w:bookmarkStart w:id="4" w:name="_Hlk20998599"/>
      <w:r w:rsidRPr="006072C0">
        <w:rPr>
          <w:rFonts w:ascii="Times New Roman" w:hAnsi="Times New Roman" w:cs="Times New Roman"/>
          <w:b/>
          <w:sz w:val="20"/>
          <w:szCs w:val="20"/>
          <w:lang w:val="en-US"/>
        </w:rPr>
        <w:t>“</w:t>
      </w:r>
      <w:r w:rsidRPr="006072C0">
        <w:rPr>
          <w:rFonts w:ascii="Times New Roman" w:hAnsi="Times New Roman" w:cs="Times New Roman"/>
          <w:b/>
          <w:i/>
          <w:sz w:val="20"/>
          <w:szCs w:val="20"/>
        </w:rPr>
        <w:t>Filtering of content on the Internet, using communications ‘kill switches’ (i.e. shutting down entire parts of communications systems) and the physical takeover of broadcasting stations are measures which can never be justified under human rights law”</w:t>
      </w:r>
      <w:bookmarkEnd w:id="4"/>
    </w:p>
  </w:footnote>
  <w:footnote w:id="20">
    <w:p w14:paraId="63EA4AAE" w14:textId="1DEC7520" w:rsidR="00932820" w:rsidRPr="006072C0" w:rsidRDefault="00932820"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Pr="006072C0">
        <w:rPr>
          <w:rFonts w:ascii="Times New Roman" w:hAnsi="Times New Roman" w:cs="Times New Roman"/>
          <w:sz w:val="20"/>
          <w:szCs w:val="20"/>
          <w:lang w:val="en-US"/>
        </w:rPr>
        <w:t>The draft General Comment Number 37 on Article 21 of the ICCPR states in draft par</w:t>
      </w:r>
      <w:r w:rsidR="000578D9" w:rsidRPr="006072C0">
        <w:rPr>
          <w:rFonts w:ascii="Times New Roman" w:hAnsi="Times New Roman" w:cs="Times New Roman"/>
          <w:sz w:val="20"/>
          <w:szCs w:val="20"/>
          <w:lang w:val="en-US"/>
        </w:rPr>
        <w:t>a</w:t>
      </w:r>
      <w:r w:rsidRPr="006072C0">
        <w:rPr>
          <w:rFonts w:ascii="Times New Roman" w:hAnsi="Times New Roman" w:cs="Times New Roman"/>
          <w:sz w:val="20"/>
          <w:szCs w:val="20"/>
          <w:lang w:val="en-US"/>
        </w:rPr>
        <w:t xml:space="preserve"> 38 </w:t>
      </w:r>
      <w:r w:rsidRPr="006072C0">
        <w:rPr>
          <w:rFonts w:ascii="Times New Roman" w:hAnsi="Times New Roman" w:cs="Times New Roman"/>
          <w:i/>
          <w:sz w:val="20"/>
          <w:szCs w:val="20"/>
          <w:lang w:val="en-US"/>
        </w:rPr>
        <w:t>“</w:t>
      </w:r>
      <w:r w:rsidRPr="006072C0">
        <w:rPr>
          <w:rFonts w:ascii="Times New Roman" w:hAnsi="Times New Roman" w:cs="Times New Roman"/>
          <w:i/>
          <w:sz w:val="20"/>
          <w:szCs w:val="20"/>
        </w:rPr>
        <w:t xml:space="preserve">In the digital age, many of these associated activities happen online or rely upon digital services. Such activities </w:t>
      </w:r>
      <w:proofErr w:type="gramStart"/>
      <w:r w:rsidRPr="006072C0">
        <w:rPr>
          <w:rFonts w:ascii="Times New Roman" w:hAnsi="Times New Roman" w:cs="Times New Roman"/>
          <w:i/>
          <w:sz w:val="20"/>
          <w:szCs w:val="20"/>
        </w:rPr>
        <w:t>are also protected</w:t>
      </w:r>
      <w:proofErr w:type="gramEnd"/>
      <w:r w:rsidRPr="006072C0">
        <w:rPr>
          <w:rFonts w:ascii="Times New Roman" w:hAnsi="Times New Roman" w:cs="Times New Roman"/>
          <w:i/>
          <w:sz w:val="20"/>
          <w:szCs w:val="20"/>
        </w:rPr>
        <w:t xml:space="preserve"> under article 21. States parties </w:t>
      </w:r>
      <w:proofErr w:type="gramStart"/>
      <w:r w:rsidRPr="006072C0">
        <w:rPr>
          <w:rFonts w:ascii="Times New Roman" w:hAnsi="Times New Roman" w:cs="Times New Roman"/>
          <w:i/>
          <w:sz w:val="20"/>
          <w:szCs w:val="20"/>
        </w:rPr>
        <w:t>should, for example, refrain</w:t>
      </w:r>
      <w:proofErr w:type="gramEnd"/>
      <w:r w:rsidRPr="006072C0">
        <w:rPr>
          <w:rFonts w:ascii="Times New Roman" w:hAnsi="Times New Roman" w:cs="Times New Roman"/>
          <w:i/>
          <w:sz w:val="20"/>
          <w:szCs w:val="20"/>
        </w:rPr>
        <w:t xml:space="preserve"> from unduly blocking Internet connectivity in relation to demonstrations. The same applies to geo-targeted or technology-specific interference or hindering of connectivity.</w:t>
      </w:r>
      <w:r w:rsidRPr="006072C0">
        <w:rPr>
          <w:rFonts w:ascii="Times New Roman" w:hAnsi="Times New Roman" w:cs="Times New Roman"/>
          <w:sz w:val="20"/>
          <w:szCs w:val="20"/>
        </w:rPr>
        <w:t>”</w:t>
      </w:r>
    </w:p>
  </w:footnote>
  <w:footnote w:id="21">
    <w:p w14:paraId="4060AF0F" w14:textId="2764C056" w:rsidR="00A125F4" w:rsidRPr="006072C0" w:rsidRDefault="00A125F4"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00FA7145" w:rsidRPr="006072C0">
        <w:rPr>
          <w:rFonts w:ascii="Times New Roman" w:hAnsi="Times New Roman" w:cs="Times New Roman"/>
          <w:i/>
          <w:sz w:val="20"/>
          <w:szCs w:val="20"/>
          <w:lang w:val="en-US"/>
        </w:rPr>
        <w:t>I</w:t>
      </w:r>
      <w:r w:rsidR="007C68C2" w:rsidRPr="006072C0">
        <w:rPr>
          <w:rFonts w:ascii="Times New Roman" w:hAnsi="Times New Roman" w:cs="Times New Roman"/>
          <w:i/>
          <w:sz w:val="20"/>
          <w:szCs w:val="20"/>
          <w:lang w:val="en-US"/>
        </w:rPr>
        <w:t>bid</w:t>
      </w:r>
      <w:r w:rsidR="005A1305">
        <w:rPr>
          <w:rFonts w:ascii="Times New Roman" w:hAnsi="Times New Roman" w:cs="Times New Roman"/>
          <w:i/>
          <w:sz w:val="20"/>
          <w:szCs w:val="20"/>
          <w:lang w:val="en-US"/>
        </w:rPr>
        <w:t>.</w:t>
      </w:r>
    </w:p>
  </w:footnote>
  <w:footnote w:id="22">
    <w:p w14:paraId="2E3FE694" w14:textId="77777777" w:rsidR="00932820" w:rsidRPr="006072C0" w:rsidRDefault="00932820"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Van Dijk, Van Hoof , Van Rijn et.al.,(eds) </w:t>
      </w:r>
      <w:r w:rsidRPr="006072C0">
        <w:rPr>
          <w:rFonts w:ascii="Times New Roman" w:hAnsi="Times New Roman" w:cs="Times New Roman"/>
          <w:i/>
          <w:sz w:val="20"/>
          <w:szCs w:val="20"/>
        </w:rPr>
        <w:t>“Theory and Practice of the European Convention on Human Rights”</w:t>
      </w:r>
      <w:r w:rsidRPr="006072C0">
        <w:rPr>
          <w:rFonts w:ascii="Times New Roman" w:hAnsi="Times New Roman" w:cs="Times New Roman"/>
          <w:sz w:val="20"/>
          <w:szCs w:val="20"/>
        </w:rPr>
        <w:t xml:space="preserve"> Fourth Edition, </w:t>
      </w:r>
      <w:proofErr w:type="spellStart"/>
      <w:r w:rsidRPr="006072C0">
        <w:rPr>
          <w:rFonts w:ascii="Times New Roman" w:hAnsi="Times New Roman" w:cs="Times New Roman"/>
          <w:sz w:val="20"/>
          <w:szCs w:val="20"/>
        </w:rPr>
        <w:t>Intersentia</w:t>
      </w:r>
      <w:proofErr w:type="spellEnd"/>
      <w:r w:rsidRPr="006072C0">
        <w:rPr>
          <w:rFonts w:ascii="Times New Roman" w:hAnsi="Times New Roman" w:cs="Times New Roman"/>
          <w:sz w:val="20"/>
          <w:szCs w:val="20"/>
        </w:rPr>
        <w:t xml:space="preserve">, 2006, page 824 and C </w:t>
      </w:r>
      <w:proofErr w:type="spellStart"/>
      <w:r w:rsidRPr="006072C0">
        <w:rPr>
          <w:rFonts w:ascii="Times New Roman" w:hAnsi="Times New Roman" w:cs="Times New Roman"/>
          <w:sz w:val="20"/>
          <w:szCs w:val="20"/>
        </w:rPr>
        <w:t>Grabenwarter</w:t>
      </w:r>
      <w:proofErr w:type="spellEnd"/>
      <w:r w:rsidRPr="006072C0">
        <w:rPr>
          <w:rFonts w:ascii="Times New Roman" w:hAnsi="Times New Roman" w:cs="Times New Roman"/>
          <w:sz w:val="20"/>
          <w:szCs w:val="20"/>
        </w:rPr>
        <w:t xml:space="preserve">, “European Convention on Human Rights Commentary”, C.H Beck, Hart, Nomos, </w:t>
      </w:r>
      <w:proofErr w:type="spellStart"/>
      <w:r w:rsidRPr="006072C0">
        <w:rPr>
          <w:rFonts w:ascii="Times New Roman" w:hAnsi="Times New Roman" w:cs="Times New Roman"/>
          <w:sz w:val="20"/>
          <w:szCs w:val="20"/>
        </w:rPr>
        <w:t>Helbing</w:t>
      </w:r>
      <w:proofErr w:type="spellEnd"/>
      <w:r w:rsidRPr="006072C0">
        <w:rPr>
          <w:rFonts w:ascii="Times New Roman" w:hAnsi="Times New Roman" w:cs="Times New Roman"/>
          <w:sz w:val="20"/>
          <w:szCs w:val="20"/>
        </w:rPr>
        <w:t xml:space="preserve"> </w:t>
      </w:r>
      <w:proofErr w:type="spellStart"/>
      <w:r w:rsidRPr="006072C0">
        <w:rPr>
          <w:rFonts w:ascii="Times New Roman" w:hAnsi="Times New Roman" w:cs="Times New Roman"/>
          <w:sz w:val="20"/>
          <w:szCs w:val="20"/>
        </w:rPr>
        <w:t>Lichtenhan</w:t>
      </w:r>
      <w:proofErr w:type="spellEnd"/>
      <w:r w:rsidRPr="006072C0">
        <w:rPr>
          <w:rFonts w:ascii="Times New Roman" w:hAnsi="Times New Roman" w:cs="Times New Roman"/>
          <w:sz w:val="20"/>
          <w:szCs w:val="20"/>
        </w:rPr>
        <w:t xml:space="preserve"> </w:t>
      </w:r>
      <w:proofErr w:type="spellStart"/>
      <w:r w:rsidRPr="006072C0">
        <w:rPr>
          <w:rFonts w:ascii="Times New Roman" w:hAnsi="Times New Roman" w:cs="Times New Roman"/>
          <w:sz w:val="20"/>
          <w:szCs w:val="20"/>
        </w:rPr>
        <w:t>Verlag</w:t>
      </w:r>
      <w:proofErr w:type="spellEnd"/>
      <w:r w:rsidRPr="006072C0">
        <w:rPr>
          <w:rFonts w:ascii="Times New Roman" w:hAnsi="Times New Roman" w:cs="Times New Roman"/>
          <w:sz w:val="20"/>
          <w:szCs w:val="20"/>
        </w:rPr>
        <w:t xml:space="preserve">, </w:t>
      </w:r>
      <w:proofErr w:type="spellStart"/>
      <w:r w:rsidRPr="006072C0">
        <w:rPr>
          <w:rFonts w:ascii="Times New Roman" w:hAnsi="Times New Roman" w:cs="Times New Roman"/>
          <w:sz w:val="20"/>
          <w:szCs w:val="20"/>
        </w:rPr>
        <w:t>pg</w:t>
      </w:r>
      <w:proofErr w:type="spellEnd"/>
      <w:r w:rsidRPr="006072C0">
        <w:rPr>
          <w:rFonts w:ascii="Times New Roman" w:hAnsi="Times New Roman" w:cs="Times New Roman"/>
          <w:sz w:val="20"/>
          <w:szCs w:val="20"/>
        </w:rPr>
        <w:t xml:space="preserve"> 823</w:t>
      </w:r>
    </w:p>
  </w:footnote>
  <w:footnote w:id="23">
    <w:p w14:paraId="0C5E12F1" w14:textId="0AA6D1A1" w:rsidR="00FC09CD" w:rsidRPr="006072C0" w:rsidRDefault="00FC09CD"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proofErr w:type="gramStart"/>
      <w:r w:rsidR="00C70576" w:rsidRPr="006072C0">
        <w:rPr>
          <w:rFonts w:ascii="Times New Roman" w:hAnsi="Times New Roman" w:cs="Times New Roman"/>
          <w:sz w:val="20"/>
          <w:szCs w:val="20"/>
        </w:rPr>
        <w:t>see</w:t>
      </w:r>
      <w:proofErr w:type="gramEnd"/>
      <w:r w:rsidR="00C70576" w:rsidRPr="006072C0">
        <w:rPr>
          <w:rFonts w:ascii="Times New Roman" w:hAnsi="Times New Roman" w:cs="Times New Roman"/>
          <w:sz w:val="20"/>
          <w:szCs w:val="20"/>
        </w:rPr>
        <w:t xml:space="preserve">: </w:t>
      </w:r>
      <w:r w:rsidR="008F5707" w:rsidRPr="006072C0">
        <w:rPr>
          <w:rFonts w:ascii="Times New Roman" w:hAnsi="Times New Roman" w:cs="Times New Roman"/>
          <w:sz w:val="20"/>
          <w:szCs w:val="20"/>
        </w:rPr>
        <w:t>Report of the Special Rapporteur on the promotion and protection of the right to freedom of opinion and expression, Frank La Rue</w:t>
      </w:r>
      <w:r w:rsidR="00BC7870" w:rsidRPr="006072C0">
        <w:rPr>
          <w:rFonts w:ascii="Times New Roman" w:hAnsi="Times New Roman" w:cs="Times New Roman"/>
          <w:sz w:val="20"/>
          <w:szCs w:val="20"/>
        </w:rPr>
        <w:t xml:space="preserve">, </w:t>
      </w:r>
      <w:r w:rsidR="00C70576" w:rsidRPr="006072C0">
        <w:rPr>
          <w:rFonts w:ascii="Times New Roman" w:hAnsi="Times New Roman" w:cs="Times New Roman"/>
          <w:sz w:val="20"/>
          <w:szCs w:val="20"/>
        </w:rPr>
        <w:t>A/HRC/17/27, para. 79)</w:t>
      </w:r>
    </w:p>
  </w:footnote>
  <w:footnote w:id="24">
    <w:p w14:paraId="3E09048B" w14:textId="135603ED" w:rsidR="003A0B42" w:rsidRPr="006072C0" w:rsidRDefault="003A0B42"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proofErr w:type="gramStart"/>
      <w:r w:rsidR="007B4234" w:rsidRPr="006072C0">
        <w:rPr>
          <w:rFonts w:ascii="Times New Roman" w:hAnsi="Times New Roman" w:cs="Times New Roman"/>
          <w:sz w:val="20"/>
          <w:szCs w:val="20"/>
        </w:rPr>
        <w:t>Par</w:t>
      </w:r>
      <w:r w:rsidR="000578D9" w:rsidRPr="006072C0">
        <w:rPr>
          <w:rFonts w:ascii="Times New Roman" w:hAnsi="Times New Roman" w:cs="Times New Roman"/>
          <w:sz w:val="20"/>
          <w:szCs w:val="20"/>
        </w:rPr>
        <w:t>a</w:t>
      </w:r>
      <w:r w:rsidR="007B4234" w:rsidRPr="006072C0">
        <w:rPr>
          <w:rFonts w:ascii="Times New Roman" w:hAnsi="Times New Roman" w:cs="Times New Roman"/>
          <w:sz w:val="20"/>
          <w:szCs w:val="20"/>
        </w:rPr>
        <w:t xml:space="preserve"> 4 of the R</w:t>
      </w:r>
      <w:r w:rsidR="00996F3B" w:rsidRPr="006072C0">
        <w:rPr>
          <w:rFonts w:ascii="Times New Roman" w:hAnsi="Times New Roman" w:cs="Times New Roman"/>
          <w:sz w:val="20"/>
          <w:szCs w:val="20"/>
        </w:rPr>
        <w:t>eport of the Special Rapporteur on the rights to freedom of peaceful assembly and of association</w:t>
      </w:r>
      <w:r w:rsidR="007B4234" w:rsidRPr="006072C0">
        <w:rPr>
          <w:rFonts w:ascii="Times New Roman" w:hAnsi="Times New Roman" w:cs="Times New Roman"/>
          <w:sz w:val="20"/>
          <w:szCs w:val="20"/>
        </w:rPr>
        <w:t xml:space="preserve"> states that </w:t>
      </w:r>
      <w:r w:rsidRPr="006072C0">
        <w:rPr>
          <w:rFonts w:ascii="Times New Roman" w:hAnsi="Times New Roman" w:cs="Times New Roman"/>
          <w:sz w:val="20"/>
          <w:szCs w:val="20"/>
        </w:rPr>
        <w:t xml:space="preserve"> </w:t>
      </w:r>
      <w:r w:rsidR="00AD36BA" w:rsidRPr="006072C0">
        <w:rPr>
          <w:rFonts w:ascii="Times New Roman" w:hAnsi="Times New Roman" w:cs="Times New Roman"/>
          <w:sz w:val="20"/>
          <w:szCs w:val="20"/>
        </w:rPr>
        <w:t>“dominant online platforms such as Facebook, Twitter and YouTube have become the gatekeepers to people’s ability to enjoy the rights of peaceful assembly and of association, wielding enormous power over whether individuals and civil society actors can access and participate in the democratic space”</w:t>
      </w:r>
      <w:r w:rsidR="007B4234" w:rsidRPr="006072C0">
        <w:rPr>
          <w:rFonts w:ascii="Times New Roman" w:hAnsi="Times New Roman" w:cs="Times New Roman"/>
          <w:sz w:val="20"/>
          <w:szCs w:val="20"/>
        </w:rPr>
        <w:t xml:space="preserve"> </w:t>
      </w:r>
      <w:bookmarkStart w:id="5" w:name="_Hlk21003791"/>
      <w:r w:rsidR="007B4234" w:rsidRPr="006072C0">
        <w:rPr>
          <w:rFonts w:ascii="Times New Roman" w:hAnsi="Times New Roman" w:cs="Times New Roman"/>
          <w:sz w:val="20"/>
          <w:szCs w:val="20"/>
        </w:rPr>
        <w:t>A/HRC/41/41, 17 May 2019.</w:t>
      </w:r>
      <w:bookmarkEnd w:id="5"/>
      <w:proofErr w:type="gramEnd"/>
    </w:p>
  </w:footnote>
  <w:footnote w:id="25">
    <w:p w14:paraId="33E18F85" w14:textId="69C78F78" w:rsidR="00DD7CEF" w:rsidRPr="006072C0" w:rsidRDefault="00DD7CEF"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008304D4" w:rsidRPr="006072C0">
        <w:rPr>
          <w:rFonts w:ascii="Times New Roman" w:hAnsi="Times New Roman" w:cs="Times New Roman"/>
          <w:sz w:val="20"/>
          <w:szCs w:val="20"/>
        </w:rPr>
        <w:t xml:space="preserve">The UN Guiding Principles on Business and Human Rights (UN Office of the High Commissioner on Human Rights, New York and Geneva, </w:t>
      </w:r>
      <w:r w:rsidR="008304D4" w:rsidRPr="006072C0">
        <w:rPr>
          <w:rFonts w:ascii="Times New Roman" w:hAnsi="Times New Roman" w:cs="Times New Roman"/>
          <w:sz w:val="20"/>
          <w:szCs w:val="20"/>
          <w:lang w:val="en-US"/>
        </w:rPr>
        <w:t>HR/PUB/11/04, 2011</w:t>
      </w:r>
      <w:r w:rsidR="003C6EE0" w:rsidRPr="006072C0">
        <w:rPr>
          <w:rFonts w:ascii="Times New Roman" w:hAnsi="Times New Roman" w:cs="Times New Roman"/>
          <w:sz w:val="20"/>
          <w:szCs w:val="20"/>
          <w:lang w:val="en-US"/>
        </w:rPr>
        <w:t>)</w:t>
      </w:r>
      <w:r w:rsidR="008304D4" w:rsidRPr="006072C0">
        <w:rPr>
          <w:rFonts w:ascii="Times New Roman" w:hAnsi="Times New Roman" w:cs="Times New Roman"/>
          <w:sz w:val="20"/>
          <w:szCs w:val="20"/>
          <w:lang w:val="en-US"/>
        </w:rPr>
        <w:t xml:space="preserve">, </w:t>
      </w:r>
      <w:r w:rsidR="00C909D4" w:rsidRPr="006072C0">
        <w:rPr>
          <w:rFonts w:ascii="Times New Roman" w:hAnsi="Times New Roman" w:cs="Times New Roman"/>
          <w:sz w:val="20"/>
          <w:szCs w:val="20"/>
          <w:lang w:val="en-US"/>
        </w:rPr>
        <w:t>Section</w:t>
      </w:r>
      <w:r w:rsidR="008304D4" w:rsidRPr="006072C0">
        <w:rPr>
          <w:rFonts w:ascii="Times New Roman" w:hAnsi="Times New Roman" w:cs="Times New Roman"/>
          <w:sz w:val="20"/>
          <w:szCs w:val="20"/>
          <w:lang w:val="en-US"/>
        </w:rPr>
        <w:t xml:space="preserve"> II, </w:t>
      </w:r>
      <w:r w:rsidR="008304D4" w:rsidRPr="006072C0">
        <w:rPr>
          <w:rFonts w:ascii="Times New Roman" w:hAnsi="Times New Roman" w:cs="Times New Roman"/>
          <w:sz w:val="20"/>
          <w:szCs w:val="20"/>
        </w:rPr>
        <w:t xml:space="preserve">Available here: </w:t>
      </w:r>
      <w:hyperlink r:id="rId6" w:history="1">
        <w:r w:rsidR="008304D4" w:rsidRPr="006072C0">
          <w:rPr>
            <w:rStyle w:val="Hyperlink"/>
            <w:rFonts w:ascii="Times New Roman" w:hAnsi="Times New Roman"/>
            <w:sz w:val="20"/>
            <w:szCs w:val="20"/>
          </w:rPr>
          <w:t>https://www.ohchr.org/documents/publications/GuidingprinciplesBusinesshr_eN.pdf</w:t>
        </w:r>
      </w:hyperlink>
      <w:r w:rsidR="00C909D4" w:rsidRPr="006072C0">
        <w:rPr>
          <w:rFonts w:ascii="Times New Roman" w:hAnsi="Times New Roman" w:cs="Times New Roman"/>
          <w:sz w:val="20"/>
          <w:szCs w:val="20"/>
        </w:rPr>
        <w:t xml:space="preserve">. </w:t>
      </w:r>
      <w:proofErr w:type="gramStart"/>
      <w:r w:rsidR="00C909D4" w:rsidRPr="006072C0">
        <w:rPr>
          <w:rFonts w:ascii="Times New Roman" w:hAnsi="Times New Roman" w:cs="Times New Roman"/>
          <w:sz w:val="20"/>
          <w:szCs w:val="20"/>
        </w:rPr>
        <w:t>See also Report of the Special Rapporteur on Assembly and Association (A/HRC/41/41, 17 May 2019)</w:t>
      </w:r>
      <w:proofErr w:type="gramEnd"/>
      <w:r w:rsidR="00C909D4" w:rsidRPr="006072C0">
        <w:rPr>
          <w:rFonts w:ascii="Times New Roman" w:hAnsi="Times New Roman" w:cs="Times New Roman"/>
          <w:sz w:val="20"/>
          <w:szCs w:val="20"/>
        </w:rPr>
        <w:t xml:space="preserve">, </w:t>
      </w:r>
      <w:proofErr w:type="gramStart"/>
      <w:r w:rsidR="00C909D4" w:rsidRPr="006072C0">
        <w:rPr>
          <w:rFonts w:ascii="Times New Roman" w:hAnsi="Times New Roman" w:cs="Times New Roman"/>
          <w:sz w:val="20"/>
          <w:szCs w:val="20"/>
        </w:rPr>
        <w:t>section III</w:t>
      </w:r>
      <w:proofErr w:type="gramEnd"/>
      <w:r w:rsidR="00C909D4" w:rsidRPr="006072C0">
        <w:rPr>
          <w:rFonts w:ascii="Times New Roman" w:hAnsi="Times New Roman" w:cs="Times New Roman"/>
          <w:sz w:val="20"/>
          <w:szCs w:val="20"/>
        </w:rPr>
        <w:t xml:space="preserve">. </w:t>
      </w:r>
      <w:proofErr w:type="gramStart"/>
      <w:r w:rsidR="00C909D4" w:rsidRPr="006072C0">
        <w:rPr>
          <w:rFonts w:ascii="Times New Roman" w:hAnsi="Times New Roman" w:cs="Times New Roman"/>
          <w:sz w:val="20"/>
          <w:szCs w:val="20"/>
        </w:rPr>
        <w:t>B .</w:t>
      </w:r>
      <w:proofErr w:type="gramEnd"/>
    </w:p>
  </w:footnote>
  <w:footnote w:id="26">
    <w:p w14:paraId="7DEB918D" w14:textId="77777777" w:rsidR="00C41102" w:rsidRPr="006072C0" w:rsidRDefault="00C41102"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Appendix to Recommendation </w:t>
      </w:r>
      <w:bookmarkStart w:id="6" w:name="_Hlk2085688"/>
      <w:r w:rsidRPr="006072C0">
        <w:rPr>
          <w:rFonts w:ascii="Times New Roman" w:hAnsi="Times New Roman" w:cs="Times New Roman"/>
          <w:sz w:val="20"/>
          <w:szCs w:val="20"/>
        </w:rPr>
        <w:t>CM/</w:t>
      </w:r>
      <w:proofErr w:type="gramStart"/>
      <w:r w:rsidRPr="006072C0">
        <w:rPr>
          <w:rFonts w:ascii="Times New Roman" w:hAnsi="Times New Roman" w:cs="Times New Roman"/>
          <w:sz w:val="20"/>
          <w:szCs w:val="20"/>
        </w:rPr>
        <w:t>Rec(</w:t>
      </w:r>
      <w:proofErr w:type="gramEnd"/>
      <w:r w:rsidRPr="006072C0">
        <w:rPr>
          <w:rFonts w:ascii="Times New Roman" w:hAnsi="Times New Roman" w:cs="Times New Roman"/>
          <w:sz w:val="20"/>
          <w:szCs w:val="20"/>
        </w:rPr>
        <w:t xml:space="preserve">2018)2 </w:t>
      </w:r>
      <w:bookmarkEnd w:id="6"/>
      <w:r w:rsidRPr="006072C0">
        <w:rPr>
          <w:rFonts w:ascii="Times New Roman" w:hAnsi="Times New Roman" w:cs="Times New Roman"/>
          <w:sz w:val="20"/>
          <w:szCs w:val="20"/>
        </w:rPr>
        <w:t>Guidelines for States on actions to be taken vis-à-vis internet intermediaries with due regard to their roles and responsibilities 1. Obligations of States with respect to the protection and promotion of human rights and fundamental freedoms in the digital environment, which states that “1.1.3. States have the ultimate obligation to protect human rights and fundamental freedoms in the digital environment. All regulatory frameworks, including self- or co-regulatory approaches, should include effective oversight mechanisms to comply with that obligation and be accompanied by appropriate redress opportunities”</w:t>
      </w:r>
    </w:p>
  </w:footnote>
  <w:footnote w:id="27">
    <w:p w14:paraId="513BC788" w14:textId="77777777" w:rsidR="00C41102" w:rsidRPr="006072C0" w:rsidRDefault="00C41102"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proofErr w:type="spellStart"/>
      <w:r w:rsidRPr="006072C0">
        <w:rPr>
          <w:rFonts w:ascii="Times New Roman" w:hAnsi="Times New Roman" w:cs="Times New Roman"/>
          <w:i/>
          <w:sz w:val="20"/>
          <w:szCs w:val="20"/>
        </w:rPr>
        <w:t>Handyside</w:t>
      </w:r>
      <w:proofErr w:type="spellEnd"/>
      <w:r w:rsidRPr="006072C0">
        <w:rPr>
          <w:rFonts w:ascii="Times New Roman" w:hAnsi="Times New Roman" w:cs="Times New Roman"/>
          <w:i/>
          <w:sz w:val="20"/>
          <w:szCs w:val="20"/>
        </w:rPr>
        <w:t xml:space="preserve"> v. The United Kingdom</w:t>
      </w:r>
      <w:r w:rsidRPr="006072C0">
        <w:rPr>
          <w:rFonts w:ascii="Times New Roman" w:hAnsi="Times New Roman" w:cs="Times New Roman"/>
          <w:sz w:val="20"/>
          <w:szCs w:val="20"/>
        </w:rPr>
        <w:t xml:space="preserve"> (</w:t>
      </w:r>
      <w:r w:rsidRPr="006072C0">
        <w:rPr>
          <w:rFonts w:ascii="Times New Roman" w:hAnsi="Times New Roman" w:cs="Times New Roman"/>
          <w:i/>
          <w:sz w:val="20"/>
          <w:szCs w:val="20"/>
        </w:rPr>
        <w:t>The United Kingdom</w:t>
      </w:r>
      <w:r w:rsidRPr="006072C0">
        <w:rPr>
          <w:rFonts w:ascii="Times New Roman" w:hAnsi="Times New Roman" w:cs="Times New Roman"/>
          <w:sz w:val="20"/>
          <w:szCs w:val="20"/>
        </w:rPr>
        <w:t xml:space="preserve">, </w:t>
      </w:r>
      <w:r w:rsidRPr="006072C0">
        <w:rPr>
          <w:rFonts w:ascii="Times New Roman" w:hAnsi="Times New Roman" w:cs="Times New Roman"/>
          <w:iCs/>
          <w:sz w:val="20"/>
          <w:szCs w:val="20"/>
          <w:lang w:val="en-US"/>
        </w:rPr>
        <w:t>Application no. </w:t>
      </w:r>
      <w:r w:rsidRPr="006072C0">
        <w:rPr>
          <w:rFonts w:ascii="Times New Roman" w:hAnsi="Times New Roman" w:cs="Times New Roman"/>
          <w:sz w:val="20"/>
          <w:szCs w:val="20"/>
        </w:rPr>
        <w:t>5493/72</w:t>
      </w:r>
      <w:r w:rsidRPr="006072C0">
        <w:rPr>
          <w:rStyle w:val="Hyperlink"/>
          <w:rFonts w:ascii="Times New Roman" w:hAnsi="Times New Roman"/>
          <w:iCs/>
          <w:sz w:val="20"/>
          <w:szCs w:val="20"/>
          <w:lang w:val="en-US"/>
        </w:rPr>
        <w:t>,</w:t>
      </w:r>
      <w:r w:rsidRPr="006072C0">
        <w:rPr>
          <w:rFonts w:ascii="Times New Roman" w:hAnsi="Times New Roman" w:cs="Times New Roman"/>
          <w:sz w:val="20"/>
          <w:szCs w:val="20"/>
          <w:lang w:val="en-US"/>
        </w:rPr>
        <w:t xml:space="preserve"> 7 December </w:t>
      </w:r>
      <w:r w:rsidRPr="006072C0">
        <w:rPr>
          <w:rFonts w:ascii="Times New Roman" w:hAnsi="Times New Roman" w:cs="Times New Roman"/>
          <w:sz w:val="20"/>
          <w:szCs w:val="20"/>
        </w:rPr>
        <w:t>1976, para. 49.</w:t>
      </w:r>
    </w:p>
  </w:footnote>
  <w:footnote w:id="28">
    <w:p w14:paraId="7D62893D" w14:textId="77777777" w:rsidR="00C41102" w:rsidRPr="006072C0" w:rsidRDefault="00C41102"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Pr="006072C0">
        <w:rPr>
          <w:rFonts w:ascii="Times New Roman" w:hAnsi="Times New Roman" w:cs="Times New Roman"/>
          <w:sz w:val="20"/>
          <w:szCs w:val="20"/>
          <w:lang w:val="en-US"/>
        </w:rPr>
        <w:t xml:space="preserve">See </w:t>
      </w:r>
      <w:bookmarkStart w:id="7" w:name="_Hlk511667772"/>
      <w:proofErr w:type="spellStart"/>
      <w:r w:rsidRPr="006072C0">
        <w:rPr>
          <w:rFonts w:ascii="Times New Roman" w:hAnsi="Times New Roman" w:cs="Times New Roman"/>
          <w:i/>
          <w:sz w:val="20"/>
          <w:szCs w:val="20"/>
          <w:lang w:val="en-US"/>
        </w:rPr>
        <w:t>Delfi</w:t>
      </w:r>
      <w:proofErr w:type="spellEnd"/>
      <w:r w:rsidRPr="006072C0">
        <w:rPr>
          <w:rFonts w:ascii="Times New Roman" w:hAnsi="Times New Roman" w:cs="Times New Roman"/>
          <w:i/>
          <w:sz w:val="20"/>
          <w:szCs w:val="20"/>
          <w:lang w:val="en-US"/>
        </w:rPr>
        <w:t xml:space="preserve"> AS v. Estonia</w:t>
      </w:r>
      <w:r w:rsidRPr="006072C0">
        <w:rPr>
          <w:rFonts w:ascii="Times New Roman" w:hAnsi="Times New Roman" w:cs="Times New Roman"/>
          <w:sz w:val="20"/>
          <w:szCs w:val="20"/>
          <w:lang w:val="en-US"/>
        </w:rPr>
        <w:t xml:space="preserve"> Application No 64569/09, 16 June 2015</w:t>
      </w:r>
      <w:proofErr w:type="gramStart"/>
      <w:r w:rsidRPr="006072C0">
        <w:rPr>
          <w:rFonts w:ascii="Times New Roman" w:hAnsi="Times New Roman" w:cs="Times New Roman"/>
          <w:sz w:val="20"/>
          <w:szCs w:val="20"/>
          <w:lang w:val="en-US"/>
        </w:rPr>
        <w:t>;</w:t>
      </w:r>
      <w:bookmarkEnd w:id="7"/>
      <w:proofErr w:type="gramEnd"/>
      <w:r w:rsidRPr="006072C0">
        <w:rPr>
          <w:rFonts w:ascii="Times New Roman" w:hAnsi="Times New Roman" w:cs="Times New Roman"/>
          <w:sz w:val="20"/>
          <w:szCs w:val="20"/>
          <w:lang w:val="en-US"/>
        </w:rPr>
        <w:t xml:space="preserve"> </w:t>
      </w:r>
      <w:proofErr w:type="spellStart"/>
      <w:r w:rsidRPr="006072C0">
        <w:rPr>
          <w:rFonts w:ascii="Times New Roman" w:hAnsi="Times New Roman" w:cs="Times New Roman"/>
          <w:i/>
          <w:sz w:val="20"/>
          <w:szCs w:val="20"/>
          <w:lang w:val="en-US"/>
        </w:rPr>
        <w:t>Smajić</w:t>
      </w:r>
      <w:proofErr w:type="spellEnd"/>
      <w:r w:rsidRPr="006072C0">
        <w:rPr>
          <w:rFonts w:ascii="Times New Roman" w:hAnsi="Times New Roman" w:cs="Times New Roman"/>
          <w:i/>
          <w:sz w:val="20"/>
          <w:szCs w:val="20"/>
          <w:lang w:val="en-US"/>
        </w:rPr>
        <w:t xml:space="preserve"> v. Bosnia and Herzegovina</w:t>
      </w:r>
      <w:r w:rsidRPr="006072C0">
        <w:rPr>
          <w:rFonts w:ascii="Times New Roman" w:hAnsi="Times New Roman" w:cs="Times New Roman"/>
          <w:sz w:val="20"/>
          <w:szCs w:val="20"/>
          <w:lang w:val="en-US"/>
        </w:rPr>
        <w:t xml:space="preserve">, Application No </w:t>
      </w:r>
      <w:r w:rsidRPr="006072C0">
        <w:rPr>
          <w:rFonts w:ascii="Times New Roman" w:hAnsi="Times New Roman" w:cs="Times New Roman"/>
          <w:sz w:val="20"/>
          <w:szCs w:val="20"/>
        </w:rPr>
        <w:t>48657/16</w:t>
      </w:r>
      <w:r w:rsidRPr="006072C0">
        <w:rPr>
          <w:rFonts w:ascii="Times New Roman" w:hAnsi="Times New Roman" w:cs="Times New Roman"/>
          <w:sz w:val="20"/>
          <w:szCs w:val="20"/>
          <w:lang w:val="en-US"/>
        </w:rPr>
        <w:t>, January 2018</w:t>
      </w:r>
      <w:r w:rsidRPr="006072C0">
        <w:rPr>
          <w:rFonts w:ascii="Times New Roman" w:hAnsi="Times New Roman" w:cs="Times New Roman"/>
          <w:sz w:val="20"/>
          <w:szCs w:val="20"/>
        </w:rPr>
        <w:t>.</w:t>
      </w:r>
    </w:p>
  </w:footnote>
  <w:footnote w:id="29">
    <w:p w14:paraId="4837EB63" w14:textId="77777777" w:rsidR="00C41102" w:rsidRPr="006072C0" w:rsidRDefault="00C41102"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Pr="006072C0">
        <w:rPr>
          <w:rFonts w:ascii="Times New Roman" w:hAnsi="Times New Roman" w:cs="Times New Roman"/>
          <w:i/>
          <w:sz w:val="20"/>
          <w:szCs w:val="20"/>
          <w:lang w:val="en-US"/>
        </w:rPr>
        <w:t>Ibid. (</w:t>
      </w:r>
      <w:proofErr w:type="spellStart"/>
      <w:r w:rsidRPr="006072C0">
        <w:rPr>
          <w:rFonts w:ascii="Times New Roman" w:hAnsi="Times New Roman" w:cs="Times New Roman"/>
          <w:i/>
          <w:sz w:val="20"/>
          <w:szCs w:val="20"/>
          <w:lang w:val="en-US"/>
        </w:rPr>
        <w:t>Delfi</w:t>
      </w:r>
      <w:proofErr w:type="spellEnd"/>
      <w:r w:rsidRPr="006072C0">
        <w:rPr>
          <w:rFonts w:ascii="Times New Roman" w:hAnsi="Times New Roman" w:cs="Times New Roman"/>
          <w:i/>
          <w:sz w:val="20"/>
          <w:szCs w:val="20"/>
          <w:lang w:val="en-US"/>
        </w:rPr>
        <w:t xml:space="preserve"> AS v. Estonia</w:t>
      </w:r>
      <w:r w:rsidRPr="006072C0">
        <w:rPr>
          <w:rFonts w:ascii="Times New Roman" w:hAnsi="Times New Roman" w:cs="Times New Roman"/>
          <w:sz w:val="20"/>
          <w:szCs w:val="20"/>
          <w:lang w:val="en-US"/>
        </w:rPr>
        <w:t xml:space="preserve"> Application No 64569/09, 16 June 2015; </w:t>
      </w:r>
      <w:proofErr w:type="spellStart"/>
      <w:r w:rsidRPr="006072C0">
        <w:rPr>
          <w:rFonts w:ascii="Times New Roman" w:hAnsi="Times New Roman" w:cs="Times New Roman"/>
          <w:i/>
          <w:sz w:val="20"/>
          <w:szCs w:val="20"/>
          <w:lang w:val="en-US"/>
        </w:rPr>
        <w:t>Smajić</w:t>
      </w:r>
      <w:proofErr w:type="spellEnd"/>
      <w:r w:rsidRPr="006072C0">
        <w:rPr>
          <w:rFonts w:ascii="Times New Roman" w:hAnsi="Times New Roman" w:cs="Times New Roman"/>
          <w:i/>
          <w:sz w:val="20"/>
          <w:szCs w:val="20"/>
          <w:lang w:val="en-US"/>
        </w:rPr>
        <w:t xml:space="preserve"> v. Bosnia and Herzegovina</w:t>
      </w:r>
      <w:r w:rsidRPr="006072C0">
        <w:rPr>
          <w:rFonts w:ascii="Times New Roman" w:hAnsi="Times New Roman" w:cs="Times New Roman"/>
          <w:sz w:val="20"/>
          <w:szCs w:val="20"/>
          <w:lang w:val="en-US"/>
        </w:rPr>
        <w:t xml:space="preserve">, Application No </w:t>
      </w:r>
      <w:r w:rsidRPr="006072C0">
        <w:rPr>
          <w:rFonts w:ascii="Times New Roman" w:hAnsi="Times New Roman" w:cs="Times New Roman"/>
          <w:sz w:val="20"/>
          <w:szCs w:val="20"/>
        </w:rPr>
        <w:t>48657/16</w:t>
      </w:r>
      <w:r w:rsidRPr="006072C0">
        <w:rPr>
          <w:rFonts w:ascii="Times New Roman" w:hAnsi="Times New Roman" w:cs="Times New Roman"/>
          <w:sz w:val="20"/>
          <w:szCs w:val="20"/>
          <w:lang w:val="en-US"/>
        </w:rPr>
        <w:t>, January 2018</w:t>
      </w:r>
      <w:r w:rsidRPr="006072C0">
        <w:rPr>
          <w:rFonts w:ascii="Times New Roman" w:hAnsi="Times New Roman" w:cs="Times New Roman"/>
          <w:sz w:val="20"/>
          <w:szCs w:val="20"/>
        </w:rPr>
        <w:t>.)</w:t>
      </w:r>
    </w:p>
  </w:footnote>
  <w:footnote w:id="30">
    <w:p w14:paraId="55E08C83" w14:textId="77777777" w:rsidR="004E34F3" w:rsidRPr="006072C0" w:rsidRDefault="004E34F3"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Please see: </w:t>
      </w:r>
      <w:hyperlink r:id="rId7" w:history="1">
        <w:r w:rsidRPr="006072C0">
          <w:rPr>
            <w:rStyle w:val="Hyperlink"/>
            <w:rFonts w:ascii="Times New Roman" w:hAnsi="Times New Roman"/>
            <w:sz w:val="20"/>
            <w:szCs w:val="20"/>
          </w:rPr>
          <w:t>https://transparency.facebook.com/government-data-requests/country/</w:t>
        </w:r>
      </w:hyperlink>
      <w:r w:rsidRPr="006072C0">
        <w:rPr>
          <w:rFonts w:ascii="Times New Roman" w:hAnsi="Times New Roman" w:cs="Times New Roman"/>
          <w:sz w:val="20"/>
          <w:szCs w:val="20"/>
        </w:rPr>
        <w:t xml:space="preserve"> , where information </w:t>
      </w:r>
      <w:proofErr w:type="gramStart"/>
      <w:r w:rsidRPr="006072C0">
        <w:rPr>
          <w:rFonts w:ascii="Times New Roman" w:hAnsi="Times New Roman" w:cs="Times New Roman"/>
          <w:sz w:val="20"/>
          <w:szCs w:val="20"/>
        </w:rPr>
        <w:t>is disaggregated</w:t>
      </w:r>
      <w:proofErr w:type="gramEnd"/>
      <w:r w:rsidRPr="006072C0">
        <w:rPr>
          <w:rFonts w:ascii="Times New Roman" w:hAnsi="Times New Roman" w:cs="Times New Roman"/>
          <w:sz w:val="20"/>
          <w:szCs w:val="20"/>
        </w:rPr>
        <w:t xml:space="preserve"> by country, nature of request, and for the US the legal basis for the request (subpoena, court order, etc.)</w:t>
      </w:r>
    </w:p>
  </w:footnote>
  <w:footnote w:id="31">
    <w:p w14:paraId="2BDD51EE" w14:textId="0526A4D0" w:rsidR="00BD2A35" w:rsidRPr="006072C0" w:rsidRDefault="00BD2A35"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00771D74" w:rsidRPr="006072C0">
        <w:rPr>
          <w:rFonts w:ascii="Times New Roman" w:hAnsi="Times New Roman" w:cs="Times New Roman"/>
          <w:sz w:val="20"/>
          <w:szCs w:val="20"/>
        </w:rPr>
        <w:t>T J. Gordon, M Todorova</w:t>
      </w:r>
      <w:r w:rsidR="00B141F3" w:rsidRPr="006072C0">
        <w:rPr>
          <w:rFonts w:ascii="Times New Roman" w:hAnsi="Times New Roman" w:cs="Times New Roman"/>
          <w:sz w:val="20"/>
          <w:szCs w:val="20"/>
          <w:lang w:val="en-US"/>
        </w:rPr>
        <w:t xml:space="preserve"> “Future Studies and Counterfactual Analysis”, Springer, 2019</w:t>
      </w:r>
    </w:p>
  </w:footnote>
  <w:footnote w:id="32">
    <w:p w14:paraId="0FB02A69" w14:textId="1F931A98" w:rsidR="00304584" w:rsidRPr="006072C0" w:rsidRDefault="00304584"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00EF593E" w:rsidRPr="006072C0">
        <w:rPr>
          <w:rFonts w:ascii="Times New Roman" w:hAnsi="Times New Roman" w:cs="Times New Roman"/>
          <w:sz w:val="20"/>
          <w:szCs w:val="20"/>
        </w:rPr>
        <w:t>A/HRC/41/41, 17 May 2019</w:t>
      </w:r>
      <w:r w:rsidR="00C7087F" w:rsidRPr="006072C0">
        <w:rPr>
          <w:rFonts w:ascii="Times New Roman" w:hAnsi="Times New Roman" w:cs="Times New Roman"/>
          <w:sz w:val="20"/>
          <w:szCs w:val="20"/>
        </w:rPr>
        <w:t xml:space="preserve"> paras 33-37</w:t>
      </w:r>
    </w:p>
  </w:footnote>
  <w:footnote w:id="33">
    <w:p w14:paraId="6315B5D5" w14:textId="77777777" w:rsidR="00CC77F6" w:rsidRPr="006072C0" w:rsidRDefault="00CC77F6"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Report of the Special Rapporteur on Freedom of Opinion and Expression, A/HRC/41/35, 28 May, 2019</w:t>
      </w:r>
    </w:p>
  </w:footnote>
  <w:footnote w:id="34">
    <w:p w14:paraId="244E031E" w14:textId="088A6783" w:rsidR="00C41102" w:rsidRPr="006072C0" w:rsidRDefault="00C41102" w:rsidP="006072C0">
      <w:pPr>
        <w:pStyle w:val="NoSpacing"/>
        <w:jc w:val="both"/>
        <w:rPr>
          <w:rFonts w:ascii="Times New Roman" w:hAnsi="Times New Roman"/>
          <w:sz w:val="20"/>
          <w:szCs w:val="20"/>
        </w:rPr>
      </w:pPr>
      <w:r w:rsidRPr="006072C0">
        <w:rPr>
          <w:rStyle w:val="FootnoteReference"/>
          <w:rFonts w:ascii="Times New Roman" w:hAnsi="Times New Roman"/>
          <w:sz w:val="20"/>
          <w:szCs w:val="20"/>
        </w:rPr>
        <w:footnoteRef/>
      </w:r>
      <w:r w:rsidRPr="006072C0">
        <w:rPr>
          <w:rFonts w:ascii="Times New Roman" w:hAnsi="Times New Roman"/>
          <w:sz w:val="20"/>
          <w:szCs w:val="20"/>
        </w:rPr>
        <w:t xml:space="preserve"> Joint Report of</w:t>
      </w:r>
      <w:r w:rsidR="000578D9" w:rsidRPr="006072C0">
        <w:rPr>
          <w:rFonts w:ascii="Times New Roman" w:hAnsi="Times New Roman"/>
          <w:sz w:val="20"/>
          <w:szCs w:val="20"/>
        </w:rPr>
        <w:t xml:space="preserve"> UN Special Rapporteurs (2016),</w:t>
      </w:r>
      <w:r w:rsidRPr="006072C0">
        <w:rPr>
          <w:rFonts w:ascii="Times New Roman" w:hAnsi="Times New Roman"/>
          <w:sz w:val="20"/>
          <w:szCs w:val="20"/>
        </w:rPr>
        <w:t xml:space="preserve"> A/HRC/31/66, </w:t>
      </w:r>
      <w:proofErr w:type="gramStart"/>
      <w:r w:rsidRPr="006072C0">
        <w:rPr>
          <w:rFonts w:ascii="Times New Roman" w:hAnsi="Times New Roman"/>
          <w:sz w:val="20"/>
          <w:szCs w:val="20"/>
        </w:rPr>
        <w:t>par</w:t>
      </w:r>
      <w:r w:rsidR="000578D9" w:rsidRPr="006072C0">
        <w:rPr>
          <w:rFonts w:ascii="Times New Roman" w:hAnsi="Times New Roman"/>
          <w:sz w:val="20"/>
          <w:szCs w:val="20"/>
        </w:rPr>
        <w:t>a</w:t>
      </w:r>
      <w:proofErr w:type="gramEnd"/>
      <w:r w:rsidRPr="006072C0">
        <w:rPr>
          <w:rFonts w:ascii="Times New Roman" w:hAnsi="Times New Roman"/>
          <w:sz w:val="20"/>
          <w:szCs w:val="20"/>
        </w:rPr>
        <w:t xml:space="preserve">. </w:t>
      </w:r>
      <w:proofErr w:type="gramStart"/>
      <w:r w:rsidRPr="006072C0">
        <w:rPr>
          <w:rFonts w:ascii="Times New Roman" w:hAnsi="Times New Roman"/>
          <w:sz w:val="20"/>
          <w:szCs w:val="20"/>
        </w:rPr>
        <w:t>30</w:t>
      </w:r>
      <w:proofErr w:type="gramEnd"/>
      <w:r w:rsidRPr="006072C0">
        <w:rPr>
          <w:rFonts w:ascii="Times New Roman" w:hAnsi="Times New Roman"/>
          <w:sz w:val="20"/>
          <w:szCs w:val="20"/>
        </w:rPr>
        <w:t>: “To this end, blanket bans, including bans on the exercise of the right in specific places […], are intrinsically disproportionate, because they preclude consideration of the specific circumstances of each proposed assembly.”</w:t>
      </w:r>
      <w:r w:rsidRPr="006072C0">
        <w:rPr>
          <w:rFonts w:ascii="Times New Roman" w:hAnsi="Times New Roman"/>
          <w:b/>
          <w:sz w:val="20"/>
          <w:szCs w:val="20"/>
        </w:rPr>
        <w:t xml:space="preserve"> </w:t>
      </w:r>
    </w:p>
  </w:footnote>
  <w:footnote w:id="35">
    <w:p w14:paraId="56D5BBAC" w14:textId="77777777" w:rsidR="00C41102" w:rsidRPr="006072C0" w:rsidRDefault="00C41102" w:rsidP="006072C0">
      <w:pPr>
        <w:pStyle w:val="FootnoteText"/>
        <w:jc w:val="both"/>
        <w:rPr>
          <w:rFonts w:ascii="Times New Roman" w:eastAsia="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proofErr w:type="gramStart"/>
      <w:r w:rsidRPr="006072C0">
        <w:rPr>
          <w:rFonts w:ascii="Times New Roman" w:eastAsia="Times New Roman" w:hAnsi="Times New Roman" w:cs="Times New Roman"/>
          <w:sz w:val="20"/>
          <w:szCs w:val="20"/>
        </w:rPr>
        <w:t>Concerns regarding the use of facial recognition software (specifically ‘</w:t>
      </w:r>
      <w:proofErr w:type="spellStart"/>
      <w:r w:rsidRPr="006072C0">
        <w:rPr>
          <w:rFonts w:ascii="Times New Roman" w:eastAsia="Times New Roman" w:hAnsi="Times New Roman" w:cs="Times New Roman"/>
          <w:sz w:val="20"/>
          <w:szCs w:val="20"/>
        </w:rPr>
        <w:t>Vedemo</w:t>
      </w:r>
      <w:proofErr w:type="spellEnd"/>
      <w:r w:rsidRPr="006072C0">
        <w:rPr>
          <w:rFonts w:ascii="Times New Roman" w:eastAsia="Times New Roman" w:hAnsi="Times New Roman" w:cs="Times New Roman"/>
          <w:sz w:val="20"/>
          <w:szCs w:val="20"/>
        </w:rPr>
        <w:t xml:space="preserve"> 360’) have, for example, been raised by the Hamburg Commissioner</w:t>
      </w:r>
      <w:proofErr w:type="gramEnd"/>
      <w:r w:rsidRPr="006072C0">
        <w:rPr>
          <w:rFonts w:ascii="Times New Roman" w:eastAsia="Times New Roman" w:hAnsi="Times New Roman" w:cs="Times New Roman"/>
          <w:sz w:val="20"/>
          <w:szCs w:val="20"/>
        </w:rPr>
        <w:t xml:space="preserve"> for Data Protection and Freedom of Information in relation to investigations into public order offenses during the 2017 G20 summit in Hamburg. See, for example, </w:t>
      </w:r>
      <w:r w:rsidRPr="006072C0">
        <w:rPr>
          <w:rFonts w:ascii="Times New Roman" w:eastAsia="Times New Roman" w:hAnsi="Times New Roman" w:cs="Times New Roman"/>
          <w:bCs/>
          <w:sz w:val="20"/>
          <w:szCs w:val="20"/>
        </w:rPr>
        <w:t>‘The Hamburg Committee objects to the use of facial scans by the police’, 3 September 2018 &lt;</w:t>
      </w:r>
      <w:hyperlink r:id="rId8" w:history="1">
        <w:r w:rsidRPr="006072C0">
          <w:rPr>
            <w:rStyle w:val="Hyperlink"/>
            <w:rFonts w:ascii="Times New Roman" w:eastAsia="Times New Roman" w:hAnsi="Times New Roman"/>
            <w:bCs/>
            <w:sz w:val="20"/>
            <w:szCs w:val="20"/>
          </w:rPr>
          <w:t>http://techn4all.com/the-hamburg-committee-objects-to-the-use-of-facial-scans-by-the-police/</w:t>
        </w:r>
      </w:hyperlink>
      <w:r w:rsidRPr="006072C0">
        <w:rPr>
          <w:rFonts w:ascii="Times New Roman" w:eastAsia="Times New Roman" w:hAnsi="Times New Roman" w:cs="Times New Roman"/>
          <w:bCs/>
          <w:sz w:val="20"/>
          <w:szCs w:val="20"/>
        </w:rPr>
        <w:t>&gt;</w:t>
      </w:r>
      <w:r w:rsidRPr="006072C0">
        <w:rPr>
          <w:rFonts w:ascii="Times New Roman" w:eastAsia="Times New Roman" w:hAnsi="Times New Roman" w:cs="Times New Roman"/>
          <w:sz w:val="20"/>
          <w:szCs w:val="20"/>
        </w:rPr>
        <w:t>; ‘</w:t>
      </w:r>
      <w:r w:rsidRPr="006072C0">
        <w:rPr>
          <w:rFonts w:ascii="Times New Roman" w:eastAsia="Times New Roman" w:hAnsi="Times New Roman" w:cs="Times New Roman"/>
          <w:bCs/>
          <w:sz w:val="20"/>
          <w:szCs w:val="20"/>
        </w:rPr>
        <w:t xml:space="preserve">Grote </w:t>
      </w:r>
      <w:proofErr w:type="spellStart"/>
      <w:r w:rsidRPr="006072C0">
        <w:rPr>
          <w:rFonts w:ascii="Times New Roman" w:eastAsia="Times New Roman" w:hAnsi="Times New Roman" w:cs="Times New Roman"/>
          <w:bCs/>
          <w:sz w:val="20"/>
          <w:szCs w:val="20"/>
        </w:rPr>
        <w:t>hält</w:t>
      </w:r>
      <w:proofErr w:type="spellEnd"/>
      <w:r w:rsidRPr="006072C0">
        <w:rPr>
          <w:rFonts w:ascii="Times New Roman" w:eastAsia="Times New Roman" w:hAnsi="Times New Roman" w:cs="Times New Roman"/>
          <w:bCs/>
          <w:sz w:val="20"/>
          <w:szCs w:val="20"/>
        </w:rPr>
        <w:t xml:space="preserve"> an “</w:t>
      </w:r>
      <w:proofErr w:type="spellStart"/>
      <w:r w:rsidRPr="006072C0">
        <w:rPr>
          <w:rFonts w:ascii="Times New Roman" w:eastAsia="Times New Roman" w:hAnsi="Times New Roman" w:cs="Times New Roman"/>
          <w:bCs/>
          <w:sz w:val="20"/>
          <w:szCs w:val="20"/>
        </w:rPr>
        <w:t>Videmo</w:t>
      </w:r>
      <w:proofErr w:type="spellEnd"/>
      <w:r w:rsidRPr="006072C0">
        <w:rPr>
          <w:rFonts w:ascii="Times New Roman" w:eastAsia="Times New Roman" w:hAnsi="Times New Roman" w:cs="Times New Roman"/>
          <w:bCs/>
          <w:sz w:val="20"/>
          <w:szCs w:val="20"/>
        </w:rPr>
        <w:t xml:space="preserve"> 360” fest’, 2 October 2018, &lt;https://www.welt.de/print/welt_kompakt/hamburg/article181735976/Grote-haelt-an-Videmo-360-fest.html&gt; </w:t>
      </w:r>
    </w:p>
  </w:footnote>
  <w:footnote w:id="36">
    <w:p w14:paraId="608D95FE" w14:textId="77777777" w:rsidR="00C41102" w:rsidRPr="006072C0" w:rsidRDefault="00C41102" w:rsidP="006072C0">
      <w:pPr>
        <w:pStyle w:val="NoSpacing"/>
        <w:jc w:val="both"/>
        <w:rPr>
          <w:rFonts w:ascii="Times New Roman" w:hAnsi="Times New Roman"/>
          <w:sz w:val="20"/>
          <w:szCs w:val="20"/>
        </w:rPr>
      </w:pPr>
      <w:r w:rsidRPr="006072C0">
        <w:rPr>
          <w:rStyle w:val="FootnoteReference"/>
          <w:rFonts w:ascii="Times New Roman" w:hAnsi="Times New Roman"/>
          <w:sz w:val="20"/>
          <w:szCs w:val="20"/>
        </w:rPr>
        <w:footnoteRef/>
      </w:r>
      <w:r w:rsidRPr="006072C0">
        <w:rPr>
          <w:rFonts w:ascii="Times New Roman" w:hAnsi="Times New Roman"/>
          <w:sz w:val="20"/>
          <w:szCs w:val="20"/>
        </w:rPr>
        <w:t xml:space="preserve"> See for example, Report of the UN Special Rapporteur (2011), A/HRC/17/27, paras. 61-66;</w:t>
      </w:r>
    </w:p>
  </w:footnote>
  <w:footnote w:id="37">
    <w:p w14:paraId="32C00951" w14:textId="77777777" w:rsidR="00C41102" w:rsidRPr="006072C0" w:rsidRDefault="00C41102" w:rsidP="006072C0">
      <w:pPr>
        <w:pStyle w:val="NoSpacing"/>
        <w:jc w:val="both"/>
        <w:rPr>
          <w:rFonts w:ascii="Times New Roman" w:hAnsi="Times New Roman"/>
          <w:sz w:val="20"/>
          <w:szCs w:val="20"/>
        </w:rPr>
      </w:pPr>
      <w:r w:rsidRPr="006072C0">
        <w:rPr>
          <w:rStyle w:val="FootnoteReference"/>
          <w:rFonts w:ascii="Times New Roman" w:hAnsi="Times New Roman"/>
          <w:sz w:val="20"/>
          <w:szCs w:val="20"/>
        </w:rPr>
        <w:footnoteRef/>
      </w:r>
      <w:r w:rsidRPr="006072C0">
        <w:rPr>
          <w:rFonts w:ascii="Times New Roman" w:hAnsi="Times New Roman"/>
          <w:sz w:val="20"/>
          <w:szCs w:val="20"/>
        </w:rPr>
        <w:t xml:space="preserve"> The existence of a reasonable expectation of privacy is a significant, though not conclusive, factor in determining whether the right to private and family life protected by Article 8 ECHR is, in fact, engaged. See </w:t>
      </w:r>
      <w:r w:rsidRPr="006072C0">
        <w:rPr>
          <w:rFonts w:ascii="Times New Roman" w:hAnsi="Times New Roman"/>
          <w:i/>
          <w:sz w:val="20"/>
          <w:szCs w:val="20"/>
        </w:rPr>
        <w:t>P.G and J.H. v. United Kingdo</w:t>
      </w:r>
      <w:r w:rsidRPr="006072C0">
        <w:rPr>
          <w:rFonts w:ascii="Times New Roman" w:hAnsi="Times New Roman"/>
          <w:sz w:val="20"/>
          <w:szCs w:val="20"/>
        </w:rPr>
        <w:t xml:space="preserve">m, Application no. 44787/98, 25 September 2001, </w:t>
      </w:r>
      <w:proofErr w:type="gramStart"/>
      <w:r w:rsidRPr="006072C0">
        <w:rPr>
          <w:rFonts w:ascii="Times New Roman" w:hAnsi="Times New Roman"/>
          <w:sz w:val="20"/>
          <w:szCs w:val="20"/>
        </w:rPr>
        <w:t>para</w:t>
      </w:r>
      <w:proofErr w:type="gramEnd"/>
      <w:r w:rsidRPr="006072C0">
        <w:rPr>
          <w:rFonts w:ascii="Times New Roman" w:hAnsi="Times New Roman"/>
          <w:sz w:val="20"/>
          <w:szCs w:val="20"/>
        </w:rPr>
        <w:t xml:space="preserve">. 57.  At the same time, a person’s private life </w:t>
      </w:r>
      <w:r w:rsidRPr="006072C0">
        <w:rPr>
          <w:rFonts w:ascii="Times New Roman" w:hAnsi="Times New Roman"/>
          <w:i/>
          <w:iCs/>
          <w:sz w:val="20"/>
          <w:szCs w:val="20"/>
        </w:rPr>
        <w:t>may</w:t>
      </w:r>
      <w:r w:rsidRPr="006072C0">
        <w:rPr>
          <w:rFonts w:ascii="Times New Roman" w:hAnsi="Times New Roman"/>
          <w:sz w:val="20"/>
          <w:szCs w:val="20"/>
        </w:rPr>
        <w:t xml:space="preserve"> be engaged in circumstances outside their home or private premises.</w:t>
      </w:r>
      <w:r w:rsidRPr="006072C0">
        <w:rPr>
          <w:rFonts w:ascii="Times New Roman" w:hAnsi="Times New Roman"/>
          <w:color w:val="000000"/>
          <w:sz w:val="20"/>
          <w:szCs w:val="20"/>
          <w:lang w:val="en-US"/>
        </w:rPr>
        <w:t xml:space="preserve"> See, for example, </w:t>
      </w:r>
      <w:proofErr w:type="spellStart"/>
      <w:r w:rsidRPr="006072C0">
        <w:rPr>
          <w:rFonts w:ascii="Times New Roman" w:hAnsi="Times New Roman"/>
          <w:i/>
          <w:color w:val="000000"/>
          <w:sz w:val="20"/>
          <w:szCs w:val="20"/>
          <w:lang w:val="en-US"/>
        </w:rPr>
        <w:t>Herbecq</w:t>
      </w:r>
      <w:proofErr w:type="spellEnd"/>
      <w:r w:rsidRPr="006072C0">
        <w:rPr>
          <w:rFonts w:ascii="Times New Roman" w:hAnsi="Times New Roman"/>
          <w:i/>
          <w:color w:val="000000"/>
          <w:sz w:val="20"/>
          <w:szCs w:val="20"/>
          <w:lang w:val="en-US"/>
        </w:rPr>
        <w:t xml:space="preserve"> and Another v. Belgium</w:t>
      </w:r>
      <w:r w:rsidRPr="006072C0">
        <w:rPr>
          <w:rFonts w:ascii="Times New Roman" w:hAnsi="Times New Roman"/>
          <w:color w:val="000000"/>
          <w:sz w:val="20"/>
          <w:szCs w:val="20"/>
          <w:lang w:val="en-US"/>
        </w:rPr>
        <w:t>, Application nos. 32200/96 and 32201, Commission decision of 14 January 1998.  I</w:t>
      </w:r>
      <w:proofErr w:type="spellStart"/>
      <w:r w:rsidRPr="006072C0">
        <w:rPr>
          <w:rFonts w:ascii="Times New Roman" w:hAnsi="Times New Roman"/>
          <w:color w:val="000000"/>
          <w:sz w:val="20"/>
          <w:szCs w:val="20"/>
        </w:rPr>
        <w:t>n</w:t>
      </w:r>
      <w:proofErr w:type="spellEnd"/>
      <w:r w:rsidRPr="006072C0">
        <w:rPr>
          <w:rFonts w:ascii="Times New Roman" w:hAnsi="Times New Roman"/>
          <w:color w:val="000000"/>
          <w:sz w:val="20"/>
          <w:szCs w:val="20"/>
        </w:rPr>
        <w:t xml:space="preserve"> the case of </w:t>
      </w:r>
      <w:proofErr w:type="spellStart"/>
      <w:r w:rsidRPr="006072C0">
        <w:rPr>
          <w:rFonts w:ascii="Times New Roman" w:hAnsi="Times New Roman"/>
          <w:i/>
          <w:color w:val="000000"/>
          <w:sz w:val="20"/>
          <w:szCs w:val="20"/>
        </w:rPr>
        <w:t>Friedl</w:t>
      </w:r>
      <w:proofErr w:type="spellEnd"/>
      <w:r w:rsidRPr="006072C0">
        <w:rPr>
          <w:rFonts w:ascii="Times New Roman" w:hAnsi="Times New Roman"/>
          <w:i/>
          <w:color w:val="000000"/>
          <w:sz w:val="20"/>
          <w:szCs w:val="20"/>
        </w:rPr>
        <w:t xml:space="preserve"> v. Austria</w:t>
      </w:r>
      <w:r w:rsidRPr="006072C0">
        <w:rPr>
          <w:rFonts w:ascii="Times New Roman" w:hAnsi="Times New Roman"/>
          <w:color w:val="000000"/>
          <w:sz w:val="20"/>
          <w:szCs w:val="20"/>
        </w:rPr>
        <w:t>, Application no. 15225/89, 26 January 1995, the police photographed a participant in a public demonstration in a public place, confirmed his identity, and retained a record of his details. They did so only after requesting that the demonstrators disperse, and the European Commission held that the photographing did not constitute an infringement of Article 8.</w:t>
      </w:r>
      <w:r w:rsidRPr="006072C0">
        <w:rPr>
          <w:rFonts w:ascii="Times New Roman" w:hAnsi="Times New Roman"/>
          <w:sz w:val="20"/>
          <w:szCs w:val="20"/>
        </w:rPr>
        <w:t xml:space="preserve"> On the other hand, w</w:t>
      </w:r>
      <w:proofErr w:type="spellStart"/>
      <w:r w:rsidRPr="006072C0">
        <w:rPr>
          <w:rFonts w:ascii="Times New Roman" w:hAnsi="Times New Roman"/>
          <w:color w:val="000000"/>
          <w:sz w:val="20"/>
          <w:szCs w:val="20"/>
          <w:lang w:val="en-US"/>
        </w:rPr>
        <w:t>arrantless</w:t>
      </w:r>
      <w:proofErr w:type="spellEnd"/>
      <w:r w:rsidRPr="006072C0">
        <w:rPr>
          <w:rFonts w:ascii="Times New Roman" w:hAnsi="Times New Roman"/>
          <w:color w:val="000000"/>
          <w:sz w:val="20"/>
          <w:szCs w:val="20"/>
          <w:lang w:val="en-US"/>
        </w:rPr>
        <w:t xml:space="preserve"> electronic monitoring of genuinely private activities violates the right not to be subjected to arbitrary searches and seizures; see </w:t>
      </w:r>
      <w:r w:rsidRPr="006072C0">
        <w:rPr>
          <w:rFonts w:ascii="Times New Roman" w:hAnsi="Times New Roman"/>
          <w:i/>
          <w:color w:val="000000"/>
          <w:sz w:val="20"/>
          <w:szCs w:val="20"/>
          <w:lang w:val="en-US"/>
        </w:rPr>
        <w:t>United States v. Jones</w:t>
      </w:r>
      <w:r w:rsidRPr="006072C0">
        <w:rPr>
          <w:rFonts w:ascii="Times New Roman" w:hAnsi="Times New Roman"/>
          <w:color w:val="000000"/>
          <w:sz w:val="20"/>
          <w:szCs w:val="20"/>
          <w:lang w:val="en-US"/>
        </w:rPr>
        <w:t xml:space="preserve">, __U.S. __, 132 </w:t>
      </w:r>
      <w:proofErr w:type="spellStart"/>
      <w:r w:rsidRPr="006072C0">
        <w:rPr>
          <w:rFonts w:ascii="Times New Roman" w:hAnsi="Times New Roman"/>
          <w:color w:val="000000"/>
          <w:sz w:val="20"/>
          <w:szCs w:val="20"/>
          <w:lang w:val="en-US"/>
        </w:rPr>
        <w:t>S.Ct</w:t>
      </w:r>
      <w:proofErr w:type="spellEnd"/>
      <w:r w:rsidRPr="006072C0">
        <w:rPr>
          <w:rFonts w:ascii="Times New Roman" w:hAnsi="Times New Roman"/>
          <w:color w:val="000000"/>
          <w:sz w:val="20"/>
          <w:szCs w:val="20"/>
          <w:lang w:val="en-US"/>
        </w:rPr>
        <w:t>. 935 (2012) (stating that the GPS monitoring of an individual’s movement constitutes search and seizure governed by guarantees against unreasonable searches and seizures).</w:t>
      </w:r>
      <w:r w:rsidRPr="006072C0">
        <w:rPr>
          <w:rFonts w:ascii="Times New Roman" w:hAnsi="Times New Roman"/>
          <w:sz w:val="20"/>
          <w:szCs w:val="20"/>
        </w:rPr>
        <w:t xml:space="preserve"> </w:t>
      </w:r>
      <w:r w:rsidRPr="006072C0">
        <w:rPr>
          <w:rFonts w:ascii="Times New Roman" w:hAnsi="Times New Roman"/>
          <w:color w:val="000000"/>
          <w:sz w:val="20"/>
          <w:szCs w:val="20"/>
        </w:rPr>
        <w:t xml:space="preserve">In the case of </w:t>
      </w:r>
      <w:r w:rsidRPr="006072C0">
        <w:rPr>
          <w:rFonts w:ascii="Times New Roman" w:hAnsi="Times New Roman"/>
          <w:i/>
          <w:color w:val="000000"/>
          <w:sz w:val="20"/>
          <w:szCs w:val="20"/>
        </w:rPr>
        <w:t>Amann v. Switzerland,</w:t>
      </w:r>
      <w:r w:rsidRPr="006072C0">
        <w:rPr>
          <w:rFonts w:ascii="Times New Roman" w:hAnsi="Times New Roman"/>
          <w:color w:val="000000"/>
          <w:sz w:val="20"/>
          <w:szCs w:val="20"/>
        </w:rPr>
        <w:t xml:space="preserve"> </w:t>
      </w:r>
      <w:r w:rsidRPr="006072C0">
        <w:rPr>
          <w:rFonts w:ascii="Times New Roman" w:hAnsi="Times New Roman"/>
          <w:iCs/>
          <w:color w:val="000000"/>
          <w:sz w:val="20"/>
          <w:szCs w:val="20"/>
        </w:rPr>
        <w:t>Application No </w:t>
      </w:r>
      <w:r w:rsidRPr="006072C0">
        <w:rPr>
          <w:rFonts w:ascii="Times New Roman" w:hAnsi="Times New Roman"/>
          <w:sz w:val="20"/>
          <w:szCs w:val="20"/>
        </w:rPr>
        <w:t>27798/95</w:t>
      </w:r>
      <w:r w:rsidRPr="006072C0">
        <w:rPr>
          <w:rFonts w:ascii="Times New Roman" w:hAnsi="Times New Roman"/>
          <w:color w:val="000000"/>
          <w:sz w:val="20"/>
          <w:szCs w:val="20"/>
        </w:rPr>
        <w:t>, 16 February 2000), paras.65-67, the compilation of data by security services was held to constitute an interference with the applicants’ private lives despite the fact that covert surveillance methods were not used. See also the UK case of</w:t>
      </w:r>
      <w:r w:rsidRPr="006072C0">
        <w:rPr>
          <w:rFonts w:ascii="Times New Roman" w:hAnsi="Times New Roman"/>
          <w:i/>
          <w:color w:val="000000"/>
          <w:sz w:val="20"/>
          <w:szCs w:val="20"/>
        </w:rPr>
        <w:t xml:space="preserve"> Wood v. MPC</w:t>
      </w:r>
      <w:r w:rsidRPr="006072C0">
        <w:rPr>
          <w:rFonts w:ascii="Times New Roman" w:hAnsi="Times New Roman"/>
          <w:color w:val="000000"/>
          <w:sz w:val="20"/>
          <w:szCs w:val="20"/>
        </w:rPr>
        <w:t xml:space="preserve"> [2009] EWCA </w:t>
      </w:r>
      <w:proofErr w:type="spellStart"/>
      <w:r w:rsidRPr="006072C0">
        <w:rPr>
          <w:rFonts w:ascii="Times New Roman" w:hAnsi="Times New Roman"/>
          <w:color w:val="000000"/>
          <w:sz w:val="20"/>
          <w:szCs w:val="20"/>
        </w:rPr>
        <w:t>Civ</w:t>
      </w:r>
      <w:proofErr w:type="spellEnd"/>
      <w:r w:rsidRPr="006072C0">
        <w:rPr>
          <w:rFonts w:ascii="Times New Roman" w:hAnsi="Times New Roman"/>
          <w:color w:val="000000"/>
          <w:sz w:val="20"/>
          <w:szCs w:val="20"/>
        </w:rPr>
        <w:t xml:space="preserve"> 414. See also the European Commission on Human Rights in </w:t>
      </w:r>
      <w:proofErr w:type="spellStart"/>
      <w:r w:rsidRPr="006072C0">
        <w:rPr>
          <w:rFonts w:ascii="Times New Roman" w:hAnsi="Times New Roman"/>
          <w:i/>
          <w:iCs/>
          <w:color w:val="000000"/>
          <w:sz w:val="20"/>
          <w:szCs w:val="20"/>
        </w:rPr>
        <w:t>Friedl</w:t>
      </w:r>
      <w:proofErr w:type="spellEnd"/>
      <w:r w:rsidRPr="006072C0">
        <w:rPr>
          <w:rFonts w:ascii="Times New Roman" w:hAnsi="Times New Roman"/>
          <w:i/>
          <w:iCs/>
          <w:color w:val="000000"/>
          <w:sz w:val="20"/>
          <w:szCs w:val="20"/>
        </w:rPr>
        <w:t xml:space="preserve"> v. </w:t>
      </w:r>
      <w:proofErr w:type="gramStart"/>
      <w:r w:rsidRPr="006072C0">
        <w:rPr>
          <w:rFonts w:ascii="Times New Roman" w:hAnsi="Times New Roman"/>
          <w:i/>
          <w:iCs/>
          <w:color w:val="000000"/>
          <w:sz w:val="20"/>
          <w:szCs w:val="20"/>
        </w:rPr>
        <w:t>Austria</w:t>
      </w:r>
      <w:r w:rsidRPr="006072C0">
        <w:rPr>
          <w:rFonts w:ascii="Times New Roman" w:hAnsi="Times New Roman"/>
          <w:color w:val="000000"/>
          <w:sz w:val="20"/>
          <w:szCs w:val="20"/>
        </w:rPr>
        <w:t xml:space="preserve"> ,</w:t>
      </w:r>
      <w:proofErr w:type="gramEnd"/>
      <w:r w:rsidRPr="006072C0">
        <w:rPr>
          <w:rFonts w:ascii="Times New Roman" w:hAnsi="Times New Roman"/>
          <w:color w:val="000000"/>
          <w:sz w:val="20"/>
          <w:szCs w:val="20"/>
        </w:rPr>
        <w:t xml:space="preserve"> Application No 15225/89, Commission decision of 31 January 1995, cited in the judgment (see above) regarding the </w:t>
      </w:r>
      <w:r w:rsidRPr="006072C0">
        <w:rPr>
          <w:rFonts w:ascii="Times New Roman" w:hAnsi="Times New Roman"/>
          <w:i/>
          <w:color w:val="000000"/>
          <w:sz w:val="20"/>
          <w:szCs w:val="20"/>
        </w:rPr>
        <w:t>use</w:t>
      </w:r>
      <w:r w:rsidRPr="006072C0">
        <w:rPr>
          <w:rFonts w:ascii="Times New Roman" w:hAnsi="Times New Roman"/>
          <w:color w:val="000000"/>
          <w:sz w:val="20"/>
          <w:szCs w:val="20"/>
        </w:rPr>
        <w:t xml:space="preserve"> of photographs.</w:t>
      </w:r>
    </w:p>
  </w:footnote>
  <w:footnote w:id="38">
    <w:p w14:paraId="0C322C50" w14:textId="77777777" w:rsidR="00C41102" w:rsidRPr="006072C0" w:rsidRDefault="00C41102"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bookmarkStart w:id="8" w:name="_Hlk509935640"/>
      <w:r w:rsidRPr="006072C0">
        <w:rPr>
          <w:rFonts w:ascii="Times New Roman" w:hAnsi="Times New Roman" w:cs="Times New Roman"/>
          <w:sz w:val="20"/>
          <w:szCs w:val="20"/>
        </w:rPr>
        <w:t>Joint report of the UN Special Rapporteurs (2016), UN Doc. A/HRC/31/66, para. 76.</w:t>
      </w:r>
      <w:bookmarkEnd w:id="8"/>
    </w:p>
  </w:footnote>
  <w:footnote w:id="39">
    <w:p w14:paraId="7BDAC244" w14:textId="77777777" w:rsidR="00C41102" w:rsidRPr="006072C0" w:rsidRDefault="00C41102"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Pr="006072C0">
        <w:rPr>
          <w:rFonts w:ascii="Times New Roman" w:hAnsi="Times New Roman" w:cs="Times New Roman"/>
          <w:i/>
          <w:sz w:val="20"/>
          <w:szCs w:val="20"/>
        </w:rPr>
        <w:t>Ibid</w:t>
      </w:r>
      <w:r w:rsidRPr="006072C0">
        <w:rPr>
          <w:rFonts w:ascii="Times New Roman" w:hAnsi="Times New Roman" w:cs="Times New Roman"/>
          <w:sz w:val="20"/>
          <w:szCs w:val="20"/>
        </w:rPr>
        <w:t>, para. 78.</w:t>
      </w:r>
    </w:p>
  </w:footnote>
  <w:footnote w:id="40">
    <w:p w14:paraId="125B964E" w14:textId="77777777" w:rsidR="00C41102" w:rsidRPr="006072C0" w:rsidRDefault="00C41102"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Pr="006072C0">
        <w:rPr>
          <w:rFonts w:ascii="Times New Roman" w:hAnsi="Times New Roman" w:cs="Times New Roman"/>
          <w:i/>
          <w:sz w:val="20"/>
          <w:szCs w:val="20"/>
        </w:rPr>
        <w:t>Ibid</w:t>
      </w:r>
      <w:r w:rsidRPr="006072C0">
        <w:rPr>
          <w:rFonts w:ascii="Times New Roman" w:hAnsi="Times New Roman" w:cs="Times New Roman"/>
          <w:sz w:val="20"/>
          <w:szCs w:val="20"/>
        </w:rPr>
        <w:t>.</w:t>
      </w:r>
    </w:p>
  </w:footnote>
  <w:footnote w:id="41">
    <w:p w14:paraId="2C65EBBF" w14:textId="33C0BD3E" w:rsidR="00F8300C" w:rsidRPr="006072C0" w:rsidRDefault="00F8300C"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00214753" w:rsidRPr="006072C0">
        <w:rPr>
          <w:rFonts w:ascii="Times New Roman" w:hAnsi="Times New Roman" w:cs="Times New Roman"/>
          <w:sz w:val="20"/>
          <w:szCs w:val="20"/>
        </w:rPr>
        <w:t xml:space="preserve">Article 2, United Nations General Assembly - Code of Conduct for Law Enforcement Officials. </w:t>
      </w:r>
    </w:p>
  </w:footnote>
  <w:footnote w:id="42">
    <w:p w14:paraId="3870E356" w14:textId="77777777" w:rsidR="004F0111" w:rsidRPr="006072C0" w:rsidRDefault="004F0111"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Principle 4, Basic Principles on the use of Force and Firearms by Law Enforcement Officials</w:t>
      </w:r>
    </w:p>
  </w:footnote>
  <w:footnote w:id="43">
    <w:p w14:paraId="3AD5D0BB" w14:textId="6BCE0E2E" w:rsidR="007760AF" w:rsidRPr="006072C0" w:rsidRDefault="007760AF" w:rsidP="006072C0">
      <w:pPr>
        <w:pStyle w:val="FootnoteText"/>
        <w:jc w:val="both"/>
        <w:rPr>
          <w:rFonts w:ascii="Times New Roman" w:hAnsi="Times New Roman" w:cs="Times New Roman"/>
          <w:sz w:val="20"/>
          <w:szCs w:val="20"/>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See e.g. International Court of Justice, Case Concerning </w:t>
      </w:r>
      <w:proofErr w:type="spellStart"/>
      <w:r w:rsidRPr="006072C0">
        <w:rPr>
          <w:rFonts w:ascii="Times New Roman" w:hAnsi="Times New Roman" w:cs="Times New Roman"/>
          <w:sz w:val="20"/>
          <w:szCs w:val="20"/>
        </w:rPr>
        <w:t>Ahmadou</w:t>
      </w:r>
      <w:proofErr w:type="spellEnd"/>
      <w:r w:rsidRPr="006072C0">
        <w:rPr>
          <w:rFonts w:ascii="Times New Roman" w:hAnsi="Times New Roman" w:cs="Times New Roman"/>
          <w:sz w:val="20"/>
          <w:szCs w:val="20"/>
        </w:rPr>
        <w:t xml:space="preserve"> </w:t>
      </w:r>
      <w:proofErr w:type="spellStart"/>
      <w:r w:rsidRPr="006072C0">
        <w:rPr>
          <w:rFonts w:ascii="Times New Roman" w:hAnsi="Times New Roman" w:cs="Times New Roman"/>
          <w:sz w:val="20"/>
          <w:szCs w:val="20"/>
        </w:rPr>
        <w:t>Sadio</w:t>
      </w:r>
      <w:proofErr w:type="spellEnd"/>
      <w:r w:rsidRPr="006072C0">
        <w:rPr>
          <w:rFonts w:ascii="Times New Roman" w:hAnsi="Times New Roman" w:cs="Times New Roman"/>
          <w:sz w:val="20"/>
          <w:szCs w:val="20"/>
        </w:rPr>
        <w:t xml:space="preserve"> Diallo (Republic of Guinea v. Democratic Republic of the Congo), </w:t>
      </w:r>
      <w:proofErr w:type="gramStart"/>
      <w:r w:rsidRPr="006072C0">
        <w:rPr>
          <w:rFonts w:ascii="Times New Roman" w:hAnsi="Times New Roman" w:cs="Times New Roman"/>
          <w:sz w:val="20"/>
          <w:szCs w:val="20"/>
        </w:rPr>
        <w:t>Judgment</w:t>
      </w:r>
      <w:proofErr w:type="gramEnd"/>
      <w:r w:rsidRPr="006072C0">
        <w:rPr>
          <w:rFonts w:ascii="Times New Roman" w:hAnsi="Times New Roman" w:cs="Times New Roman"/>
          <w:sz w:val="20"/>
          <w:szCs w:val="20"/>
        </w:rPr>
        <w:t xml:space="preserve"> of 30 November 2010, para. 87.</w:t>
      </w:r>
    </w:p>
  </w:footnote>
  <w:footnote w:id="44">
    <w:p w14:paraId="31021528" w14:textId="20F0817C" w:rsidR="00ED1ED7" w:rsidRPr="006072C0" w:rsidRDefault="00ED1ED7"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Report to the UN General Assembly of the Special Rapporteur on extrajudicial, summary or arbitrary executions, A/69/265, Section IV.</w:t>
      </w:r>
    </w:p>
  </w:footnote>
  <w:footnote w:id="45">
    <w:p w14:paraId="71D4D3BC" w14:textId="65E15085" w:rsidR="002E50D4" w:rsidRPr="006072C0" w:rsidRDefault="002E50D4"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003B6DC0" w:rsidRPr="006072C0">
        <w:rPr>
          <w:rFonts w:ascii="Times New Roman" w:hAnsi="Times New Roman" w:cs="Times New Roman"/>
          <w:i/>
          <w:sz w:val="20"/>
          <w:szCs w:val="20"/>
        </w:rPr>
        <w:t>Op. cit.</w:t>
      </w:r>
      <w:r w:rsidR="003B6DC0" w:rsidRPr="006072C0">
        <w:rPr>
          <w:rFonts w:ascii="Times New Roman" w:hAnsi="Times New Roman" w:cs="Times New Roman"/>
          <w:sz w:val="20"/>
          <w:szCs w:val="20"/>
        </w:rPr>
        <w:t xml:space="preserve"> footnote 1 </w:t>
      </w:r>
      <w:r w:rsidRPr="006072C0">
        <w:rPr>
          <w:rFonts w:ascii="Times New Roman" w:hAnsi="Times New Roman" w:cs="Times New Roman"/>
          <w:sz w:val="20"/>
          <w:szCs w:val="20"/>
        </w:rPr>
        <w:t xml:space="preserve">para. </w:t>
      </w:r>
      <w:proofErr w:type="gramStart"/>
      <w:r w:rsidRPr="006072C0">
        <w:rPr>
          <w:rFonts w:ascii="Times New Roman" w:hAnsi="Times New Roman" w:cs="Times New Roman"/>
          <w:sz w:val="20"/>
          <w:szCs w:val="20"/>
        </w:rPr>
        <w:t>176</w:t>
      </w:r>
      <w:proofErr w:type="gramEnd"/>
      <w:r w:rsidRPr="006072C0">
        <w:rPr>
          <w:rFonts w:ascii="Times New Roman" w:hAnsi="Times New Roman" w:cs="Times New Roman"/>
          <w:sz w:val="20"/>
          <w:szCs w:val="20"/>
        </w:rPr>
        <w:t>,</w:t>
      </w:r>
      <w:r w:rsidR="003B6DC0" w:rsidRPr="006072C0">
        <w:rPr>
          <w:rFonts w:ascii="Times New Roman" w:hAnsi="Times New Roman" w:cs="Times New Roman"/>
          <w:sz w:val="20"/>
          <w:szCs w:val="20"/>
        </w:rPr>
        <w:t xml:space="preserve"> and</w:t>
      </w:r>
      <w:r w:rsidRPr="006072C0">
        <w:rPr>
          <w:rFonts w:ascii="Times New Roman" w:hAnsi="Times New Roman" w:cs="Times New Roman"/>
          <w:sz w:val="20"/>
          <w:szCs w:val="20"/>
        </w:rPr>
        <w:t xml:space="preserve"> Monitoring of Freedom of Peaceful Assembly in Selected OSCE Participating States (May 2017–June 2018), par</w:t>
      </w:r>
      <w:r w:rsidR="000578D9" w:rsidRPr="006072C0">
        <w:rPr>
          <w:rFonts w:ascii="Times New Roman" w:hAnsi="Times New Roman" w:cs="Times New Roman"/>
          <w:sz w:val="20"/>
          <w:szCs w:val="20"/>
        </w:rPr>
        <w:t>a</w:t>
      </w:r>
      <w:r w:rsidRPr="006072C0">
        <w:rPr>
          <w:rFonts w:ascii="Times New Roman" w:hAnsi="Times New Roman" w:cs="Times New Roman"/>
          <w:sz w:val="20"/>
          <w:szCs w:val="20"/>
        </w:rPr>
        <w:t>s. 243-245).</w:t>
      </w:r>
    </w:p>
  </w:footnote>
  <w:footnote w:id="46">
    <w:p w14:paraId="4A44A8A3" w14:textId="3E2E7176" w:rsidR="002E50D4" w:rsidRPr="006072C0" w:rsidRDefault="002E50D4" w:rsidP="006072C0">
      <w:pPr>
        <w:pStyle w:val="FootnoteText"/>
        <w:jc w:val="both"/>
        <w:rPr>
          <w:rFonts w:ascii="Times New Roman" w:hAnsi="Times New Roman" w:cs="Times New Roman"/>
          <w:sz w:val="20"/>
          <w:szCs w:val="20"/>
          <w:lang w:val="en-US"/>
        </w:rPr>
      </w:pPr>
      <w:r w:rsidRPr="006072C0">
        <w:rPr>
          <w:rStyle w:val="FootnoteReference"/>
          <w:rFonts w:ascii="Times New Roman" w:hAnsi="Times New Roman" w:cs="Times New Roman"/>
          <w:sz w:val="20"/>
          <w:szCs w:val="20"/>
        </w:rPr>
        <w:footnoteRef/>
      </w:r>
      <w:r w:rsidRPr="006072C0">
        <w:rPr>
          <w:rFonts w:ascii="Times New Roman" w:hAnsi="Times New Roman" w:cs="Times New Roman"/>
          <w:sz w:val="20"/>
          <w:szCs w:val="20"/>
        </w:rPr>
        <w:t xml:space="preserve"> </w:t>
      </w:r>
      <w:r w:rsidRPr="006072C0">
        <w:rPr>
          <w:rFonts w:ascii="Times New Roman" w:hAnsi="Times New Roman" w:cs="Times New Roman"/>
          <w:i/>
          <w:sz w:val="20"/>
          <w:szCs w:val="20"/>
          <w:lang w:val="en-US"/>
        </w:rPr>
        <w:t>Ibid</w:t>
      </w:r>
      <w:r w:rsidR="003B6DC0" w:rsidRPr="006072C0">
        <w:rPr>
          <w:rFonts w:ascii="Times New Roman" w:hAnsi="Times New Roman" w:cs="Times New Roman"/>
          <w:i/>
          <w:sz w:val="20"/>
          <w:szCs w:val="20"/>
          <w:lang w:val="en-US"/>
        </w:rPr>
        <w:t xml:space="preserve">. </w:t>
      </w:r>
      <w:r w:rsidRPr="006072C0">
        <w:rPr>
          <w:rFonts w:ascii="Times New Roman" w:hAnsi="Times New Roman" w:cs="Times New Roman"/>
          <w:i/>
          <w:sz w:val="20"/>
          <w:szCs w:val="20"/>
          <w:lang w:val="en-US"/>
        </w:rPr>
        <w:t>(</w:t>
      </w:r>
      <w:r w:rsidRPr="006072C0">
        <w:rPr>
          <w:rFonts w:ascii="Times New Roman" w:hAnsi="Times New Roman" w:cs="Times New Roman"/>
          <w:sz w:val="20"/>
          <w:szCs w:val="20"/>
        </w:rPr>
        <w:t>Monitoring of Freedom of Peaceful Assembly in Selected OSCE Participating States</w:t>
      </w:r>
      <w:r w:rsidR="00F55E00" w:rsidRPr="006072C0">
        <w:rPr>
          <w:rFonts w:ascii="Times New Roman" w:hAnsi="Times New Roman" w:cs="Times New Roman"/>
          <w:sz w:val="20"/>
          <w:szCs w:val="20"/>
        </w:rPr>
        <w:t>), p. 15</w:t>
      </w:r>
      <w:r w:rsidRPr="006072C0">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0323"/>
    <w:multiLevelType w:val="hybridMultilevel"/>
    <w:tmpl w:val="D6F652CA"/>
    <w:lvl w:ilvl="0" w:tplc="6884F03C">
      <w:start w:val="1"/>
      <w:numFmt w:val="decimal"/>
      <w:lvlText w:val="%1."/>
      <w:lvlJc w:val="left"/>
      <w:pPr>
        <w:ind w:left="720" w:hanging="360"/>
      </w:pPr>
      <w:rPr>
        <w:rFonts w:ascii="Times New Roman" w:hAnsi="Times New Roman"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5C78BF"/>
    <w:multiLevelType w:val="hybridMultilevel"/>
    <w:tmpl w:val="892035D0"/>
    <w:lvl w:ilvl="0" w:tplc="D03AD9C8">
      <w:start w:val="1"/>
      <w:numFmt w:val="decimal"/>
      <w:lvlText w:val="%1."/>
      <w:lvlJc w:val="left"/>
      <w:pPr>
        <w:ind w:left="502" w:hanging="360"/>
      </w:pPr>
      <w:rPr>
        <w:rFonts w:hint="default"/>
        <w:lang w:val="en-G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265C3E73"/>
    <w:multiLevelType w:val="hybridMultilevel"/>
    <w:tmpl w:val="02F6D04C"/>
    <w:lvl w:ilvl="0" w:tplc="7B90D9D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55D1C"/>
    <w:multiLevelType w:val="hybridMultilevel"/>
    <w:tmpl w:val="840417F2"/>
    <w:lvl w:ilvl="0" w:tplc="139EDDE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219F9"/>
    <w:multiLevelType w:val="hybridMultilevel"/>
    <w:tmpl w:val="D6F652CA"/>
    <w:lvl w:ilvl="0" w:tplc="6884F03C">
      <w:start w:val="1"/>
      <w:numFmt w:val="decimal"/>
      <w:lvlText w:val="%1."/>
      <w:lvlJc w:val="left"/>
      <w:pPr>
        <w:ind w:left="720" w:hanging="360"/>
      </w:pPr>
      <w:rPr>
        <w:rFonts w:ascii="Times New Roman" w:hAnsi="Times New Roman"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7A45C6"/>
    <w:multiLevelType w:val="multilevel"/>
    <w:tmpl w:val="840417F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4129A7"/>
    <w:multiLevelType w:val="hybridMultilevel"/>
    <w:tmpl w:val="453A1F78"/>
    <w:lvl w:ilvl="0" w:tplc="0409000F">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E7"/>
    <w:rsid w:val="00001ED2"/>
    <w:rsid w:val="0001352E"/>
    <w:rsid w:val="00016584"/>
    <w:rsid w:val="00020FFA"/>
    <w:rsid w:val="000253BD"/>
    <w:rsid w:val="00034231"/>
    <w:rsid w:val="00037407"/>
    <w:rsid w:val="000476FC"/>
    <w:rsid w:val="000578D9"/>
    <w:rsid w:val="00077F63"/>
    <w:rsid w:val="00081B3A"/>
    <w:rsid w:val="00085D0F"/>
    <w:rsid w:val="00087B6B"/>
    <w:rsid w:val="000C777E"/>
    <w:rsid w:val="000E6C5B"/>
    <w:rsid w:val="00103E7B"/>
    <w:rsid w:val="001124EB"/>
    <w:rsid w:val="00117B4B"/>
    <w:rsid w:val="001204E2"/>
    <w:rsid w:val="0012442F"/>
    <w:rsid w:val="0012705E"/>
    <w:rsid w:val="00131623"/>
    <w:rsid w:val="001327F1"/>
    <w:rsid w:val="001605FB"/>
    <w:rsid w:val="00160983"/>
    <w:rsid w:val="001629D1"/>
    <w:rsid w:val="001676D2"/>
    <w:rsid w:val="00175D46"/>
    <w:rsid w:val="001915B4"/>
    <w:rsid w:val="001C2B19"/>
    <w:rsid w:val="001D3313"/>
    <w:rsid w:val="001D4B87"/>
    <w:rsid w:val="001E1FC4"/>
    <w:rsid w:val="00214753"/>
    <w:rsid w:val="00230990"/>
    <w:rsid w:val="00234E12"/>
    <w:rsid w:val="00240B2E"/>
    <w:rsid w:val="002A304C"/>
    <w:rsid w:val="002A58C6"/>
    <w:rsid w:val="002B10DB"/>
    <w:rsid w:val="002C1CB5"/>
    <w:rsid w:val="002C6F57"/>
    <w:rsid w:val="002E50D4"/>
    <w:rsid w:val="00304584"/>
    <w:rsid w:val="00311372"/>
    <w:rsid w:val="00320F2A"/>
    <w:rsid w:val="00337B7E"/>
    <w:rsid w:val="00346597"/>
    <w:rsid w:val="00386828"/>
    <w:rsid w:val="003A0B42"/>
    <w:rsid w:val="003B6DC0"/>
    <w:rsid w:val="003C2E37"/>
    <w:rsid w:val="003C6EE0"/>
    <w:rsid w:val="003D2368"/>
    <w:rsid w:val="003D4B03"/>
    <w:rsid w:val="003E1D3E"/>
    <w:rsid w:val="003F25D3"/>
    <w:rsid w:val="00422515"/>
    <w:rsid w:val="004567AB"/>
    <w:rsid w:val="00457138"/>
    <w:rsid w:val="00487E53"/>
    <w:rsid w:val="004B126D"/>
    <w:rsid w:val="004C624E"/>
    <w:rsid w:val="004E14C2"/>
    <w:rsid w:val="004E34F3"/>
    <w:rsid w:val="004F0111"/>
    <w:rsid w:val="00503AA6"/>
    <w:rsid w:val="00506F58"/>
    <w:rsid w:val="00526A00"/>
    <w:rsid w:val="00544F91"/>
    <w:rsid w:val="0055053F"/>
    <w:rsid w:val="005664E4"/>
    <w:rsid w:val="0057700D"/>
    <w:rsid w:val="00577CB1"/>
    <w:rsid w:val="00580B62"/>
    <w:rsid w:val="00582A20"/>
    <w:rsid w:val="005A053F"/>
    <w:rsid w:val="005A1305"/>
    <w:rsid w:val="005A4625"/>
    <w:rsid w:val="005A4806"/>
    <w:rsid w:val="005A51FB"/>
    <w:rsid w:val="005A5CCE"/>
    <w:rsid w:val="005C5854"/>
    <w:rsid w:val="005D654C"/>
    <w:rsid w:val="006072C0"/>
    <w:rsid w:val="00607D1B"/>
    <w:rsid w:val="00611BB4"/>
    <w:rsid w:val="00627EDE"/>
    <w:rsid w:val="00631E99"/>
    <w:rsid w:val="0063378E"/>
    <w:rsid w:val="0064444B"/>
    <w:rsid w:val="0064521B"/>
    <w:rsid w:val="00663EA0"/>
    <w:rsid w:val="00667507"/>
    <w:rsid w:val="00667535"/>
    <w:rsid w:val="006759D3"/>
    <w:rsid w:val="006868B7"/>
    <w:rsid w:val="006930AB"/>
    <w:rsid w:val="00695982"/>
    <w:rsid w:val="006C2913"/>
    <w:rsid w:val="006C29B1"/>
    <w:rsid w:val="006D0818"/>
    <w:rsid w:val="006D430E"/>
    <w:rsid w:val="006E2E53"/>
    <w:rsid w:val="006F2642"/>
    <w:rsid w:val="00707B34"/>
    <w:rsid w:val="0071141F"/>
    <w:rsid w:val="00717915"/>
    <w:rsid w:val="00766D59"/>
    <w:rsid w:val="00771D74"/>
    <w:rsid w:val="007760AF"/>
    <w:rsid w:val="00780709"/>
    <w:rsid w:val="007830C6"/>
    <w:rsid w:val="00792D02"/>
    <w:rsid w:val="007B4234"/>
    <w:rsid w:val="007C02CC"/>
    <w:rsid w:val="007C68C2"/>
    <w:rsid w:val="007F710C"/>
    <w:rsid w:val="00801127"/>
    <w:rsid w:val="00822789"/>
    <w:rsid w:val="008265C5"/>
    <w:rsid w:val="008304D4"/>
    <w:rsid w:val="008532AC"/>
    <w:rsid w:val="0085373B"/>
    <w:rsid w:val="00854044"/>
    <w:rsid w:val="00855A78"/>
    <w:rsid w:val="00855D93"/>
    <w:rsid w:val="008701E6"/>
    <w:rsid w:val="00886D96"/>
    <w:rsid w:val="008A0D96"/>
    <w:rsid w:val="008A19C2"/>
    <w:rsid w:val="008A71E6"/>
    <w:rsid w:val="008B5A5B"/>
    <w:rsid w:val="008C3F10"/>
    <w:rsid w:val="008D0BAE"/>
    <w:rsid w:val="008F3A31"/>
    <w:rsid w:val="008F5707"/>
    <w:rsid w:val="009273EE"/>
    <w:rsid w:val="0093107F"/>
    <w:rsid w:val="00932288"/>
    <w:rsid w:val="00932820"/>
    <w:rsid w:val="009354E2"/>
    <w:rsid w:val="00945C79"/>
    <w:rsid w:val="00954C06"/>
    <w:rsid w:val="0097073E"/>
    <w:rsid w:val="00996B7E"/>
    <w:rsid w:val="00996F3B"/>
    <w:rsid w:val="009C1CD0"/>
    <w:rsid w:val="009C2CF8"/>
    <w:rsid w:val="009C77BF"/>
    <w:rsid w:val="009D35B1"/>
    <w:rsid w:val="00A125F4"/>
    <w:rsid w:val="00A217D9"/>
    <w:rsid w:val="00A43A7D"/>
    <w:rsid w:val="00A55AAD"/>
    <w:rsid w:val="00A64A14"/>
    <w:rsid w:val="00A7435B"/>
    <w:rsid w:val="00A82933"/>
    <w:rsid w:val="00A83FB0"/>
    <w:rsid w:val="00AD16C0"/>
    <w:rsid w:val="00AD2E57"/>
    <w:rsid w:val="00AD36BA"/>
    <w:rsid w:val="00AD7AB9"/>
    <w:rsid w:val="00B141F3"/>
    <w:rsid w:val="00B159FE"/>
    <w:rsid w:val="00B15F33"/>
    <w:rsid w:val="00B22D1B"/>
    <w:rsid w:val="00B31472"/>
    <w:rsid w:val="00B35398"/>
    <w:rsid w:val="00B55985"/>
    <w:rsid w:val="00B579FE"/>
    <w:rsid w:val="00B61A0C"/>
    <w:rsid w:val="00B748E7"/>
    <w:rsid w:val="00B766B9"/>
    <w:rsid w:val="00B92F3A"/>
    <w:rsid w:val="00B96D26"/>
    <w:rsid w:val="00BA6D40"/>
    <w:rsid w:val="00BB4341"/>
    <w:rsid w:val="00BC0B64"/>
    <w:rsid w:val="00BC25BB"/>
    <w:rsid w:val="00BC706F"/>
    <w:rsid w:val="00BC7870"/>
    <w:rsid w:val="00BD2A35"/>
    <w:rsid w:val="00BD2F97"/>
    <w:rsid w:val="00BE5CE8"/>
    <w:rsid w:val="00BF43F8"/>
    <w:rsid w:val="00C17525"/>
    <w:rsid w:val="00C24585"/>
    <w:rsid w:val="00C31E94"/>
    <w:rsid w:val="00C41102"/>
    <w:rsid w:val="00C414A1"/>
    <w:rsid w:val="00C42770"/>
    <w:rsid w:val="00C614A6"/>
    <w:rsid w:val="00C64112"/>
    <w:rsid w:val="00C70576"/>
    <w:rsid w:val="00C7087F"/>
    <w:rsid w:val="00C80D7A"/>
    <w:rsid w:val="00C909D4"/>
    <w:rsid w:val="00C9556C"/>
    <w:rsid w:val="00CA7DD1"/>
    <w:rsid w:val="00CC77F6"/>
    <w:rsid w:val="00CD2D96"/>
    <w:rsid w:val="00CE2ABF"/>
    <w:rsid w:val="00CE3B46"/>
    <w:rsid w:val="00CE57AA"/>
    <w:rsid w:val="00CE5B66"/>
    <w:rsid w:val="00D07984"/>
    <w:rsid w:val="00D17D01"/>
    <w:rsid w:val="00D27E6C"/>
    <w:rsid w:val="00D30594"/>
    <w:rsid w:val="00D607D4"/>
    <w:rsid w:val="00D60877"/>
    <w:rsid w:val="00D7033C"/>
    <w:rsid w:val="00D74AD4"/>
    <w:rsid w:val="00D7766C"/>
    <w:rsid w:val="00DC12D3"/>
    <w:rsid w:val="00DC3407"/>
    <w:rsid w:val="00DD7CEF"/>
    <w:rsid w:val="00DE1F84"/>
    <w:rsid w:val="00E030AE"/>
    <w:rsid w:val="00E0375B"/>
    <w:rsid w:val="00E10C54"/>
    <w:rsid w:val="00E21207"/>
    <w:rsid w:val="00E25910"/>
    <w:rsid w:val="00E45AA1"/>
    <w:rsid w:val="00E53B90"/>
    <w:rsid w:val="00E557A4"/>
    <w:rsid w:val="00E64828"/>
    <w:rsid w:val="00E67EA4"/>
    <w:rsid w:val="00E71455"/>
    <w:rsid w:val="00E71DDC"/>
    <w:rsid w:val="00E81FD7"/>
    <w:rsid w:val="00EA085D"/>
    <w:rsid w:val="00EA50BB"/>
    <w:rsid w:val="00EB79E5"/>
    <w:rsid w:val="00EC20D8"/>
    <w:rsid w:val="00ED1ED7"/>
    <w:rsid w:val="00EF593E"/>
    <w:rsid w:val="00F373B4"/>
    <w:rsid w:val="00F4056E"/>
    <w:rsid w:val="00F461FD"/>
    <w:rsid w:val="00F55E00"/>
    <w:rsid w:val="00F71D00"/>
    <w:rsid w:val="00F81544"/>
    <w:rsid w:val="00F82D72"/>
    <w:rsid w:val="00F8300C"/>
    <w:rsid w:val="00F85CEB"/>
    <w:rsid w:val="00F9330A"/>
    <w:rsid w:val="00FA7145"/>
    <w:rsid w:val="00FC09CD"/>
    <w:rsid w:val="00FD1B75"/>
    <w:rsid w:val="00FE1538"/>
    <w:rsid w:val="00FF60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BAAA60"/>
  <w15:docId w15:val="{F1A8D444-EB2E-40CB-8DF9-908E4F08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8E7"/>
    <w:pPr>
      <w:spacing w:after="0" w:line="240" w:lineRule="auto"/>
      <w:ind w:left="720"/>
    </w:pPr>
    <w:rPr>
      <w:rFonts w:ascii="Calibri" w:hAnsi="Calibri" w:cs="Times New Roman"/>
    </w:rPr>
  </w:style>
  <w:style w:type="paragraph" w:styleId="EndnoteText">
    <w:name w:val="endnote text"/>
    <w:basedOn w:val="Normal"/>
    <w:link w:val="EndnoteTextChar"/>
    <w:uiPriority w:val="99"/>
    <w:rsid w:val="00B748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B748E7"/>
    <w:rPr>
      <w:rFonts w:ascii="Calibri" w:eastAsia="Calibri" w:hAnsi="Calibri" w:cs="Times New Roman"/>
      <w:sz w:val="20"/>
      <w:szCs w:val="20"/>
    </w:rPr>
  </w:style>
  <w:style w:type="character" w:styleId="EndnoteReference">
    <w:name w:val="endnote reference"/>
    <w:basedOn w:val="DefaultParagraphFont"/>
    <w:uiPriority w:val="99"/>
    <w:semiHidden/>
    <w:rsid w:val="00B748E7"/>
    <w:rPr>
      <w:rFonts w:cs="Times New Roman"/>
      <w:vertAlign w:val="superscript"/>
    </w:rPr>
  </w:style>
  <w:style w:type="character" w:styleId="Hyperlink">
    <w:name w:val="Hyperlink"/>
    <w:basedOn w:val="DefaultParagraphFont"/>
    <w:uiPriority w:val="99"/>
    <w:rsid w:val="00D07984"/>
    <w:rPr>
      <w:rFonts w:cs="Times New Roman"/>
      <w:color w:val="0563C1"/>
      <w:u w:val="single"/>
    </w:rPr>
  </w:style>
  <w:style w:type="character" w:styleId="CommentReference">
    <w:name w:val="annotation reference"/>
    <w:basedOn w:val="DefaultParagraphFont"/>
    <w:uiPriority w:val="99"/>
    <w:semiHidden/>
    <w:unhideWhenUsed/>
    <w:rsid w:val="00240B2E"/>
    <w:rPr>
      <w:sz w:val="16"/>
      <w:szCs w:val="16"/>
    </w:rPr>
  </w:style>
  <w:style w:type="paragraph" w:styleId="CommentText">
    <w:name w:val="annotation text"/>
    <w:basedOn w:val="Normal"/>
    <w:link w:val="CommentTextChar"/>
    <w:uiPriority w:val="99"/>
    <w:unhideWhenUsed/>
    <w:rsid w:val="00240B2E"/>
    <w:pPr>
      <w:spacing w:line="240" w:lineRule="auto"/>
    </w:pPr>
    <w:rPr>
      <w:sz w:val="20"/>
      <w:szCs w:val="20"/>
    </w:rPr>
  </w:style>
  <w:style w:type="character" w:customStyle="1" w:styleId="CommentTextChar">
    <w:name w:val="Comment Text Char"/>
    <w:basedOn w:val="DefaultParagraphFont"/>
    <w:link w:val="CommentText"/>
    <w:uiPriority w:val="99"/>
    <w:rsid w:val="00240B2E"/>
    <w:rPr>
      <w:sz w:val="20"/>
      <w:szCs w:val="20"/>
    </w:rPr>
  </w:style>
  <w:style w:type="paragraph" w:styleId="CommentSubject">
    <w:name w:val="annotation subject"/>
    <w:basedOn w:val="CommentText"/>
    <w:next w:val="CommentText"/>
    <w:link w:val="CommentSubjectChar"/>
    <w:uiPriority w:val="99"/>
    <w:semiHidden/>
    <w:unhideWhenUsed/>
    <w:rsid w:val="00240B2E"/>
    <w:rPr>
      <w:b/>
      <w:bCs/>
    </w:rPr>
  </w:style>
  <w:style w:type="character" w:customStyle="1" w:styleId="CommentSubjectChar">
    <w:name w:val="Comment Subject Char"/>
    <w:basedOn w:val="CommentTextChar"/>
    <w:link w:val="CommentSubject"/>
    <w:uiPriority w:val="99"/>
    <w:semiHidden/>
    <w:rsid w:val="00240B2E"/>
    <w:rPr>
      <w:b/>
      <w:bCs/>
      <w:sz w:val="20"/>
      <w:szCs w:val="20"/>
    </w:rPr>
  </w:style>
  <w:style w:type="paragraph" w:styleId="BalloonText">
    <w:name w:val="Balloon Text"/>
    <w:basedOn w:val="Normal"/>
    <w:link w:val="BalloonTextChar"/>
    <w:uiPriority w:val="99"/>
    <w:semiHidden/>
    <w:unhideWhenUsed/>
    <w:rsid w:val="00240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B2E"/>
    <w:rPr>
      <w:rFonts w:ascii="Tahoma" w:hAnsi="Tahoma" w:cs="Tahoma"/>
      <w:sz w:val="16"/>
      <w:szCs w:val="16"/>
    </w:rPr>
  </w:style>
  <w:style w:type="paragraph" w:styleId="NoSpacing">
    <w:name w:val="No Spacing"/>
    <w:uiPriority w:val="1"/>
    <w:qFormat/>
    <w:rsid w:val="002C1CB5"/>
    <w:pPr>
      <w:spacing w:after="0" w:line="240" w:lineRule="auto"/>
    </w:pPr>
    <w:rPr>
      <w:rFonts w:ascii="Calibri" w:eastAsia="Calibri" w:hAnsi="Calibri" w:cs="Times New Roman"/>
      <w:lang w:val="en-IE"/>
    </w:rPr>
  </w:style>
  <w:style w:type="paragraph" w:styleId="FootnoteText">
    <w:name w:val="footnote text"/>
    <w:basedOn w:val="Normal"/>
    <w:link w:val="FootnoteTextChar"/>
    <w:uiPriority w:val="99"/>
    <w:unhideWhenUsed/>
    <w:rsid w:val="009354E2"/>
    <w:pPr>
      <w:spacing w:after="0" w:line="240" w:lineRule="auto"/>
    </w:pPr>
    <w:rPr>
      <w:sz w:val="24"/>
      <w:szCs w:val="24"/>
    </w:rPr>
  </w:style>
  <w:style w:type="character" w:customStyle="1" w:styleId="FootnoteTextChar">
    <w:name w:val="Footnote Text Char"/>
    <w:basedOn w:val="DefaultParagraphFont"/>
    <w:link w:val="FootnoteText"/>
    <w:uiPriority w:val="99"/>
    <w:rsid w:val="009354E2"/>
    <w:rPr>
      <w:sz w:val="24"/>
      <w:szCs w:val="24"/>
    </w:rPr>
  </w:style>
  <w:style w:type="character" w:styleId="FootnoteReference">
    <w:name w:val="footnote reference"/>
    <w:aliases w:val="Texto de nota al pie,Appel note de bas de page,Footnotes refss,Footnote number,referencia nota al pie,BVI fnr,f,4_G,16 Point,Superscript 6 Point,Texto nota al pie,Footnote Reference Char3,Footnote Reference Char1 Char,Ref. de nota al"/>
    <w:basedOn w:val="DefaultParagraphFont"/>
    <w:uiPriority w:val="99"/>
    <w:unhideWhenUsed/>
    <w:rsid w:val="009354E2"/>
    <w:rPr>
      <w:vertAlign w:val="superscript"/>
    </w:rPr>
  </w:style>
  <w:style w:type="character" w:customStyle="1" w:styleId="UnresolvedMention">
    <w:name w:val="Unresolved Mention"/>
    <w:basedOn w:val="DefaultParagraphFont"/>
    <w:uiPriority w:val="99"/>
    <w:semiHidden/>
    <w:unhideWhenUsed/>
    <w:rsid w:val="008C3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364381">
      <w:bodyDiv w:val="1"/>
      <w:marLeft w:val="0"/>
      <w:marRight w:val="0"/>
      <w:marTop w:val="0"/>
      <w:marBottom w:val="0"/>
      <w:divBdr>
        <w:top w:val="none" w:sz="0" w:space="0" w:color="auto"/>
        <w:left w:val="none" w:sz="0" w:space="0" w:color="auto"/>
        <w:bottom w:val="none" w:sz="0" w:space="0" w:color="auto"/>
        <w:right w:val="none" w:sz="0" w:space="0" w:color="auto"/>
      </w:divBdr>
    </w:div>
    <w:div w:id="177224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theme" Target="theme/theme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techn4all.com/the-hamburg-committee-objects-to-the-use-of-facial-scans-by-the-police/" TargetMode="External"/><Relationship Id="rId3" Type="http://schemas.openxmlformats.org/officeDocument/2006/relationships/hyperlink" Target="https://www.osce.org/odihr/41784?download=true" TargetMode="External"/><Relationship Id="rId7" Type="http://schemas.openxmlformats.org/officeDocument/2006/relationships/hyperlink" Target="https://transparency.facebook.com/government-data-requests/country/" TargetMode="External"/><Relationship Id="rId2" Type="http://schemas.openxmlformats.org/officeDocument/2006/relationships/hyperlink" Target="http://www.legislationline.org/topics/topic/15" TargetMode="External"/><Relationship Id="rId1" Type="http://schemas.openxmlformats.org/officeDocument/2006/relationships/hyperlink" Target="http://www.osce.org/odihr/73405" TargetMode="External"/><Relationship Id="rId6" Type="http://schemas.openxmlformats.org/officeDocument/2006/relationships/hyperlink" Target="https://www.ohchr.org/documents/publications/GuidingprinciplesBusinesshr_eN.pdf" TargetMode="External"/><Relationship Id="rId5" Type="http://schemas.openxmlformats.org/officeDocument/2006/relationships/hyperlink" Target="https://www.eff.org/deeplinks/2011/02/egypts-internet-blackout-highlights-danger-weak" TargetMode="External"/><Relationship Id="rId4" Type="http://schemas.openxmlformats.org/officeDocument/2006/relationships/hyperlink" Target="http://www.osce.org/odihr/82979?downloa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6B53C8-B896-4143-983E-DD92B515B4C5}">
  <ds:schemaRefs>
    <ds:schemaRef ds:uri="http://schemas.openxmlformats.org/officeDocument/2006/bibliography"/>
  </ds:schemaRefs>
</ds:datastoreItem>
</file>

<file path=customXml/itemProps2.xml><?xml version="1.0" encoding="utf-8"?>
<ds:datastoreItem xmlns:ds="http://schemas.openxmlformats.org/officeDocument/2006/customXml" ds:itemID="{44CFF05C-C220-4E49-B889-142573911A8A}"/>
</file>

<file path=customXml/itemProps3.xml><?xml version="1.0" encoding="utf-8"?>
<ds:datastoreItem xmlns:ds="http://schemas.openxmlformats.org/officeDocument/2006/customXml" ds:itemID="{7C4F05DC-F0B7-4447-8FEA-103778716E88}"/>
</file>

<file path=customXml/itemProps4.xml><?xml version="1.0" encoding="utf-8"?>
<ds:datastoreItem xmlns:ds="http://schemas.openxmlformats.org/officeDocument/2006/customXml" ds:itemID="{87999770-30B7-406B-AB0E-6081D361DEF6}"/>
</file>

<file path=docProps/app.xml><?xml version="1.0" encoding="utf-8"?>
<Properties xmlns="http://schemas.openxmlformats.org/officeDocument/2006/extended-properties" xmlns:vt="http://schemas.openxmlformats.org/officeDocument/2006/docPropsVTypes">
  <Template>Normal.dotm</Template>
  <TotalTime>1</TotalTime>
  <Pages>8</Pages>
  <Words>2696</Words>
  <Characters>15368</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Bonnevie</dc:creator>
  <cp:lastModifiedBy>ANDREWS Natasha</cp:lastModifiedBy>
  <cp:revision>2</cp:revision>
  <cp:lastPrinted>2019-10-14T11:59:00Z</cp:lastPrinted>
  <dcterms:created xsi:type="dcterms:W3CDTF">2019-10-30T17:30:00Z</dcterms:created>
  <dcterms:modified xsi:type="dcterms:W3CDTF">2019-10-30T17:30:00Z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