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4B" w:rsidRPr="00885810" w:rsidRDefault="0031734B" w:rsidP="001F7A4B">
      <w:pPr>
        <w:pStyle w:val="ListParagraph"/>
        <w:spacing w:line="276" w:lineRule="auto"/>
        <w:ind w:left="0"/>
        <w:jc w:val="center"/>
        <w:rPr>
          <w:rFonts w:ascii="GHEA Grapalat" w:hAnsi="GHEA Grapalat"/>
          <w:b/>
          <w:sz w:val="28"/>
          <w:u w:val="single"/>
        </w:rPr>
      </w:pPr>
      <w:bookmarkStart w:id="0" w:name="_GoBack"/>
      <w:bookmarkEnd w:id="0"/>
      <w:r w:rsidRPr="00885810">
        <w:rPr>
          <w:rFonts w:ascii="GHEA Grapalat" w:hAnsi="GHEA Grapalat"/>
          <w:b/>
          <w:sz w:val="28"/>
          <w:u w:val="single"/>
        </w:rPr>
        <w:t>Responses of the</w:t>
      </w:r>
      <w:r w:rsidR="008E1720">
        <w:rPr>
          <w:rFonts w:ascii="GHEA Grapalat" w:hAnsi="GHEA Grapalat"/>
          <w:b/>
          <w:sz w:val="28"/>
          <w:u w:val="single"/>
        </w:rPr>
        <w:t xml:space="preserve"> Republic of Armenia</w:t>
      </w:r>
      <w:r w:rsidRPr="00885810">
        <w:rPr>
          <w:rFonts w:ascii="GHEA Grapalat" w:hAnsi="GHEA Grapalat"/>
          <w:b/>
          <w:sz w:val="28"/>
          <w:u w:val="single"/>
        </w:rPr>
        <w:t xml:space="preserve"> </w:t>
      </w:r>
      <w:r w:rsidR="008E1720">
        <w:rPr>
          <w:rFonts w:ascii="GHEA Grapalat" w:hAnsi="GHEA Grapalat"/>
          <w:b/>
          <w:sz w:val="28"/>
          <w:u w:val="single"/>
        </w:rPr>
        <w:t>to the Questionnaire regarding the implementation of the HRC</w:t>
      </w:r>
      <w:r w:rsidRPr="00885810">
        <w:rPr>
          <w:rFonts w:ascii="GHEA Grapalat" w:hAnsi="GHEA Grapalat"/>
          <w:b/>
          <w:sz w:val="28"/>
          <w:u w:val="single"/>
        </w:rPr>
        <w:t xml:space="preserve"> resolution 38/11 on the promotion and protection of human rights in the context of peaceful protests</w:t>
      </w:r>
    </w:p>
    <w:p w:rsidR="0031734B" w:rsidRPr="0031734B" w:rsidRDefault="0031734B" w:rsidP="001F7A4B">
      <w:pPr>
        <w:pStyle w:val="ListParagraph"/>
        <w:spacing w:line="276" w:lineRule="auto"/>
        <w:jc w:val="center"/>
        <w:rPr>
          <w:rFonts w:ascii="GHEA Grapalat" w:hAnsi="GHEA Grapalat"/>
          <w:b/>
          <w:sz w:val="28"/>
          <w:szCs w:val="24"/>
          <w:u w:val="single"/>
        </w:rPr>
      </w:pPr>
    </w:p>
    <w:p w:rsidR="008E1720" w:rsidRPr="008E1720" w:rsidRDefault="0031734B" w:rsidP="008E1720">
      <w:pPr>
        <w:pStyle w:val="ListParagraph"/>
        <w:numPr>
          <w:ilvl w:val="0"/>
          <w:numId w:val="2"/>
        </w:numPr>
        <w:spacing w:line="276" w:lineRule="auto"/>
        <w:ind w:left="-450"/>
        <w:jc w:val="both"/>
        <w:rPr>
          <w:rFonts w:ascii="GHEA Grapalat" w:hAnsi="GHEA Grapalat"/>
          <w:i/>
          <w:sz w:val="28"/>
          <w:szCs w:val="24"/>
        </w:rPr>
      </w:pPr>
      <w:r w:rsidRPr="00BD3C8F">
        <w:rPr>
          <w:rFonts w:ascii="GHEA Grapalat" w:hAnsi="GHEA Grapalat"/>
          <w:i/>
          <w:sz w:val="24"/>
        </w:rPr>
        <w:t>Laws, policies and programs that have been developed to address the impact of new technologies, including information and communications technology, on human rights in the context of assemblies, including peaceful protests.</w:t>
      </w:r>
    </w:p>
    <w:p w:rsidR="008E1720" w:rsidRPr="008E1720" w:rsidRDefault="008E1720" w:rsidP="008E1720">
      <w:pPr>
        <w:pStyle w:val="ListParagraph"/>
        <w:spacing w:line="276" w:lineRule="auto"/>
        <w:ind w:left="-450"/>
        <w:jc w:val="both"/>
        <w:rPr>
          <w:rFonts w:ascii="GHEA Grapalat" w:hAnsi="GHEA Grapalat"/>
          <w:i/>
          <w:sz w:val="28"/>
          <w:szCs w:val="24"/>
        </w:rPr>
      </w:pPr>
    </w:p>
    <w:p w:rsidR="008E1720" w:rsidRPr="008E1720" w:rsidRDefault="008E1720" w:rsidP="008E1720">
      <w:pPr>
        <w:spacing w:line="276" w:lineRule="auto"/>
        <w:ind w:left="-709" w:firstLine="709"/>
        <w:jc w:val="both"/>
        <w:rPr>
          <w:rFonts w:ascii="GHEA Grapalat" w:hAnsi="GHEA Grapalat"/>
          <w:i/>
          <w:sz w:val="28"/>
          <w:szCs w:val="24"/>
        </w:rPr>
      </w:pPr>
      <w:r w:rsidRPr="008E1720">
        <w:rPr>
          <w:rFonts w:ascii="GHEA Grapalat" w:hAnsi="GHEA Grapalat"/>
          <w:sz w:val="24"/>
          <w:szCs w:val="24"/>
        </w:rPr>
        <w:t>New information and communication technologies in Armenia give people an opportunity to exercise their rights freely.</w:t>
      </w:r>
    </w:p>
    <w:p w:rsidR="008E1720" w:rsidRPr="00330679" w:rsidRDefault="008E1720" w:rsidP="008E1720">
      <w:pPr>
        <w:spacing w:line="276" w:lineRule="auto"/>
        <w:ind w:left="-720" w:firstLine="720"/>
        <w:jc w:val="both"/>
        <w:rPr>
          <w:rFonts w:ascii="GHEA Grapalat" w:hAnsi="GHEA Grapalat"/>
          <w:sz w:val="24"/>
          <w:szCs w:val="24"/>
        </w:rPr>
      </w:pPr>
      <w:r w:rsidRPr="00330679">
        <w:rPr>
          <w:rFonts w:ascii="GHEA Grapalat" w:hAnsi="GHEA Grapalat"/>
          <w:sz w:val="24"/>
          <w:szCs w:val="24"/>
        </w:rPr>
        <w:t xml:space="preserve">In 2003, the Law on “Freedom of Information” of the Republic of Armenia was adopted, which </w:t>
      </w:r>
      <w:r>
        <w:rPr>
          <w:rFonts w:ascii="GHEA Grapalat" w:hAnsi="GHEA Grapalat"/>
          <w:sz w:val="24"/>
          <w:szCs w:val="24"/>
        </w:rPr>
        <w:t>ensures</w:t>
      </w:r>
      <w:r w:rsidRPr="00330679">
        <w:rPr>
          <w:rFonts w:ascii="GHEA Grapalat" w:hAnsi="GHEA Grapalat"/>
          <w:sz w:val="24"/>
          <w:szCs w:val="24"/>
        </w:rPr>
        <w:t xml:space="preserve"> the exercise of the constitutional right of access to information.</w:t>
      </w:r>
      <w:r w:rsidRPr="008E1720">
        <w:rPr>
          <w:rFonts w:ascii="GHEA Grapalat" w:hAnsi="GHEA Grapalat"/>
          <w:sz w:val="24"/>
          <w:szCs w:val="24"/>
        </w:rPr>
        <w:t xml:space="preserve"> </w:t>
      </w:r>
      <w:r w:rsidRPr="00330679">
        <w:rPr>
          <w:rFonts w:ascii="GHEA Grapalat" w:hAnsi="GHEA Grapalat"/>
          <w:sz w:val="24"/>
          <w:szCs w:val="24"/>
        </w:rPr>
        <w:t>In 2009, by the Decree of the President of the Republic of Armenia, the concept of information security in the Republic of Armenia was adopted, which regulates human rights in the context of free access to information.</w:t>
      </w:r>
    </w:p>
    <w:p w:rsidR="00C3701F" w:rsidRDefault="008E1720" w:rsidP="00C3701F">
      <w:pPr>
        <w:spacing w:line="276" w:lineRule="auto"/>
        <w:ind w:left="-720" w:firstLine="720"/>
        <w:jc w:val="both"/>
        <w:rPr>
          <w:rFonts w:ascii="GHEA Grapalat" w:hAnsi="GHEA Grapalat"/>
          <w:sz w:val="24"/>
          <w:szCs w:val="24"/>
        </w:rPr>
      </w:pPr>
      <w:r>
        <w:rPr>
          <w:rFonts w:ascii="GHEA Grapalat" w:hAnsi="GHEA Grapalat"/>
          <w:sz w:val="24"/>
          <w:szCs w:val="24"/>
        </w:rPr>
        <w:t>I</w:t>
      </w:r>
      <w:r w:rsidR="000269B2" w:rsidRPr="00330679">
        <w:rPr>
          <w:rFonts w:ascii="GHEA Grapalat" w:hAnsi="GHEA Grapalat"/>
          <w:sz w:val="24"/>
          <w:szCs w:val="24"/>
        </w:rPr>
        <w:t>n 2011, the Law on “Freedom of Assemblies” of the Republic of Armenia was adopted, which regulates the exercise of human rights during peaceful protests.</w:t>
      </w:r>
      <w:r w:rsidR="00C3701F" w:rsidRPr="00C3701F">
        <w:rPr>
          <w:rFonts w:ascii="GHEA Grapalat" w:hAnsi="GHEA Grapalat"/>
          <w:color w:val="000000"/>
          <w:sz w:val="24"/>
          <w:szCs w:val="24"/>
          <w:shd w:val="clear" w:color="auto" w:fill="FFFFFF"/>
        </w:rPr>
        <w:t xml:space="preserve"> </w:t>
      </w:r>
      <w:r w:rsidR="00C3701F" w:rsidRPr="00885810">
        <w:rPr>
          <w:rFonts w:ascii="GHEA Grapalat" w:hAnsi="GHEA Grapalat"/>
          <w:color w:val="000000"/>
          <w:sz w:val="24"/>
          <w:szCs w:val="24"/>
          <w:shd w:val="clear" w:color="auto" w:fill="FFFFFF"/>
        </w:rPr>
        <w:t xml:space="preserve">According to the Part 2 of the Article 32 of the </w:t>
      </w:r>
      <w:r w:rsidR="00C3701F" w:rsidRPr="00885810">
        <w:rPr>
          <w:rFonts w:ascii="GHEA Grapalat" w:hAnsi="GHEA Grapalat" w:cs="Sylfaen"/>
          <w:sz w:val="24"/>
          <w:szCs w:val="24"/>
        </w:rPr>
        <w:t>Law on “Freedom of Assemblies” of the Republic of Armenia in case of peaceful assemblies the police s</w:t>
      </w:r>
      <w:r w:rsidR="00C3701F" w:rsidRPr="00885810">
        <w:rPr>
          <w:rFonts w:ascii="GHEA Grapalat" w:hAnsi="GHEA Grapalat" w:cs="Arial"/>
          <w:color w:val="000000"/>
          <w:sz w:val="24"/>
          <w:szCs w:val="24"/>
          <w:shd w:val="clear" w:color="auto" w:fill="FFFFFF"/>
        </w:rPr>
        <w:t>hall be obliged to ensure the presence of its representative at the assembly and support the rally.</w:t>
      </w:r>
    </w:p>
    <w:p w:rsidR="00885810" w:rsidRDefault="00885810" w:rsidP="008E1720">
      <w:pPr>
        <w:spacing w:line="276" w:lineRule="auto"/>
        <w:ind w:left="-720" w:firstLine="720"/>
        <w:jc w:val="both"/>
        <w:rPr>
          <w:rFonts w:ascii="GHEA Grapalat" w:hAnsi="GHEA Grapalat"/>
          <w:sz w:val="24"/>
          <w:szCs w:val="24"/>
        </w:rPr>
      </w:pPr>
      <w:r w:rsidRPr="00885810">
        <w:rPr>
          <w:rFonts w:ascii="GHEA Grapalat" w:hAnsi="GHEA Grapalat" w:cs="Sylfaen"/>
          <w:sz w:val="24"/>
          <w:szCs w:val="24"/>
        </w:rPr>
        <w:t>In order to organize police activities in accordance with the Law</w:t>
      </w:r>
      <w:r w:rsidR="00C3701F">
        <w:rPr>
          <w:rFonts w:ascii="GHEA Grapalat" w:hAnsi="GHEA Grapalat" w:cs="Sylfaen"/>
          <w:sz w:val="24"/>
          <w:szCs w:val="24"/>
        </w:rPr>
        <w:t xml:space="preserve"> on “Freedom of Assemblies” </w:t>
      </w:r>
      <w:r w:rsidRPr="00885810">
        <w:rPr>
          <w:rFonts w:ascii="GHEA Grapalat" w:hAnsi="GHEA Grapalat" w:cs="Sylfaen"/>
          <w:sz w:val="24"/>
          <w:szCs w:val="24"/>
        </w:rPr>
        <w:t>“Guidelines for</w:t>
      </w:r>
      <w:r w:rsidRPr="00885810">
        <w:rPr>
          <w:sz w:val="24"/>
          <w:szCs w:val="24"/>
        </w:rPr>
        <w:t xml:space="preserve"> </w:t>
      </w:r>
      <w:r w:rsidRPr="00885810">
        <w:rPr>
          <w:rFonts w:ascii="GHEA Grapalat" w:hAnsi="GHEA Grapalat"/>
          <w:sz w:val="24"/>
          <w:szCs w:val="24"/>
        </w:rPr>
        <w:t>the activities of officers of the police units involved in public order management and for the use of physical force, special means and firearms by these officers during mass disorders”</w:t>
      </w:r>
      <w:r w:rsidRPr="00885810">
        <w:rPr>
          <w:rFonts w:ascii="GHEA Grapalat" w:hAnsi="GHEA Grapalat" w:cs="Sylfaen"/>
          <w:sz w:val="24"/>
          <w:szCs w:val="24"/>
        </w:rPr>
        <w:t xml:space="preserve"> </w:t>
      </w:r>
      <w:r w:rsidR="00C3701F">
        <w:rPr>
          <w:rFonts w:ascii="GHEA Grapalat" w:hAnsi="GHEA Grapalat" w:cs="Sylfaen"/>
          <w:sz w:val="24"/>
          <w:szCs w:val="24"/>
        </w:rPr>
        <w:t xml:space="preserve">have been developed to </w:t>
      </w:r>
      <w:r w:rsidRPr="00885810">
        <w:rPr>
          <w:rFonts w:ascii="GHEA Grapalat" w:hAnsi="GHEA Grapalat" w:cs="Sylfaen"/>
          <w:sz w:val="24"/>
          <w:szCs w:val="24"/>
        </w:rPr>
        <w:t>ensur</w:t>
      </w:r>
      <w:r w:rsidR="00C3701F">
        <w:rPr>
          <w:rFonts w:ascii="GHEA Grapalat" w:hAnsi="GHEA Grapalat" w:cs="Sylfaen"/>
          <w:sz w:val="24"/>
          <w:szCs w:val="24"/>
        </w:rPr>
        <w:t>e</w:t>
      </w:r>
      <w:r w:rsidRPr="00885810">
        <w:rPr>
          <w:rFonts w:ascii="GHEA Grapalat" w:hAnsi="GHEA Grapalat" w:cs="Sylfaen"/>
          <w:sz w:val="24"/>
          <w:szCs w:val="24"/>
        </w:rPr>
        <w:t xml:space="preserve"> the exercise of the constitutional right to freedom of assembly.</w:t>
      </w:r>
    </w:p>
    <w:p w:rsidR="00885810" w:rsidRDefault="00885810" w:rsidP="00C3701F">
      <w:pPr>
        <w:spacing w:line="276" w:lineRule="auto"/>
        <w:ind w:left="-720" w:firstLine="720"/>
        <w:jc w:val="both"/>
        <w:rPr>
          <w:rFonts w:ascii="GHEA Grapalat" w:hAnsi="GHEA Grapalat"/>
          <w:sz w:val="24"/>
          <w:szCs w:val="24"/>
        </w:rPr>
      </w:pPr>
      <w:r w:rsidRPr="00885810">
        <w:rPr>
          <w:rFonts w:ascii="GHEA Grapalat" w:hAnsi="GHEA Grapalat"/>
          <w:color w:val="000000"/>
          <w:sz w:val="24"/>
          <w:szCs w:val="24"/>
          <w:lang w:val="es-ES"/>
        </w:rPr>
        <w:t xml:space="preserve">On February 2, 2018 </w:t>
      </w:r>
      <w:r w:rsidR="00C3701F">
        <w:rPr>
          <w:rFonts w:ascii="GHEA Grapalat" w:hAnsi="GHEA Grapalat"/>
          <w:color w:val="000000"/>
          <w:sz w:val="24"/>
          <w:szCs w:val="24"/>
          <w:lang w:val="es-ES"/>
        </w:rPr>
        <w:t xml:space="preserve">the </w:t>
      </w:r>
      <w:r w:rsidRPr="00885810">
        <w:rPr>
          <w:rFonts w:ascii="GHEA Grapalat" w:hAnsi="GHEA Grapalat"/>
          <w:color w:val="000000"/>
          <w:sz w:val="24"/>
          <w:szCs w:val="24"/>
          <w:lang w:val="es-ES"/>
        </w:rPr>
        <w:t>Law of the Republic of Armenia on amending the Article 22 of the “Law on Police”</w:t>
      </w:r>
      <w:r w:rsidR="00C3701F">
        <w:rPr>
          <w:rFonts w:ascii="GHEA Grapalat" w:hAnsi="GHEA Grapalat"/>
          <w:color w:val="000000"/>
          <w:sz w:val="24"/>
          <w:szCs w:val="24"/>
          <w:lang w:val="es-ES"/>
        </w:rPr>
        <w:t xml:space="preserve"> was adopted</w:t>
      </w:r>
      <w:r w:rsidRPr="00885810">
        <w:rPr>
          <w:rFonts w:ascii="GHEA Grapalat" w:hAnsi="GHEA Grapalat"/>
          <w:color w:val="000000"/>
          <w:sz w:val="24"/>
          <w:szCs w:val="24"/>
          <w:lang w:val="es-ES"/>
        </w:rPr>
        <w:t>, according to which, while preventing or detecting crimes, while maintaining public order (including traffic safety), police may use immovable video recordings or photographic techniqu</w:t>
      </w:r>
      <w:r w:rsidR="0088419E">
        <w:rPr>
          <w:rFonts w:ascii="GHEA Grapalat" w:hAnsi="GHEA Grapalat"/>
          <w:color w:val="000000"/>
          <w:sz w:val="24"/>
          <w:szCs w:val="24"/>
          <w:lang w:val="es-ES"/>
        </w:rPr>
        <w:t>es in public places. When</w:t>
      </w:r>
      <w:r w:rsidRPr="00885810">
        <w:rPr>
          <w:rFonts w:ascii="GHEA Grapalat" w:hAnsi="GHEA Grapalat"/>
          <w:color w:val="000000"/>
          <w:sz w:val="24"/>
          <w:szCs w:val="24"/>
          <w:lang w:val="es-ES"/>
        </w:rPr>
        <w:t xml:space="preserve"> technical means</w:t>
      </w:r>
      <w:r w:rsidR="0088419E">
        <w:rPr>
          <w:rFonts w:ascii="GHEA Grapalat" w:hAnsi="GHEA Grapalat"/>
          <w:color w:val="000000"/>
          <w:sz w:val="24"/>
          <w:szCs w:val="24"/>
          <w:lang w:val="es-ES"/>
        </w:rPr>
        <w:t xml:space="preserve"> are used to exercise control</w:t>
      </w:r>
      <w:r w:rsidR="0088419E" w:rsidRPr="0088419E">
        <w:rPr>
          <w:rFonts w:ascii="GHEA Grapalat" w:hAnsi="GHEA Grapalat"/>
          <w:color w:val="000000"/>
          <w:sz w:val="24"/>
          <w:szCs w:val="24"/>
          <w:lang w:val="es-ES"/>
        </w:rPr>
        <w:t xml:space="preserve"> </w:t>
      </w:r>
      <w:r w:rsidR="0088419E">
        <w:rPr>
          <w:rFonts w:ascii="GHEA Grapalat" w:hAnsi="GHEA Grapalat"/>
          <w:color w:val="000000"/>
          <w:sz w:val="24"/>
          <w:szCs w:val="24"/>
          <w:lang w:val="es-ES"/>
        </w:rPr>
        <w:t>in public places</w:t>
      </w:r>
      <w:r w:rsidRPr="00885810">
        <w:rPr>
          <w:rFonts w:ascii="GHEA Grapalat" w:hAnsi="GHEA Grapalat"/>
          <w:color w:val="000000"/>
          <w:sz w:val="24"/>
          <w:szCs w:val="24"/>
          <w:lang w:val="es-ES"/>
        </w:rPr>
        <w:t xml:space="preserve">, a warning is published. The warning is made by placing signs in visible areas of surveillance and posting technically controlled street addresses or descriptions of controlled areas on the official police website. </w:t>
      </w:r>
    </w:p>
    <w:p w:rsidR="00885810" w:rsidRDefault="00885810" w:rsidP="002B3076">
      <w:pPr>
        <w:spacing w:line="276" w:lineRule="auto"/>
        <w:ind w:left="-720" w:firstLine="720"/>
        <w:jc w:val="both"/>
        <w:rPr>
          <w:rFonts w:ascii="GHEA Grapalat" w:hAnsi="GHEA Grapalat"/>
          <w:sz w:val="24"/>
          <w:szCs w:val="24"/>
        </w:rPr>
      </w:pPr>
      <w:r w:rsidRPr="00885810">
        <w:rPr>
          <w:rFonts w:ascii="GHEA Grapalat" w:hAnsi="GHEA Grapalat"/>
          <w:color w:val="000000"/>
          <w:sz w:val="24"/>
          <w:szCs w:val="24"/>
          <w:lang w:val="es-ES"/>
        </w:rPr>
        <w:lastRenderedPageBreak/>
        <w:t>Immovable technical means of video shooting or photographing in public places shal</w:t>
      </w:r>
      <w:r w:rsidR="002B3076">
        <w:rPr>
          <w:rFonts w:ascii="GHEA Grapalat" w:hAnsi="GHEA Grapalat"/>
          <w:color w:val="000000"/>
          <w:sz w:val="24"/>
          <w:szCs w:val="24"/>
          <w:lang w:val="es-ES"/>
        </w:rPr>
        <w:t xml:space="preserve">l be installed </w:t>
      </w:r>
      <w:r w:rsidR="00A61537">
        <w:rPr>
          <w:rFonts w:ascii="GHEA Grapalat" w:hAnsi="GHEA Grapalat"/>
          <w:color w:val="000000"/>
          <w:sz w:val="24"/>
          <w:szCs w:val="24"/>
          <w:lang w:val="es-ES"/>
        </w:rPr>
        <w:t>upon</w:t>
      </w:r>
      <w:r w:rsidR="002B3076">
        <w:rPr>
          <w:rFonts w:ascii="GHEA Grapalat" w:hAnsi="GHEA Grapalat"/>
          <w:color w:val="000000"/>
          <w:sz w:val="24"/>
          <w:szCs w:val="24"/>
          <w:lang w:val="es-ES"/>
        </w:rPr>
        <w:t xml:space="preserve"> the decision</w:t>
      </w:r>
      <w:r w:rsidRPr="00885810">
        <w:rPr>
          <w:rFonts w:ascii="GHEA Grapalat" w:hAnsi="GHEA Grapalat"/>
          <w:color w:val="000000"/>
          <w:sz w:val="24"/>
          <w:szCs w:val="24"/>
          <w:lang w:val="es-ES"/>
        </w:rPr>
        <w:t xml:space="preserve"> of the head of the relevant regional police body or the chief of the </w:t>
      </w:r>
      <w:r w:rsidR="00A61537">
        <w:rPr>
          <w:rFonts w:ascii="GHEA Grapalat" w:hAnsi="GHEA Grapalat"/>
          <w:color w:val="000000"/>
          <w:sz w:val="24"/>
          <w:szCs w:val="24"/>
          <w:lang w:val="es-ES"/>
        </w:rPr>
        <w:t>traffic</w:t>
      </w:r>
      <w:r w:rsidRPr="00885810">
        <w:rPr>
          <w:rFonts w:ascii="GHEA Grapalat" w:hAnsi="GHEA Grapalat"/>
          <w:color w:val="000000"/>
          <w:sz w:val="24"/>
          <w:szCs w:val="24"/>
          <w:lang w:val="es-ES"/>
        </w:rPr>
        <w:t xml:space="preserve"> </w:t>
      </w:r>
      <w:r w:rsidR="00964228">
        <w:rPr>
          <w:rFonts w:ascii="GHEA Grapalat" w:hAnsi="GHEA Grapalat"/>
          <w:color w:val="000000"/>
          <w:sz w:val="24"/>
          <w:szCs w:val="24"/>
          <w:lang w:val="es-ES"/>
        </w:rPr>
        <w:t>po</w:t>
      </w:r>
      <w:r w:rsidR="00A61537">
        <w:rPr>
          <w:rFonts w:ascii="GHEA Grapalat" w:hAnsi="GHEA Grapalat"/>
          <w:color w:val="000000"/>
          <w:sz w:val="24"/>
          <w:szCs w:val="24"/>
          <w:lang w:val="es-ES"/>
        </w:rPr>
        <w:t>lice in</w:t>
      </w:r>
      <w:r w:rsidR="00A61537" w:rsidRPr="00A61537">
        <w:rPr>
          <w:rFonts w:ascii="GHEA Grapalat" w:hAnsi="GHEA Grapalat"/>
          <w:color w:val="000000"/>
          <w:sz w:val="24"/>
          <w:szCs w:val="24"/>
          <w:lang w:val="es-ES"/>
        </w:rPr>
        <w:t xml:space="preserve"> </w:t>
      </w:r>
      <w:r w:rsidR="00A61537" w:rsidRPr="00885810">
        <w:rPr>
          <w:rFonts w:ascii="GHEA Grapalat" w:hAnsi="GHEA Grapalat"/>
          <w:color w:val="000000"/>
          <w:sz w:val="24"/>
          <w:szCs w:val="24"/>
          <w:lang w:val="es-ES"/>
        </w:rPr>
        <w:t>agree</w:t>
      </w:r>
      <w:r w:rsidR="00A61537">
        <w:rPr>
          <w:rFonts w:ascii="GHEA Grapalat" w:hAnsi="GHEA Grapalat"/>
          <w:color w:val="000000"/>
          <w:sz w:val="24"/>
          <w:szCs w:val="24"/>
          <w:lang w:val="es-ES"/>
        </w:rPr>
        <w:t>ment</w:t>
      </w:r>
      <w:r w:rsidR="00A61537" w:rsidRPr="00885810">
        <w:rPr>
          <w:rFonts w:ascii="GHEA Grapalat" w:hAnsi="GHEA Grapalat"/>
          <w:color w:val="000000"/>
          <w:sz w:val="24"/>
          <w:szCs w:val="24"/>
          <w:lang w:val="es-ES"/>
        </w:rPr>
        <w:t xml:space="preserve"> with the head of the relevant community</w:t>
      </w:r>
      <w:r w:rsidRPr="00885810">
        <w:rPr>
          <w:rFonts w:ascii="GHEA Grapalat" w:hAnsi="GHEA Grapalat"/>
          <w:color w:val="000000"/>
          <w:sz w:val="24"/>
          <w:szCs w:val="24"/>
          <w:lang w:val="es-ES"/>
        </w:rPr>
        <w:t>, taking into account the number of crimes and violations of public order in the respective area and their public nature,.</w:t>
      </w:r>
    </w:p>
    <w:p w:rsidR="00885810" w:rsidRDefault="00885810" w:rsidP="00964228">
      <w:pPr>
        <w:spacing w:line="276" w:lineRule="auto"/>
        <w:ind w:left="-720" w:firstLine="720"/>
        <w:jc w:val="both"/>
        <w:rPr>
          <w:rFonts w:ascii="GHEA Grapalat" w:hAnsi="GHEA Grapalat"/>
          <w:color w:val="000000"/>
          <w:sz w:val="24"/>
          <w:szCs w:val="24"/>
          <w:lang w:val="es-ES" w:eastAsia="ru-RU"/>
        </w:rPr>
      </w:pPr>
      <w:r w:rsidRPr="00885810">
        <w:rPr>
          <w:rFonts w:ascii="GHEA Grapalat" w:hAnsi="GHEA Grapalat"/>
          <w:color w:val="000000"/>
          <w:sz w:val="24"/>
          <w:szCs w:val="24"/>
          <w:lang w:val="es-ES" w:eastAsia="ru-RU"/>
        </w:rPr>
        <w:t xml:space="preserve">Immovable technical means of video shooting or photographing in privately owned public places </w:t>
      </w:r>
      <w:r w:rsidR="001F7A4B">
        <w:rPr>
          <w:rFonts w:ascii="GHEA Grapalat" w:hAnsi="GHEA Grapalat"/>
          <w:color w:val="000000"/>
          <w:sz w:val="24"/>
          <w:szCs w:val="24"/>
          <w:lang w:val="es-ES" w:eastAsia="ru-RU"/>
        </w:rPr>
        <w:t>and</w:t>
      </w:r>
      <w:r w:rsidRPr="00885810">
        <w:rPr>
          <w:rFonts w:ascii="GHEA Grapalat" w:hAnsi="GHEA Grapalat"/>
          <w:color w:val="000000"/>
          <w:sz w:val="24"/>
          <w:szCs w:val="24"/>
          <w:lang w:val="es-ES" w:eastAsia="ru-RU"/>
        </w:rPr>
        <w:t xml:space="preserve"> the owner's technical means shall be installed and provided to the police with the consent of the owner in accordance with a contract concluded with </w:t>
      </w:r>
      <w:r w:rsidR="00A61537">
        <w:rPr>
          <w:rFonts w:ascii="GHEA Grapalat" w:hAnsi="GHEA Grapalat"/>
          <w:color w:val="000000"/>
          <w:sz w:val="24"/>
          <w:szCs w:val="24"/>
          <w:lang w:val="es-ES" w:eastAsia="ru-RU"/>
        </w:rPr>
        <w:t>the latter</w:t>
      </w:r>
      <w:r w:rsidRPr="00885810">
        <w:rPr>
          <w:rFonts w:ascii="GHEA Grapalat" w:hAnsi="GHEA Grapalat"/>
          <w:color w:val="000000"/>
          <w:sz w:val="24"/>
          <w:szCs w:val="24"/>
          <w:lang w:val="es-ES" w:eastAsia="ru-RU"/>
        </w:rPr>
        <w:t>.</w:t>
      </w:r>
    </w:p>
    <w:p w:rsidR="00885810" w:rsidRDefault="00885810" w:rsidP="00964228">
      <w:pPr>
        <w:spacing w:line="276" w:lineRule="auto"/>
        <w:ind w:left="-720" w:firstLine="720"/>
        <w:jc w:val="both"/>
        <w:rPr>
          <w:rFonts w:ascii="GHEA Grapalat" w:hAnsi="GHEA Grapalat"/>
          <w:color w:val="000000"/>
          <w:sz w:val="24"/>
          <w:szCs w:val="24"/>
          <w:lang w:val="es-ES"/>
        </w:rPr>
      </w:pPr>
      <w:r w:rsidRPr="00885810">
        <w:rPr>
          <w:rFonts w:ascii="GHEA Grapalat" w:hAnsi="GHEA Grapalat"/>
          <w:color w:val="000000"/>
          <w:sz w:val="24"/>
          <w:szCs w:val="24"/>
          <w:lang w:val="es-ES"/>
        </w:rPr>
        <w:t xml:space="preserve">When preventing or detecting crimes, ensuring public order, police </w:t>
      </w:r>
      <w:r w:rsidR="00F33C5F">
        <w:rPr>
          <w:rFonts w:ascii="GHEA Grapalat" w:hAnsi="GHEA Grapalat"/>
          <w:color w:val="000000"/>
          <w:sz w:val="24"/>
          <w:szCs w:val="24"/>
          <w:lang w:val="es-ES"/>
        </w:rPr>
        <w:t>officers may use mova</w:t>
      </w:r>
      <w:r w:rsidRPr="00885810">
        <w:rPr>
          <w:rFonts w:ascii="GHEA Grapalat" w:hAnsi="GHEA Grapalat"/>
          <w:color w:val="000000"/>
          <w:sz w:val="24"/>
          <w:szCs w:val="24"/>
          <w:lang w:val="es-ES"/>
        </w:rPr>
        <w:t>ble</w:t>
      </w:r>
      <w:r w:rsidR="00F33C5F">
        <w:rPr>
          <w:rFonts w:ascii="GHEA Grapalat" w:hAnsi="GHEA Grapalat"/>
          <w:color w:val="000000"/>
          <w:sz w:val="24"/>
          <w:szCs w:val="24"/>
          <w:lang w:val="es-ES"/>
        </w:rPr>
        <w:t xml:space="preserve"> video recording or photographi</w:t>
      </w:r>
      <w:r w:rsidR="0040449F">
        <w:rPr>
          <w:rFonts w:ascii="GHEA Grapalat" w:hAnsi="GHEA Grapalat"/>
          <w:color w:val="000000"/>
          <w:sz w:val="24"/>
          <w:szCs w:val="24"/>
          <w:lang w:val="es-ES"/>
        </w:rPr>
        <w:t>c</w:t>
      </w:r>
      <w:r w:rsidRPr="00885810">
        <w:rPr>
          <w:rFonts w:ascii="GHEA Grapalat" w:hAnsi="GHEA Grapalat"/>
          <w:color w:val="000000"/>
          <w:sz w:val="24"/>
          <w:szCs w:val="24"/>
          <w:lang w:val="es-ES"/>
        </w:rPr>
        <w:t xml:space="preserve"> technical means within a time limit set </w:t>
      </w:r>
      <w:r w:rsidR="00F33C5F">
        <w:rPr>
          <w:rFonts w:ascii="GHEA Grapalat" w:hAnsi="GHEA Grapalat"/>
          <w:color w:val="000000"/>
          <w:sz w:val="24"/>
          <w:szCs w:val="24"/>
          <w:lang w:val="es-ES"/>
        </w:rPr>
        <w:t>for the exercise of these</w:t>
      </w:r>
      <w:r w:rsidRPr="00885810">
        <w:rPr>
          <w:rFonts w:ascii="GHEA Grapalat" w:hAnsi="GHEA Grapalat"/>
          <w:color w:val="000000"/>
          <w:sz w:val="24"/>
          <w:szCs w:val="24"/>
          <w:lang w:val="es-ES"/>
        </w:rPr>
        <w:t xml:space="preserve"> police powers. </w:t>
      </w:r>
    </w:p>
    <w:p w:rsidR="00BD3C8F" w:rsidRDefault="00885810" w:rsidP="00964228">
      <w:pPr>
        <w:spacing w:line="276" w:lineRule="auto"/>
        <w:ind w:left="-720" w:firstLine="270"/>
        <w:jc w:val="both"/>
        <w:rPr>
          <w:rFonts w:ascii="GHEA Grapalat" w:hAnsi="GHEA Grapalat"/>
          <w:color w:val="000000"/>
          <w:sz w:val="24"/>
          <w:szCs w:val="24"/>
        </w:rPr>
      </w:pPr>
      <w:r w:rsidRPr="00885810">
        <w:rPr>
          <w:rFonts w:ascii="GHEA Grapalat" w:hAnsi="GHEA Grapalat"/>
          <w:color w:val="000000"/>
          <w:sz w:val="24"/>
          <w:szCs w:val="24"/>
        </w:rPr>
        <w:t xml:space="preserve">The video recorder or photographic technique </w:t>
      </w:r>
      <w:r w:rsidR="0040449F">
        <w:rPr>
          <w:rFonts w:ascii="GHEA Grapalat" w:hAnsi="GHEA Grapalat"/>
          <w:color w:val="000000"/>
          <w:sz w:val="24"/>
          <w:szCs w:val="24"/>
        </w:rPr>
        <w:t>should be</w:t>
      </w:r>
      <w:r w:rsidRPr="00885810">
        <w:rPr>
          <w:rFonts w:ascii="GHEA Grapalat" w:hAnsi="GHEA Grapalat"/>
          <w:color w:val="000000"/>
          <w:sz w:val="24"/>
          <w:szCs w:val="24"/>
        </w:rPr>
        <w:t xml:space="preserve"> attached to the uniform of a police officer or </w:t>
      </w:r>
      <w:r w:rsidR="0040449F">
        <w:rPr>
          <w:rFonts w:ascii="GHEA Grapalat" w:hAnsi="GHEA Grapalat"/>
          <w:color w:val="000000"/>
          <w:sz w:val="24"/>
          <w:szCs w:val="24"/>
        </w:rPr>
        <w:t>be in</w:t>
      </w:r>
      <w:r w:rsidRPr="00885810">
        <w:rPr>
          <w:rFonts w:ascii="GHEA Grapalat" w:hAnsi="GHEA Grapalat"/>
          <w:color w:val="000000"/>
          <w:sz w:val="24"/>
          <w:szCs w:val="24"/>
        </w:rPr>
        <w:t xml:space="preserve"> the hands of a police officer or in a police service vehicle.</w:t>
      </w:r>
      <w:r w:rsidRPr="00885810">
        <w:rPr>
          <w:rFonts w:ascii="GHEA Grapalat" w:hAnsi="GHEA Grapalat"/>
          <w:color w:val="000000"/>
          <w:sz w:val="24"/>
          <w:szCs w:val="24"/>
          <w:lang w:val="es-ES"/>
        </w:rPr>
        <w:t xml:space="preserve"> </w:t>
      </w:r>
      <w:r w:rsidRPr="00885810">
        <w:rPr>
          <w:rFonts w:ascii="Calibri" w:hAnsi="Calibri" w:cs="Calibri"/>
          <w:color w:val="000000"/>
          <w:sz w:val="24"/>
          <w:szCs w:val="24"/>
          <w:lang w:val="es-ES"/>
        </w:rPr>
        <w:t> </w:t>
      </w:r>
      <w:r w:rsidRPr="00885810">
        <w:rPr>
          <w:rFonts w:ascii="GHEA Grapalat" w:hAnsi="GHEA Grapalat" w:cs="Arial Unicode"/>
          <w:color w:val="000000"/>
          <w:sz w:val="24"/>
          <w:szCs w:val="24"/>
          <w:lang w:val="es-ES"/>
        </w:rPr>
        <w:t xml:space="preserve">Police officers should wear video recording and photographing techniques in a visible manner, except for cases </w:t>
      </w:r>
      <w:r w:rsidR="0040449F">
        <w:rPr>
          <w:rFonts w:ascii="GHEA Grapalat" w:hAnsi="GHEA Grapalat" w:cs="Arial Unicode"/>
          <w:color w:val="000000"/>
          <w:sz w:val="24"/>
          <w:szCs w:val="24"/>
          <w:lang w:val="es-ES"/>
        </w:rPr>
        <w:t>when operative investagive measures are carried out</w:t>
      </w:r>
      <w:r w:rsidRPr="00885810">
        <w:rPr>
          <w:rFonts w:ascii="GHEA Grapalat" w:hAnsi="GHEA Grapalat" w:cs="Arial Unicode"/>
          <w:color w:val="000000"/>
          <w:sz w:val="24"/>
          <w:szCs w:val="24"/>
          <w:lang w:val="es-ES"/>
        </w:rPr>
        <w:t xml:space="preserve">. </w:t>
      </w:r>
      <w:r w:rsidRPr="00885810">
        <w:rPr>
          <w:rFonts w:ascii="GHEA Grapalat" w:hAnsi="GHEA Grapalat"/>
          <w:color w:val="000000"/>
          <w:sz w:val="24"/>
          <w:szCs w:val="24"/>
        </w:rPr>
        <w:t>The police officer is obliged to warn verbally about non-secret surveillance by means of video recording or photographing.</w:t>
      </w:r>
    </w:p>
    <w:p w:rsidR="00D14BD9" w:rsidRDefault="00D14BD9" w:rsidP="001F7A4B">
      <w:pPr>
        <w:spacing w:line="276" w:lineRule="auto"/>
        <w:ind w:left="-720"/>
        <w:jc w:val="both"/>
        <w:rPr>
          <w:rFonts w:ascii="GHEA Grapalat" w:hAnsi="GHEA Grapalat"/>
          <w:sz w:val="24"/>
          <w:szCs w:val="24"/>
        </w:rPr>
      </w:pPr>
    </w:p>
    <w:p w:rsidR="00885810" w:rsidRPr="00885810" w:rsidRDefault="00BD3C8F" w:rsidP="001F7A4B">
      <w:pPr>
        <w:pStyle w:val="ListParagraph"/>
        <w:numPr>
          <w:ilvl w:val="0"/>
          <w:numId w:val="2"/>
        </w:numPr>
        <w:spacing w:line="276" w:lineRule="auto"/>
        <w:ind w:left="-450"/>
        <w:jc w:val="both"/>
        <w:rPr>
          <w:rFonts w:ascii="GHEA Grapalat" w:hAnsi="GHEA Grapalat"/>
          <w:i/>
          <w:sz w:val="24"/>
          <w:szCs w:val="24"/>
        </w:rPr>
      </w:pPr>
      <w:r w:rsidRPr="00BD3C8F">
        <w:rPr>
          <w:rFonts w:ascii="GHEA Grapalat" w:hAnsi="GHEA Grapalat"/>
          <w:i/>
          <w:sz w:val="24"/>
        </w:rPr>
        <w:t>Effective uses of such technologies as enablers of the exercise of human rights in the context of assemblies, including peaceful protests (e.g. how new technologies have facilitated the organization of assemblies, including peaceful protests).</w:t>
      </w:r>
    </w:p>
    <w:p w:rsidR="00885810" w:rsidRDefault="000269B2" w:rsidP="00964228">
      <w:pPr>
        <w:spacing w:line="276" w:lineRule="auto"/>
        <w:ind w:left="-810" w:firstLine="360"/>
        <w:jc w:val="both"/>
        <w:rPr>
          <w:rFonts w:ascii="GHEA Grapalat" w:hAnsi="GHEA Grapalat"/>
          <w:i/>
          <w:sz w:val="24"/>
          <w:szCs w:val="24"/>
        </w:rPr>
      </w:pPr>
      <w:r w:rsidRPr="00330679">
        <w:rPr>
          <w:rFonts w:ascii="GHEA Grapalat" w:hAnsi="GHEA Grapalat"/>
          <w:sz w:val="24"/>
          <w:szCs w:val="24"/>
        </w:rPr>
        <w:t>Free Internet, freedom of social networks, internet access throughout the Republic of Armenia promote human rights. It enables to be informed in real time. And in the context of that access and freedom, people can freely exercise their rights.</w:t>
      </w:r>
    </w:p>
    <w:p w:rsidR="00330679" w:rsidRPr="00885810" w:rsidRDefault="00330679" w:rsidP="00964228">
      <w:pPr>
        <w:spacing w:line="276" w:lineRule="auto"/>
        <w:ind w:left="-810" w:firstLine="180"/>
        <w:jc w:val="both"/>
        <w:rPr>
          <w:rFonts w:ascii="GHEA Grapalat" w:hAnsi="GHEA Grapalat"/>
          <w:i/>
          <w:sz w:val="24"/>
          <w:szCs w:val="24"/>
        </w:rPr>
      </w:pPr>
      <w:r w:rsidRPr="00B24E62">
        <w:rPr>
          <w:rFonts w:ascii="GHEA Grapalat" w:hAnsi="GHEA Grapalat"/>
          <w:sz w:val="24"/>
          <w:szCs w:val="24"/>
        </w:rPr>
        <w:t xml:space="preserve">During April-May of </w:t>
      </w:r>
      <w:r>
        <w:rPr>
          <w:rFonts w:ascii="GHEA Grapalat" w:hAnsi="GHEA Grapalat"/>
          <w:sz w:val="24"/>
          <w:szCs w:val="24"/>
        </w:rPr>
        <w:t>2018</w:t>
      </w:r>
      <w:r w:rsidRPr="00B24E62">
        <w:rPr>
          <w:rFonts w:ascii="GHEA Grapalat" w:hAnsi="GHEA Grapalat"/>
          <w:sz w:val="24"/>
          <w:szCs w:val="24"/>
        </w:rPr>
        <w:t>, the people of Armenia have exercised their</w:t>
      </w:r>
      <w:r>
        <w:rPr>
          <w:rFonts w:ascii="GHEA Grapalat" w:hAnsi="GHEA Grapalat"/>
          <w:sz w:val="24"/>
          <w:szCs w:val="24"/>
        </w:rPr>
        <w:t xml:space="preserve"> direct right to power through </w:t>
      </w:r>
      <w:r w:rsidRPr="00B24E62">
        <w:rPr>
          <w:rFonts w:ascii="GHEA Grapalat" w:hAnsi="GHEA Grapalat"/>
          <w:sz w:val="24"/>
          <w:szCs w:val="24"/>
        </w:rPr>
        <w:t>peaceful, nonviolent</w:t>
      </w:r>
      <w:r w:rsidR="00964228">
        <w:rPr>
          <w:rFonts w:ascii="GHEA Grapalat" w:hAnsi="GHEA Grapalat"/>
          <w:sz w:val="24"/>
          <w:szCs w:val="24"/>
        </w:rPr>
        <w:t>,</w:t>
      </w:r>
      <w:r w:rsidRPr="00B24E62">
        <w:rPr>
          <w:rFonts w:ascii="GHEA Grapalat" w:hAnsi="GHEA Grapalat"/>
          <w:sz w:val="24"/>
          <w:szCs w:val="24"/>
        </w:rPr>
        <w:t xml:space="preserve"> </w:t>
      </w:r>
      <w:r w:rsidR="00964228">
        <w:rPr>
          <w:rFonts w:ascii="GHEA Grapalat" w:hAnsi="GHEA Grapalat"/>
          <w:sz w:val="24"/>
          <w:szCs w:val="24"/>
        </w:rPr>
        <w:t>V</w:t>
      </w:r>
      <w:r w:rsidR="00964228" w:rsidRPr="00B24E62">
        <w:rPr>
          <w:rFonts w:ascii="GHEA Grapalat" w:hAnsi="GHEA Grapalat"/>
          <w:sz w:val="24"/>
          <w:szCs w:val="24"/>
        </w:rPr>
        <w:t>elvet</w:t>
      </w:r>
      <w:r w:rsidR="00964228">
        <w:rPr>
          <w:rFonts w:ascii="GHEA Grapalat" w:hAnsi="GHEA Grapalat"/>
          <w:sz w:val="24"/>
          <w:szCs w:val="24"/>
        </w:rPr>
        <w:t xml:space="preserve"> </w:t>
      </w:r>
      <w:r w:rsidRPr="00B24E62">
        <w:rPr>
          <w:rFonts w:ascii="GHEA Grapalat" w:hAnsi="GHEA Grapalat"/>
          <w:sz w:val="24"/>
          <w:szCs w:val="24"/>
        </w:rPr>
        <w:t>revolution</w:t>
      </w:r>
      <w:r>
        <w:rPr>
          <w:rFonts w:ascii="GHEA Grapalat" w:hAnsi="GHEA Grapalat"/>
          <w:sz w:val="24"/>
          <w:szCs w:val="24"/>
        </w:rPr>
        <w:t xml:space="preserve"> through the series of peaceful protests.</w:t>
      </w:r>
      <w:r w:rsidR="00964228">
        <w:rPr>
          <w:rFonts w:ascii="GHEA Grapalat" w:hAnsi="GHEA Grapalat"/>
          <w:sz w:val="24"/>
          <w:szCs w:val="24"/>
        </w:rPr>
        <w:t xml:space="preserve"> </w:t>
      </w:r>
      <w:r w:rsidRPr="00B24E62">
        <w:rPr>
          <w:rFonts w:ascii="GHEA Grapalat" w:hAnsi="GHEA Grapalat"/>
          <w:sz w:val="24"/>
          <w:szCs w:val="24"/>
        </w:rPr>
        <w:t>During the revolution period</w:t>
      </w:r>
      <w:r>
        <w:rPr>
          <w:rFonts w:ascii="GHEA Grapalat" w:hAnsi="GHEA Grapalat"/>
          <w:sz w:val="24"/>
          <w:szCs w:val="24"/>
        </w:rPr>
        <w:t>,</w:t>
      </w:r>
      <w:r w:rsidRPr="00B24E62">
        <w:rPr>
          <w:rFonts w:ascii="GHEA Grapalat" w:hAnsi="GHEA Grapalat"/>
          <w:sz w:val="24"/>
          <w:szCs w:val="24"/>
        </w:rPr>
        <w:t xml:space="preserve"> social networks and media played a major role in ensuring transparency and accountability of the revolutionary forces which essentially contributed to the strengthening of democracy in Armenia and exercising the right of people to access to information and freedom of expression. During these events, the organizers of the rallies widely used social media to mobilize people discontented with the situation in the country, coordinate and organize actions in a self-managed manner.</w:t>
      </w:r>
      <w:r>
        <w:rPr>
          <w:rFonts w:ascii="GHEA Grapalat" w:hAnsi="GHEA Grapalat"/>
          <w:sz w:val="24"/>
          <w:szCs w:val="24"/>
        </w:rPr>
        <w:t xml:space="preserve"> The peaceful assemblies </w:t>
      </w:r>
      <w:r w:rsidRPr="00B24E62">
        <w:rPr>
          <w:rFonts w:ascii="GHEA Grapalat" w:hAnsi="GHEA Grapalat"/>
          <w:sz w:val="24"/>
          <w:szCs w:val="24"/>
        </w:rPr>
        <w:t xml:space="preserve">were organized with the use of social media and were widely disseminated among public. </w:t>
      </w:r>
    </w:p>
    <w:p w:rsidR="008F37FF" w:rsidRPr="00C42722" w:rsidRDefault="008F37FF" w:rsidP="001F7A4B">
      <w:pPr>
        <w:pStyle w:val="ListParagraph"/>
        <w:spacing w:line="276" w:lineRule="auto"/>
        <w:ind w:left="360"/>
        <w:jc w:val="both"/>
        <w:rPr>
          <w:rFonts w:ascii="GHEA Grapalat" w:hAnsi="GHEA Grapalat"/>
          <w:sz w:val="24"/>
          <w:szCs w:val="24"/>
        </w:rPr>
      </w:pPr>
    </w:p>
    <w:p w:rsidR="00885810" w:rsidRPr="00885810" w:rsidRDefault="00BD3C8F" w:rsidP="001F7A4B">
      <w:pPr>
        <w:pStyle w:val="ListParagraph"/>
        <w:numPr>
          <w:ilvl w:val="0"/>
          <w:numId w:val="2"/>
        </w:numPr>
        <w:spacing w:line="276" w:lineRule="auto"/>
        <w:ind w:left="-630"/>
        <w:jc w:val="both"/>
        <w:rPr>
          <w:rFonts w:ascii="GHEA Grapalat" w:hAnsi="GHEA Grapalat"/>
          <w:i/>
          <w:sz w:val="28"/>
          <w:szCs w:val="24"/>
        </w:rPr>
      </w:pPr>
      <w:r w:rsidRPr="00BD3C8F">
        <w:rPr>
          <w:rFonts w:ascii="GHEA Grapalat" w:hAnsi="GHEA Grapalat"/>
          <w:i/>
          <w:sz w:val="24"/>
        </w:rPr>
        <w:lastRenderedPageBreak/>
        <w:t>The human rights challenges posed by interferences with the availability and use of such technologies in the context of assemblies, including peaceful protests (e.g. through networks disruptions, blocking of internet services or restrictions on secure and confidential communications).</w:t>
      </w:r>
    </w:p>
    <w:p w:rsidR="000269B2" w:rsidRPr="00885810" w:rsidRDefault="00964228" w:rsidP="00964228">
      <w:pPr>
        <w:spacing w:line="276" w:lineRule="auto"/>
        <w:ind w:left="-990" w:firstLine="270"/>
        <w:jc w:val="both"/>
        <w:rPr>
          <w:rFonts w:ascii="GHEA Grapalat" w:hAnsi="GHEA Grapalat"/>
          <w:i/>
          <w:sz w:val="28"/>
          <w:szCs w:val="24"/>
        </w:rPr>
      </w:pPr>
      <w:r>
        <w:rPr>
          <w:rFonts w:ascii="GHEA Grapalat" w:hAnsi="GHEA Grapalat"/>
          <w:sz w:val="24"/>
          <w:szCs w:val="24"/>
        </w:rPr>
        <w:t>There is no a practice of</w:t>
      </w:r>
      <w:r w:rsidR="000269B2" w:rsidRPr="00885810">
        <w:rPr>
          <w:rFonts w:ascii="GHEA Grapalat" w:hAnsi="GHEA Grapalat"/>
          <w:i/>
          <w:sz w:val="24"/>
        </w:rPr>
        <w:t xml:space="preserve"> </w:t>
      </w:r>
      <w:r w:rsidR="000269B2" w:rsidRPr="00885810">
        <w:rPr>
          <w:rFonts w:ascii="GHEA Grapalat" w:hAnsi="GHEA Grapalat"/>
          <w:sz w:val="24"/>
        </w:rPr>
        <w:t>network disruptions, blocking of internet services or restrictions on secure and confidential communications</w:t>
      </w:r>
      <w:r>
        <w:rPr>
          <w:rFonts w:ascii="GHEA Grapalat" w:hAnsi="GHEA Grapalat"/>
          <w:sz w:val="24"/>
        </w:rPr>
        <w:t xml:space="preserve"> </w:t>
      </w:r>
      <w:r>
        <w:rPr>
          <w:rFonts w:ascii="GHEA Grapalat" w:hAnsi="GHEA Grapalat"/>
          <w:sz w:val="24"/>
          <w:szCs w:val="24"/>
        </w:rPr>
        <w:t>in the Republic of Armenia</w:t>
      </w:r>
      <w:r w:rsidR="000269B2" w:rsidRPr="00885810">
        <w:rPr>
          <w:rFonts w:ascii="GHEA Grapalat" w:hAnsi="GHEA Grapalat"/>
          <w:sz w:val="24"/>
        </w:rPr>
        <w:t>.</w:t>
      </w:r>
    </w:p>
    <w:p w:rsidR="00BD3C8F" w:rsidRPr="00C42722" w:rsidRDefault="00BD3C8F" w:rsidP="001F7A4B">
      <w:pPr>
        <w:pStyle w:val="ListParagraph"/>
        <w:spacing w:line="276" w:lineRule="auto"/>
        <w:ind w:left="360" w:firstLine="360"/>
        <w:jc w:val="both"/>
        <w:rPr>
          <w:rFonts w:ascii="GHEA Grapalat" w:hAnsi="GHEA Grapalat"/>
          <w:sz w:val="24"/>
          <w:szCs w:val="24"/>
        </w:rPr>
      </w:pPr>
    </w:p>
    <w:p w:rsidR="00885810" w:rsidRPr="00885810" w:rsidRDefault="00BD3C8F" w:rsidP="001F7A4B">
      <w:pPr>
        <w:pStyle w:val="ListParagraph"/>
        <w:numPr>
          <w:ilvl w:val="0"/>
          <w:numId w:val="2"/>
        </w:numPr>
        <w:spacing w:line="276" w:lineRule="auto"/>
        <w:ind w:left="-720"/>
        <w:jc w:val="both"/>
        <w:rPr>
          <w:rFonts w:ascii="GHEA Grapalat" w:hAnsi="GHEA Grapalat"/>
          <w:i/>
          <w:sz w:val="28"/>
          <w:szCs w:val="24"/>
        </w:rPr>
      </w:pPr>
      <w:r w:rsidRPr="00BD3C8F">
        <w:rPr>
          <w:rFonts w:ascii="GHEA Grapalat" w:hAnsi="GHEA Grapalat"/>
          <w:i/>
          <w:sz w:val="24"/>
        </w:rPr>
        <w:t>The human rights challenges posed by the use of new technologies, including information and communications technology, in the context of assemblies, including peaceful protests (e.g. the use of surveillance and monitoring tools by the authorities, including biometrics-based recognition technology to identify protestors).</w:t>
      </w:r>
    </w:p>
    <w:p w:rsidR="00885810" w:rsidRPr="00885810" w:rsidRDefault="00885810" w:rsidP="001F7A4B">
      <w:pPr>
        <w:pStyle w:val="ListParagraph"/>
        <w:spacing w:line="276" w:lineRule="auto"/>
        <w:ind w:left="-720"/>
        <w:jc w:val="both"/>
        <w:rPr>
          <w:rFonts w:ascii="GHEA Grapalat" w:hAnsi="GHEA Grapalat"/>
          <w:i/>
          <w:sz w:val="28"/>
          <w:szCs w:val="24"/>
        </w:rPr>
      </w:pPr>
    </w:p>
    <w:p w:rsidR="00885810" w:rsidRDefault="00964228" w:rsidP="00964228">
      <w:pPr>
        <w:pStyle w:val="ListParagraph"/>
        <w:spacing w:line="276" w:lineRule="auto"/>
        <w:ind w:left="-720" w:firstLine="720"/>
        <w:jc w:val="both"/>
        <w:rPr>
          <w:rFonts w:ascii="GHEA Grapalat" w:hAnsi="GHEA Grapalat"/>
          <w:sz w:val="24"/>
        </w:rPr>
      </w:pPr>
      <w:r>
        <w:rPr>
          <w:rFonts w:ascii="GHEA Grapalat" w:hAnsi="GHEA Grapalat"/>
          <w:sz w:val="24"/>
          <w:szCs w:val="24"/>
        </w:rPr>
        <w:t>T</w:t>
      </w:r>
      <w:r w:rsidR="000269B2" w:rsidRPr="00885810">
        <w:rPr>
          <w:rFonts w:ascii="GHEA Grapalat" w:hAnsi="GHEA Grapalat"/>
          <w:sz w:val="24"/>
        </w:rPr>
        <w:t>he use of surveillance and monitoring tools by the authorities, including biometrics-based recognition technology to identify protestors</w:t>
      </w:r>
      <w:r>
        <w:rPr>
          <w:rFonts w:ascii="GHEA Grapalat" w:hAnsi="GHEA Grapalat"/>
          <w:sz w:val="24"/>
        </w:rPr>
        <w:t xml:space="preserve"> is not practiced in the Republic of Armenia</w:t>
      </w:r>
      <w:r w:rsidR="000269B2" w:rsidRPr="00885810">
        <w:rPr>
          <w:rFonts w:ascii="GHEA Grapalat" w:hAnsi="GHEA Grapalat"/>
          <w:sz w:val="24"/>
        </w:rPr>
        <w:t>.</w:t>
      </w:r>
    </w:p>
    <w:p w:rsidR="00885810" w:rsidRPr="00885810" w:rsidRDefault="00885810" w:rsidP="00964228">
      <w:pPr>
        <w:pStyle w:val="ListParagraph"/>
        <w:spacing w:line="276" w:lineRule="auto"/>
        <w:ind w:left="-720" w:firstLine="720"/>
        <w:jc w:val="both"/>
        <w:rPr>
          <w:rFonts w:ascii="GHEA Grapalat" w:hAnsi="GHEA Grapalat"/>
          <w:color w:val="000000"/>
          <w:sz w:val="24"/>
          <w:lang w:val="es-ES"/>
        </w:rPr>
      </w:pPr>
      <w:r w:rsidRPr="00885810">
        <w:rPr>
          <w:rFonts w:ascii="GHEA Grapalat" w:hAnsi="GHEA Grapalat"/>
          <w:color w:val="000000"/>
          <w:sz w:val="24"/>
          <w:lang w:val="es-ES"/>
        </w:rPr>
        <w:t>Video recording, video shooting and photography are performed only through official (non-personal) technical means.</w:t>
      </w:r>
      <w:r w:rsidR="00964228">
        <w:rPr>
          <w:rFonts w:ascii="GHEA Grapalat" w:hAnsi="GHEA Grapalat"/>
          <w:color w:val="000000"/>
          <w:sz w:val="24"/>
          <w:lang w:val="es-ES"/>
        </w:rPr>
        <w:t xml:space="preserve"> </w:t>
      </w:r>
      <w:r w:rsidRPr="00885810">
        <w:rPr>
          <w:rFonts w:ascii="GHEA Grapalat" w:hAnsi="GHEA Grapalat"/>
          <w:color w:val="000000"/>
          <w:sz w:val="24"/>
          <w:lang w:val="es-ES"/>
        </w:rPr>
        <w:t>In case of detection or fixation of a violation by technical means, the police officer has no right to stop or interrupt the video recording or video shooting.</w:t>
      </w:r>
    </w:p>
    <w:p w:rsidR="00885810" w:rsidRPr="00885810" w:rsidRDefault="00885810" w:rsidP="00964228">
      <w:pPr>
        <w:pStyle w:val="ListParagraph"/>
        <w:spacing w:line="276" w:lineRule="auto"/>
        <w:ind w:left="-720" w:firstLine="720"/>
        <w:jc w:val="both"/>
        <w:rPr>
          <w:rFonts w:ascii="GHEA Grapalat" w:hAnsi="GHEA Grapalat"/>
          <w:color w:val="000000"/>
          <w:sz w:val="24"/>
          <w:lang w:val="es-ES"/>
        </w:rPr>
      </w:pPr>
      <w:r w:rsidRPr="00885810">
        <w:rPr>
          <w:rFonts w:ascii="GHEA Grapalat" w:hAnsi="GHEA Grapalat"/>
          <w:color w:val="000000"/>
          <w:sz w:val="24"/>
          <w:lang w:val="es-ES"/>
        </w:rPr>
        <w:t>Videos or photos can be used to investigate crimes or violations of public order, to investigate complaints about police officers' actions, to advocate for the rights and legitimate interests of individuals, to publicize the presence or absence of a disciplinary violation or the characteristics of a disciplinary offense attributable to him or her after the completion of an official investigation towards a police officer on cases that received public attention without a publication or little publication of identifiable data of other persons.</w:t>
      </w:r>
    </w:p>
    <w:p w:rsidR="00885810" w:rsidRPr="00885810" w:rsidRDefault="00885810" w:rsidP="00964228">
      <w:pPr>
        <w:pStyle w:val="ListParagraph"/>
        <w:spacing w:line="276" w:lineRule="auto"/>
        <w:ind w:left="-720" w:firstLine="720"/>
        <w:jc w:val="both"/>
        <w:rPr>
          <w:rFonts w:ascii="GHEA Grapalat" w:hAnsi="GHEA Grapalat"/>
          <w:sz w:val="28"/>
        </w:rPr>
      </w:pPr>
      <w:r w:rsidRPr="00885810">
        <w:rPr>
          <w:rFonts w:ascii="GHEA Grapalat" w:hAnsi="GHEA Grapalat"/>
          <w:color w:val="000000"/>
          <w:sz w:val="24"/>
        </w:rPr>
        <w:t>Use of videos or photos for other purposes (including publishing) is prohibited.</w:t>
      </w:r>
    </w:p>
    <w:p w:rsidR="005C3D24" w:rsidRPr="00C42722" w:rsidRDefault="005C3D24" w:rsidP="001F7A4B">
      <w:pPr>
        <w:pStyle w:val="ListParagraph"/>
        <w:spacing w:line="276" w:lineRule="auto"/>
        <w:ind w:left="360"/>
        <w:jc w:val="both"/>
        <w:rPr>
          <w:rFonts w:ascii="GHEA Grapalat" w:hAnsi="GHEA Grapalat"/>
          <w:sz w:val="24"/>
          <w:szCs w:val="24"/>
        </w:rPr>
      </w:pPr>
    </w:p>
    <w:p w:rsidR="00885810" w:rsidRDefault="00BD3C8F" w:rsidP="001F7A4B">
      <w:pPr>
        <w:pStyle w:val="ListParagraph"/>
        <w:numPr>
          <w:ilvl w:val="0"/>
          <w:numId w:val="2"/>
        </w:numPr>
        <w:spacing w:line="276" w:lineRule="auto"/>
        <w:ind w:left="-720"/>
        <w:jc w:val="both"/>
        <w:rPr>
          <w:rFonts w:ascii="GHEA Grapalat" w:hAnsi="GHEA Grapalat"/>
          <w:i/>
          <w:sz w:val="24"/>
        </w:rPr>
      </w:pPr>
      <w:r w:rsidRPr="00BD3C8F">
        <w:rPr>
          <w:rFonts w:ascii="GHEA Grapalat" w:hAnsi="GHEA Grapalat"/>
          <w:i/>
          <w:sz w:val="24"/>
        </w:rPr>
        <w:t xml:space="preserve">The impact on human rights of the use of new less-lethal weapons and ammunition technology in the context of assemblies, including peaceful protests. </w:t>
      </w:r>
    </w:p>
    <w:p w:rsidR="000269B2" w:rsidRDefault="00964228" w:rsidP="00964228">
      <w:pPr>
        <w:spacing w:line="276" w:lineRule="auto"/>
        <w:ind w:left="-1080" w:firstLine="360"/>
        <w:jc w:val="both"/>
        <w:rPr>
          <w:rFonts w:ascii="GHEA Grapalat" w:hAnsi="GHEA Grapalat"/>
          <w:sz w:val="24"/>
          <w:szCs w:val="24"/>
        </w:rPr>
      </w:pPr>
      <w:r>
        <w:rPr>
          <w:rFonts w:ascii="GHEA Grapalat" w:hAnsi="GHEA Grapalat"/>
          <w:sz w:val="24"/>
          <w:szCs w:val="24"/>
        </w:rPr>
        <w:t>T</w:t>
      </w:r>
      <w:r w:rsidR="000269B2">
        <w:rPr>
          <w:rFonts w:ascii="GHEA Grapalat" w:hAnsi="GHEA Grapalat"/>
          <w:sz w:val="24"/>
          <w:szCs w:val="24"/>
        </w:rPr>
        <w:t xml:space="preserve">he use of new less-lethal weapons </w:t>
      </w:r>
      <w:r>
        <w:rPr>
          <w:rFonts w:ascii="GHEA Grapalat" w:hAnsi="GHEA Grapalat"/>
          <w:sz w:val="24"/>
          <w:szCs w:val="24"/>
        </w:rPr>
        <w:t>and ammunition technology have p</w:t>
      </w:r>
      <w:r w:rsidR="000269B2">
        <w:rPr>
          <w:rFonts w:ascii="GHEA Grapalat" w:hAnsi="GHEA Grapalat"/>
          <w:sz w:val="24"/>
          <w:szCs w:val="24"/>
        </w:rPr>
        <w:t xml:space="preserve">ositive impact on the human rights, which </w:t>
      </w:r>
      <w:r w:rsidR="000269B2" w:rsidRPr="000269B2">
        <w:rPr>
          <w:rFonts w:ascii="GHEA Grapalat" w:hAnsi="GHEA Grapalat"/>
          <w:sz w:val="24"/>
          <w:szCs w:val="24"/>
        </w:rPr>
        <w:t>also encourages more people to participate in rallies, as the use of deadly ammunition limits the participation of people in the rallies.</w:t>
      </w:r>
    </w:p>
    <w:p w:rsidR="00885810" w:rsidRPr="00885810" w:rsidRDefault="00885810" w:rsidP="00964228">
      <w:pPr>
        <w:spacing w:line="276" w:lineRule="auto"/>
        <w:ind w:left="-1080" w:firstLine="360"/>
        <w:jc w:val="both"/>
        <w:rPr>
          <w:rFonts w:ascii="GHEA Grapalat" w:hAnsi="GHEA Grapalat"/>
          <w:b/>
          <w:sz w:val="28"/>
          <w:szCs w:val="24"/>
          <w:u w:val="single"/>
        </w:rPr>
      </w:pPr>
      <w:r w:rsidRPr="00885810">
        <w:rPr>
          <w:rFonts w:ascii="GHEA Grapalat" w:hAnsi="GHEA Grapalat"/>
          <w:sz w:val="24"/>
        </w:rPr>
        <w:t>The police officers involved in ensuring public order and public safety during the rally wear a casual outfit without firearms. Only special reserve forces are equipped with firearms and special supplies.</w:t>
      </w:r>
    </w:p>
    <w:p w:rsidR="00885810" w:rsidRPr="00885810" w:rsidRDefault="00885810" w:rsidP="001F7A4B">
      <w:pPr>
        <w:spacing w:line="276" w:lineRule="auto"/>
        <w:ind w:left="-1080"/>
        <w:jc w:val="both"/>
        <w:rPr>
          <w:rFonts w:ascii="GHEA Grapalat" w:hAnsi="GHEA Grapalat"/>
          <w:b/>
          <w:i/>
          <w:sz w:val="28"/>
          <w:u w:val="single"/>
          <w:lang w:val="es-ES"/>
        </w:rPr>
      </w:pPr>
    </w:p>
    <w:sectPr w:rsidR="00885810" w:rsidRPr="00885810" w:rsidSect="00CE62E8">
      <w:footerReference w:type="default" r:id="rId7"/>
      <w:pgSz w:w="12240" w:h="15840"/>
      <w:pgMar w:top="1134" w:right="850" w:bottom="63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4F0" w:rsidRDefault="006B54F0" w:rsidP="00712483">
      <w:pPr>
        <w:spacing w:after="0" w:line="240" w:lineRule="auto"/>
      </w:pPr>
      <w:r>
        <w:separator/>
      </w:r>
    </w:p>
  </w:endnote>
  <w:endnote w:type="continuationSeparator" w:id="0">
    <w:p w:rsidR="006B54F0" w:rsidRDefault="006B54F0" w:rsidP="0071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charset w:val="CC"/>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069013"/>
      <w:docPartObj>
        <w:docPartGallery w:val="Page Numbers (Bottom of Page)"/>
        <w:docPartUnique/>
      </w:docPartObj>
    </w:sdtPr>
    <w:sdtEndPr>
      <w:rPr>
        <w:noProof/>
      </w:rPr>
    </w:sdtEndPr>
    <w:sdtContent>
      <w:p w:rsidR="00712483" w:rsidRDefault="00712483">
        <w:pPr>
          <w:pStyle w:val="Footer"/>
          <w:jc w:val="center"/>
        </w:pPr>
        <w:r>
          <w:fldChar w:fldCharType="begin"/>
        </w:r>
        <w:r>
          <w:instrText xml:space="preserve"> PAGE   \* MERGEFORMAT </w:instrText>
        </w:r>
        <w:r>
          <w:fldChar w:fldCharType="separate"/>
        </w:r>
        <w:r w:rsidR="00BD52A2">
          <w:rPr>
            <w:noProof/>
          </w:rPr>
          <w:t>1</w:t>
        </w:r>
        <w:r>
          <w:rPr>
            <w:noProof/>
          </w:rPr>
          <w:fldChar w:fldCharType="end"/>
        </w:r>
      </w:p>
    </w:sdtContent>
  </w:sdt>
  <w:p w:rsidR="00712483" w:rsidRDefault="00712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4F0" w:rsidRDefault="006B54F0" w:rsidP="00712483">
      <w:pPr>
        <w:spacing w:after="0" w:line="240" w:lineRule="auto"/>
      </w:pPr>
      <w:r>
        <w:separator/>
      </w:r>
    </w:p>
  </w:footnote>
  <w:footnote w:type="continuationSeparator" w:id="0">
    <w:p w:rsidR="006B54F0" w:rsidRDefault="006B54F0" w:rsidP="00712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AD5"/>
    <w:multiLevelType w:val="hybridMultilevel"/>
    <w:tmpl w:val="B2FC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F6EAE"/>
    <w:multiLevelType w:val="hybridMultilevel"/>
    <w:tmpl w:val="9A9283E2"/>
    <w:lvl w:ilvl="0" w:tplc="4BCE7350">
      <w:start w:val="1"/>
      <w:numFmt w:val="decimal"/>
      <w:lvlText w:val="%1."/>
      <w:lvlJc w:val="left"/>
      <w:pPr>
        <w:ind w:left="108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B9"/>
    <w:rsid w:val="000269B2"/>
    <w:rsid w:val="00086115"/>
    <w:rsid w:val="000A27BB"/>
    <w:rsid w:val="00101C29"/>
    <w:rsid w:val="0018284D"/>
    <w:rsid w:val="001E056A"/>
    <w:rsid w:val="001F7A4B"/>
    <w:rsid w:val="002579F8"/>
    <w:rsid w:val="002639B5"/>
    <w:rsid w:val="00263AFC"/>
    <w:rsid w:val="002B3076"/>
    <w:rsid w:val="002F5A1F"/>
    <w:rsid w:val="0031734B"/>
    <w:rsid w:val="00330679"/>
    <w:rsid w:val="003E5F84"/>
    <w:rsid w:val="0040449F"/>
    <w:rsid w:val="00443BC9"/>
    <w:rsid w:val="00471A99"/>
    <w:rsid w:val="004A063C"/>
    <w:rsid w:val="004C60D1"/>
    <w:rsid w:val="005060A6"/>
    <w:rsid w:val="005110B5"/>
    <w:rsid w:val="005C3D24"/>
    <w:rsid w:val="006B54F0"/>
    <w:rsid w:val="00712483"/>
    <w:rsid w:val="00740ABE"/>
    <w:rsid w:val="0077193E"/>
    <w:rsid w:val="007845B7"/>
    <w:rsid w:val="00797DB5"/>
    <w:rsid w:val="007B46F4"/>
    <w:rsid w:val="007F608F"/>
    <w:rsid w:val="00866BB2"/>
    <w:rsid w:val="0088419E"/>
    <w:rsid w:val="00885810"/>
    <w:rsid w:val="008C7367"/>
    <w:rsid w:val="008E1720"/>
    <w:rsid w:val="008F37FF"/>
    <w:rsid w:val="00964228"/>
    <w:rsid w:val="009709A2"/>
    <w:rsid w:val="00993E16"/>
    <w:rsid w:val="009D6B83"/>
    <w:rsid w:val="009F48D8"/>
    <w:rsid w:val="00A15748"/>
    <w:rsid w:val="00A21E7C"/>
    <w:rsid w:val="00A42CD9"/>
    <w:rsid w:val="00A45C21"/>
    <w:rsid w:val="00A61537"/>
    <w:rsid w:val="00B21A32"/>
    <w:rsid w:val="00B33E7A"/>
    <w:rsid w:val="00B54682"/>
    <w:rsid w:val="00BA4E44"/>
    <w:rsid w:val="00BA5733"/>
    <w:rsid w:val="00BC6BBA"/>
    <w:rsid w:val="00BD3C8F"/>
    <w:rsid w:val="00BD52A2"/>
    <w:rsid w:val="00BF62B3"/>
    <w:rsid w:val="00C07D89"/>
    <w:rsid w:val="00C3701F"/>
    <w:rsid w:val="00C42722"/>
    <w:rsid w:val="00C4673E"/>
    <w:rsid w:val="00C64533"/>
    <w:rsid w:val="00CE62E8"/>
    <w:rsid w:val="00D14BD9"/>
    <w:rsid w:val="00DC173D"/>
    <w:rsid w:val="00DC45B9"/>
    <w:rsid w:val="00E5335B"/>
    <w:rsid w:val="00E7568C"/>
    <w:rsid w:val="00E947E9"/>
    <w:rsid w:val="00F33C5F"/>
    <w:rsid w:val="00FE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FD2D4-F2A4-4E6D-83DC-AD3B3D75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483"/>
    <w:pPr>
      <w:tabs>
        <w:tab w:val="center" w:pos="4844"/>
        <w:tab w:val="right" w:pos="9689"/>
      </w:tabs>
      <w:spacing w:after="0" w:line="240" w:lineRule="auto"/>
    </w:pPr>
  </w:style>
  <w:style w:type="character" w:customStyle="1" w:styleId="HeaderChar">
    <w:name w:val="Header Char"/>
    <w:basedOn w:val="DefaultParagraphFont"/>
    <w:link w:val="Header"/>
    <w:uiPriority w:val="99"/>
    <w:rsid w:val="00712483"/>
  </w:style>
  <w:style w:type="paragraph" w:styleId="Footer">
    <w:name w:val="footer"/>
    <w:basedOn w:val="Normal"/>
    <w:link w:val="FooterChar"/>
    <w:uiPriority w:val="99"/>
    <w:unhideWhenUsed/>
    <w:rsid w:val="00712483"/>
    <w:pPr>
      <w:tabs>
        <w:tab w:val="center" w:pos="4844"/>
        <w:tab w:val="right" w:pos="9689"/>
      </w:tabs>
      <w:spacing w:after="0" w:line="240" w:lineRule="auto"/>
    </w:pPr>
  </w:style>
  <w:style w:type="character" w:customStyle="1" w:styleId="FooterChar">
    <w:name w:val="Footer Char"/>
    <w:basedOn w:val="DefaultParagraphFont"/>
    <w:link w:val="Footer"/>
    <w:uiPriority w:val="99"/>
    <w:rsid w:val="00712483"/>
  </w:style>
  <w:style w:type="paragraph" w:styleId="ListParagraph">
    <w:name w:val="List Paragraph"/>
    <w:basedOn w:val="Normal"/>
    <w:uiPriority w:val="34"/>
    <w:qFormat/>
    <w:rsid w:val="0018284D"/>
    <w:pPr>
      <w:ind w:left="720"/>
      <w:contextualSpacing/>
    </w:pPr>
  </w:style>
  <w:style w:type="character" w:styleId="Hyperlink">
    <w:name w:val="Hyperlink"/>
    <w:basedOn w:val="DefaultParagraphFont"/>
    <w:uiPriority w:val="99"/>
    <w:unhideWhenUsed/>
    <w:rsid w:val="002639B5"/>
    <w:rPr>
      <w:color w:val="0563C1" w:themeColor="hyperlink"/>
      <w:u w:val="single"/>
    </w:rPr>
  </w:style>
  <w:style w:type="character" w:styleId="Emphasis">
    <w:name w:val="Emphasis"/>
    <w:basedOn w:val="DefaultParagraphFont"/>
    <w:uiPriority w:val="20"/>
    <w:qFormat/>
    <w:rsid w:val="004A063C"/>
    <w:rPr>
      <w:i/>
      <w:iCs/>
    </w:rPr>
  </w:style>
  <w:style w:type="paragraph" w:styleId="BalloonText">
    <w:name w:val="Balloon Text"/>
    <w:basedOn w:val="Normal"/>
    <w:link w:val="BalloonTextChar"/>
    <w:uiPriority w:val="99"/>
    <w:semiHidden/>
    <w:unhideWhenUsed/>
    <w:rsid w:val="00A1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48"/>
    <w:rPr>
      <w:rFonts w:ascii="Segoe UI" w:hAnsi="Segoe UI" w:cs="Segoe UI"/>
      <w:sz w:val="18"/>
      <w:szCs w:val="18"/>
    </w:rPr>
  </w:style>
  <w:style w:type="paragraph" w:styleId="NormalWeb">
    <w:name w:val="Normal (Web)"/>
    <w:basedOn w:val="Normal"/>
    <w:uiPriority w:val="99"/>
    <w:unhideWhenUsed/>
    <w:rsid w:val="00A15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5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2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AE7813-F826-4014-96A5-7AFB180AA40F}"/>
</file>

<file path=customXml/itemProps2.xml><?xml version="1.0" encoding="utf-8"?>
<ds:datastoreItem xmlns:ds="http://schemas.openxmlformats.org/officeDocument/2006/customXml" ds:itemID="{D750B443-913D-4E3D-ACEA-3587E70FD3B7}"/>
</file>

<file path=customXml/itemProps3.xml><?xml version="1.0" encoding="utf-8"?>
<ds:datastoreItem xmlns:ds="http://schemas.openxmlformats.org/officeDocument/2006/customXml" ds:itemID="{2D198321-BC19-44FE-BE3A-C5DA89AF64AA}"/>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https:/mul2-mfa.gov.am/tasks/90702/oneclick/Compilation of Responses.docx?token=5d16c415b386c36ed2d4b258dadab3e5</cp:keywords>
  <dc:description/>
  <cp:lastModifiedBy>ANDREWS Natasha</cp:lastModifiedBy>
  <cp:revision>2</cp:revision>
  <cp:lastPrinted>2019-10-03T14:16:00Z</cp:lastPrinted>
  <dcterms:created xsi:type="dcterms:W3CDTF">2019-10-24T15:51:00Z</dcterms:created>
  <dcterms:modified xsi:type="dcterms:W3CDTF">2019-10-24T15:51:00Z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