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5D" w:rsidRPr="00431685" w:rsidRDefault="0053365D" w:rsidP="0053365D">
      <w:pPr>
        <w:spacing w:after="0" w:line="240" w:lineRule="auto"/>
        <w:jc w:val="right"/>
        <w:rPr>
          <w:rFonts w:eastAsia="Times New Roman" w:cstheme="minorHAnsi"/>
          <w:b/>
          <w:lang w:val="es-ES" w:eastAsia="en-GB"/>
        </w:rPr>
      </w:pPr>
      <w:r w:rsidRPr="00431685">
        <w:rPr>
          <w:rFonts w:eastAsia="Times New Roman" w:cstheme="minorHAnsi"/>
          <w:b/>
          <w:lang w:val="es-ES" w:eastAsia="en-GB"/>
        </w:rPr>
        <w:t xml:space="preserve">La Paz, Bolivia, 14 de marzo de 2019 </w:t>
      </w:r>
    </w:p>
    <w:p w:rsidR="0053365D" w:rsidRPr="00431685" w:rsidRDefault="0053365D" w:rsidP="0053365D">
      <w:pPr>
        <w:spacing w:after="0" w:line="240" w:lineRule="auto"/>
        <w:jc w:val="both"/>
        <w:rPr>
          <w:rFonts w:eastAsia="Times New Roman" w:cstheme="minorHAnsi"/>
          <w:b/>
          <w:lang w:val="es-ES" w:eastAsia="en-GB"/>
        </w:rPr>
      </w:pPr>
    </w:p>
    <w:p w:rsidR="0053365D" w:rsidRPr="00431685" w:rsidRDefault="0053365D" w:rsidP="0053365D">
      <w:pPr>
        <w:spacing w:after="0" w:line="240" w:lineRule="auto"/>
        <w:jc w:val="both"/>
        <w:rPr>
          <w:rFonts w:eastAsia="Times New Roman" w:cstheme="minorHAnsi"/>
          <w:b/>
          <w:lang w:val="es-ES" w:eastAsia="en-GB"/>
        </w:rPr>
      </w:pPr>
      <w:r w:rsidRPr="00431685">
        <w:rPr>
          <w:rFonts w:eastAsia="Times New Roman" w:cstheme="minorHAnsi"/>
          <w:b/>
          <w:lang w:val="es-ES" w:eastAsia="en-GB"/>
        </w:rPr>
        <w:t>Señor:</w:t>
      </w:r>
    </w:p>
    <w:p w:rsidR="0053365D" w:rsidRPr="00431685" w:rsidRDefault="0053365D" w:rsidP="0053365D">
      <w:pPr>
        <w:spacing w:after="0" w:line="240" w:lineRule="auto"/>
        <w:jc w:val="both"/>
        <w:rPr>
          <w:rFonts w:eastAsia="Times New Roman" w:cstheme="minorHAnsi"/>
          <w:b/>
          <w:lang w:val="es-ES" w:eastAsia="en-GB"/>
        </w:rPr>
      </w:pPr>
      <w:proofErr w:type="spellStart"/>
      <w:r w:rsidRPr="00431685">
        <w:rPr>
          <w:rFonts w:eastAsia="Times New Roman" w:cstheme="minorHAnsi"/>
          <w:b/>
          <w:lang w:val="es-ES" w:eastAsia="en-GB"/>
        </w:rPr>
        <w:t>Victor</w:t>
      </w:r>
      <w:proofErr w:type="spellEnd"/>
      <w:r w:rsidRPr="00431685">
        <w:rPr>
          <w:rFonts w:eastAsia="Times New Roman" w:cstheme="minorHAnsi"/>
          <w:b/>
          <w:lang w:val="es-ES" w:eastAsia="en-GB"/>
        </w:rPr>
        <w:t xml:space="preserve"> </w:t>
      </w:r>
      <w:proofErr w:type="spellStart"/>
      <w:r w:rsidRPr="00431685">
        <w:rPr>
          <w:rFonts w:eastAsia="Times New Roman" w:cstheme="minorHAnsi"/>
          <w:b/>
          <w:lang w:val="es-ES" w:eastAsia="en-GB"/>
        </w:rPr>
        <w:t>Borloz</w:t>
      </w:r>
      <w:proofErr w:type="spellEnd"/>
      <w:r w:rsidRPr="00431685">
        <w:rPr>
          <w:rFonts w:eastAsia="Times New Roman" w:cstheme="minorHAnsi"/>
          <w:b/>
          <w:lang w:val="es-ES" w:eastAsia="en-GB"/>
        </w:rPr>
        <w:t>-Madrigal</w:t>
      </w:r>
    </w:p>
    <w:p w:rsidR="0053365D" w:rsidRPr="00431685" w:rsidRDefault="0053365D" w:rsidP="0053365D">
      <w:pPr>
        <w:spacing w:after="0" w:line="240" w:lineRule="auto"/>
        <w:jc w:val="both"/>
        <w:rPr>
          <w:rFonts w:eastAsia="Arial" w:cstheme="minorHAnsi"/>
          <w:b/>
          <w:lang w:val="es-ES" w:eastAsia="zh-CN"/>
        </w:rPr>
      </w:pPr>
      <w:r w:rsidRPr="00431685">
        <w:rPr>
          <w:rFonts w:eastAsia="Arial" w:cstheme="minorHAnsi"/>
          <w:b/>
          <w:lang w:val="es-ES" w:eastAsia="zh-CN"/>
        </w:rPr>
        <w:t xml:space="preserve">Experto independiente en protección contra la violencia y discriminación </w:t>
      </w:r>
    </w:p>
    <w:p w:rsidR="00CC28C3" w:rsidRPr="00431685" w:rsidRDefault="0053365D" w:rsidP="0053365D">
      <w:pPr>
        <w:spacing w:after="0" w:line="240" w:lineRule="auto"/>
        <w:jc w:val="both"/>
        <w:rPr>
          <w:rFonts w:eastAsia="Arial" w:cstheme="minorHAnsi"/>
          <w:b/>
          <w:lang w:val="es-ES" w:eastAsia="zh-CN"/>
        </w:rPr>
      </w:pPr>
      <w:r w:rsidRPr="00431685">
        <w:rPr>
          <w:rFonts w:eastAsia="Arial" w:cstheme="minorHAnsi"/>
          <w:b/>
          <w:lang w:val="es-ES" w:eastAsia="zh-CN"/>
        </w:rPr>
        <w:t>por orientación sexual e identidad de género</w:t>
      </w:r>
    </w:p>
    <w:p w:rsidR="0053365D" w:rsidRPr="00431685" w:rsidRDefault="0053365D" w:rsidP="0053365D">
      <w:pPr>
        <w:spacing w:after="0" w:line="240" w:lineRule="auto"/>
        <w:jc w:val="both"/>
        <w:rPr>
          <w:rFonts w:eastAsia="Arial" w:cstheme="minorHAnsi"/>
          <w:b/>
          <w:lang w:val="es-ES" w:eastAsia="zh-CN"/>
        </w:rPr>
      </w:pPr>
      <w:r w:rsidRPr="00431685">
        <w:rPr>
          <w:rFonts w:eastAsia="Arial" w:cstheme="minorHAnsi"/>
          <w:b/>
          <w:lang w:val="es-ES" w:eastAsia="zh-CN"/>
        </w:rPr>
        <w:t>Presente. -</w:t>
      </w:r>
    </w:p>
    <w:p w:rsidR="0053365D" w:rsidRPr="00431685" w:rsidRDefault="0053365D" w:rsidP="0053365D">
      <w:pPr>
        <w:spacing w:after="0" w:line="240" w:lineRule="auto"/>
        <w:jc w:val="both"/>
        <w:rPr>
          <w:rFonts w:eastAsia="Arial" w:cstheme="minorHAnsi"/>
          <w:lang w:val="es-ES" w:eastAsia="zh-CN"/>
        </w:rPr>
      </w:pPr>
    </w:p>
    <w:p w:rsidR="0053365D" w:rsidRPr="0053365D" w:rsidRDefault="0053365D" w:rsidP="00431685">
      <w:pPr>
        <w:autoSpaceDE w:val="0"/>
        <w:autoSpaceDN w:val="0"/>
        <w:adjustRightInd w:val="0"/>
        <w:spacing w:after="0" w:line="240" w:lineRule="auto"/>
        <w:ind w:left="2832"/>
        <w:rPr>
          <w:rFonts w:eastAsia="Arial" w:cstheme="minorHAnsi"/>
          <w:b/>
          <w:color w:val="000000"/>
          <w:lang w:val="es-ES" w:eastAsia="zh-CN"/>
        </w:rPr>
      </w:pPr>
      <w:r w:rsidRPr="00431685">
        <w:rPr>
          <w:rFonts w:eastAsia="Arial" w:cstheme="minorHAnsi"/>
          <w:b/>
          <w:color w:val="000000"/>
          <w:lang w:val="es-ES" w:eastAsia="zh-CN"/>
        </w:rPr>
        <w:t xml:space="preserve">Ref.: Aportes de </w:t>
      </w:r>
      <w:r w:rsidR="00431685" w:rsidRPr="00431685">
        <w:rPr>
          <w:rFonts w:eastAsia="Arial" w:cstheme="minorHAnsi"/>
          <w:b/>
          <w:color w:val="000000"/>
          <w:lang w:val="es-ES" w:eastAsia="zh-CN"/>
        </w:rPr>
        <w:t xml:space="preserve">la organización IGUAL de </w:t>
      </w:r>
      <w:r w:rsidRPr="00431685">
        <w:rPr>
          <w:rFonts w:eastAsia="Arial" w:cstheme="minorHAnsi"/>
          <w:b/>
          <w:color w:val="000000"/>
          <w:lang w:val="es-ES" w:eastAsia="zh-CN"/>
        </w:rPr>
        <w:t xml:space="preserve">Bolivia al </w:t>
      </w:r>
      <w:r w:rsidRPr="0053365D">
        <w:rPr>
          <w:rFonts w:eastAsia="Arial" w:cstheme="minorHAnsi"/>
          <w:b/>
          <w:color w:val="000000"/>
          <w:lang w:val="es-ES" w:eastAsia="zh-CN"/>
        </w:rPr>
        <w:t>Informe del experto independiente sobre protección contra la violencia y la discriminación por orientación sexual e identidad de género</w:t>
      </w:r>
    </w:p>
    <w:p w:rsidR="0053365D" w:rsidRPr="00431685" w:rsidRDefault="0053365D" w:rsidP="00431685">
      <w:pPr>
        <w:pBdr>
          <w:top w:val="nil"/>
          <w:left w:val="nil"/>
          <w:bottom w:val="nil"/>
          <w:right w:val="nil"/>
          <w:between w:val="nil"/>
        </w:pBdr>
        <w:spacing w:after="0" w:line="276" w:lineRule="auto"/>
        <w:jc w:val="right"/>
        <w:rPr>
          <w:rFonts w:eastAsia="Helvetica Neue" w:cstheme="minorHAnsi"/>
          <w:lang w:val="es-ES" w:eastAsia="zh-CN"/>
        </w:rPr>
      </w:pPr>
    </w:p>
    <w:p w:rsidR="0053365D" w:rsidRPr="00431685" w:rsidRDefault="0053365D" w:rsidP="00431685">
      <w:pPr>
        <w:pBdr>
          <w:top w:val="nil"/>
          <w:left w:val="nil"/>
          <w:bottom w:val="nil"/>
          <w:right w:val="nil"/>
          <w:between w:val="nil"/>
        </w:pBdr>
        <w:spacing w:before="120" w:after="120" w:line="240" w:lineRule="auto"/>
        <w:jc w:val="both"/>
        <w:rPr>
          <w:rFonts w:eastAsia="Helvetica Neue" w:cstheme="minorHAnsi"/>
          <w:lang w:val="es-ES" w:eastAsia="zh-CN"/>
        </w:rPr>
      </w:pPr>
      <w:r w:rsidRPr="00431685">
        <w:rPr>
          <w:rFonts w:eastAsia="Helvetica Neue" w:cstheme="minorHAnsi"/>
          <w:lang w:val="es-ES" w:eastAsia="zh-CN"/>
        </w:rPr>
        <w:t>Distinguido Experto Independiente,</w:t>
      </w:r>
    </w:p>
    <w:p w:rsidR="0053365D" w:rsidRPr="00431685" w:rsidRDefault="0053365D" w:rsidP="00431685">
      <w:pPr>
        <w:pBdr>
          <w:top w:val="nil"/>
          <w:left w:val="nil"/>
          <w:bottom w:val="nil"/>
          <w:right w:val="nil"/>
          <w:between w:val="nil"/>
        </w:pBdr>
        <w:spacing w:before="120" w:after="120" w:line="240" w:lineRule="auto"/>
        <w:jc w:val="both"/>
        <w:rPr>
          <w:rFonts w:eastAsia="Helvetica Neue" w:cstheme="minorHAnsi"/>
          <w:lang w:eastAsia="zh-CN"/>
        </w:rPr>
      </w:pPr>
      <w:r w:rsidRPr="00431685">
        <w:rPr>
          <w:rFonts w:eastAsia="Helvetica Neue" w:cstheme="minorHAnsi"/>
          <w:lang w:val="es-ES" w:eastAsia="zh-CN"/>
        </w:rPr>
        <w:t>Me dirijo a su pe</w:t>
      </w:r>
      <w:r w:rsidR="00CC28C3">
        <w:rPr>
          <w:rFonts w:eastAsia="Helvetica Neue" w:cstheme="minorHAnsi"/>
          <w:lang w:val="es-ES" w:eastAsia="zh-CN"/>
        </w:rPr>
        <w:t>rsona, con el fin de informarle</w:t>
      </w:r>
      <w:r w:rsidRPr="00431685">
        <w:rPr>
          <w:rFonts w:eastAsia="Helvetica Neue" w:cstheme="minorHAnsi"/>
          <w:lang w:val="es-ES" w:eastAsia="zh-CN"/>
        </w:rPr>
        <w:t xml:space="preserve"> que </w:t>
      </w:r>
      <w:r w:rsidRPr="00431685">
        <w:rPr>
          <w:rFonts w:eastAsia="Helvetica Neue" w:cstheme="minorHAnsi"/>
          <w:b/>
          <w:lang w:eastAsia="zh-CN"/>
        </w:rPr>
        <w:t>IGUAL</w:t>
      </w:r>
      <w:r w:rsidRPr="00431685">
        <w:rPr>
          <w:rFonts w:eastAsia="Helvetica Neue" w:cstheme="minorHAnsi"/>
          <w:lang w:eastAsia="zh-CN"/>
        </w:rPr>
        <w:t xml:space="preserve">, es una organización </w:t>
      </w:r>
      <w:r w:rsidR="00CC28C3">
        <w:rPr>
          <w:rFonts w:eastAsia="Helvetica Neue" w:cstheme="minorHAnsi"/>
          <w:lang w:eastAsia="zh-CN"/>
        </w:rPr>
        <w:t xml:space="preserve">del </w:t>
      </w:r>
      <w:r w:rsidR="00CC28C3" w:rsidRPr="00CC28C3">
        <w:rPr>
          <w:rFonts w:eastAsia="Helvetica Neue" w:cstheme="minorHAnsi"/>
          <w:b/>
          <w:lang w:eastAsia="zh-CN"/>
        </w:rPr>
        <w:t>Estado Plurinacional de Bolivia</w:t>
      </w:r>
      <w:r w:rsidR="00CC28C3">
        <w:rPr>
          <w:rFonts w:eastAsia="Helvetica Neue" w:cstheme="minorHAnsi"/>
          <w:lang w:eastAsia="zh-CN"/>
        </w:rPr>
        <w:t xml:space="preserve">, </w:t>
      </w:r>
      <w:r w:rsidRPr="00431685">
        <w:rPr>
          <w:rFonts w:eastAsia="Helvetica Neue" w:cstheme="minorHAnsi"/>
          <w:lang w:eastAsia="zh-CN"/>
        </w:rPr>
        <w:t xml:space="preserve">que tiene como objetivo: implementar acciones de incidencia política, legal y social para la defensa, reconocimiento y promoción de los derechos de la población con diversa orientación sexual e identidad de género, para contribuir a una sociedad con igualdad, equidad, justicia, responsabilidad social, libre de discriminación y violencia en el Estado Plurinacional de Bolivia. </w:t>
      </w:r>
    </w:p>
    <w:p w:rsidR="0053365D" w:rsidRPr="0053365D" w:rsidRDefault="0053365D" w:rsidP="00431685">
      <w:pPr>
        <w:pBdr>
          <w:top w:val="nil"/>
          <w:left w:val="nil"/>
          <w:bottom w:val="nil"/>
          <w:right w:val="nil"/>
          <w:between w:val="nil"/>
        </w:pBdr>
        <w:spacing w:before="120" w:after="120" w:line="240" w:lineRule="auto"/>
        <w:jc w:val="both"/>
        <w:rPr>
          <w:rFonts w:eastAsia="Helvetica Neue" w:cstheme="minorHAnsi"/>
          <w:lang w:val="en-US" w:eastAsia="zh-CN"/>
        </w:rPr>
      </w:pPr>
      <w:r w:rsidRPr="00431685">
        <w:rPr>
          <w:rFonts w:eastAsia="Helvetica Neue" w:cstheme="minorHAnsi"/>
          <w:lang w:eastAsia="zh-CN"/>
        </w:rPr>
        <w:t xml:space="preserve">IGUAL, </w:t>
      </w:r>
      <w:r w:rsidR="00431685" w:rsidRPr="00431685">
        <w:rPr>
          <w:rFonts w:eastAsia="Helvetica Neue" w:cstheme="minorHAnsi"/>
          <w:lang w:eastAsia="zh-CN"/>
        </w:rPr>
        <w:t>forma parte de la</w:t>
      </w:r>
      <w:r w:rsidRPr="00431685">
        <w:rPr>
          <w:rFonts w:eastAsia="Helvetica Neue" w:cstheme="minorHAnsi"/>
          <w:lang w:eastAsia="zh-CN"/>
        </w:rPr>
        <w:t xml:space="preserve"> </w:t>
      </w:r>
      <w:r w:rsidRPr="00431685">
        <w:rPr>
          <w:rFonts w:eastAsia="Helvetica Neue" w:cstheme="minorHAnsi"/>
          <w:b/>
          <w:lang w:eastAsia="zh-CN"/>
        </w:rPr>
        <w:t>Plataforma Derechos Aquí y Ahora – Bolivia</w:t>
      </w:r>
      <w:r w:rsidR="00431685" w:rsidRPr="00431685">
        <w:rPr>
          <w:rFonts w:eastAsia="Helvetica Neue" w:cstheme="minorHAnsi"/>
          <w:b/>
          <w:lang w:eastAsia="zh-CN"/>
        </w:rPr>
        <w:t>;</w:t>
      </w:r>
      <w:r w:rsidRPr="00431685">
        <w:rPr>
          <w:rFonts w:eastAsia="Helvetica Neue" w:cstheme="minorHAnsi"/>
          <w:b/>
          <w:lang w:eastAsia="zh-CN"/>
        </w:rPr>
        <w:t xml:space="preserve"> alianza estratégica global denominada </w:t>
      </w:r>
      <w:proofErr w:type="spellStart"/>
      <w:r w:rsidRPr="00431685">
        <w:rPr>
          <w:rFonts w:eastAsia="Helvetica Neue" w:cstheme="minorHAnsi"/>
          <w:b/>
          <w:lang w:eastAsia="zh-CN"/>
        </w:rPr>
        <w:t>Right</w:t>
      </w:r>
      <w:proofErr w:type="spellEnd"/>
      <w:r w:rsidRPr="00431685">
        <w:rPr>
          <w:rFonts w:eastAsia="Helvetica Neue" w:cstheme="minorHAnsi"/>
          <w:b/>
          <w:lang w:eastAsia="zh-CN"/>
        </w:rPr>
        <w:t xml:space="preserve"> </w:t>
      </w:r>
      <w:proofErr w:type="spellStart"/>
      <w:r w:rsidRPr="00431685">
        <w:rPr>
          <w:rFonts w:eastAsia="Helvetica Neue" w:cstheme="minorHAnsi"/>
          <w:b/>
          <w:lang w:eastAsia="zh-CN"/>
        </w:rPr>
        <w:t>Here</w:t>
      </w:r>
      <w:proofErr w:type="spellEnd"/>
      <w:r w:rsidRPr="00431685">
        <w:rPr>
          <w:rFonts w:eastAsia="Helvetica Neue" w:cstheme="minorHAnsi"/>
          <w:b/>
          <w:lang w:eastAsia="zh-CN"/>
        </w:rPr>
        <w:t xml:space="preserve"> </w:t>
      </w:r>
      <w:proofErr w:type="spellStart"/>
      <w:r w:rsidRPr="00431685">
        <w:rPr>
          <w:rFonts w:eastAsia="Helvetica Neue" w:cstheme="minorHAnsi"/>
          <w:b/>
          <w:lang w:eastAsia="zh-CN"/>
        </w:rPr>
        <w:t>Right</w:t>
      </w:r>
      <w:proofErr w:type="spellEnd"/>
      <w:r w:rsidRPr="00431685">
        <w:rPr>
          <w:rFonts w:eastAsia="Helvetica Neue" w:cstheme="minorHAnsi"/>
          <w:b/>
          <w:lang w:eastAsia="zh-CN"/>
        </w:rPr>
        <w:t xml:space="preserve"> </w:t>
      </w:r>
      <w:proofErr w:type="spellStart"/>
      <w:r w:rsidRPr="00431685">
        <w:rPr>
          <w:rFonts w:eastAsia="Helvetica Neue" w:cstheme="minorHAnsi"/>
          <w:b/>
          <w:lang w:eastAsia="zh-CN"/>
        </w:rPr>
        <w:t>Now</w:t>
      </w:r>
      <w:proofErr w:type="spellEnd"/>
      <w:r w:rsidRPr="00431685">
        <w:rPr>
          <w:rFonts w:eastAsia="Helvetica Neue" w:cstheme="minorHAnsi"/>
          <w:b/>
          <w:lang w:eastAsia="zh-CN"/>
        </w:rPr>
        <w:t xml:space="preserve"> (RHRN) que está activa en diez países de África, Asia y América Latina, así como en la subregión del Caribe.</w:t>
      </w:r>
      <w:r w:rsidRPr="00431685">
        <w:rPr>
          <w:rFonts w:eastAsia="Helvetica Neue" w:cstheme="minorHAnsi"/>
          <w:lang w:eastAsia="zh-CN"/>
        </w:rPr>
        <w:t xml:space="preserve"> Esta alianza visualiza un mundo donde todas y todos las y los jóvenes podamos acceder a servicios de salud de calidad y respetuosos y a no temer expresar abiertamente quiénes somos y a quién amamos; esto es indispensable para ejercer nuestro derecho inalienable a tomar nuestras propias decisiones y llevar vidas felices y saludables. </w:t>
      </w:r>
      <w:r w:rsidRPr="00431685">
        <w:rPr>
          <w:rFonts w:eastAsia="Helvetica Neue" w:cstheme="minorHAnsi"/>
          <w:lang w:val="en-US" w:eastAsia="zh-CN"/>
        </w:rPr>
        <w:t xml:space="preserve">El </w:t>
      </w:r>
      <w:proofErr w:type="spellStart"/>
      <w:r w:rsidRPr="00431685">
        <w:rPr>
          <w:rFonts w:eastAsia="Helvetica Neue" w:cstheme="minorHAnsi"/>
          <w:lang w:val="en-US" w:eastAsia="zh-CN"/>
        </w:rPr>
        <w:t>consorcio</w:t>
      </w:r>
      <w:proofErr w:type="spellEnd"/>
      <w:r w:rsidRPr="00431685">
        <w:rPr>
          <w:rFonts w:eastAsia="Helvetica Neue" w:cstheme="minorHAnsi"/>
          <w:lang w:val="en-US" w:eastAsia="zh-CN"/>
        </w:rPr>
        <w:t xml:space="preserve"> RHRN </w:t>
      </w:r>
      <w:proofErr w:type="spellStart"/>
      <w:r w:rsidRPr="00431685">
        <w:rPr>
          <w:rFonts w:eastAsia="Helvetica Neue" w:cstheme="minorHAnsi"/>
          <w:lang w:val="en-US" w:eastAsia="zh-CN"/>
        </w:rPr>
        <w:t>está</w:t>
      </w:r>
      <w:proofErr w:type="spellEnd"/>
      <w:r w:rsidRPr="00431685">
        <w:rPr>
          <w:rFonts w:eastAsia="Helvetica Neue" w:cstheme="minorHAnsi"/>
          <w:lang w:val="en-US" w:eastAsia="zh-CN"/>
        </w:rPr>
        <w:t xml:space="preserve"> </w:t>
      </w:r>
      <w:proofErr w:type="spellStart"/>
      <w:r w:rsidRPr="00431685">
        <w:rPr>
          <w:rFonts w:eastAsia="Helvetica Neue" w:cstheme="minorHAnsi"/>
          <w:lang w:val="en-US" w:eastAsia="zh-CN"/>
        </w:rPr>
        <w:t>formado</w:t>
      </w:r>
      <w:proofErr w:type="spellEnd"/>
      <w:r w:rsidRPr="00431685">
        <w:rPr>
          <w:rFonts w:eastAsia="Helvetica Neue" w:cstheme="minorHAnsi"/>
          <w:lang w:val="en-US" w:eastAsia="zh-CN"/>
        </w:rPr>
        <w:t xml:space="preserve"> </w:t>
      </w:r>
      <w:proofErr w:type="spellStart"/>
      <w:r w:rsidRPr="00431685">
        <w:rPr>
          <w:rFonts w:eastAsia="Helvetica Neue" w:cstheme="minorHAnsi"/>
          <w:lang w:val="en-US" w:eastAsia="zh-CN"/>
        </w:rPr>
        <w:t>por</w:t>
      </w:r>
      <w:proofErr w:type="spellEnd"/>
      <w:r w:rsidRPr="00431685">
        <w:rPr>
          <w:rFonts w:eastAsia="Helvetica Neue" w:cstheme="minorHAnsi"/>
          <w:lang w:val="en-US" w:eastAsia="zh-CN"/>
        </w:rPr>
        <w:t xml:space="preserve"> Rutgers (</w:t>
      </w:r>
      <w:proofErr w:type="spellStart"/>
      <w:r w:rsidRPr="00431685">
        <w:rPr>
          <w:rFonts w:eastAsia="Helvetica Neue" w:cstheme="minorHAnsi"/>
          <w:lang w:val="en-US" w:eastAsia="zh-CN"/>
        </w:rPr>
        <w:t>líder</w:t>
      </w:r>
      <w:proofErr w:type="spellEnd"/>
      <w:r w:rsidRPr="00431685">
        <w:rPr>
          <w:rFonts w:eastAsia="Helvetica Neue" w:cstheme="minorHAnsi"/>
          <w:lang w:val="en-US" w:eastAsia="zh-CN"/>
        </w:rPr>
        <w:t xml:space="preserve">), </w:t>
      </w:r>
      <w:proofErr w:type="spellStart"/>
      <w:r w:rsidRPr="00431685">
        <w:rPr>
          <w:rFonts w:eastAsia="Helvetica Neue" w:cstheme="minorHAnsi"/>
          <w:lang w:val="en-US" w:eastAsia="zh-CN"/>
        </w:rPr>
        <w:t>Hivos</w:t>
      </w:r>
      <w:proofErr w:type="spellEnd"/>
      <w:r w:rsidRPr="00431685">
        <w:rPr>
          <w:rFonts w:eastAsia="Helvetica Neue" w:cstheme="minorHAnsi"/>
          <w:lang w:val="en-US" w:eastAsia="zh-CN"/>
        </w:rPr>
        <w:t>, CHOICE for Youth and Sexuality, dance4life, ARROW, IPPF AR y LACWHN. </w:t>
      </w:r>
    </w:p>
    <w:p w:rsidR="0053365D" w:rsidRPr="0053365D" w:rsidRDefault="0053365D" w:rsidP="00431685">
      <w:pPr>
        <w:pBdr>
          <w:top w:val="nil"/>
          <w:left w:val="nil"/>
          <w:bottom w:val="nil"/>
          <w:right w:val="nil"/>
          <w:between w:val="nil"/>
        </w:pBdr>
        <w:spacing w:before="120" w:after="120" w:line="240" w:lineRule="auto"/>
        <w:jc w:val="both"/>
        <w:rPr>
          <w:rFonts w:eastAsia="Helvetica Neue" w:cstheme="minorHAnsi"/>
          <w:lang w:eastAsia="zh-CN"/>
        </w:rPr>
      </w:pPr>
      <w:r w:rsidRPr="0053365D">
        <w:rPr>
          <w:rFonts w:eastAsia="Helvetica Neue" w:cstheme="minorHAnsi"/>
          <w:lang w:eastAsia="zh-CN"/>
        </w:rPr>
        <w:t xml:space="preserve">La plataforma nacional en Bolivia, está conformada por veintidós organizaciones, de las cuales diez son de jóvenes, siete son organizaciones LGBTI </w:t>
      </w:r>
      <w:r w:rsidR="00431685" w:rsidRPr="00431685">
        <w:rPr>
          <w:rFonts w:eastAsia="Helvetica Neue" w:cstheme="minorHAnsi"/>
          <w:lang w:eastAsia="zh-CN"/>
        </w:rPr>
        <w:t xml:space="preserve">(entre las cuales está IGUAL) </w:t>
      </w:r>
      <w:r w:rsidRPr="0053365D">
        <w:rPr>
          <w:rFonts w:eastAsia="Helvetica Neue" w:cstheme="minorHAnsi"/>
          <w:lang w:eastAsia="zh-CN"/>
        </w:rPr>
        <w:t>y cinco son organizaciones feministas de derechos sexuales y derechos reproductivos con énfasis en aborto seguro. </w:t>
      </w:r>
    </w:p>
    <w:p w:rsidR="0053365D" w:rsidRPr="00431685" w:rsidRDefault="00431685" w:rsidP="00431685">
      <w:pPr>
        <w:pBdr>
          <w:top w:val="nil"/>
          <w:left w:val="nil"/>
          <w:bottom w:val="nil"/>
          <w:right w:val="nil"/>
          <w:between w:val="nil"/>
        </w:pBdr>
        <w:spacing w:before="120" w:after="120" w:line="240" w:lineRule="auto"/>
        <w:jc w:val="both"/>
        <w:rPr>
          <w:rFonts w:eastAsia="Helvetica Neue" w:cstheme="minorHAnsi"/>
          <w:lang w:eastAsia="zh-CN"/>
        </w:rPr>
      </w:pPr>
      <w:r w:rsidRPr="00431685">
        <w:rPr>
          <w:rFonts w:eastAsia="Helvetica Neue" w:cstheme="minorHAnsi"/>
          <w:lang w:eastAsia="zh-CN"/>
        </w:rPr>
        <w:t>En cumplimiento al objetivo de IGUAL; así como nuestro compromiso de trabajo con la Plataforma Derechos Aquí y Ahora – Bolivia</w:t>
      </w:r>
      <w:r>
        <w:rPr>
          <w:rFonts w:eastAsia="Helvetica Neue" w:cstheme="minorHAnsi"/>
          <w:lang w:eastAsia="zh-CN"/>
        </w:rPr>
        <w:t>, remitimos la información solicitada desde la realidad del Estado Plurinacional de Bolivia:</w:t>
      </w:r>
    </w:p>
    <w:p w:rsidR="0053365D" w:rsidRPr="00431685" w:rsidRDefault="0053365D" w:rsidP="0053365D">
      <w:pPr>
        <w:pBdr>
          <w:top w:val="nil"/>
          <w:left w:val="nil"/>
          <w:bottom w:val="nil"/>
          <w:right w:val="nil"/>
          <w:between w:val="nil"/>
        </w:pBdr>
        <w:spacing w:after="0" w:line="276" w:lineRule="auto"/>
        <w:jc w:val="both"/>
        <w:rPr>
          <w:rFonts w:eastAsia="Helvetica Neue" w:cstheme="minorHAnsi"/>
          <w:lang w:val="es-ES" w:eastAsia="zh-CN"/>
        </w:rPr>
      </w:pPr>
    </w:p>
    <w:p w:rsidR="00431685" w:rsidRPr="0076690D" w:rsidRDefault="0053365D" w:rsidP="00431685">
      <w:pPr>
        <w:numPr>
          <w:ilvl w:val="0"/>
          <w:numId w:val="1"/>
        </w:numPr>
        <w:pBdr>
          <w:top w:val="nil"/>
          <w:left w:val="nil"/>
          <w:bottom w:val="nil"/>
          <w:right w:val="nil"/>
          <w:between w:val="nil"/>
        </w:pBdr>
        <w:spacing w:before="120" w:after="120" w:line="240" w:lineRule="auto"/>
        <w:ind w:hanging="357"/>
        <w:jc w:val="both"/>
        <w:rPr>
          <w:rFonts w:eastAsia="Helvetica Neue" w:cstheme="minorHAnsi"/>
          <w:b/>
          <w:color w:val="FF0000"/>
          <w:lang w:val="es-ES" w:eastAsia="zh-CN"/>
        </w:rPr>
      </w:pPr>
      <w:r w:rsidRPr="0076690D">
        <w:rPr>
          <w:rFonts w:eastAsia="Helvetica Neue" w:cstheme="minorHAnsi"/>
          <w:b/>
          <w:color w:val="FF0000"/>
          <w:lang w:val="es-ES" w:eastAsia="zh-CN"/>
        </w:rPr>
        <w:t>¿Cuáles son los esfuerzos actuales de los Estados para aumentar su conocimiento sobre la población LGBT? 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rsidR="0006700C" w:rsidRDefault="0006700C" w:rsidP="0006700C">
      <w:pPr>
        <w:pBdr>
          <w:top w:val="nil"/>
          <w:left w:val="nil"/>
          <w:bottom w:val="nil"/>
          <w:right w:val="nil"/>
          <w:between w:val="nil"/>
        </w:pBdr>
        <w:spacing w:before="120" w:after="120" w:line="240" w:lineRule="auto"/>
        <w:ind w:left="3"/>
        <w:jc w:val="both"/>
        <w:rPr>
          <w:rFonts w:eastAsia="Helvetica Neue" w:cstheme="minorHAnsi"/>
          <w:lang w:val="es-ES" w:eastAsia="zh-CN"/>
        </w:rPr>
      </w:pPr>
      <w:r w:rsidRPr="0006700C">
        <w:rPr>
          <w:rFonts w:eastAsia="Helvetica Neue" w:cstheme="minorHAnsi"/>
          <w:lang w:val="es-ES" w:eastAsia="zh-CN"/>
        </w:rPr>
        <w:t xml:space="preserve">Lamentamos </w:t>
      </w:r>
      <w:r>
        <w:rPr>
          <w:rFonts w:eastAsia="Helvetica Neue" w:cstheme="minorHAnsi"/>
          <w:lang w:val="es-ES" w:eastAsia="zh-CN"/>
        </w:rPr>
        <w:t xml:space="preserve">informar que </w:t>
      </w:r>
      <w:r w:rsidRPr="00CC28C3">
        <w:rPr>
          <w:rFonts w:eastAsia="Helvetica Neue" w:cstheme="minorHAnsi"/>
          <w:b/>
          <w:lang w:val="es-ES" w:eastAsia="zh-CN"/>
        </w:rPr>
        <w:t>no existe ningún esfuerzo por parte del Estado Plurinacional de Bolivia para aumentar su conocimiento sobre la población LGBT</w:t>
      </w:r>
      <w:r w:rsidR="00D21042" w:rsidRPr="00CC28C3">
        <w:rPr>
          <w:rFonts w:eastAsia="Helvetica Neue" w:cstheme="minorHAnsi"/>
          <w:b/>
          <w:lang w:val="es-ES" w:eastAsia="zh-CN"/>
        </w:rPr>
        <w:t>I</w:t>
      </w:r>
      <w:r w:rsidRPr="00CC28C3">
        <w:rPr>
          <w:rFonts w:eastAsia="Helvetica Neue" w:cstheme="minorHAnsi"/>
          <w:lang w:val="es-ES" w:eastAsia="zh-CN"/>
        </w:rPr>
        <w:t>.</w:t>
      </w:r>
      <w:r>
        <w:rPr>
          <w:rFonts w:eastAsia="Helvetica Neue" w:cstheme="minorHAnsi"/>
          <w:lang w:val="es-ES" w:eastAsia="zh-CN"/>
        </w:rPr>
        <w:t xml:space="preserve"> El Instituto Nacional de Estadísticas de Bolivia,</w:t>
      </w:r>
      <w:r w:rsidR="00D21042">
        <w:rPr>
          <w:rFonts w:eastAsia="Helvetica Neue" w:cstheme="minorHAnsi"/>
          <w:lang w:val="es-ES" w:eastAsia="zh-CN"/>
        </w:rPr>
        <w:t xml:space="preserve"> es la </w:t>
      </w:r>
      <w:r>
        <w:rPr>
          <w:rFonts w:eastAsia="Helvetica Neue" w:cstheme="minorHAnsi"/>
          <w:lang w:val="es-ES" w:eastAsia="zh-CN"/>
        </w:rPr>
        <w:t xml:space="preserve">instancia gubernamental competente </w:t>
      </w:r>
      <w:r w:rsidR="00D21042">
        <w:rPr>
          <w:rFonts w:eastAsia="Helvetica Neue" w:cstheme="minorHAnsi"/>
          <w:lang w:val="es-ES" w:eastAsia="zh-CN"/>
        </w:rPr>
        <w:t xml:space="preserve">que debería contar con dicha información. Sin embargo, </w:t>
      </w:r>
      <w:r>
        <w:rPr>
          <w:rFonts w:eastAsia="Helvetica Neue" w:cstheme="minorHAnsi"/>
          <w:lang w:val="es-ES" w:eastAsia="zh-CN"/>
        </w:rPr>
        <w:t xml:space="preserve">no cuenta con ninguna base de datos ni encuestas que incluya la </w:t>
      </w:r>
      <w:r>
        <w:rPr>
          <w:rFonts w:eastAsia="Helvetica Neue" w:cstheme="minorHAnsi"/>
          <w:lang w:val="es-ES" w:eastAsia="zh-CN"/>
        </w:rPr>
        <w:lastRenderedPageBreak/>
        <w:t xml:space="preserve">orientación sexual e identidad de género, menos aún en </w:t>
      </w:r>
      <w:r w:rsidR="00D21042">
        <w:rPr>
          <w:rFonts w:eastAsia="Helvetica Neue" w:cstheme="minorHAnsi"/>
          <w:lang w:val="es-ES" w:eastAsia="zh-CN"/>
        </w:rPr>
        <w:t>relación a la</w:t>
      </w:r>
      <w:r>
        <w:rPr>
          <w:rFonts w:eastAsia="Helvetica Neue" w:cstheme="minorHAnsi"/>
          <w:lang w:val="es-ES" w:eastAsia="zh-CN"/>
        </w:rPr>
        <w:t xml:space="preserve"> salud, ingresos, condiciones de vida u otras</w:t>
      </w:r>
      <w:r w:rsidR="00D21042">
        <w:rPr>
          <w:rFonts w:eastAsia="Helvetica Neue" w:cstheme="minorHAnsi"/>
          <w:lang w:val="es-ES" w:eastAsia="zh-CN"/>
        </w:rPr>
        <w:t xml:space="preserve"> de la población LGBTI</w:t>
      </w:r>
      <w:r>
        <w:rPr>
          <w:rFonts w:eastAsia="Helvetica Neue" w:cstheme="minorHAnsi"/>
          <w:lang w:val="es-ES" w:eastAsia="zh-CN"/>
        </w:rPr>
        <w:t>.</w:t>
      </w:r>
    </w:p>
    <w:p w:rsidR="00D21042" w:rsidRDefault="00D21042" w:rsidP="00A24147">
      <w:pPr>
        <w:pBdr>
          <w:top w:val="nil"/>
          <w:left w:val="nil"/>
          <w:bottom w:val="nil"/>
          <w:right w:val="nil"/>
          <w:between w:val="nil"/>
        </w:pBdr>
        <w:spacing w:before="120" w:after="120" w:line="240" w:lineRule="auto"/>
        <w:ind w:left="3"/>
        <w:jc w:val="both"/>
        <w:rPr>
          <w:rFonts w:eastAsia="Helvetica Neue" w:cstheme="minorHAnsi"/>
          <w:b/>
          <w:bCs/>
          <w:lang w:eastAsia="zh-CN"/>
        </w:rPr>
      </w:pPr>
      <w:r w:rsidRPr="00CC28C3">
        <w:rPr>
          <w:rFonts w:eastAsia="Helvetica Neue" w:cstheme="minorHAnsi"/>
          <w:b/>
          <w:lang w:val="es-ES" w:eastAsia="zh-CN"/>
        </w:rPr>
        <w:t>Cabe informar, que el Estado Plurinaciona</w:t>
      </w:r>
      <w:r w:rsidR="00A24147" w:rsidRPr="00CC28C3">
        <w:rPr>
          <w:rFonts w:eastAsia="Helvetica Neue" w:cstheme="minorHAnsi"/>
          <w:b/>
          <w:lang w:val="es-ES" w:eastAsia="zh-CN"/>
        </w:rPr>
        <w:t xml:space="preserve">l de Bolivia, específicamente la Defensoría del Pueblo, </w:t>
      </w:r>
      <w:r w:rsidR="00A24147" w:rsidRPr="00CC28C3">
        <w:rPr>
          <w:rFonts w:eastAsia="Helvetica Neue" w:cstheme="minorHAnsi"/>
          <w:b/>
          <w:lang w:eastAsia="zh-CN"/>
        </w:rPr>
        <w:t xml:space="preserve">el Instituto Nacional de Estadísticas y la Policía Nacional, están incumpliendo el </w:t>
      </w:r>
      <w:r w:rsidR="00A24147" w:rsidRPr="00CC28C3">
        <w:rPr>
          <w:rFonts w:eastAsia="Helvetica Neue" w:cstheme="minorHAnsi"/>
          <w:b/>
          <w:lang w:val="es-ES" w:eastAsia="zh-CN"/>
        </w:rPr>
        <w:t>Decreto Supremo Nº 29851</w:t>
      </w:r>
      <w:r w:rsidR="00A24147">
        <w:rPr>
          <w:rFonts w:eastAsia="Helvetica Neue" w:cstheme="minorHAnsi"/>
          <w:lang w:val="es-ES" w:eastAsia="zh-CN"/>
        </w:rPr>
        <w:t xml:space="preserve"> </w:t>
      </w:r>
      <w:r w:rsidR="00A24147" w:rsidRPr="00CC28C3">
        <w:rPr>
          <w:rFonts w:eastAsia="Helvetica Neue" w:cstheme="minorHAnsi"/>
          <w:b/>
          <w:lang w:val="es-ES" w:eastAsia="zh-CN"/>
        </w:rPr>
        <w:t>“Plan Nacional de Acción de Derechos Humanos – Bolivia Para Vivir Bien 2009 – 2013”</w:t>
      </w:r>
      <w:r w:rsidR="00A24147">
        <w:rPr>
          <w:rFonts w:eastAsia="Helvetica Neue" w:cstheme="minorHAnsi"/>
          <w:lang w:val="es-ES" w:eastAsia="zh-CN"/>
        </w:rPr>
        <w:t xml:space="preserve">, promulgado el 10 de diciembre de 2008, que obligaba a estas instancias hasta el año 2011, </w:t>
      </w:r>
      <w:r w:rsidR="00A24147" w:rsidRPr="00A24147">
        <w:rPr>
          <w:rFonts w:eastAsia="Helvetica Neue" w:cstheme="minorHAnsi"/>
          <w:lang w:eastAsia="zh-CN"/>
        </w:rPr>
        <w:t xml:space="preserve">elaborar una base de datos con </w:t>
      </w:r>
      <w:r w:rsidR="00A24147" w:rsidRPr="00A24147">
        <w:rPr>
          <w:rFonts w:eastAsia="Helvetica Neue" w:cstheme="minorHAnsi"/>
          <w:b/>
          <w:bCs/>
          <w:lang w:eastAsia="zh-CN"/>
        </w:rPr>
        <w:t>información estadí</w:t>
      </w:r>
      <w:r w:rsidR="00A24147">
        <w:rPr>
          <w:rFonts w:eastAsia="Helvetica Neue" w:cstheme="minorHAnsi"/>
          <w:b/>
          <w:bCs/>
          <w:lang w:eastAsia="zh-CN"/>
        </w:rPr>
        <w:t xml:space="preserve">stica sobre </w:t>
      </w:r>
      <w:r w:rsidR="00A24147" w:rsidRPr="00A24147">
        <w:rPr>
          <w:rFonts w:eastAsia="Helvetica Neue" w:cstheme="minorHAnsi"/>
          <w:b/>
          <w:bCs/>
          <w:lang w:eastAsia="zh-CN"/>
        </w:rPr>
        <w:t xml:space="preserve">los tipos de crímenes de homofobia y </w:t>
      </w:r>
      <w:proofErr w:type="spellStart"/>
      <w:r w:rsidR="00A24147" w:rsidRPr="00A24147">
        <w:rPr>
          <w:rFonts w:eastAsia="Helvetica Neue" w:cstheme="minorHAnsi"/>
          <w:b/>
          <w:bCs/>
          <w:lang w:eastAsia="zh-CN"/>
        </w:rPr>
        <w:t>tr</w:t>
      </w:r>
      <w:r w:rsidR="00A24147">
        <w:rPr>
          <w:rFonts w:eastAsia="Helvetica Neue" w:cstheme="minorHAnsi"/>
          <w:b/>
          <w:bCs/>
          <w:lang w:eastAsia="zh-CN"/>
        </w:rPr>
        <w:t>ansfobia</w:t>
      </w:r>
      <w:proofErr w:type="spellEnd"/>
      <w:r w:rsidR="00A24147">
        <w:rPr>
          <w:rFonts w:eastAsia="Helvetica Neue" w:cstheme="minorHAnsi"/>
          <w:b/>
          <w:bCs/>
          <w:lang w:eastAsia="zh-CN"/>
        </w:rPr>
        <w:t xml:space="preserve"> practicados en Bolivia, que a la fecha no cuenta con ningún avance, a pesar de los diferentes esfuerzos de incidencia y exigibilidad por las/os defensoras/es de DDHH de la población LGBTI.</w:t>
      </w:r>
    </w:p>
    <w:p w:rsidR="00431685" w:rsidRPr="00CC28C3" w:rsidRDefault="00A24147" w:rsidP="00CC28C3">
      <w:pPr>
        <w:pBdr>
          <w:top w:val="nil"/>
          <w:left w:val="nil"/>
          <w:bottom w:val="nil"/>
          <w:right w:val="nil"/>
          <w:between w:val="nil"/>
        </w:pBdr>
        <w:spacing w:before="120" w:after="120" w:line="240" w:lineRule="auto"/>
        <w:ind w:left="3"/>
        <w:jc w:val="both"/>
        <w:rPr>
          <w:rFonts w:eastAsia="Helvetica Neue" w:cstheme="minorHAnsi"/>
          <w:bCs/>
          <w:lang w:eastAsia="zh-CN"/>
        </w:rPr>
      </w:pPr>
      <w:r w:rsidRPr="00A24147">
        <w:rPr>
          <w:rFonts w:eastAsia="Helvetica Neue" w:cstheme="minorHAnsi"/>
          <w:bCs/>
          <w:lang w:eastAsia="zh-CN"/>
        </w:rPr>
        <w:t xml:space="preserve">En </w:t>
      </w:r>
      <w:r>
        <w:rPr>
          <w:rFonts w:eastAsia="Helvetica Neue" w:cstheme="minorHAnsi"/>
          <w:bCs/>
          <w:lang w:eastAsia="zh-CN"/>
        </w:rPr>
        <w:t xml:space="preserve">relación a los registros administrativos, </w:t>
      </w:r>
      <w:r w:rsidR="0020390D">
        <w:rPr>
          <w:rFonts w:eastAsia="Helvetica Neue" w:cstheme="minorHAnsi"/>
          <w:bCs/>
          <w:lang w:eastAsia="zh-CN"/>
        </w:rPr>
        <w:t>el Estado boliviano solo cuenta con datos estadísticos de las personas transexuales y transgénero que han cambiado su nombre, dato del sexo e imagen de acuerdo al cumplimiento de</w:t>
      </w:r>
      <w:r>
        <w:rPr>
          <w:rFonts w:eastAsia="Helvetica Neue" w:cstheme="minorHAnsi"/>
          <w:bCs/>
          <w:lang w:eastAsia="zh-CN"/>
        </w:rPr>
        <w:t xml:space="preserve"> la </w:t>
      </w:r>
      <w:r w:rsidR="0020390D">
        <w:rPr>
          <w:rFonts w:eastAsia="Helvetica Neue" w:cstheme="minorHAnsi"/>
          <w:bCs/>
          <w:lang w:eastAsia="zh-CN"/>
        </w:rPr>
        <w:t>“</w:t>
      </w:r>
      <w:r>
        <w:rPr>
          <w:rFonts w:eastAsia="Helvetica Neue" w:cstheme="minorHAnsi"/>
          <w:bCs/>
          <w:lang w:eastAsia="zh-CN"/>
        </w:rPr>
        <w:t>Ley</w:t>
      </w:r>
      <w:r w:rsidR="00516933">
        <w:rPr>
          <w:rFonts w:eastAsia="Helvetica Neue" w:cstheme="minorHAnsi"/>
          <w:bCs/>
          <w:lang w:eastAsia="zh-CN"/>
        </w:rPr>
        <w:t xml:space="preserve"> N° 807 de Identidad de Género</w:t>
      </w:r>
      <w:r w:rsidR="0020390D">
        <w:rPr>
          <w:rFonts w:eastAsia="Helvetica Neue" w:cstheme="minorHAnsi"/>
          <w:bCs/>
          <w:lang w:eastAsia="zh-CN"/>
        </w:rPr>
        <w:t>”</w:t>
      </w:r>
      <w:r w:rsidR="00516933">
        <w:rPr>
          <w:rFonts w:eastAsia="Helvetica Neue" w:cstheme="minorHAnsi"/>
          <w:bCs/>
          <w:lang w:eastAsia="zh-CN"/>
        </w:rPr>
        <w:t xml:space="preserve"> </w:t>
      </w:r>
      <w:r w:rsidR="0020390D">
        <w:rPr>
          <w:rStyle w:val="Refdenotaalpie"/>
          <w:rFonts w:eastAsia="Helvetica Neue" w:cstheme="minorHAnsi"/>
          <w:bCs/>
          <w:lang w:eastAsia="zh-CN"/>
        </w:rPr>
        <w:footnoteReference w:id="1"/>
      </w:r>
      <w:r w:rsidR="0020390D">
        <w:rPr>
          <w:rFonts w:eastAsia="Helvetica Neue" w:cstheme="minorHAnsi"/>
          <w:bCs/>
          <w:lang w:eastAsia="zh-CN"/>
        </w:rPr>
        <w:t xml:space="preserve">, </w:t>
      </w:r>
      <w:r w:rsidR="00516933">
        <w:rPr>
          <w:rFonts w:eastAsia="Helvetica Neue" w:cstheme="minorHAnsi"/>
          <w:bCs/>
          <w:lang w:eastAsia="zh-CN"/>
        </w:rPr>
        <w:t>el Servicio de Registro Cívico (SERECI),</w:t>
      </w:r>
      <w:r w:rsidR="0020390D">
        <w:rPr>
          <w:rFonts w:eastAsia="Helvetica Neue" w:cstheme="minorHAnsi"/>
          <w:bCs/>
          <w:lang w:eastAsia="zh-CN"/>
        </w:rPr>
        <w:t xml:space="preserve"> es la instancia gubernamental que</w:t>
      </w:r>
      <w:r w:rsidR="00516933">
        <w:rPr>
          <w:rFonts w:eastAsia="Helvetica Neue" w:cstheme="minorHAnsi"/>
          <w:bCs/>
          <w:lang w:eastAsia="zh-CN"/>
        </w:rPr>
        <w:t xml:space="preserve"> cuenta con </w:t>
      </w:r>
      <w:r w:rsidR="0020390D">
        <w:rPr>
          <w:rFonts w:eastAsia="Helvetica Neue" w:cstheme="minorHAnsi"/>
          <w:bCs/>
          <w:lang w:eastAsia="zh-CN"/>
        </w:rPr>
        <w:t>dicha información.</w:t>
      </w:r>
    </w:p>
    <w:p w:rsidR="0053365D" w:rsidRPr="0076690D" w:rsidRDefault="0053365D" w:rsidP="0020390D">
      <w:pPr>
        <w:numPr>
          <w:ilvl w:val="0"/>
          <w:numId w:val="1"/>
        </w:numPr>
        <w:pBdr>
          <w:top w:val="nil"/>
          <w:left w:val="nil"/>
          <w:bottom w:val="nil"/>
          <w:right w:val="nil"/>
          <w:between w:val="nil"/>
        </w:pBdr>
        <w:spacing w:before="120" w:after="120" w:line="240" w:lineRule="auto"/>
        <w:ind w:left="284" w:hanging="357"/>
        <w:jc w:val="both"/>
        <w:rPr>
          <w:rFonts w:eastAsia="Helvetica Neue" w:cstheme="minorHAnsi"/>
          <w:b/>
          <w:color w:val="FF0000"/>
          <w:lang w:val="es-ES" w:eastAsia="zh-CN"/>
        </w:rPr>
      </w:pPr>
      <w:r w:rsidRPr="0076690D">
        <w:rPr>
          <w:rFonts w:eastAsia="Helvetica Neue" w:cstheme="minorHAnsi"/>
          <w:b/>
          <w:color w:val="FF0000"/>
          <w:lang w:val="es-ES" w:eastAsia="zh-CN"/>
        </w:rPr>
        <w:t xml:space="preserve">¿Qué tipo de datos puede recopilar el gobierno para comprender la naturaleza y el alcance de la violencia (por ejemplo, a través de estadísticas sobre los delitos de odio y la incitación al odio LGBT), la discriminación y las disparidades en la salud, la educación, el trabajo, la participación cívica y otras áreas importantes? </w:t>
      </w:r>
    </w:p>
    <w:p w:rsidR="0020390D" w:rsidRDefault="004A58BA" w:rsidP="001A43CC">
      <w:pPr>
        <w:tabs>
          <w:tab w:val="left" w:pos="1185"/>
        </w:tabs>
        <w:autoSpaceDE w:val="0"/>
        <w:autoSpaceDN w:val="0"/>
        <w:adjustRightInd w:val="0"/>
        <w:spacing w:before="120" w:after="120" w:line="240" w:lineRule="auto"/>
        <w:jc w:val="both"/>
        <w:rPr>
          <w:rFonts w:eastAsia="Helvetica Neue" w:cstheme="minorHAnsi"/>
          <w:b/>
          <w:lang w:val="es-ES" w:eastAsia="zh-CN"/>
        </w:rPr>
      </w:pPr>
      <w:r w:rsidRPr="006B657C">
        <w:rPr>
          <w:rFonts w:eastAsia="Helvetica Neue" w:cstheme="minorHAnsi"/>
          <w:lang w:val="es-ES" w:eastAsia="zh-CN"/>
        </w:rPr>
        <w:t xml:space="preserve">El Estado Plurinacional de Bolivia, </w:t>
      </w:r>
      <w:r w:rsidR="00162549" w:rsidRPr="006B657C">
        <w:rPr>
          <w:rFonts w:eastAsia="Helvetica Neue" w:cstheme="minorHAnsi"/>
          <w:b/>
          <w:lang w:val="es-ES" w:eastAsia="zh-CN"/>
        </w:rPr>
        <w:t xml:space="preserve">a la fecha </w:t>
      </w:r>
      <w:r w:rsidRPr="006B657C">
        <w:rPr>
          <w:rFonts w:eastAsia="Helvetica Neue" w:cstheme="minorHAnsi"/>
          <w:b/>
          <w:lang w:val="es-ES" w:eastAsia="zh-CN"/>
        </w:rPr>
        <w:t>no cuenta con la tipificación penal “crímenes de odio por orientación sexual e identidad de género”.</w:t>
      </w:r>
      <w:r w:rsidRPr="006B657C">
        <w:rPr>
          <w:rFonts w:eastAsia="Helvetica Neue" w:cstheme="minorHAnsi"/>
          <w:lang w:val="es-ES" w:eastAsia="zh-CN"/>
        </w:rPr>
        <w:t xml:space="preserve"> </w:t>
      </w:r>
      <w:r w:rsidR="00162549" w:rsidRPr="006B657C">
        <w:rPr>
          <w:rFonts w:eastAsia="Helvetica Neue" w:cstheme="minorHAnsi"/>
          <w:lang w:val="es-ES" w:eastAsia="zh-CN"/>
        </w:rPr>
        <w:t xml:space="preserve">Sin embargo, cabe informar que </w:t>
      </w:r>
      <w:r w:rsidRPr="006B657C">
        <w:rPr>
          <w:rFonts w:eastAsia="Helvetica Neue" w:cstheme="minorHAnsi"/>
          <w:lang w:val="es-ES" w:eastAsia="zh-CN"/>
        </w:rPr>
        <w:t>después de más de 5 años de lucha de defensoras/es de DDHH de la población LGBTI</w:t>
      </w:r>
      <w:r w:rsidR="00162549" w:rsidRPr="006B657C">
        <w:rPr>
          <w:rFonts w:eastAsia="Helvetica Neue" w:cstheme="minorHAnsi"/>
          <w:lang w:val="es-ES" w:eastAsia="zh-CN"/>
        </w:rPr>
        <w:t>, se logró promulgar la Ley N° 1005 (Nuevo Código del Sistema Penal) en diciembre del año 2017, que incluía en las tipificaciones y agravantes las razones de orientación sexual e identidad de género en los siguientes tipos penales:  Artículo 81. (Crímenes de Lesa Humanidad), Artículo 84. (Homicidios – Asesinato con la agravante específica de odio por orientación sexual e identidad de género), Artículo 94. (Lesiones Gravísimas), Artículo 142. (Incitación al Racismo y a la Discriminación), Artículo 150. (Violencia en las Familias), Artículo 153. (Lesiones Graves y Leves) y el Artículo 349. (Calidad d</w:t>
      </w:r>
      <w:r w:rsidR="006B657C" w:rsidRPr="006B657C">
        <w:rPr>
          <w:rFonts w:eastAsia="Helvetica Neue" w:cstheme="minorHAnsi"/>
          <w:lang w:val="es-ES" w:eastAsia="zh-CN"/>
        </w:rPr>
        <w:t xml:space="preserve">e Víctima). </w:t>
      </w:r>
      <w:r w:rsidR="006B657C" w:rsidRPr="00F123CC">
        <w:rPr>
          <w:rFonts w:eastAsia="Helvetica Neue" w:cstheme="minorHAnsi"/>
          <w:b/>
          <w:lang w:val="es-ES" w:eastAsia="zh-CN"/>
        </w:rPr>
        <w:t>S</w:t>
      </w:r>
      <w:r w:rsidR="00162549" w:rsidRPr="00F123CC">
        <w:rPr>
          <w:rFonts w:eastAsia="Helvetica Neue" w:cstheme="minorHAnsi"/>
          <w:b/>
          <w:lang w:val="es-ES" w:eastAsia="zh-CN"/>
        </w:rPr>
        <w:t>in embargo, por diferentes conflictos sociales en fecha 25 de enero de 2018, mediante Ley N° 1027 se abrogó la Ley 1005 y hasta la fecha la Asamblea Legislativa no ha retomado el trata</w:t>
      </w:r>
      <w:r w:rsidR="00162549" w:rsidRPr="006B657C">
        <w:rPr>
          <w:rFonts w:eastAsia="Helvetica Neue" w:cstheme="minorHAnsi"/>
          <w:b/>
          <w:lang w:val="es-ES" w:eastAsia="zh-CN"/>
        </w:rPr>
        <w:t xml:space="preserve">miento de la Ley citada, dejando a la población con diversa orientación sexual e identidad de género en una situación de vulnerabilidad a sus derechos a la vida y seguridad personal. </w:t>
      </w:r>
    </w:p>
    <w:p w:rsidR="006B657C" w:rsidRDefault="006B657C" w:rsidP="001A43CC">
      <w:pPr>
        <w:widowControl w:val="0"/>
        <w:autoSpaceDE w:val="0"/>
        <w:autoSpaceDN w:val="0"/>
        <w:adjustRightInd w:val="0"/>
        <w:spacing w:before="120" w:after="120" w:line="240" w:lineRule="auto"/>
        <w:jc w:val="both"/>
        <w:rPr>
          <w:rFonts w:eastAsia="Helvetica Neue" w:cstheme="minorHAnsi"/>
          <w:b/>
          <w:bCs/>
          <w:lang w:eastAsia="zh-CN"/>
        </w:rPr>
      </w:pPr>
      <w:r>
        <w:rPr>
          <w:rFonts w:eastAsia="Helvetica Neue" w:cstheme="minorHAnsi"/>
          <w:lang w:val="es-ES" w:eastAsia="zh-CN"/>
        </w:rPr>
        <w:t>Caber resaltar que en fecha 8 de diciembre de 2010, se promulgó la Ley N° 045</w:t>
      </w:r>
      <w:r w:rsidRPr="006B657C">
        <w:rPr>
          <w:rFonts w:eastAsia="Helvetica Neue" w:cstheme="minorHAnsi"/>
          <w:lang w:val="es-ES" w:eastAsia="zh-CN"/>
        </w:rPr>
        <w:t xml:space="preserve"> </w:t>
      </w:r>
      <w:r>
        <w:rPr>
          <w:rFonts w:eastAsia="Helvetica Neue" w:cstheme="minorHAnsi"/>
          <w:lang w:val="es-ES" w:eastAsia="zh-CN"/>
        </w:rPr>
        <w:t>“Ley Contra el Racismo y toda forma de Discriminación”</w:t>
      </w:r>
      <w:r w:rsidRPr="001A43CC">
        <w:rPr>
          <w:rStyle w:val="Refdenotaalpie"/>
          <w:rFonts w:eastAsia="Helvetica Neue" w:cstheme="minorHAnsi"/>
          <w:i/>
          <w:lang w:eastAsia="zh-CN"/>
        </w:rPr>
        <w:footnoteReference w:id="2"/>
      </w:r>
      <w:r w:rsidR="001A43CC">
        <w:rPr>
          <w:rFonts w:eastAsia="Helvetica Neue" w:cstheme="minorHAnsi"/>
          <w:lang w:val="es-ES" w:eastAsia="zh-CN"/>
        </w:rPr>
        <w:t xml:space="preserve">, </w:t>
      </w:r>
      <w:r w:rsidR="00DC5021">
        <w:rPr>
          <w:rFonts w:eastAsia="Helvetica Neue" w:cstheme="minorHAnsi"/>
          <w:lang w:val="es-ES" w:eastAsia="zh-CN"/>
        </w:rPr>
        <w:t>incluye las razones de orientación sexual e identidad de género de manera específica</w:t>
      </w:r>
      <w:r w:rsidR="00DC5021" w:rsidRPr="00DC5021">
        <w:rPr>
          <w:rFonts w:eastAsia="Helvetica Neue" w:cstheme="minorHAnsi"/>
          <w:lang w:val="es-ES" w:eastAsia="zh-CN"/>
        </w:rPr>
        <w:t xml:space="preserve"> </w:t>
      </w:r>
      <w:r w:rsidR="00DC5021">
        <w:rPr>
          <w:rFonts w:eastAsia="Helvetica Neue" w:cstheme="minorHAnsi"/>
          <w:lang w:val="es-ES" w:eastAsia="zh-CN"/>
        </w:rPr>
        <w:t xml:space="preserve">en las siguientes tipificaciones penales: </w:t>
      </w:r>
      <w:r w:rsidR="00DC5021" w:rsidRPr="00DC5021">
        <w:rPr>
          <w:rFonts w:eastAsia="Helvetica Neue" w:cstheme="minorHAnsi"/>
          <w:b/>
          <w:lang w:val="es-ES" w:eastAsia="zh-CN"/>
        </w:rPr>
        <w:t>Discriminación, Difusión e Incitación al Racismo o a la Discriminación, Organizaciones o Asociaciones Racistas o  Discriminatorias e Insultos</w:t>
      </w:r>
      <w:r w:rsidR="00F123CC">
        <w:rPr>
          <w:rFonts w:eastAsia="Helvetica Neue" w:cstheme="minorHAnsi"/>
          <w:b/>
          <w:bCs/>
          <w:lang w:eastAsia="zh-CN"/>
        </w:rPr>
        <w:t xml:space="preserve"> y otras Agresiones Verbales por m</w:t>
      </w:r>
      <w:r w:rsidR="00DC5021" w:rsidRPr="00DC5021">
        <w:rPr>
          <w:rFonts w:eastAsia="Helvetica Neue" w:cstheme="minorHAnsi"/>
          <w:b/>
          <w:bCs/>
          <w:lang w:eastAsia="zh-CN"/>
        </w:rPr>
        <w:t xml:space="preserve">otivos </w:t>
      </w:r>
      <w:r w:rsidR="00DC5021">
        <w:rPr>
          <w:rFonts w:eastAsia="Helvetica Neue" w:cstheme="minorHAnsi"/>
          <w:b/>
          <w:bCs/>
          <w:lang w:eastAsia="zh-CN"/>
        </w:rPr>
        <w:t>Racistas o</w:t>
      </w:r>
      <w:r w:rsidR="00DC5021" w:rsidRPr="00DC5021">
        <w:rPr>
          <w:rFonts w:eastAsia="Helvetica Neue" w:cstheme="minorHAnsi"/>
          <w:b/>
          <w:bCs/>
          <w:lang w:eastAsia="zh-CN"/>
        </w:rPr>
        <w:t xml:space="preserve"> Discriminatorios</w:t>
      </w:r>
      <w:r w:rsidR="00DC5021">
        <w:rPr>
          <w:rFonts w:eastAsia="Helvetica Neue" w:cstheme="minorHAnsi"/>
          <w:b/>
          <w:bCs/>
          <w:lang w:eastAsia="zh-CN"/>
        </w:rPr>
        <w:t>.</w:t>
      </w:r>
    </w:p>
    <w:p w:rsidR="00DC5021" w:rsidRDefault="001A43CC" w:rsidP="001A43CC">
      <w:pPr>
        <w:widowControl w:val="0"/>
        <w:autoSpaceDE w:val="0"/>
        <w:autoSpaceDN w:val="0"/>
        <w:adjustRightInd w:val="0"/>
        <w:spacing w:before="120" w:after="120" w:line="240" w:lineRule="auto"/>
        <w:jc w:val="both"/>
        <w:rPr>
          <w:rFonts w:eastAsia="Helvetica Neue" w:cstheme="minorHAnsi"/>
          <w:i/>
          <w:lang w:eastAsia="zh-CN"/>
        </w:rPr>
      </w:pPr>
      <w:r>
        <w:rPr>
          <w:rFonts w:eastAsia="Helvetica Neue" w:cstheme="minorHAnsi"/>
          <w:lang w:eastAsia="zh-CN"/>
        </w:rPr>
        <w:t xml:space="preserve">Si bien las tipificaciones están vigentes, el </w:t>
      </w:r>
      <w:r w:rsidRPr="001A43CC">
        <w:rPr>
          <w:rFonts w:eastAsia="Helvetica Neue" w:cstheme="minorHAnsi"/>
          <w:lang w:eastAsia="zh-CN"/>
        </w:rPr>
        <w:t>Artículo 10</w:t>
      </w:r>
      <w:r>
        <w:rPr>
          <w:rFonts w:eastAsia="Helvetica Neue" w:cstheme="minorHAnsi"/>
          <w:lang w:eastAsia="zh-CN"/>
        </w:rPr>
        <w:t xml:space="preserve"> de la Ley 045, determina de manera textual:</w:t>
      </w:r>
      <w:r w:rsidRPr="001A43CC">
        <w:rPr>
          <w:rFonts w:eastAsia="Helvetica Neue" w:cstheme="minorHAnsi"/>
          <w:lang w:eastAsia="zh-CN"/>
        </w:rPr>
        <w:t xml:space="preserve"> </w:t>
      </w:r>
      <w:r w:rsidRPr="001A43CC">
        <w:rPr>
          <w:rFonts w:eastAsia="Helvetica Neue" w:cstheme="minorHAnsi"/>
          <w:b/>
          <w:i/>
          <w:lang w:eastAsia="zh-CN"/>
        </w:rPr>
        <w:t>“(Registro y Seguimiento de Procesos Administrativos y Judiciales por Racismo y toda forma de Discriminación).</w:t>
      </w:r>
      <w:r w:rsidRPr="001A43CC">
        <w:rPr>
          <w:rFonts w:eastAsia="Helvetica Neue" w:cstheme="minorHAnsi"/>
          <w:i/>
          <w:lang w:eastAsia="zh-CN"/>
        </w:rPr>
        <w:t xml:space="preserve"> Con fines de registro y seguimiento, el Comité Nacional Contra el Racismo y toda forma de Discriminación; el Ministerio de Culturas a través del Viceministerio de Descolonización, sistematizará y producirá información sobre los procesos administrativos y judiciales iniciados por causa de racismo y toda forma de discriminación.”</w:t>
      </w:r>
      <w:r>
        <w:rPr>
          <w:rStyle w:val="Refdenotaalpie"/>
          <w:rFonts w:eastAsia="Helvetica Neue" w:cstheme="minorHAnsi"/>
          <w:i/>
          <w:lang w:eastAsia="zh-CN"/>
        </w:rPr>
        <w:footnoteReference w:id="3"/>
      </w:r>
    </w:p>
    <w:p w:rsidR="00160234" w:rsidRDefault="001A43CC" w:rsidP="001A43CC">
      <w:pPr>
        <w:widowControl w:val="0"/>
        <w:autoSpaceDE w:val="0"/>
        <w:autoSpaceDN w:val="0"/>
        <w:adjustRightInd w:val="0"/>
        <w:spacing w:before="120" w:after="120" w:line="240" w:lineRule="auto"/>
        <w:jc w:val="both"/>
        <w:rPr>
          <w:rFonts w:eastAsia="Helvetica Neue" w:cstheme="minorHAnsi"/>
          <w:lang w:eastAsia="zh-CN"/>
        </w:rPr>
      </w:pPr>
      <w:r w:rsidRPr="001A43CC">
        <w:rPr>
          <w:rFonts w:eastAsia="Helvetica Neue" w:cstheme="minorHAnsi"/>
          <w:lang w:eastAsia="zh-CN"/>
        </w:rPr>
        <w:t xml:space="preserve">Sin embargo, en la práctica </w:t>
      </w:r>
      <w:r>
        <w:rPr>
          <w:rFonts w:eastAsia="Helvetica Neue" w:cstheme="minorHAnsi"/>
          <w:lang w:eastAsia="zh-CN"/>
        </w:rPr>
        <w:t>el Comité no ha dado cumplimiento a cabalidad el</w:t>
      </w:r>
      <w:r w:rsidR="00160234">
        <w:rPr>
          <w:rFonts w:eastAsia="Helvetica Neue" w:cstheme="minorHAnsi"/>
          <w:lang w:eastAsia="zh-CN"/>
        </w:rPr>
        <w:t xml:space="preserve"> artículo mencionado</w:t>
      </w:r>
      <w:r>
        <w:rPr>
          <w:rFonts w:eastAsia="Helvetica Neue" w:cstheme="minorHAnsi"/>
          <w:lang w:eastAsia="zh-CN"/>
        </w:rPr>
        <w:t>; además que no se cuenta con recursos económicos, humanos y confianza</w:t>
      </w:r>
      <w:r w:rsidR="00160234">
        <w:rPr>
          <w:rFonts w:eastAsia="Helvetica Neue" w:cstheme="minorHAnsi"/>
          <w:lang w:eastAsia="zh-CN"/>
        </w:rPr>
        <w:t xml:space="preserve"> por </w:t>
      </w:r>
      <w:r w:rsidR="00160234">
        <w:rPr>
          <w:rFonts w:eastAsia="Helvetica Neue" w:cstheme="minorHAnsi"/>
          <w:lang w:eastAsia="zh-CN"/>
        </w:rPr>
        <w:lastRenderedPageBreak/>
        <w:t>parte de la población LGBTI, con el fin de contar con un registro y seguimiento de procesos por delitos cometidos contra las personas por su orientación sexual e identidad de género.</w:t>
      </w:r>
    </w:p>
    <w:p w:rsidR="00C31949" w:rsidRDefault="00160234" w:rsidP="001A43CC">
      <w:pPr>
        <w:widowControl w:val="0"/>
        <w:autoSpaceDE w:val="0"/>
        <w:autoSpaceDN w:val="0"/>
        <w:adjustRightInd w:val="0"/>
        <w:spacing w:before="120" w:after="120" w:line="240" w:lineRule="auto"/>
        <w:jc w:val="both"/>
        <w:rPr>
          <w:rFonts w:eastAsia="Helvetica Neue" w:cstheme="minorHAnsi"/>
          <w:lang w:eastAsia="zh-CN"/>
        </w:rPr>
      </w:pPr>
      <w:r>
        <w:rPr>
          <w:rFonts w:eastAsia="Helvetica Neue" w:cstheme="minorHAnsi"/>
          <w:lang w:eastAsia="zh-CN"/>
        </w:rPr>
        <w:t>Claro ejemplo de lo afirmado, son lo</w:t>
      </w:r>
      <w:r w:rsidR="00C31949">
        <w:rPr>
          <w:rFonts w:eastAsia="Helvetica Neue" w:cstheme="minorHAnsi"/>
          <w:lang w:eastAsia="zh-CN"/>
        </w:rPr>
        <w:t>s siguientes datos de las denuncias realizadas desde el año 2012 al Comité:</w:t>
      </w:r>
    </w:p>
    <w:tbl>
      <w:tblPr>
        <w:tblStyle w:val="Tablaconcuadrcula"/>
        <w:tblW w:w="5118" w:type="dxa"/>
        <w:tblInd w:w="2107" w:type="dxa"/>
        <w:tblLook w:val="04A0" w:firstRow="1" w:lastRow="0" w:firstColumn="1" w:lastColumn="0" w:noHBand="0" w:noVBand="1"/>
      </w:tblPr>
      <w:tblGrid>
        <w:gridCol w:w="2030"/>
        <w:gridCol w:w="3088"/>
      </w:tblGrid>
      <w:tr w:rsidR="00C31949" w:rsidTr="002A5161">
        <w:trPr>
          <w:trHeight w:val="535"/>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Año</w:t>
            </w:r>
          </w:p>
        </w:tc>
        <w:tc>
          <w:tcPr>
            <w:tcW w:w="3088"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 xml:space="preserve">Reporte </w:t>
            </w:r>
            <w:r>
              <w:rPr>
                <w:rFonts w:eastAsia="Helvetica Neue" w:cstheme="minorHAnsi"/>
                <w:b/>
                <w:lang w:eastAsia="zh-CN"/>
              </w:rPr>
              <w:t xml:space="preserve">oficial </w:t>
            </w:r>
            <w:r w:rsidRPr="00C31949">
              <w:rPr>
                <w:rFonts w:eastAsia="Helvetica Neue" w:cstheme="minorHAnsi"/>
                <w:b/>
                <w:lang w:eastAsia="zh-CN"/>
              </w:rPr>
              <w:t xml:space="preserve">de denuncias </w:t>
            </w:r>
            <w:r>
              <w:rPr>
                <w:rFonts w:eastAsia="Helvetica Neue" w:cstheme="minorHAnsi"/>
                <w:b/>
                <w:lang w:eastAsia="zh-CN"/>
              </w:rPr>
              <w:t>por discriminación</w:t>
            </w:r>
            <w:r w:rsidRPr="00C31949">
              <w:rPr>
                <w:rFonts w:eastAsia="Helvetica Neue" w:cstheme="minorHAnsi"/>
                <w:b/>
                <w:lang w:eastAsia="zh-CN"/>
              </w:rPr>
              <w:t xml:space="preserve"> </w:t>
            </w:r>
            <w:r w:rsidR="002A5161">
              <w:rPr>
                <w:rFonts w:eastAsia="Helvetica Neue" w:cstheme="minorHAnsi"/>
                <w:b/>
                <w:lang w:eastAsia="zh-CN"/>
              </w:rPr>
              <w:t>por orientación sexual</w:t>
            </w:r>
            <w:r>
              <w:rPr>
                <w:rFonts w:eastAsia="Helvetica Neue" w:cstheme="minorHAnsi"/>
                <w:b/>
                <w:lang w:eastAsia="zh-CN"/>
              </w:rPr>
              <w:t xml:space="preserve"> del Comité Nacional Contra el racismo y toda forma de Discriminación</w:t>
            </w:r>
            <w:r w:rsidR="00F16AFE">
              <w:rPr>
                <w:rStyle w:val="Refdenotaalpie"/>
                <w:rFonts w:eastAsia="Helvetica Neue" w:cstheme="minorHAnsi"/>
                <w:lang w:eastAsia="zh-CN"/>
              </w:rPr>
              <w:footnoteReference w:id="4"/>
            </w:r>
          </w:p>
        </w:tc>
      </w:tr>
      <w:tr w:rsidR="00C31949" w:rsidTr="002A5161">
        <w:trPr>
          <w:trHeight w:val="254"/>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2012</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3</w:t>
            </w:r>
          </w:p>
        </w:tc>
      </w:tr>
      <w:tr w:rsidR="00C31949" w:rsidTr="002A5161">
        <w:trPr>
          <w:trHeight w:val="259"/>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2013</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2</w:t>
            </w:r>
          </w:p>
        </w:tc>
      </w:tr>
      <w:tr w:rsidR="00C31949" w:rsidTr="002A5161">
        <w:trPr>
          <w:trHeight w:val="259"/>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2014</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1</w:t>
            </w:r>
          </w:p>
        </w:tc>
      </w:tr>
      <w:tr w:rsidR="00C31949" w:rsidTr="002A5161">
        <w:trPr>
          <w:trHeight w:val="259"/>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2015</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No indica</w:t>
            </w:r>
          </w:p>
        </w:tc>
      </w:tr>
      <w:tr w:rsidR="00C31949" w:rsidTr="002A5161">
        <w:trPr>
          <w:trHeight w:val="259"/>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2016</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4</w:t>
            </w:r>
          </w:p>
        </w:tc>
      </w:tr>
      <w:tr w:rsidR="00C31949" w:rsidTr="002A5161">
        <w:trPr>
          <w:trHeight w:val="259"/>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2017</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2</w:t>
            </w:r>
          </w:p>
        </w:tc>
      </w:tr>
      <w:tr w:rsidR="00C31949" w:rsidTr="002A5161">
        <w:trPr>
          <w:trHeight w:val="259"/>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2018</w:t>
            </w:r>
          </w:p>
        </w:tc>
        <w:tc>
          <w:tcPr>
            <w:tcW w:w="3088" w:type="dxa"/>
          </w:tcPr>
          <w:p w:rsidR="00C31949" w:rsidRDefault="002A5161" w:rsidP="002A5161">
            <w:pPr>
              <w:widowControl w:val="0"/>
              <w:autoSpaceDE w:val="0"/>
              <w:autoSpaceDN w:val="0"/>
              <w:adjustRightInd w:val="0"/>
              <w:jc w:val="center"/>
              <w:rPr>
                <w:rFonts w:eastAsia="Helvetica Neue" w:cstheme="minorHAnsi"/>
                <w:lang w:eastAsia="zh-CN"/>
              </w:rPr>
            </w:pPr>
            <w:r>
              <w:rPr>
                <w:rFonts w:eastAsia="Helvetica Neue" w:cstheme="minorHAnsi"/>
                <w:lang w:eastAsia="zh-CN"/>
              </w:rPr>
              <w:t>3</w:t>
            </w:r>
          </w:p>
        </w:tc>
      </w:tr>
      <w:tr w:rsidR="00C31949" w:rsidTr="002A5161">
        <w:trPr>
          <w:trHeight w:val="35"/>
        </w:trPr>
        <w:tc>
          <w:tcPr>
            <w:tcW w:w="2030" w:type="dxa"/>
          </w:tcPr>
          <w:p w:rsidR="00C31949" w:rsidRPr="00C31949" w:rsidRDefault="00C31949" w:rsidP="002A5161">
            <w:pPr>
              <w:widowControl w:val="0"/>
              <w:autoSpaceDE w:val="0"/>
              <w:autoSpaceDN w:val="0"/>
              <w:adjustRightInd w:val="0"/>
              <w:jc w:val="center"/>
              <w:rPr>
                <w:rFonts w:eastAsia="Helvetica Neue" w:cstheme="minorHAnsi"/>
                <w:b/>
                <w:lang w:eastAsia="zh-CN"/>
              </w:rPr>
            </w:pPr>
            <w:r w:rsidRPr="00C31949">
              <w:rPr>
                <w:rFonts w:eastAsia="Helvetica Neue" w:cstheme="minorHAnsi"/>
                <w:b/>
                <w:lang w:eastAsia="zh-CN"/>
              </w:rPr>
              <w:t>2019</w:t>
            </w:r>
          </w:p>
        </w:tc>
        <w:tc>
          <w:tcPr>
            <w:tcW w:w="3088" w:type="dxa"/>
          </w:tcPr>
          <w:p w:rsidR="00C31949" w:rsidRDefault="002A5161" w:rsidP="00F16AFE">
            <w:pPr>
              <w:widowControl w:val="0"/>
              <w:autoSpaceDE w:val="0"/>
              <w:autoSpaceDN w:val="0"/>
              <w:adjustRightInd w:val="0"/>
              <w:jc w:val="center"/>
              <w:rPr>
                <w:rFonts w:eastAsia="Helvetica Neue" w:cstheme="minorHAnsi"/>
                <w:lang w:eastAsia="zh-CN"/>
              </w:rPr>
            </w:pPr>
            <w:r>
              <w:rPr>
                <w:rFonts w:eastAsia="Helvetica Neue" w:cstheme="minorHAnsi"/>
                <w:lang w:eastAsia="zh-CN"/>
              </w:rPr>
              <w:t>0</w:t>
            </w:r>
          </w:p>
        </w:tc>
      </w:tr>
    </w:tbl>
    <w:p w:rsidR="00F16AFE" w:rsidRDefault="00F16AFE" w:rsidP="00F16AFE">
      <w:pPr>
        <w:widowControl w:val="0"/>
        <w:autoSpaceDE w:val="0"/>
        <w:autoSpaceDN w:val="0"/>
        <w:adjustRightInd w:val="0"/>
        <w:spacing w:before="120" w:after="120" w:line="240" w:lineRule="auto"/>
        <w:jc w:val="both"/>
        <w:rPr>
          <w:rFonts w:eastAsia="Helvetica Neue" w:cstheme="minorHAnsi"/>
          <w:lang w:eastAsia="zh-CN"/>
        </w:rPr>
      </w:pPr>
      <w:r>
        <w:rPr>
          <w:rFonts w:eastAsia="Helvetica Neue" w:cstheme="minorHAnsi"/>
          <w:lang w:eastAsia="zh-CN"/>
        </w:rPr>
        <w:t>Además, llama particularmente la atención que el registro</w:t>
      </w:r>
      <w:r w:rsidR="00003332">
        <w:rPr>
          <w:rFonts w:eastAsia="Helvetica Neue" w:cstheme="minorHAnsi"/>
          <w:lang w:eastAsia="zh-CN"/>
        </w:rPr>
        <w:t xml:space="preserve"> oficial</w:t>
      </w:r>
      <w:r>
        <w:rPr>
          <w:rFonts w:eastAsia="Helvetica Neue" w:cstheme="minorHAnsi"/>
          <w:lang w:eastAsia="zh-CN"/>
        </w:rPr>
        <w:t xml:space="preserve">, solo incluya la razón de orientación sexual, </w:t>
      </w:r>
      <w:r w:rsidR="00F123CC">
        <w:rPr>
          <w:rFonts w:eastAsia="Helvetica Neue" w:cstheme="minorHAnsi"/>
          <w:lang w:eastAsia="zh-CN"/>
        </w:rPr>
        <w:t>obviando la identidad de género, siendo una discriminación u omisión por falta de conocimiento de las autoridades encargadas de dicha instancia.</w:t>
      </w:r>
    </w:p>
    <w:p w:rsidR="000C23CB" w:rsidRDefault="000C23CB" w:rsidP="000C23CB">
      <w:pPr>
        <w:widowControl w:val="0"/>
        <w:autoSpaceDE w:val="0"/>
        <w:autoSpaceDN w:val="0"/>
        <w:adjustRightInd w:val="0"/>
        <w:spacing w:before="120" w:after="120" w:line="240" w:lineRule="auto"/>
        <w:jc w:val="both"/>
        <w:rPr>
          <w:rFonts w:eastAsia="Helvetica Neue" w:cstheme="minorHAnsi"/>
          <w:lang w:eastAsia="zh-CN"/>
        </w:rPr>
      </w:pPr>
      <w:r>
        <w:rPr>
          <w:rFonts w:eastAsia="Helvetica Neue" w:cstheme="minorHAnsi"/>
          <w:lang w:eastAsia="zh-CN"/>
        </w:rPr>
        <w:t xml:space="preserve">En relación a la discriminación por orientación sexual e identidad de género en salud, educación, </w:t>
      </w:r>
      <w:r w:rsidRPr="00F16AFE">
        <w:rPr>
          <w:rFonts w:eastAsia="Helvetica Neue" w:cstheme="minorHAnsi"/>
          <w:lang w:eastAsia="zh-CN"/>
        </w:rPr>
        <w:t>trabajo, la participación c</w:t>
      </w:r>
      <w:r>
        <w:rPr>
          <w:rFonts w:eastAsia="Helvetica Neue" w:cstheme="minorHAnsi"/>
          <w:lang w:eastAsia="zh-CN"/>
        </w:rPr>
        <w:t>ívica y otras áreas importantes, no existen datos oficiales por ninguna instancia</w:t>
      </w:r>
      <w:r w:rsidR="00AF159D">
        <w:rPr>
          <w:rFonts w:eastAsia="Helvetica Neue" w:cstheme="minorHAnsi"/>
          <w:lang w:eastAsia="zh-CN"/>
        </w:rPr>
        <w:t xml:space="preserve"> estatal</w:t>
      </w:r>
      <w:r>
        <w:rPr>
          <w:rFonts w:eastAsia="Helvetica Neue" w:cstheme="minorHAnsi"/>
          <w:lang w:eastAsia="zh-CN"/>
        </w:rPr>
        <w:t>, siendo las organizaciones y defensoras/es de DDHH de la población LGBTI que realizan este trabajo, a través de informes alternativos.</w:t>
      </w:r>
    </w:p>
    <w:p w:rsidR="000C23CB" w:rsidRDefault="000C23CB" w:rsidP="000C23CB">
      <w:pPr>
        <w:widowControl w:val="0"/>
        <w:autoSpaceDE w:val="0"/>
        <w:autoSpaceDN w:val="0"/>
        <w:adjustRightInd w:val="0"/>
        <w:spacing w:before="120" w:after="120" w:line="240" w:lineRule="auto"/>
        <w:jc w:val="both"/>
        <w:rPr>
          <w:rFonts w:eastAsia="Helvetica Neue" w:cstheme="minorHAnsi"/>
          <w:lang w:eastAsia="zh-CN"/>
        </w:rPr>
      </w:pPr>
      <w:r>
        <w:rPr>
          <w:rFonts w:eastAsia="Helvetica Neue" w:cstheme="minorHAnsi"/>
          <w:lang w:eastAsia="zh-CN"/>
        </w:rPr>
        <w:t xml:space="preserve">En relación a los crímenes de odio a las personas LGBTI, </w:t>
      </w:r>
      <w:r w:rsidR="00AF159D">
        <w:rPr>
          <w:rFonts w:eastAsia="Helvetica Neue" w:cstheme="minorHAnsi"/>
          <w:lang w:eastAsia="zh-CN"/>
        </w:rPr>
        <w:t xml:space="preserve">no se cuenta con datos oficiales; </w:t>
      </w:r>
      <w:r>
        <w:rPr>
          <w:rFonts w:eastAsia="Helvetica Neue" w:cstheme="minorHAnsi"/>
          <w:lang w:eastAsia="zh-CN"/>
        </w:rPr>
        <w:t>solo se tienen datos categorizados como sub registros, es decir al no contar con un registro oficial, ni la tipificación de crímenes de odio; se han levantado datos de acuerdo a reportes de medios de comunicación, entrevistas,</w:t>
      </w:r>
      <w:r w:rsidR="00F123CC">
        <w:rPr>
          <w:rFonts w:eastAsia="Helvetica Neue" w:cstheme="minorHAnsi"/>
          <w:lang w:eastAsia="zh-CN"/>
        </w:rPr>
        <w:t xml:space="preserve"> informes de la sociedad civil,</w:t>
      </w:r>
      <w:r>
        <w:rPr>
          <w:rFonts w:eastAsia="Helvetica Neue" w:cstheme="minorHAnsi"/>
          <w:lang w:eastAsia="zh-CN"/>
        </w:rPr>
        <w:t xml:space="preserve"> entre otras acciones realizadas por organizaciones</w:t>
      </w:r>
      <w:r w:rsidRPr="00F16AFE">
        <w:rPr>
          <w:rFonts w:eastAsia="Helvetica Neue" w:cstheme="minorHAnsi"/>
          <w:lang w:eastAsia="zh-CN"/>
        </w:rPr>
        <w:t xml:space="preserve"> y defensoras/es de DDHH de la población LGBTI</w:t>
      </w:r>
      <w:r>
        <w:rPr>
          <w:rFonts w:eastAsia="Helvetica Neue" w:cstheme="minorHAnsi"/>
          <w:lang w:eastAsia="zh-CN"/>
        </w:rPr>
        <w:t xml:space="preserve">. </w:t>
      </w:r>
    </w:p>
    <w:p w:rsidR="00003332" w:rsidRPr="00F16AFE" w:rsidRDefault="00003332" w:rsidP="00F16AFE">
      <w:pPr>
        <w:widowControl w:val="0"/>
        <w:autoSpaceDE w:val="0"/>
        <w:autoSpaceDN w:val="0"/>
        <w:adjustRightInd w:val="0"/>
        <w:spacing w:before="120" w:after="120" w:line="240" w:lineRule="auto"/>
        <w:jc w:val="both"/>
        <w:rPr>
          <w:rFonts w:eastAsia="Helvetica Neue" w:cstheme="minorHAnsi"/>
          <w:lang w:eastAsia="zh-CN"/>
        </w:rPr>
      </w:pPr>
      <w:r>
        <w:rPr>
          <w:rFonts w:eastAsia="Helvetica Neue" w:cstheme="minorHAnsi"/>
          <w:lang w:eastAsia="zh-CN"/>
        </w:rPr>
        <w:t>Se asevera el párrafo precedente con las siguientes respuestas oficiales</w:t>
      </w:r>
      <w:r w:rsidR="00AF159D">
        <w:rPr>
          <w:rFonts w:eastAsia="Helvetica Neue" w:cstheme="minorHAnsi"/>
          <w:lang w:eastAsia="zh-CN"/>
        </w:rPr>
        <w:t xml:space="preserve"> del sistema judicial (policía, fiscalía y juzgados) y Defensoría del Pueblo</w:t>
      </w:r>
      <w:r>
        <w:rPr>
          <w:rFonts w:eastAsia="Helvetica Neue" w:cstheme="minorHAnsi"/>
          <w:lang w:eastAsia="zh-CN"/>
        </w:rPr>
        <w:t>:</w:t>
      </w:r>
    </w:p>
    <w:p w:rsidR="00003332" w:rsidRPr="00003332" w:rsidRDefault="00003332" w:rsidP="00B47E94">
      <w:pPr>
        <w:widowControl w:val="0"/>
        <w:numPr>
          <w:ilvl w:val="0"/>
          <w:numId w:val="3"/>
        </w:numPr>
        <w:autoSpaceDE w:val="0"/>
        <w:autoSpaceDN w:val="0"/>
        <w:adjustRightInd w:val="0"/>
        <w:spacing w:before="120" w:after="120" w:line="240" w:lineRule="auto"/>
        <w:ind w:left="357"/>
        <w:jc w:val="both"/>
        <w:rPr>
          <w:rFonts w:eastAsia="Helvetica Neue" w:cstheme="minorHAnsi"/>
          <w:lang w:val="es-ES" w:eastAsia="zh-CN"/>
        </w:rPr>
      </w:pPr>
      <w:r w:rsidRPr="00003332">
        <w:rPr>
          <w:rFonts w:eastAsia="Helvetica Neue" w:cstheme="minorHAnsi"/>
          <w:lang w:val="es-ES" w:eastAsia="zh-CN"/>
        </w:rPr>
        <w:t>En relación a la solicitud de información oficial de registros de casos de crímenes de odio a la Fuerza Especial de Lucha Contra el Crimen (FE</w:t>
      </w:r>
      <w:r w:rsidR="00E236C4">
        <w:rPr>
          <w:rFonts w:eastAsia="Helvetica Neue" w:cstheme="minorHAnsi"/>
          <w:lang w:val="es-ES" w:eastAsia="zh-CN"/>
        </w:rPr>
        <w:t>LCC),</w:t>
      </w:r>
      <w:r w:rsidRPr="00003332">
        <w:rPr>
          <w:rFonts w:eastAsia="Helvetica Neue" w:cstheme="minorHAnsi"/>
          <w:lang w:val="es-ES" w:eastAsia="zh-CN"/>
        </w:rPr>
        <w:t xml:space="preserve"> el </w:t>
      </w:r>
      <w:r w:rsidR="00F123CC">
        <w:rPr>
          <w:rFonts w:eastAsia="Helvetica Neue" w:cstheme="minorHAnsi"/>
          <w:lang w:val="es-ES" w:eastAsia="zh-CN"/>
        </w:rPr>
        <w:t>Encargado de Estadísticas dio respuesta</w:t>
      </w:r>
      <w:r w:rsidR="00E236C4">
        <w:rPr>
          <w:rFonts w:eastAsia="Helvetica Neue" w:cstheme="minorHAnsi"/>
          <w:lang w:val="es-ES" w:eastAsia="zh-CN"/>
        </w:rPr>
        <w:t xml:space="preserve"> a lo solicitado</w:t>
      </w:r>
      <w:r w:rsidRPr="00003332">
        <w:rPr>
          <w:rFonts w:eastAsia="Helvetica Neue" w:cstheme="minorHAnsi"/>
          <w:lang w:val="es-ES" w:eastAsia="zh-CN"/>
        </w:rPr>
        <w:t xml:space="preserve"> en su nota que </w:t>
      </w:r>
      <w:r w:rsidRPr="00E236C4">
        <w:rPr>
          <w:rFonts w:eastAsia="Helvetica Neue" w:cstheme="minorHAnsi"/>
          <w:b/>
          <w:i/>
          <w:lang w:val="es-ES" w:eastAsia="zh-CN"/>
        </w:rPr>
        <w:t>“</w:t>
      </w:r>
      <w:r w:rsidR="000C23CB" w:rsidRPr="00E236C4">
        <w:rPr>
          <w:rFonts w:eastAsia="Helvetica Neue" w:cstheme="minorHAnsi"/>
          <w:b/>
          <w:i/>
          <w:lang w:val="es-ES" w:eastAsia="zh-CN"/>
        </w:rPr>
        <w:t xml:space="preserve">La FELCC conforme establece el Código Penal y en el marco de sus competencias; atiende tipos penales de manera general y no así de modo específico que sea dirigido a una determinada población.” </w:t>
      </w:r>
      <w:r w:rsidRPr="00E236C4">
        <w:rPr>
          <w:rFonts w:eastAsia="Helvetica Neue" w:cstheme="minorHAnsi"/>
          <w:b/>
          <w:i/>
          <w:vertAlign w:val="superscript"/>
          <w:lang w:val="es-ES" w:eastAsia="zh-CN"/>
        </w:rPr>
        <w:footnoteReference w:id="5"/>
      </w:r>
    </w:p>
    <w:p w:rsidR="00003332" w:rsidRPr="00E236C4" w:rsidRDefault="00003332" w:rsidP="00B47E94">
      <w:pPr>
        <w:widowControl w:val="0"/>
        <w:numPr>
          <w:ilvl w:val="0"/>
          <w:numId w:val="3"/>
        </w:numPr>
        <w:autoSpaceDE w:val="0"/>
        <w:autoSpaceDN w:val="0"/>
        <w:adjustRightInd w:val="0"/>
        <w:spacing w:before="120" w:after="120" w:line="240" w:lineRule="auto"/>
        <w:ind w:left="357"/>
        <w:jc w:val="both"/>
        <w:rPr>
          <w:rFonts w:eastAsia="Helvetica Neue" w:cstheme="minorHAnsi"/>
          <w:b/>
          <w:i/>
          <w:lang w:val="es-ES" w:eastAsia="zh-CN"/>
        </w:rPr>
      </w:pPr>
      <w:r w:rsidRPr="00003332">
        <w:rPr>
          <w:rFonts w:eastAsia="Helvetica Neue" w:cstheme="minorHAnsi"/>
          <w:lang w:val="es-ES" w:eastAsia="zh-CN"/>
        </w:rPr>
        <w:t xml:space="preserve">El Ministerio de Justicia, respondió a la solicitud, dando la siguiente respuesta </w:t>
      </w:r>
      <w:r w:rsidRPr="00E236C4">
        <w:rPr>
          <w:rFonts w:eastAsia="Helvetica Neue" w:cstheme="minorHAnsi"/>
          <w:b/>
          <w:i/>
          <w:lang w:val="es-ES" w:eastAsia="zh-CN"/>
        </w:rPr>
        <w:t>“</w:t>
      </w:r>
      <w:r w:rsidR="000C23CB" w:rsidRPr="00E236C4">
        <w:rPr>
          <w:rFonts w:eastAsia="Helvetica Neue" w:cstheme="minorHAnsi"/>
          <w:b/>
          <w:i/>
          <w:lang w:val="es-ES" w:eastAsia="zh-CN"/>
        </w:rPr>
        <w:t>Al respecto tengo bien poner a su conocimiento que el Ministerio de Justicia no cuenta con la información requerida. en consecuencia se recomienda que su solicitud se realice ante el Viceministerio de Descolonización, en el marco del artículo 10 de la Ley 045 contra el Racismo y toda forma de Discriminación</w:t>
      </w:r>
      <w:r w:rsidRPr="00E236C4">
        <w:rPr>
          <w:rFonts w:eastAsia="Helvetica Neue" w:cstheme="minorHAnsi"/>
          <w:b/>
          <w:i/>
          <w:lang w:val="es-ES" w:eastAsia="zh-CN"/>
        </w:rPr>
        <w:t>”</w:t>
      </w:r>
      <w:r w:rsidRPr="00E236C4">
        <w:rPr>
          <w:rFonts w:eastAsia="Helvetica Neue" w:cstheme="minorHAnsi"/>
          <w:b/>
          <w:i/>
          <w:vertAlign w:val="superscript"/>
          <w:lang w:val="es-ES" w:eastAsia="zh-CN"/>
        </w:rPr>
        <w:footnoteReference w:id="6"/>
      </w:r>
    </w:p>
    <w:p w:rsidR="00003332" w:rsidRPr="00E236C4" w:rsidRDefault="00003332" w:rsidP="00B47E94">
      <w:pPr>
        <w:widowControl w:val="0"/>
        <w:numPr>
          <w:ilvl w:val="0"/>
          <w:numId w:val="3"/>
        </w:numPr>
        <w:autoSpaceDE w:val="0"/>
        <w:autoSpaceDN w:val="0"/>
        <w:adjustRightInd w:val="0"/>
        <w:spacing w:before="120" w:after="120" w:line="240" w:lineRule="auto"/>
        <w:ind w:left="357"/>
        <w:jc w:val="both"/>
        <w:rPr>
          <w:rFonts w:eastAsia="Helvetica Neue" w:cstheme="minorHAnsi"/>
          <w:b/>
          <w:i/>
          <w:lang w:val="es-ES" w:eastAsia="zh-CN"/>
        </w:rPr>
      </w:pPr>
      <w:r w:rsidRPr="00003332">
        <w:rPr>
          <w:rFonts w:eastAsia="Helvetica Neue" w:cstheme="minorHAnsi"/>
          <w:lang w:val="es-ES" w:eastAsia="zh-CN"/>
        </w:rPr>
        <w:t xml:space="preserve">EL </w:t>
      </w:r>
      <w:proofErr w:type="spellStart"/>
      <w:r w:rsidRPr="00003332">
        <w:rPr>
          <w:rFonts w:eastAsia="Helvetica Neue" w:cstheme="minorHAnsi"/>
          <w:lang w:val="es-ES" w:eastAsia="zh-CN"/>
        </w:rPr>
        <w:t>Viceminsiterio</w:t>
      </w:r>
      <w:proofErr w:type="spellEnd"/>
      <w:r w:rsidRPr="00003332">
        <w:rPr>
          <w:rFonts w:eastAsia="Helvetica Neue" w:cstheme="minorHAnsi"/>
          <w:lang w:val="es-ES" w:eastAsia="zh-CN"/>
        </w:rPr>
        <w:t xml:space="preserve"> de Descolonización, a través del Comité de Lucha contra el Racismo y toda Forma de Discriminación, dio respuesta a la solicitud de información en la cual indica de manera textual </w:t>
      </w:r>
      <w:r w:rsidRPr="00B47E94">
        <w:rPr>
          <w:rFonts w:eastAsia="Helvetica Neue" w:cstheme="minorHAnsi"/>
          <w:b/>
          <w:lang w:val="es-ES" w:eastAsia="zh-CN"/>
        </w:rPr>
        <w:t>“</w:t>
      </w:r>
      <w:r w:rsidR="00B47E94" w:rsidRPr="00E236C4">
        <w:rPr>
          <w:rFonts w:eastAsia="Helvetica Neue" w:cstheme="minorHAnsi"/>
          <w:b/>
          <w:i/>
          <w:lang w:val="es-ES" w:eastAsia="zh-CN"/>
        </w:rPr>
        <w:t>Hacer Notar e</w:t>
      </w:r>
      <w:r w:rsidR="000C23CB" w:rsidRPr="00E236C4">
        <w:rPr>
          <w:rFonts w:eastAsia="Helvetica Neue" w:cstheme="minorHAnsi"/>
          <w:b/>
          <w:i/>
          <w:lang w:val="es-ES" w:eastAsia="zh-CN"/>
        </w:rPr>
        <w:t xml:space="preserve">n cuanto a la solicitud sobre crímenes de odio contra la </w:t>
      </w:r>
      <w:r w:rsidR="000C23CB" w:rsidRPr="00E236C4">
        <w:rPr>
          <w:rFonts w:eastAsia="Helvetica Neue" w:cstheme="minorHAnsi"/>
          <w:b/>
          <w:i/>
          <w:lang w:val="es-ES" w:eastAsia="zh-CN"/>
        </w:rPr>
        <w:lastRenderedPageBreak/>
        <w:t xml:space="preserve">población LGBT, que la legislación boliviana no ha incluido dicho término como tipificado en el Código Penal, menos en la Ley 045”. </w:t>
      </w:r>
      <w:r w:rsidRPr="00E236C4">
        <w:rPr>
          <w:rFonts w:eastAsia="Helvetica Neue" w:cstheme="minorHAnsi"/>
          <w:b/>
          <w:i/>
          <w:vertAlign w:val="superscript"/>
          <w:lang w:val="es-ES" w:eastAsia="zh-CN"/>
        </w:rPr>
        <w:footnoteReference w:id="7"/>
      </w:r>
    </w:p>
    <w:p w:rsidR="00003332" w:rsidRPr="00E236C4" w:rsidRDefault="00003332" w:rsidP="00B47E94">
      <w:pPr>
        <w:widowControl w:val="0"/>
        <w:numPr>
          <w:ilvl w:val="0"/>
          <w:numId w:val="3"/>
        </w:numPr>
        <w:autoSpaceDE w:val="0"/>
        <w:autoSpaceDN w:val="0"/>
        <w:adjustRightInd w:val="0"/>
        <w:spacing w:before="120" w:after="120" w:line="240" w:lineRule="auto"/>
        <w:ind w:left="357"/>
        <w:jc w:val="both"/>
        <w:rPr>
          <w:rFonts w:eastAsia="Helvetica Neue" w:cstheme="minorHAnsi"/>
          <w:b/>
          <w:i/>
          <w:lang w:val="es-ES" w:eastAsia="zh-CN"/>
        </w:rPr>
      </w:pPr>
      <w:r w:rsidRPr="00003332">
        <w:rPr>
          <w:rFonts w:eastAsia="Helvetica Neue" w:cstheme="minorHAnsi"/>
          <w:lang w:val="es-ES" w:eastAsia="zh-CN"/>
        </w:rPr>
        <w:t xml:space="preserve">La Defensoría del Pueblo, también a través de nota oficial, remitió información de casos atendidos por derechos denunciados, en la cual se puede evidenciar que desde el año 2010 al 2015: </w:t>
      </w:r>
      <w:r w:rsidR="000C23CB">
        <w:rPr>
          <w:rFonts w:eastAsia="Helvetica Neue" w:cstheme="minorHAnsi"/>
          <w:lang w:val="es-ES" w:eastAsia="zh-CN"/>
        </w:rPr>
        <w:t>“</w:t>
      </w:r>
      <w:r w:rsidR="000C23CB" w:rsidRPr="00E236C4">
        <w:rPr>
          <w:rFonts w:eastAsia="Helvetica Neue" w:cstheme="minorHAnsi"/>
          <w:b/>
          <w:i/>
          <w:lang w:val="es-ES" w:eastAsia="zh-CN"/>
        </w:rPr>
        <w:t>Se registran 10 casos de vulneración del derecho a la integridad física de la población LGBT y 1 caso de seguridad humana de los 74 casos reportados por diferentes vulneraciones de dere</w:t>
      </w:r>
      <w:r w:rsidR="00B47E94" w:rsidRPr="00E236C4">
        <w:rPr>
          <w:rFonts w:eastAsia="Helvetica Neue" w:cstheme="minorHAnsi"/>
          <w:b/>
          <w:i/>
          <w:lang w:val="es-ES" w:eastAsia="zh-CN"/>
        </w:rPr>
        <w:t>chos humanos a la población LGBT</w:t>
      </w:r>
      <w:r w:rsidR="000C23CB" w:rsidRPr="00E236C4">
        <w:rPr>
          <w:rFonts w:eastAsia="Helvetica Neue" w:cstheme="minorHAnsi"/>
          <w:b/>
          <w:i/>
          <w:lang w:val="es-ES" w:eastAsia="zh-CN"/>
        </w:rPr>
        <w:t xml:space="preserve">, lo cual representa el 14,8%”. </w:t>
      </w:r>
    </w:p>
    <w:p w:rsidR="001A43CC" w:rsidRPr="00E236C4" w:rsidRDefault="00B47E94" w:rsidP="00B243C5">
      <w:pPr>
        <w:widowControl w:val="0"/>
        <w:numPr>
          <w:ilvl w:val="0"/>
          <w:numId w:val="3"/>
        </w:numPr>
        <w:autoSpaceDE w:val="0"/>
        <w:autoSpaceDN w:val="0"/>
        <w:adjustRightInd w:val="0"/>
        <w:spacing w:before="120" w:after="120" w:line="240" w:lineRule="auto"/>
        <w:ind w:left="357"/>
        <w:jc w:val="both"/>
        <w:rPr>
          <w:rFonts w:eastAsia="Helvetica Neue" w:cstheme="minorHAnsi"/>
          <w:b/>
          <w:i/>
          <w:lang w:val="es-ES" w:eastAsia="zh-CN"/>
        </w:rPr>
      </w:pPr>
      <w:r w:rsidRPr="00B47E94">
        <w:rPr>
          <w:rFonts w:eastAsia="Helvetica Neue" w:cstheme="minorHAnsi"/>
          <w:lang w:val="es-ES" w:eastAsia="zh-CN"/>
        </w:rPr>
        <w:t xml:space="preserve">En el </w:t>
      </w:r>
      <w:r w:rsidRPr="00B47E94">
        <w:rPr>
          <w:rFonts w:eastAsia="Helvetica Neue" w:cstheme="minorHAnsi"/>
          <w:lang w:eastAsia="zh-CN"/>
        </w:rPr>
        <w:t>Informe de Derechos Humanos 2017, elaborado por la Defensoría del Pueblo el año 2017, indica de manera textual:</w:t>
      </w:r>
      <w:r>
        <w:rPr>
          <w:rFonts w:eastAsia="Helvetica Neue" w:cstheme="minorHAnsi"/>
          <w:b/>
          <w:lang w:eastAsia="zh-CN"/>
        </w:rPr>
        <w:t xml:space="preserve"> </w:t>
      </w:r>
      <w:r w:rsidRPr="00B47E94">
        <w:rPr>
          <w:rFonts w:eastAsia="Helvetica Neue" w:cstheme="minorHAnsi"/>
          <w:b/>
          <w:lang w:eastAsia="zh-CN"/>
        </w:rPr>
        <w:t>“</w:t>
      </w:r>
      <w:r w:rsidRPr="00E236C4">
        <w:rPr>
          <w:rFonts w:eastAsia="Helvetica Neue" w:cstheme="minorHAnsi"/>
          <w:b/>
          <w:i/>
          <w:lang w:eastAsia="zh-CN"/>
        </w:rPr>
        <w:t>La constitución y la ley prohíben la discriminación basada en la orientación sexual y la identidad de género. El Defensor del pueblo informó en mayo que el gobierno había registrado 64 asesinatos de personas LGBTI en los últimos 10 años. El gobierno investigó 14 casos, pero los tribunales no habían sentenciado a nadie por estos crímenes.”</w:t>
      </w:r>
    </w:p>
    <w:p w:rsidR="00F405F4" w:rsidRPr="00E236C4" w:rsidRDefault="00B243C5" w:rsidP="00E236C4">
      <w:pPr>
        <w:widowControl w:val="0"/>
        <w:numPr>
          <w:ilvl w:val="0"/>
          <w:numId w:val="3"/>
        </w:numPr>
        <w:autoSpaceDE w:val="0"/>
        <w:autoSpaceDN w:val="0"/>
        <w:adjustRightInd w:val="0"/>
        <w:spacing w:before="120" w:after="120" w:line="240" w:lineRule="auto"/>
        <w:ind w:left="357"/>
        <w:jc w:val="both"/>
        <w:rPr>
          <w:rFonts w:eastAsia="Helvetica Neue" w:cstheme="minorHAnsi"/>
          <w:lang w:eastAsia="zh-CN"/>
        </w:rPr>
      </w:pPr>
      <w:r w:rsidRPr="00B243C5">
        <w:rPr>
          <w:rFonts w:eastAsia="Helvetica Neue" w:cstheme="minorHAnsi"/>
          <w:lang w:eastAsia="zh-CN"/>
        </w:rPr>
        <w:t>Finalmente, en relación al presente punto, los crímenes de odio</w:t>
      </w:r>
      <w:r w:rsidR="00DC0D82">
        <w:rPr>
          <w:rFonts w:eastAsia="Helvetica Neue" w:cstheme="minorHAnsi"/>
          <w:lang w:eastAsia="zh-CN"/>
        </w:rPr>
        <w:t xml:space="preserve"> no</w:t>
      </w:r>
      <w:r w:rsidRPr="00B243C5">
        <w:rPr>
          <w:rFonts w:eastAsia="Helvetica Neue" w:cstheme="minorHAnsi"/>
          <w:lang w:eastAsia="zh-CN"/>
        </w:rPr>
        <w:t xml:space="preserve"> llegan a instancias de investigación, procesamiento y sentencia, lo que llama profundamente la atención, debido a los escenarios de impunidad en el que se encuentran las y los autores de estos crímenes. En 2017, un tribunal condenó a 30 años de prisión a un hombre que </w:t>
      </w:r>
      <w:r w:rsidR="00DC0D82">
        <w:rPr>
          <w:rFonts w:eastAsia="Helvetica Neue" w:cstheme="minorHAnsi"/>
          <w:lang w:eastAsia="zh-CN"/>
        </w:rPr>
        <w:t>asesinó</w:t>
      </w:r>
      <w:r w:rsidRPr="00B243C5">
        <w:rPr>
          <w:rFonts w:eastAsia="Helvetica Neue" w:cstheme="minorHAnsi"/>
          <w:lang w:eastAsia="zh-CN"/>
        </w:rPr>
        <w:t xml:space="preserve"> a su pareja, una joven </w:t>
      </w:r>
      <w:r w:rsidR="00DC0D82">
        <w:rPr>
          <w:rFonts w:eastAsia="Helvetica Neue" w:cstheme="minorHAnsi"/>
          <w:lang w:eastAsia="zh-CN"/>
        </w:rPr>
        <w:t xml:space="preserve">transexual. Dicho </w:t>
      </w:r>
      <w:r w:rsidRPr="00B243C5">
        <w:rPr>
          <w:rFonts w:eastAsia="Helvetica Neue" w:cstheme="minorHAnsi"/>
          <w:lang w:eastAsia="zh-CN"/>
        </w:rPr>
        <w:t xml:space="preserve">caso </w:t>
      </w:r>
      <w:r w:rsidR="00DC0D82">
        <w:rPr>
          <w:rFonts w:eastAsia="Helvetica Neue" w:cstheme="minorHAnsi"/>
          <w:lang w:eastAsia="zh-CN"/>
        </w:rPr>
        <w:t xml:space="preserve">es </w:t>
      </w:r>
      <w:r w:rsidRPr="00B243C5">
        <w:rPr>
          <w:rFonts w:eastAsia="Helvetica Neue" w:cstheme="minorHAnsi"/>
          <w:lang w:eastAsia="zh-CN"/>
        </w:rPr>
        <w:t xml:space="preserve">considerado </w:t>
      </w:r>
      <w:r w:rsidR="00DC0D82">
        <w:rPr>
          <w:rFonts w:eastAsia="Helvetica Neue" w:cstheme="minorHAnsi"/>
          <w:lang w:eastAsia="zh-CN"/>
        </w:rPr>
        <w:t xml:space="preserve">como </w:t>
      </w:r>
      <w:r w:rsidRPr="00B243C5">
        <w:rPr>
          <w:rFonts w:eastAsia="Helvetica Neue" w:cstheme="minorHAnsi"/>
          <w:lang w:eastAsia="zh-CN"/>
        </w:rPr>
        <w:t xml:space="preserve">emblemático para la </w:t>
      </w:r>
      <w:r w:rsidR="00DC0D82">
        <w:rPr>
          <w:rFonts w:eastAsia="Helvetica Neue" w:cstheme="minorHAnsi"/>
          <w:lang w:eastAsia="zh-CN"/>
        </w:rPr>
        <w:t>población LGBTI, al ser</w:t>
      </w:r>
      <w:r w:rsidRPr="00B243C5">
        <w:rPr>
          <w:rFonts w:eastAsia="Helvetica Neue" w:cstheme="minorHAnsi"/>
          <w:lang w:eastAsia="zh-CN"/>
        </w:rPr>
        <w:t xml:space="preserve"> el primero en llegar a una sen</w:t>
      </w:r>
      <w:r w:rsidR="00DC0D82">
        <w:rPr>
          <w:rFonts w:eastAsia="Helvetica Neue" w:cstheme="minorHAnsi"/>
          <w:lang w:eastAsia="zh-CN"/>
        </w:rPr>
        <w:t>tencia en estrados judiciales</w:t>
      </w:r>
      <w:r w:rsidRPr="00B243C5">
        <w:rPr>
          <w:rFonts w:eastAsia="Helvetica Neue" w:cstheme="minorHAnsi"/>
          <w:lang w:eastAsia="zh-CN"/>
        </w:rPr>
        <w:t>.</w:t>
      </w:r>
    </w:p>
    <w:p w:rsidR="0053365D" w:rsidRPr="0076690D" w:rsidRDefault="0053365D" w:rsidP="00F405F4">
      <w:pPr>
        <w:numPr>
          <w:ilvl w:val="0"/>
          <w:numId w:val="1"/>
        </w:numPr>
        <w:spacing w:before="120" w:after="120" w:line="240" w:lineRule="auto"/>
        <w:ind w:left="284" w:hanging="357"/>
        <w:jc w:val="both"/>
        <w:rPr>
          <w:rFonts w:eastAsia="Arial" w:cstheme="minorHAnsi"/>
          <w:b/>
          <w:color w:val="FF0000"/>
          <w:lang w:eastAsia="zh-CN"/>
        </w:rPr>
      </w:pPr>
      <w:r w:rsidRPr="0076690D">
        <w:rPr>
          <w:rFonts w:eastAsia="Helvetica Neue" w:cstheme="minorHAnsi"/>
          <w:b/>
          <w:color w:val="FF0000"/>
          <w:lang w:val="es-ES" w:eastAsia="zh-CN"/>
        </w:rPr>
        <w:t xml:space="preserve">¿Qué salvaguardias existen y qué salvaguardias son necesarias para proteger los derechos humanos de las personas que proporcionan datos personales, así como de las personas que recogen dichos datos? </w:t>
      </w:r>
      <w:r w:rsidRPr="0076690D">
        <w:rPr>
          <w:rFonts w:eastAsia="Helvetica Neue" w:cstheme="minorHAnsi"/>
          <w:b/>
          <w:color w:val="FF0000"/>
          <w:lang w:eastAsia="zh-CN"/>
        </w:rPr>
        <w:t>Esta pregunta incluye lo siguiente:</w:t>
      </w:r>
    </w:p>
    <w:p w:rsidR="00DC0D82" w:rsidRDefault="00DC0D82" w:rsidP="00DC0D82">
      <w:pPr>
        <w:spacing w:before="120" w:after="120" w:line="240" w:lineRule="auto"/>
        <w:ind w:left="284"/>
        <w:jc w:val="both"/>
        <w:rPr>
          <w:rFonts w:eastAsia="Helvetica Neue" w:cstheme="minorHAnsi"/>
          <w:lang w:eastAsia="zh-CN"/>
        </w:rPr>
      </w:pPr>
      <w:r w:rsidRPr="00DC0D82">
        <w:rPr>
          <w:rFonts w:eastAsia="Helvetica Neue" w:cstheme="minorHAnsi"/>
          <w:lang w:eastAsia="zh-CN"/>
        </w:rPr>
        <w:t>En términos generales</w:t>
      </w:r>
      <w:r>
        <w:rPr>
          <w:rFonts w:eastAsia="Helvetica Neue" w:cstheme="minorHAnsi"/>
          <w:lang w:eastAsia="zh-CN"/>
        </w:rPr>
        <w:t>, en el Estado boliviano, no existen salvaguardias de protección a las personas LGBTI, que proporcionan datos personales sobre su orientación sexual e identidad de género en diferentes ámbitos, como por ejemplo en el ámbito judicial, salud, educación, trabajo, entre otros.</w:t>
      </w:r>
    </w:p>
    <w:p w:rsidR="00DC0D82" w:rsidRDefault="00DC0D82" w:rsidP="00DC0D82">
      <w:pPr>
        <w:spacing w:before="120" w:after="120" w:line="240" w:lineRule="auto"/>
        <w:ind w:left="284"/>
        <w:jc w:val="both"/>
        <w:rPr>
          <w:rFonts w:eastAsia="Helvetica Neue" w:cstheme="minorHAnsi"/>
          <w:lang w:eastAsia="zh-CN"/>
        </w:rPr>
      </w:pPr>
      <w:r>
        <w:rPr>
          <w:rFonts w:eastAsia="Helvetica Neue" w:cstheme="minorHAnsi"/>
          <w:lang w:eastAsia="zh-CN"/>
        </w:rPr>
        <w:t>Igualmente, tanto las/os servidoras/es publicas/os como las/os empleadoras/es y trabajadoras/es, que reciben estos datos no cuentan con el conocimiento necesario sobre la orientación sexual e identidad de género, e incluso vulneran el derecho a la confidencialidad.</w:t>
      </w:r>
    </w:p>
    <w:p w:rsidR="00DC0D82" w:rsidRPr="00DC0D82" w:rsidRDefault="00DC0D82" w:rsidP="00DC0D82">
      <w:pPr>
        <w:spacing w:before="120" w:after="120" w:line="240" w:lineRule="auto"/>
        <w:ind w:left="284"/>
        <w:jc w:val="both"/>
        <w:rPr>
          <w:rFonts w:eastAsia="Arial" w:cstheme="minorHAnsi"/>
          <w:lang w:eastAsia="zh-CN"/>
        </w:rPr>
      </w:pPr>
      <w:r>
        <w:rPr>
          <w:rFonts w:eastAsia="Helvetica Neue" w:cstheme="minorHAnsi"/>
          <w:lang w:eastAsia="zh-CN"/>
        </w:rPr>
        <w:t>Por los motivos expuestos, muchas personas con diversa orientación sexual e identidad de género</w:t>
      </w:r>
      <w:r w:rsidR="003A3690">
        <w:rPr>
          <w:rFonts w:eastAsia="Helvetica Neue" w:cstheme="minorHAnsi"/>
          <w:lang w:eastAsia="zh-CN"/>
        </w:rPr>
        <w:t xml:space="preserve">, prefieren no revelar su orientación sexual o identidad de género, para no ser discriminados o vulnerados en sus derechos y/o acosados. </w:t>
      </w:r>
      <w:r>
        <w:rPr>
          <w:rFonts w:eastAsia="Helvetica Neue" w:cstheme="minorHAnsi"/>
          <w:lang w:eastAsia="zh-CN"/>
        </w:rPr>
        <w:t xml:space="preserve"> </w:t>
      </w:r>
    </w:p>
    <w:p w:rsidR="0053365D" w:rsidRPr="0076690D" w:rsidRDefault="0053365D" w:rsidP="00F405F4">
      <w:pPr>
        <w:numPr>
          <w:ilvl w:val="1"/>
          <w:numId w:val="1"/>
        </w:numPr>
        <w:pBdr>
          <w:top w:val="nil"/>
          <w:left w:val="nil"/>
          <w:bottom w:val="nil"/>
          <w:right w:val="nil"/>
          <w:between w:val="nil"/>
        </w:pBdr>
        <w:spacing w:before="120" w:after="120" w:line="240" w:lineRule="auto"/>
        <w:ind w:left="709" w:hanging="357"/>
        <w:jc w:val="both"/>
        <w:rPr>
          <w:rFonts w:eastAsia="Arial" w:cstheme="minorHAnsi"/>
          <w:b/>
          <w:color w:val="FF0000"/>
          <w:lang w:val="es-ES" w:eastAsia="zh-CN"/>
        </w:rPr>
      </w:pPr>
      <w:r w:rsidRPr="0076690D">
        <w:rPr>
          <w:rFonts w:eastAsia="Helvetica Neue" w:cstheme="minorHAnsi"/>
          <w:b/>
          <w:color w:val="FF0000"/>
          <w:lang w:val="es-ES" w:eastAsia="zh-CN"/>
        </w:rPr>
        <w:t>Salvaguardias para proteger la privacidad de las personas que proporcionan datos sobre su orientación sexual/identidad de género, y la confidencialidad de los datos proporcionados por estas personas.</w:t>
      </w:r>
    </w:p>
    <w:p w:rsidR="00DD09E3" w:rsidRPr="000637CD" w:rsidRDefault="003A3690" w:rsidP="000637CD">
      <w:pPr>
        <w:spacing w:before="120" w:after="120" w:line="240" w:lineRule="auto"/>
        <w:jc w:val="both"/>
        <w:rPr>
          <w:rFonts w:eastAsia="Arial" w:cstheme="minorHAnsi"/>
          <w:b/>
          <w:lang w:val="es-ES" w:eastAsia="zh-CN"/>
        </w:rPr>
      </w:pPr>
      <w:r w:rsidRPr="000637CD">
        <w:rPr>
          <w:rFonts w:eastAsia="Arial" w:cstheme="minorHAnsi"/>
          <w:lang w:val="es-ES" w:eastAsia="zh-CN"/>
        </w:rPr>
        <w:t xml:space="preserve">En </w:t>
      </w:r>
      <w:r w:rsidR="00C21117" w:rsidRPr="000637CD">
        <w:rPr>
          <w:rFonts w:eastAsia="Arial" w:cstheme="minorHAnsi"/>
          <w:lang w:val="es-ES" w:eastAsia="zh-CN"/>
        </w:rPr>
        <w:t>relación a</w:t>
      </w:r>
      <w:r w:rsidR="000637CD">
        <w:rPr>
          <w:rFonts w:eastAsia="Arial" w:cstheme="minorHAnsi"/>
          <w:lang w:val="es-ES" w:eastAsia="zh-CN"/>
        </w:rPr>
        <w:t>l Derecho a</w:t>
      </w:r>
      <w:r w:rsidR="00C21117" w:rsidRPr="000637CD">
        <w:rPr>
          <w:rFonts w:eastAsia="Arial" w:cstheme="minorHAnsi"/>
          <w:lang w:val="es-ES" w:eastAsia="zh-CN"/>
        </w:rPr>
        <w:t xml:space="preserve"> la confidencialidad, es trascendental informar que en fecha 9 de noviembre de 2017 el Tribunal Constitucional Plurinacional de Bolivia (TCP), emitió la Sentencia Constitucional Plurinacional (SCP) 0076/2017, que </w:t>
      </w:r>
      <w:r w:rsidR="00C21117" w:rsidRPr="000637CD">
        <w:rPr>
          <w:rFonts w:eastAsia="Arial" w:cstheme="minorHAnsi"/>
          <w:b/>
          <w:lang w:val="es-ES" w:eastAsia="zh-CN"/>
        </w:rPr>
        <w:t xml:space="preserve">perdurará en la historia como la más antidemocrática, </w:t>
      </w:r>
      <w:proofErr w:type="spellStart"/>
      <w:r w:rsidR="00C21117" w:rsidRPr="000637CD">
        <w:rPr>
          <w:rFonts w:eastAsia="Arial" w:cstheme="minorHAnsi"/>
          <w:b/>
          <w:lang w:val="es-ES" w:eastAsia="zh-CN"/>
        </w:rPr>
        <w:t>heterosexista</w:t>
      </w:r>
      <w:proofErr w:type="spellEnd"/>
      <w:r w:rsidR="00C21117" w:rsidRPr="000637CD">
        <w:rPr>
          <w:rFonts w:eastAsia="Arial" w:cstheme="minorHAnsi"/>
          <w:b/>
          <w:lang w:val="es-ES" w:eastAsia="zh-CN"/>
        </w:rPr>
        <w:t xml:space="preserve">, intolerante, discriminadora, </w:t>
      </w:r>
      <w:proofErr w:type="spellStart"/>
      <w:r w:rsidR="00C21117" w:rsidRPr="000637CD">
        <w:rPr>
          <w:rFonts w:eastAsia="Arial" w:cstheme="minorHAnsi"/>
          <w:b/>
          <w:lang w:val="es-ES" w:eastAsia="zh-CN"/>
        </w:rPr>
        <w:t>transfóbica</w:t>
      </w:r>
      <w:proofErr w:type="spellEnd"/>
      <w:r w:rsidR="00C21117" w:rsidRPr="000637CD">
        <w:rPr>
          <w:rFonts w:eastAsia="Arial" w:cstheme="minorHAnsi"/>
          <w:b/>
          <w:lang w:val="es-ES" w:eastAsia="zh-CN"/>
        </w:rPr>
        <w:t xml:space="preserve">, homofóbica, machista, patriarcal y colonialista </w:t>
      </w:r>
      <w:r w:rsidR="000637CD" w:rsidRPr="000637CD">
        <w:rPr>
          <w:rFonts w:eastAsia="Arial" w:cstheme="minorHAnsi"/>
          <w:b/>
          <w:lang w:val="es-ES" w:eastAsia="zh-CN"/>
        </w:rPr>
        <w:t>hacia</w:t>
      </w:r>
      <w:r w:rsidR="00C21117" w:rsidRPr="000637CD">
        <w:rPr>
          <w:rFonts w:eastAsia="Arial" w:cstheme="minorHAnsi"/>
          <w:b/>
          <w:lang w:val="es-ES" w:eastAsia="zh-CN"/>
        </w:rPr>
        <w:t xml:space="preserve"> la población LGBTI en Bolivia</w:t>
      </w:r>
      <w:r w:rsidR="00DD09E3" w:rsidRPr="000637CD">
        <w:rPr>
          <w:rFonts w:eastAsia="Arial" w:cstheme="minorHAnsi"/>
          <w:lang w:val="es-ES" w:eastAsia="zh-CN"/>
        </w:rPr>
        <w:t xml:space="preserve">; al considerar que vulneró todos los derechos fundamentales de la Población Transexual y Transgénero; y de manera específica </w:t>
      </w:r>
      <w:r w:rsidR="00DD09E3" w:rsidRPr="000637CD">
        <w:rPr>
          <w:rFonts w:eastAsia="Arial" w:cstheme="minorHAnsi"/>
          <w:b/>
          <w:lang w:val="es-ES" w:eastAsia="zh-CN"/>
        </w:rPr>
        <w:t>al derecho al matrimonio, a la unión libre o de hecho, a la paridad en sus derechos políticos y a la confidencialidad.</w:t>
      </w:r>
    </w:p>
    <w:p w:rsidR="00DD09E3" w:rsidRPr="000637CD" w:rsidRDefault="000637CD" w:rsidP="000637CD">
      <w:pPr>
        <w:spacing w:before="120" w:after="120" w:line="240" w:lineRule="auto"/>
        <w:jc w:val="both"/>
        <w:rPr>
          <w:rFonts w:eastAsia="Arial" w:cstheme="minorHAnsi"/>
          <w:i/>
          <w:lang w:val="es-ES" w:eastAsia="zh-CN"/>
        </w:rPr>
      </w:pPr>
      <w:r>
        <w:rPr>
          <w:rFonts w:eastAsia="Arial" w:cstheme="minorHAnsi"/>
          <w:lang w:val="es-ES" w:eastAsia="zh-CN"/>
        </w:rPr>
        <w:t>Dicha Sentencia</w:t>
      </w:r>
      <w:r w:rsidR="00DD09E3" w:rsidRPr="000637CD">
        <w:rPr>
          <w:rFonts w:eastAsia="Arial" w:cstheme="minorHAnsi"/>
          <w:lang w:val="es-ES" w:eastAsia="zh-CN"/>
        </w:rPr>
        <w:t xml:space="preserve">, provocó que algunos/as personas LGBT y defensores/as de DDHH instalen una huelga de hambre, que tuvo como resultado que el 22 de noviembre, el TCP </w:t>
      </w:r>
      <w:r w:rsidR="00E236C4">
        <w:rPr>
          <w:rFonts w:eastAsia="Arial" w:cstheme="minorHAnsi"/>
          <w:lang w:val="es-ES" w:eastAsia="zh-CN"/>
        </w:rPr>
        <w:t>emit</w:t>
      </w:r>
      <w:r>
        <w:rPr>
          <w:rFonts w:eastAsia="Arial" w:cstheme="minorHAnsi"/>
          <w:lang w:val="es-ES" w:eastAsia="zh-CN"/>
        </w:rPr>
        <w:t>a</w:t>
      </w:r>
      <w:r w:rsidR="00DD09E3" w:rsidRPr="000637CD">
        <w:rPr>
          <w:rFonts w:eastAsia="Arial" w:cstheme="minorHAnsi"/>
          <w:lang w:val="es-ES" w:eastAsia="zh-CN"/>
        </w:rPr>
        <w:t xml:space="preserve"> el Auto </w:t>
      </w:r>
      <w:r w:rsidR="00DD09E3" w:rsidRPr="000637CD">
        <w:rPr>
          <w:rFonts w:eastAsia="Arial" w:cstheme="minorHAnsi"/>
          <w:lang w:val="es-ES" w:eastAsia="zh-CN"/>
        </w:rPr>
        <w:lastRenderedPageBreak/>
        <w:t xml:space="preserve">Constitucional Plurinacional 0028/2017, que determina entre los aspectos más importantes: </w:t>
      </w:r>
      <w:r w:rsidR="00DD09E3" w:rsidRPr="000637CD">
        <w:rPr>
          <w:rFonts w:eastAsia="Arial" w:cstheme="minorHAnsi"/>
          <w:i/>
          <w:lang w:val="es-ES" w:eastAsia="zh-CN"/>
        </w:rPr>
        <w:t>“se reconoce el derecho a la identidad de género sin que de manera alguna niegue o desconozca los derechos políticos, laborales, civiles, económicos o sociales de quienes asuman un cambio de identidad de género; en consecuencia, pueden cambiar de identidad de género y ejercer libremente los derechos y actividades inherentes a la persona como contratar, mantener relaciones laborales, recibir instrucción o educación, a sufragar y cualquier otro derecho.”</w:t>
      </w:r>
      <w:r w:rsidR="00DD09E3" w:rsidRPr="000637CD">
        <w:rPr>
          <w:rStyle w:val="Refdenotaalpie"/>
        </w:rPr>
        <w:footnoteReference w:id="8"/>
      </w:r>
    </w:p>
    <w:p w:rsidR="00DD09E3" w:rsidRPr="000637CD" w:rsidRDefault="00DD09E3" w:rsidP="000637CD">
      <w:pPr>
        <w:spacing w:before="120" w:after="120" w:line="240" w:lineRule="auto"/>
        <w:jc w:val="both"/>
        <w:rPr>
          <w:rFonts w:eastAsia="Arial" w:cstheme="minorHAnsi"/>
          <w:b/>
          <w:lang w:val="es-ES" w:eastAsia="zh-CN"/>
        </w:rPr>
      </w:pPr>
      <w:r w:rsidRPr="000637CD">
        <w:rPr>
          <w:rFonts w:eastAsia="Arial" w:cstheme="minorHAnsi"/>
          <w:lang w:val="es-ES" w:eastAsia="zh-CN"/>
        </w:rPr>
        <w:t xml:space="preserve">Sin embargo, </w:t>
      </w:r>
      <w:r w:rsidR="000637CD">
        <w:rPr>
          <w:rFonts w:eastAsia="Arial" w:cstheme="minorHAnsi"/>
          <w:lang w:val="es-ES" w:eastAsia="zh-CN"/>
        </w:rPr>
        <w:t xml:space="preserve">en relación a </w:t>
      </w:r>
      <w:r w:rsidRPr="000637CD">
        <w:rPr>
          <w:rFonts w:eastAsia="Arial" w:cstheme="minorHAnsi"/>
          <w:lang w:val="es-ES" w:eastAsia="zh-CN"/>
        </w:rPr>
        <w:t>los derechos específicos restringidos</w:t>
      </w:r>
      <w:r w:rsidR="000637CD">
        <w:rPr>
          <w:rFonts w:eastAsia="Arial" w:cstheme="minorHAnsi"/>
          <w:lang w:val="es-ES" w:eastAsia="zh-CN"/>
        </w:rPr>
        <w:t>,</w:t>
      </w:r>
      <w:r w:rsidRPr="000637CD">
        <w:rPr>
          <w:rFonts w:eastAsia="Arial" w:cstheme="minorHAnsi"/>
          <w:lang w:val="es-ES" w:eastAsia="zh-CN"/>
        </w:rPr>
        <w:t xml:space="preserve"> el TCP determinó que los mismos ameritan un </w:t>
      </w:r>
      <w:r w:rsidRPr="000637CD">
        <w:rPr>
          <w:rFonts w:eastAsia="Arial" w:cstheme="minorHAnsi"/>
          <w:b/>
          <w:lang w:val="es-ES" w:eastAsia="zh-CN"/>
        </w:rPr>
        <w:t>“debate democrático con los actores de la colectividad en su conjunto y la Asamblea Legislativa Plurinacional a fin de la regulación normativa correspondiente, tomando en cuenta los principios y valores proclamados en la Constitución Política del Estado”; regulación legislativa que a la fecha no está en tratamiento y los derechos a la población Trans siguen siendo vulnerados en el Estado Plurinacional de Bolivia.</w:t>
      </w:r>
    </w:p>
    <w:p w:rsidR="00477BA0" w:rsidRPr="000637CD" w:rsidRDefault="00DD09E3" w:rsidP="000637CD">
      <w:pPr>
        <w:widowControl w:val="0"/>
        <w:autoSpaceDE w:val="0"/>
        <w:autoSpaceDN w:val="0"/>
        <w:adjustRightInd w:val="0"/>
        <w:spacing w:before="120" w:after="120" w:line="240" w:lineRule="auto"/>
        <w:jc w:val="both"/>
        <w:rPr>
          <w:rFonts w:ascii="Calibri" w:hAnsi="Calibri" w:cs="Calibri"/>
          <w:b/>
        </w:rPr>
      </w:pPr>
      <w:r w:rsidRPr="000637CD">
        <w:rPr>
          <w:rFonts w:eastAsia="Arial" w:cstheme="minorHAnsi"/>
          <w:lang w:val="es-ES" w:eastAsia="zh-CN"/>
        </w:rPr>
        <w:t>Es</w:t>
      </w:r>
      <w:r w:rsidR="000637CD">
        <w:rPr>
          <w:rFonts w:eastAsia="Arial" w:cstheme="minorHAnsi"/>
          <w:lang w:val="es-ES" w:eastAsia="zh-CN"/>
        </w:rPr>
        <w:t>pecíficamente, en relación al Derecho a la</w:t>
      </w:r>
      <w:r w:rsidR="00477BA0" w:rsidRPr="000637CD">
        <w:rPr>
          <w:rFonts w:eastAsia="Arial" w:cstheme="minorHAnsi"/>
          <w:lang w:val="es-ES" w:eastAsia="zh-CN"/>
        </w:rPr>
        <w:t xml:space="preserve"> </w:t>
      </w:r>
      <w:r w:rsidR="000637CD">
        <w:rPr>
          <w:rFonts w:eastAsia="Arial" w:cstheme="minorHAnsi"/>
          <w:lang w:val="es-ES" w:eastAsia="zh-CN"/>
        </w:rPr>
        <w:t>C</w:t>
      </w:r>
      <w:r w:rsidR="00477BA0" w:rsidRPr="000637CD">
        <w:rPr>
          <w:rFonts w:eastAsia="Arial" w:cstheme="minorHAnsi"/>
          <w:lang w:val="es-ES" w:eastAsia="zh-CN"/>
        </w:rPr>
        <w:t>onfidenciad</w:t>
      </w:r>
      <w:r w:rsidR="000637CD">
        <w:rPr>
          <w:rFonts w:eastAsia="Arial" w:cstheme="minorHAnsi"/>
          <w:lang w:val="es-ES" w:eastAsia="zh-CN"/>
        </w:rPr>
        <w:t>,</w:t>
      </w:r>
      <w:r w:rsidR="00477BA0" w:rsidRPr="000637CD">
        <w:rPr>
          <w:rFonts w:eastAsia="Arial" w:cstheme="minorHAnsi"/>
          <w:lang w:val="es-ES" w:eastAsia="zh-CN"/>
        </w:rPr>
        <w:t xml:space="preserve"> el TCP al pie de la letra determinó: </w:t>
      </w:r>
      <w:r w:rsidR="00477BA0" w:rsidRPr="000637CD">
        <w:rPr>
          <w:rFonts w:ascii="Calibri" w:hAnsi="Calibri" w:cs="Calibri"/>
          <w:b/>
          <w:i/>
          <w:iCs/>
          <w:color w:val="000000"/>
        </w:rPr>
        <w:t>“</w:t>
      </w:r>
      <w:r w:rsidR="00477BA0" w:rsidRPr="000637CD">
        <w:rPr>
          <w:rFonts w:ascii="Calibri" w:hAnsi="Calibri" w:cs="Calibri"/>
          <w:b/>
          <w:i/>
          <w:iCs/>
          <w:color w:val="000000"/>
        </w:rPr>
        <w:t xml:space="preserve">la </w:t>
      </w:r>
      <w:r w:rsidR="00477BA0" w:rsidRPr="000637CD">
        <w:rPr>
          <w:rFonts w:ascii="Calibri" w:hAnsi="Calibri" w:cs="Calibri"/>
          <w:b/>
          <w:i/>
          <w:iCs/>
          <w:color w:val="000000"/>
        </w:rPr>
        <w:t>confidencialidad del trámite de cambio de nombre, dato del sexo e  imagen, es justificada en la medida en que publicitar el mismo, podría afectar seriamente el derecho de las  personas involucradas a ejercer su derecho al libre desarrollo de la personalidad y la inescindible búsqueda de  la concretización de sus propios proyectos de vida, pues se trata de una convicción personal e íntima que de ser  pública, contribuiría a la estigmatización de las personas que accedan a dicho trámite”.</w:t>
      </w:r>
      <w:r w:rsidR="00477BA0" w:rsidRPr="000637CD">
        <w:rPr>
          <w:rStyle w:val="Refdenotaalpie"/>
          <w:rFonts w:ascii="Calibri" w:hAnsi="Calibri" w:cs="Calibri"/>
          <w:b/>
          <w:i/>
          <w:iCs/>
          <w:color w:val="000000"/>
        </w:rPr>
        <w:footnoteReference w:id="9"/>
      </w:r>
    </w:p>
    <w:p w:rsidR="00DD09E3" w:rsidRPr="000637CD" w:rsidRDefault="00477BA0" w:rsidP="000637CD">
      <w:pPr>
        <w:spacing w:before="120" w:after="120" w:line="240" w:lineRule="auto"/>
        <w:jc w:val="both"/>
        <w:rPr>
          <w:rFonts w:eastAsia="Arial" w:cstheme="minorHAnsi"/>
          <w:lang w:val="es-ES" w:eastAsia="zh-CN"/>
        </w:rPr>
      </w:pPr>
      <w:r w:rsidRPr="000637CD">
        <w:rPr>
          <w:rFonts w:ascii="Calibri" w:hAnsi="Calibri" w:cs="Calibri"/>
          <w:color w:val="000000"/>
        </w:rPr>
        <w:t xml:space="preserve">Además el TCP fundamenta su constitucionalidad en base al </w:t>
      </w:r>
      <w:r w:rsidRPr="000637CD">
        <w:rPr>
          <w:rFonts w:ascii="Calibri" w:hAnsi="Calibri" w:cs="Calibri"/>
          <w:i/>
          <w:iCs/>
          <w:color w:val="000000"/>
        </w:rPr>
        <w:t xml:space="preserve">“reconocimiento del derecho a la intimidad y  privacidad reconocida en nuestra Norma Suprema”, </w:t>
      </w:r>
      <w:r w:rsidRPr="000637CD">
        <w:rPr>
          <w:rFonts w:ascii="Calibri" w:hAnsi="Calibri" w:cs="Calibri"/>
          <w:b/>
          <w:bCs/>
          <w:color w:val="000000"/>
        </w:rPr>
        <w:t>basada en el Artículo 21 de la Sección I Derechos Civiles:  “Las bolivianas y los bolivianos tienen los siguientes derechos: “2. A la privacidad, intimidad, honra, honor,  propia imagen y dignidad”.</w:t>
      </w:r>
      <w:r w:rsidRPr="000637CD">
        <w:rPr>
          <w:rStyle w:val="Refdenotaalpie"/>
          <w:rFonts w:ascii="Calibri" w:hAnsi="Calibri" w:cs="Calibri"/>
          <w:i/>
          <w:iCs/>
          <w:color w:val="000000"/>
        </w:rPr>
        <w:footnoteReference w:id="10"/>
      </w:r>
    </w:p>
    <w:p w:rsidR="000637CD" w:rsidRPr="000637CD" w:rsidRDefault="000637CD" w:rsidP="000637CD">
      <w:pPr>
        <w:widowControl w:val="0"/>
        <w:autoSpaceDE w:val="0"/>
        <w:autoSpaceDN w:val="0"/>
        <w:adjustRightInd w:val="0"/>
        <w:spacing w:before="120" w:after="120" w:line="240" w:lineRule="auto"/>
        <w:jc w:val="both"/>
        <w:rPr>
          <w:rFonts w:ascii="Calibri" w:hAnsi="Calibri" w:cs="Times New Roman"/>
        </w:rPr>
      </w:pPr>
      <w:r w:rsidRPr="000645C7">
        <w:rPr>
          <w:rFonts w:ascii="Calibri" w:hAnsi="Calibri" w:cs="Calibri"/>
          <w:b/>
          <w:bCs/>
          <w:color w:val="000000"/>
        </w:rPr>
        <w:t xml:space="preserve">Sin embargo, el mismo TCP se contradice, al indicar el  </w:t>
      </w:r>
      <w:r w:rsidRPr="000645C7">
        <w:rPr>
          <w:rFonts w:ascii="Calibri" w:hAnsi="Calibri" w:cs="Calibri"/>
          <w:b/>
          <w:bCs/>
          <w:color w:val="000000"/>
          <w:spacing w:val="-2"/>
        </w:rPr>
        <w:t>Derecho a la Confidencialidad tiene como</w:t>
      </w:r>
      <w:r w:rsidRPr="000645C7">
        <w:rPr>
          <w:rFonts w:ascii="Calibri" w:hAnsi="Calibri" w:cs="Calibri"/>
          <w:b/>
          <w:i/>
          <w:iCs/>
          <w:color w:val="000000"/>
          <w:spacing w:val="-2"/>
        </w:rPr>
        <w:t xml:space="preserve"> “límite el interés  </w:t>
      </w:r>
      <w:r w:rsidRPr="000645C7">
        <w:rPr>
          <w:rFonts w:ascii="Calibri" w:hAnsi="Calibri" w:cs="Calibri"/>
          <w:b/>
          <w:i/>
          <w:iCs/>
          <w:color w:val="000000"/>
        </w:rPr>
        <w:t>colectivo, y también, eventualmente cuando se afecten los  derechos de terceros, o sus propios proyectos de vida</w:t>
      </w:r>
      <w:r w:rsidRPr="000645C7">
        <w:rPr>
          <w:rStyle w:val="Refdenotaalpie"/>
          <w:rFonts w:ascii="Calibri" w:hAnsi="Calibri" w:cs="Calibri"/>
          <w:b/>
          <w:i/>
          <w:iCs/>
          <w:color w:val="000000"/>
        </w:rPr>
        <w:footnoteReference w:id="11"/>
      </w:r>
      <w:r w:rsidRPr="000645C7">
        <w:rPr>
          <w:rFonts w:ascii="Calibri" w:hAnsi="Calibri" w:cs="Calibri"/>
          <w:b/>
          <w:i/>
          <w:iCs/>
          <w:color w:val="000000"/>
        </w:rPr>
        <w:t>”,</w:t>
      </w:r>
      <w:r w:rsidRPr="000637CD">
        <w:rPr>
          <w:rFonts w:ascii="Calibri" w:hAnsi="Calibri" w:cs="Calibri"/>
          <w:i/>
          <w:iCs/>
          <w:color w:val="000000"/>
        </w:rPr>
        <w:t xml:space="preserve"> </w:t>
      </w:r>
      <w:r w:rsidRPr="000637CD">
        <w:rPr>
          <w:rFonts w:ascii="Calibri" w:hAnsi="Calibri" w:cs="Calibri"/>
          <w:b/>
          <w:bCs/>
          <w:color w:val="000000"/>
        </w:rPr>
        <w:t>sin brindar una definición jurídica y/o el alcance legal del  interés colectivo y de terceros, generando un vací</w:t>
      </w:r>
      <w:r w:rsidRPr="000637CD">
        <w:rPr>
          <w:rFonts w:ascii="Calibri" w:hAnsi="Calibri" w:cs="Calibri"/>
          <w:b/>
          <w:bCs/>
          <w:color w:val="000000"/>
        </w:rPr>
        <w:t>o</w:t>
      </w:r>
      <w:r w:rsidRPr="000637CD">
        <w:rPr>
          <w:rFonts w:ascii="Calibri" w:hAnsi="Calibri" w:cs="Calibri"/>
          <w:b/>
          <w:bCs/>
          <w:color w:val="000000"/>
        </w:rPr>
        <w:t xml:space="preserve"> jurídico</w:t>
      </w:r>
      <w:r w:rsidRPr="000637CD">
        <w:rPr>
          <w:rFonts w:ascii="Calibri" w:hAnsi="Calibri" w:cs="Calibri"/>
          <w:b/>
          <w:bCs/>
          <w:color w:val="000000"/>
        </w:rPr>
        <w:t>.</w:t>
      </w:r>
    </w:p>
    <w:p w:rsidR="00DD09E3" w:rsidRPr="000645C7" w:rsidRDefault="000637CD" w:rsidP="000637CD">
      <w:pPr>
        <w:widowControl w:val="0"/>
        <w:autoSpaceDE w:val="0"/>
        <w:autoSpaceDN w:val="0"/>
        <w:adjustRightInd w:val="0"/>
        <w:spacing w:before="120" w:after="120" w:line="240" w:lineRule="auto"/>
        <w:jc w:val="both"/>
        <w:rPr>
          <w:rFonts w:ascii="Calibri" w:hAnsi="Calibri" w:cs="Calibri"/>
          <w:i/>
          <w:iCs/>
          <w:color w:val="000000"/>
        </w:rPr>
      </w:pPr>
      <w:r w:rsidRPr="000637CD">
        <w:rPr>
          <w:rFonts w:ascii="Calibri" w:hAnsi="Calibri" w:cs="Calibri"/>
          <w:b/>
          <w:bCs/>
          <w:color w:val="000000"/>
        </w:rPr>
        <w:t>Al no contar con esta argumentació</w:t>
      </w:r>
      <w:r w:rsidRPr="000637CD">
        <w:rPr>
          <w:rFonts w:ascii="Calibri" w:hAnsi="Calibri" w:cs="Calibri"/>
          <w:b/>
          <w:bCs/>
          <w:color w:val="000000"/>
        </w:rPr>
        <w:t xml:space="preserve">n </w:t>
      </w:r>
      <w:r w:rsidR="000645C7">
        <w:rPr>
          <w:rFonts w:ascii="Calibri" w:hAnsi="Calibri" w:cs="Calibri"/>
          <w:b/>
          <w:bCs/>
          <w:color w:val="000000"/>
        </w:rPr>
        <w:t xml:space="preserve">el TCP </w:t>
      </w:r>
      <w:r w:rsidRPr="000637CD">
        <w:rPr>
          <w:rFonts w:ascii="Calibri" w:hAnsi="Calibri" w:cs="Calibri"/>
          <w:b/>
          <w:bCs/>
          <w:color w:val="000000"/>
        </w:rPr>
        <w:t>determina en su</w:t>
      </w:r>
      <w:r w:rsidRPr="000637CD">
        <w:rPr>
          <w:rFonts w:ascii="Calibri" w:hAnsi="Calibri" w:cs="Calibri"/>
          <w:b/>
          <w:bCs/>
          <w:color w:val="000000"/>
        </w:rPr>
        <w:t xml:space="preserve"> interpretación </w:t>
      </w:r>
      <w:r w:rsidR="000645C7">
        <w:rPr>
          <w:rFonts w:ascii="Calibri" w:hAnsi="Calibri" w:cs="Calibri"/>
          <w:b/>
          <w:bCs/>
          <w:color w:val="000000"/>
        </w:rPr>
        <w:t xml:space="preserve">textualmente </w:t>
      </w:r>
      <w:r w:rsidRPr="000637CD">
        <w:rPr>
          <w:rFonts w:ascii="Calibri" w:hAnsi="Calibri" w:cs="Calibri"/>
          <w:b/>
          <w:bCs/>
          <w:color w:val="000000"/>
        </w:rPr>
        <w:t>que</w:t>
      </w:r>
      <w:r w:rsidRPr="000637CD">
        <w:rPr>
          <w:rFonts w:ascii="Calibri" w:hAnsi="Calibri" w:cs="Calibri"/>
          <w:i/>
          <w:iCs/>
          <w:color w:val="000000"/>
        </w:rPr>
        <w:t xml:space="preserve"> “corresponderá al Estado la </w:t>
      </w:r>
      <w:r w:rsidRPr="000637CD">
        <w:rPr>
          <w:rFonts w:ascii="Calibri" w:hAnsi="Calibri" w:cs="Calibri"/>
          <w:i/>
          <w:iCs/>
          <w:color w:val="000000"/>
        </w:rPr>
        <w:t>regulación normativa</w:t>
      </w:r>
      <w:r w:rsidRPr="000637CD">
        <w:rPr>
          <w:rFonts w:ascii="Calibri" w:hAnsi="Calibri" w:cs="Calibri"/>
          <w:i/>
          <w:iCs/>
          <w:color w:val="000000"/>
        </w:rPr>
        <w:t xml:space="preserve"> el permitir acceder a dicha informació</w:t>
      </w:r>
      <w:r w:rsidR="000645C7">
        <w:rPr>
          <w:rFonts w:ascii="Calibri" w:hAnsi="Calibri" w:cs="Calibri"/>
          <w:i/>
          <w:iCs/>
          <w:color w:val="000000"/>
        </w:rPr>
        <w:t xml:space="preserve">n sin </w:t>
      </w:r>
      <w:r w:rsidRPr="000637CD">
        <w:rPr>
          <w:rFonts w:ascii="Calibri" w:hAnsi="Calibri" w:cs="Calibri"/>
          <w:i/>
          <w:iCs/>
          <w:color w:val="000000"/>
        </w:rPr>
        <w:t>necesidad de completar un trá</w:t>
      </w:r>
      <w:r w:rsidR="000645C7">
        <w:rPr>
          <w:rFonts w:ascii="Calibri" w:hAnsi="Calibri" w:cs="Calibri"/>
          <w:i/>
          <w:iCs/>
          <w:color w:val="000000"/>
        </w:rPr>
        <w:t>mite previo, pues dicha</w:t>
      </w:r>
      <w:r w:rsidRPr="000637CD">
        <w:rPr>
          <w:rFonts w:ascii="Calibri" w:hAnsi="Calibri" w:cs="Calibri"/>
          <w:i/>
          <w:iCs/>
          <w:color w:val="000000"/>
        </w:rPr>
        <w:t xml:space="preserve"> información adquiere el cará</w:t>
      </w:r>
      <w:r w:rsidR="000645C7">
        <w:rPr>
          <w:rFonts w:ascii="Calibri" w:hAnsi="Calibri" w:cs="Calibri"/>
          <w:i/>
          <w:iCs/>
          <w:color w:val="000000"/>
        </w:rPr>
        <w:t>cter confidencial mientras no</w:t>
      </w:r>
      <w:r w:rsidRPr="000637CD">
        <w:rPr>
          <w:rFonts w:ascii="Calibri" w:hAnsi="Calibri" w:cs="Calibri"/>
          <w:i/>
          <w:iCs/>
          <w:color w:val="000000"/>
        </w:rPr>
        <w:t xml:space="preserve"> vulnere el ejercicio de otros derechos y sea </w:t>
      </w:r>
      <w:r w:rsidR="000645C7" w:rsidRPr="000637CD">
        <w:rPr>
          <w:rFonts w:ascii="Calibri" w:hAnsi="Calibri" w:cs="Calibri"/>
          <w:i/>
          <w:iCs/>
          <w:color w:val="000000"/>
        </w:rPr>
        <w:t>únicamente respecto</w:t>
      </w:r>
      <w:r w:rsidRPr="000637CD">
        <w:rPr>
          <w:rFonts w:ascii="Calibri" w:hAnsi="Calibri" w:cs="Calibri"/>
          <w:i/>
          <w:iCs/>
          <w:color w:val="000000"/>
          <w:spacing w:val="-2"/>
        </w:rPr>
        <w:t xml:space="preserve"> del derecho al libre desarrollo de la personalidad </w:t>
      </w:r>
      <w:r w:rsidR="000645C7" w:rsidRPr="000637CD">
        <w:rPr>
          <w:rFonts w:ascii="Calibri" w:hAnsi="Calibri" w:cs="Calibri"/>
          <w:i/>
          <w:iCs/>
          <w:color w:val="000000"/>
          <w:spacing w:val="-2"/>
        </w:rPr>
        <w:t>y sea</w:t>
      </w:r>
      <w:r w:rsidRPr="000637CD">
        <w:rPr>
          <w:rFonts w:ascii="Calibri" w:hAnsi="Calibri" w:cs="Calibri"/>
          <w:i/>
          <w:iCs/>
          <w:color w:val="000000"/>
          <w:spacing w:val="-4"/>
        </w:rPr>
        <w:t xml:space="preserve"> en respeto de sus propios proyectos de vida. Así, en casos  </w:t>
      </w:r>
      <w:r w:rsidRPr="000637CD">
        <w:rPr>
          <w:rFonts w:ascii="Calibri" w:hAnsi="Calibri" w:cs="Calibri"/>
          <w:i/>
          <w:iCs/>
          <w:color w:val="000000"/>
        </w:rPr>
        <w:t>de competiciones deportivas, y otras actividades basadas  en distinciones de género masculino- femenino, que en  definitiva se asientan en características físico-biológicas de</w:t>
      </w:r>
      <w:r w:rsidRPr="000637CD">
        <w:rPr>
          <w:rFonts w:ascii="Calibri" w:hAnsi="Calibri" w:cs="Calibri"/>
          <w:i/>
          <w:iCs/>
          <w:color w:val="000000"/>
        </w:rPr>
        <w:t xml:space="preserve"> </w:t>
      </w:r>
      <w:r w:rsidRPr="000637CD">
        <w:rPr>
          <w:rFonts w:ascii="Calibri" w:hAnsi="Calibri" w:cs="Calibri"/>
          <w:i/>
          <w:iCs/>
          <w:color w:val="000000"/>
        </w:rPr>
        <w:t>los competidores o participantes, o cualquier actividad que tenga como fundamento el reconocimiento de dicha  condición biológica, las personas que accedieron al cambio de dato de sexo, deberán brindar esa informació</w:t>
      </w:r>
      <w:r w:rsidRPr="000637CD">
        <w:rPr>
          <w:rFonts w:ascii="Calibri" w:hAnsi="Calibri" w:cs="Calibri"/>
          <w:i/>
          <w:iCs/>
          <w:color w:val="000000"/>
        </w:rPr>
        <w:t xml:space="preserve">n </w:t>
      </w:r>
      <w:r w:rsidRPr="000637CD">
        <w:rPr>
          <w:rFonts w:ascii="Calibri" w:hAnsi="Calibri" w:cs="Calibri"/>
          <w:i/>
          <w:iCs/>
          <w:color w:val="000000"/>
        </w:rPr>
        <w:t>de manera obligatoria, o en su caso, el requerimiento de tal información prescindirá del carácter confidencial.”</w:t>
      </w:r>
      <w:r w:rsidRPr="000637CD">
        <w:rPr>
          <w:rStyle w:val="Refdenotaalpie"/>
          <w:rFonts w:ascii="Calibri" w:hAnsi="Calibri" w:cs="Calibri"/>
          <w:i/>
          <w:iCs/>
          <w:color w:val="000000"/>
        </w:rPr>
        <w:footnoteReference w:id="12"/>
      </w:r>
    </w:p>
    <w:p w:rsidR="00DC0D82" w:rsidRDefault="000645C7" w:rsidP="000645C7">
      <w:pPr>
        <w:pBdr>
          <w:top w:val="nil"/>
          <w:left w:val="nil"/>
          <w:bottom w:val="nil"/>
          <w:right w:val="nil"/>
          <w:between w:val="nil"/>
        </w:pBdr>
        <w:spacing w:before="120" w:after="120" w:line="240" w:lineRule="auto"/>
        <w:jc w:val="both"/>
        <w:rPr>
          <w:rFonts w:eastAsia="Arial" w:cstheme="minorHAnsi"/>
          <w:b/>
          <w:lang w:val="es-ES" w:eastAsia="zh-CN"/>
        </w:rPr>
      </w:pPr>
      <w:r w:rsidRPr="000645C7">
        <w:rPr>
          <w:rFonts w:eastAsia="Arial" w:cstheme="minorHAnsi"/>
          <w:b/>
          <w:lang w:val="es-ES" w:eastAsia="zh-CN"/>
        </w:rPr>
        <w:t xml:space="preserve">En base a lo descrito, el Derecho a la Confidencialidad, para la población LGBTI, especialmente de la población Transexual y Transgénero, es vulnerada en el Estado Plurinacional de Bolivia.  </w:t>
      </w:r>
      <w:r w:rsidR="00C21117" w:rsidRPr="000645C7">
        <w:rPr>
          <w:rFonts w:eastAsia="Arial" w:cstheme="minorHAnsi"/>
          <w:b/>
          <w:lang w:val="es-ES" w:eastAsia="zh-CN"/>
        </w:rPr>
        <w:t xml:space="preserve"> </w:t>
      </w:r>
    </w:p>
    <w:p w:rsidR="00E236C4" w:rsidRPr="000645C7" w:rsidRDefault="00E236C4" w:rsidP="000645C7">
      <w:pPr>
        <w:pBdr>
          <w:top w:val="nil"/>
          <w:left w:val="nil"/>
          <w:bottom w:val="nil"/>
          <w:right w:val="nil"/>
          <w:between w:val="nil"/>
        </w:pBdr>
        <w:spacing w:before="120" w:after="120" w:line="240" w:lineRule="auto"/>
        <w:jc w:val="both"/>
        <w:rPr>
          <w:rFonts w:eastAsia="Arial" w:cstheme="minorHAnsi"/>
          <w:b/>
          <w:lang w:val="es-ES" w:eastAsia="zh-CN"/>
        </w:rPr>
      </w:pPr>
    </w:p>
    <w:p w:rsidR="0053365D" w:rsidRPr="0076690D" w:rsidRDefault="0053365D" w:rsidP="00F405F4">
      <w:pPr>
        <w:numPr>
          <w:ilvl w:val="1"/>
          <w:numId w:val="1"/>
        </w:numPr>
        <w:pBdr>
          <w:top w:val="nil"/>
          <w:left w:val="nil"/>
          <w:bottom w:val="nil"/>
          <w:right w:val="nil"/>
          <w:between w:val="nil"/>
        </w:pBdr>
        <w:spacing w:before="120" w:after="120" w:line="240" w:lineRule="auto"/>
        <w:ind w:left="426" w:firstLine="0"/>
        <w:jc w:val="both"/>
        <w:rPr>
          <w:rFonts w:eastAsia="Arial" w:cstheme="minorHAnsi"/>
          <w:b/>
          <w:color w:val="FF0000"/>
          <w:lang w:val="es-ES" w:eastAsia="zh-CN"/>
        </w:rPr>
      </w:pPr>
      <w:r w:rsidRPr="0076690D">
        <w:rPr>
          <w:rFonts w:eastAsia="Helvetica Neue" w:cstheme="minorHAnsi"/>
          <w:b/>
          <w:color w:val="FF0000"/>
          <w:lang w:val="es-ES" w:eastAsia="zh-CN"/>
        </w:rPr>
        <w:lastRenderedPageBreak/>
        <w:t>Normas estatutarias o políticas administrativas más amplias para asegurar la transparencia y la rendición de cuentas de las instituciones gubernamentales, como los organismos de estadística.</w:t>
      </w:r>
    </w:p>
    <w:p w:rsidR="00F405F4" w:rsidRDefault="003D22A3" w:rsidP="00F405F4">
      <w:pPr>
        <w:pBdr>
          <w:top w:val="nil"/>
          <w:left w:val="nil"/>
          <w:bottom w:val="nil"/>
          <w:right w:val="nil"/>
          <w:between w:val="nil"/>
        </w:pBdr>
        <w:spacing w:before="120" w:after="120" w:line="240" w:lineRule="auto"/>
        <w:ind w:left="426"/>
        <w:jc w:val="both"/>
        <w:rPr>
          <w:rFonts w:eastAsia="Helvetica Neue" w:cstheme="minorHAnsi"/>
          <w:lang w:val="es-ES" w:eastAsia="zh-CN"/>
        </w:rPr>
      </w:pPr>
      <w:r w:rsidRPr="003D22A3">
        <w:rPr>
          <w:rFonts w:eastAsia="Helvetica Neue" w:cstheme="minorHAnsi"/>
          <w:lang w:val="es-ES" w:eastAsia="zh-CN"/>
        </w:rPr>
        <w:t xml:space="preserve">En fecha </w:t>
      </w:r>
      <w:r>
        <w:rPr>
          <w:rFonts w:eastAsia="Helvetica Neue" w:cstheme="minorHAnsi"/>
          <w:lang w:val="es-ES" w:eastAsia="zh-CN"/>
        </w:rPr>
        <w:t>5 de febrero de 2013, se promulgó la “Ley de Participación y Control Social”</w:t>
      </w:r>
      <w:r>
        <w:rPr>
          <w:rStyle w:val="Refdenotaalpie"/>
          <w:rFonts w:eastAsia="Helvetica Neue" w:cstheme="minorHAnsi"/>
          <w:lang w:val="es-ES" w:eastAsia="zh-CN"/>
        </w:rPr>
        <w:footnoteReference w:id="13"/>
      </w:r>
      <w:r>
        <w:rPr>
          <w:rFonts w:eastAsia="Helvetica Neue" w:cstheme="minorHAnsi"/>
          <w:lang w:val="es-ES" w:eastAsia="zh-CN"/>
        </w:rPr>
        <w:t xml:space="preserve">, que tiene como objeto </w:t>
      </w:r>
      <w:r w:rsidRPr="003D22A3">
        <w:rPr>
          <w:rFonts w:eastAsia="Helvetica Neue" w:cstheme="minorHAnsi"/>
          <w:i/>
          <w:lang w:val="es-ES" w:eastAsia="zh-CN"/>
        </w:rPr>
        <w:t>“</w:t>
      </w:r>
      <w:r w:rsidRPr="003D22A3">
        <w:rPr>
          <w:rFonts w:eastAsia="Helvetica Neue" w:cstheme="minorHAnsi"/>
          <w:i/>
          <w:lang w:eastAsia="zh-CN"/>
        </w:rPr>
        <w:t>establecer el marco general de la Participación y Control Social definiendo los fines, principios, atribuciones, derechos, obligaciones y formas de su ejercicio, en aplicación de los Artículos 241 y 242 de la Constitución Política del Estado”.</w:t>
      </w:r>
      <w:r w:rsidRPr="003D22A3">
        <w:rPr>
          <w:rFonts w:eastAsia="Helvetica Neue" w:cstheme="minorHAnsi"/>
          <w:lang w:eastAsia="zh-CN"/>
        </w:rPr>
        <w:t xml:space="preserve"> </w:t>
      </w:r>
      <w:r>
        <w:rPr>
          <w:rFonts w:eastAsia="Helvetica Neue" w:cstheme="minorHAnsi"/>
          <w:lang w:val="es-ES" w:eastAsia="zh-CN"/>
        </w:rPr>
        <w:t xml:space="preserve"> </w:t>
      </w:r>
      <w:r>
        <w:rPr>
          <w:rStyle w:val="Refdenotaalpie"/>
          <w:rFonts w:eastAsia="Helvetica Neue" w:cstheme="minorHAnsi"/>
          <w:lang w:val="es-ES" w:eastAsia="zh-CN"/>
        </w:rPr>
        <w:footnoteReference w:id="14"/>
      </w:r>
    </w:p>
    <w:p w:rsidR="003D22A3" w:rsidRDefault="007F3F61" w:rsidP="00F405F4">
      <w:pPr>
        <w:pBdr>
          <w:top w:val="nil"/>
          <w:left w:val="nil"/>
          <w:bottom w:val="nil"/>
          <w:right w:val="nil"/>
          <w:between w:val="nil"/>
        </w:pBdr>
        <w:spacing w:before="120" w:after="120" w:line="240" w:lineRule="auto"/>
        <w:ind w:left="426"/>
        <w:jc w:val="both"/>
        <w:rPr>
          <w:rFonts w:eastAsia="Helvetica Neue" w:cstheme="minorHAnsi"/>
          <w:lang w:val="es-ES" w:eastAsia="zh-CN"/>
        </w:rPr>
      </w:pPr>
      <w:r>
        <w:rPr>
          <w:rFonts w:eastAsia="Helvetica Neue" w:cstheme="minorHAnsi"/>
          <w:lang w:val="es-ES" w:eastAsia="zh-CN"/>
        </w:rPr>
        <w:t>La presente Ley, brinda</w:t>
      </w:r>
      <w:r w:rsidR="003D22A3">
        <w:rPr>
          <w:rFonts w:eastAsia="Helvetica Neue" w:cstheme="minorHAnsi"/>
          <w:lang w:val="es-ES" w:eastAsia="zh-CN"/>
        </w:rPr>
        <w:t xml:space="preserve"> a la población LGBTI</w:t>
      </w:r>
      <w:r>
        <w:rPr>
          <w:rFonts w:eastAsia="Helvetica Neue" w:cstheme="minorHAnsi"/>
          <w:lang w:val="es-ES" w:eastAsia="zh-CN"/>
        </w:rPr>
        <w:t xml:space="preserve"> ejercer los derechos a la participación y control social</w:t>
      </w:r>
      <w:r w:rsidR="003D22A3">
        <w:rPr>
          <w:rFonts w:eastAsia="Helvetica Neue" w:cstheme="minorHAnsi"/>
          <w:lang w:val="es-ES" w:eastAsia="zh-CN"/>
        </w:rPr>
        <w:t xml:space="preserve"> en los siguientes artículos:</w:t>
      </w:r>
    </w:p>
    <w:p w:rsidR="003D22A3" w:rsidRPr="007F3F61" w:rsidRDefault="003D22A3" w:rsidP="00F405F4">
      <w:pPr>
        <w:pBdr>
          <w:top w:val="nil"/>
          <w:left w:val="nil"/>
          <w:bottom w:val="nil"/>
          <w:right w:val="nil"/>
          <w:between w:val="nil"/>
        </w:pBdr>
        <w:spacing w:before="120" w:after="120" w:line="240" w:lineRule="auto"/>
        <w:ind w:left="426"/>
        <w:jc w:val="both"/>
        <w:rPr>
          <w:rFonts w:eastAsia="Helvetica Neue" w:cstheme="minorHAnsi"/>
          <w:i/>
          <w:lang w:eastAsia="zh-CN"/>
        </w:rPr>
      </w:pPr>
      <w:r w:rsidRPr="00E236C4">
        <w:rPr>
          <w:rFonts w:eastAsia="Helvetica Neue" w:cstheme="minorHAnsi"/>
          <w:b/>
          <w:i/>
          <w:lang w:eastAsia="zh-CN"/>
        </w:rPr>
        <w:t>“Artículo 2. (Ámbito de Aplicación).</w:t>
      </w:r>
      <w:r w:rsidRPr="007F3F61">
        <w:rPr>
          <w:rFonts w:eastAsia="Helvetica Neue" w:cstheme="minorHAnsi"/>
          <w:i/>
          <w:lang w:eastAsia="zh-CN"/>
        </w:rPr>
        <w:t xml:space="preserve"> La presente Ley se aplicará a: I. Todas las entidades públicas de los cuatro Órganos del Estado, Ministerio Público, Defensoría del Pueblo, Contraloría General del Estado, Procuraduría General del Estado, Fuerzas Armadas y Policía Boliviana.”</w:t>
      </w:r>
      <w:r w:rsidRPr="007F3F61">
        <w:rPr>
          <w:rStyle w:val="Refdenotaalpie"/>
          <w:rFonts w:eastAsia="Helvetica Neue" w:cstheme="minorHAnsi"/>
          <w:i/>
          <w:lang w:eastAsia="zh-CN"/>
        </w:rPr>
        <w:footnoteReference w:id="15"/>
      </w:r>
    </w:p>
    <w:p w:rsidR="003D22A3" w:rsidRPr="007F3F61" w:rsidRDefault="003D22A3" w:rsidP="00F405F4">
      <w:pPr>
        <w:pBdr>
          <w:top w:val="nil"/>
          <w:left w:val="nil"/>
          <w:bottom w:val="nil"/>
          <w:right w:val="nil"/>
          <w:between w:val="nil"/>
        </w:pBdr>
        <w:spacing w:before="120" w:after="120" w:line="240" w:lineRule="auto"/>
        <w:ind w:left="426"/>
        <w:jc w:val="both"/>
        <w:rPr>
          <w:b/>
          <w:i/>
        </w:rPr>
      </w:pPr>
      <w:r w:rsidRPr="007F3F61">
        <w:rPr>
          <w:b/>
          <w:i/>
        </w:rPr>
        <w:t>“</w:t>
      </w:r>
      <w:r w:rsidRPr="007F3F61">
        <w:rPr>
          <w:b/>
          <w:i/>
        </w:rPr>
        <w:t>Artículo 3. (</w:t>
      </w:r>
      <w:r w:rsidRPr="007F3F61">
        <w:rPr>
          <w:b/>
          <w:i/>
        </w:rPr>
        <w:t>Fines</w:t>
      </w:r>
      <w:r w:rsidRPr="007F3F61">
        <w:rPr>
          <w:b/>
          <w:i/>
        </w:rPr>
        <w:t>). La presente Ley tiene por fines:</w:t>
      </w:r>
    </w:p>
    <w:p w:rsidR="003D22A3" w:rsidRPr="007F3F61" w:rsidRDefault="003D22A3" w:rsidP="00F405F4">
      <w:pPr>
        <w:pBdr>
          <w:top w:val="nil"/>
          <w:left w:val="nil"/>
          <w:bottom w:val="nil"/>
          <w:right w:val="nil"/>
          <w:between w:val="nil"/>
        </w:pBdr>
        <w:spacing w:before="120" w:after="120" w:line="240" w:lineRule="auto"/>
        <w:ind w:left="426"/>
        <w:jc w:val="both"/>
        <w:rPr>
          <w:i/>
        </w:rPr>
      </w:pPr>
      <w:r w:rsidRPr="007F3F61">
        <w:rPr>
          <w:i/>
        </w:rPr>
        <w:t xml:space="preserve">1. </w:t>
      </w:r>
      <w:r w:rsidRPr="007F3F61">
        <w:rPr>
          <w:b/>
          <w:i/>
        </w:rPr>
        <w:t>Consolidar la Participación y Control Social como elementos transversales y continuos de la gestión pública</w:t>
      </w:r>
      <w:r w:rsidRPr="007F3F61">
        <w:rPr>
          <w:i/>
        </w:rPr>
        <w:t xml:space="preserve">; y en los procesos de planificación, seguimiento a la ejecución y evaluación de las políticas públicas y las acciones del Estado Plurinacional, en todos sus ámbitos y niveles territoriales. </w:t>
      </w:r>
    </w:p>
    <w:p w:rsidR="003D22A3" w:rsidRPr="007F3F61" w:rsidRDefault="003D22A3" w:rsidP="00F405F4">
      <w:pPr>
        <w:pBdr>
          <w:top w:val="nil"/>
          <w:left w:val="nil"/>
          <w:bottom w:val="nil"/>
          <w:right w:val="nil"/>
          <w:between w:val="nil"/>
        </w:pBdr>
        <w:spacing w:before="120" w:after="120" w:line="240" w:lineRule="auto"/>
        <w:ind w:left="426"/>
        <w:jc w:val="both"/>
        <w:rPr>
          <w:i/>
        </w:rPr>
      </w:pPr>
      <w:r w:rsidRPr="007F3F61">
        <w:rPr>
          <w:i/>
        </w:rPr>
        <w:t xml:space="preserve">5. </w:t>
      </w:r>
      <w:r w:rsidRPr="007F3F61">
        <w:rPr>
          <w:b/>
          <w:i/>
        </w:rPr>
        <w:t>Garantizar todas las formas de Participación y Control Social.</w:t>
      </w:r>
      <w:r w:rsidRPr="007F3F61">
        <w:rPr>
          <w:i/>
        </w:rPr>
        <w:t xml:space="preserve"> </w:t>
      </w:r>
    </w:p>
    <w:p w:rsidR="003D22A3" w:rsidRPr="007F3F61" w:rsidRDefault="003D22A3" w:rsidP="00F405F4">
      <w:pPr>
        <w:pBdr>
          <w:top w:val="nil"/>
          <w:left w:val="nil"/>
          <w:bottom w:val="nil"/>
          <w:right w:val="nil"/>
          <w:between w:val="nil"/>
        </w:pBdr>
        <w:spacing w:before="120" w:after="120" w:line="240" w:lineRule="auto"/>
        <w:ind w:left="426"/>
        <w:jc w:val="both"/>
        <w:rPr>
          <w:rFonts w:eastAsia="Helvetica Neue" w:cstheme="minorHAnsi"/>
          <w:i/>
          <w:lang w:val="es-ES" w:eastAsia="zh-CN"/>
        </w:rPr>
      </w:pPr>
      <w:r w:rsidRPr="007F3F61">
        <w:rPr>
          <w:i/>
        </w:rPr>
        <w:t xml:space="preserve">6. </w:t>
      </w:r>
      <w:r w:rsidRPr="007F3F61">
        <w:rPr>
          <w:b/>
          <w:i/>
        </w:rPr>
        <w:t>Fomentar y fortalecer las formas de Participación y Control Social de los sectores sociales</w:t>
      </w:r>
      <w:r w:rsidRPr="007F3F61">
        <w:rPr>
          <w:i/>
        </w:rPr>
        <w:t xml:space="preserve"> y/o sindicales organizados, juntas vecinales, naciones y pueblos indígena originario campesinos, las comunidades interculturales y </w:t>
      </w:r>
      <w:proofErr w:type="spellStart"/>
      <w:r w:rsidRPr="007F3F61">
        <w:rPr>
          <w:i/>
        </w:rPr>
        <w:t>afrobolivianas</w:t>
      </w:r>
      <w:proofErr w:type="spellEnd"/>
      <w:r w:rsidRPr="007F3F61">
        <w:rPr>
          <w:i/>
        </w:rPr>
        <w:t>, en la formulación, seguimiento a la ejecución y evaluación de políticas públicas del Estado Plurinacional, de acuerdo a su propia organización y de conformidad a sus normas, procedimientos propios y formas de gestión.</w:t>
      </w:r>
      <w:r w:rsidRPr="007F3F61">
        <w:rPr>
          <w:i/>
        </w:rPr>
        <w:t>”</w:t>
      </w:r>
      <w:r w:rsidRPr="007F3F61">
        <w:rPr>
          <w:i/>
        </w:rPr>
        <w:t> </w:t>
      </w:r>
      <w:r w:rsidR="002F6EF6" w:rsidRPr="007F3F61">
        <w:rPr>
          <w:rStyle w:val="Refdenotaalpie"/>
          <w:rFonts w:eastAsia="Helvetica Neue" w:cstheme="minorHAnsi"/>
          <w:i/>
          <w:lang w:val="es-ES" w:eastAsia="zh-CN"/>
        </w:rPr>
        <w:footnoteReference w:id="16"/>
      </w:r>
    </w:p>
    <w:p w:rsidR="00F405F4" w:rsidRPr="007F3F61" w:rsidRDefault="003D22A3" w:rsidP="00F405F4">
      <w:pPr>
        <w:pBdr>
          <w:top w:val="nil"/>
          <w:left w:val="nil"/>
          <w:bottom w:val="nil"/>
          <w:right w:val="nil"/>
          <w:between w:val="nil"/>
        </w:pBdr>
        <w:spacing w:before="120" w:after="120" w:line="240" w:lineRule="auto"/>
        <w:ind w:left="426"/>
        <w:jc w:val="both"/>
        <w:rPr>
          <w:b/>
          <w:i/>
        </w:rPr>
      </w:pPr>
      <w:r w:rsidRPr="007F3F61">
        <w:rPr>
          <w:b/>
          <w:i/>
        </w:rPr>
        <w:t>“</w:t>
      </w:r>
      <w:r w:rsidRPr="007F3F61">
        <w:rPr>
          <w:b/>
          <w:i/>
        </w:rPr>
        <w:t>Artículo 4. (</w:t>
      </w:r>
      <w:r w:rsidRPr="007F3F61">
        <w:rPr>
          <w:b/>
          <w:i/>
        </w:rPr>
        <w:t>Principios</w:t>
      </w:r>
      <w:r w:rsidRPr="007F3F61">
        <w:rPr>
          <w:b/>
          <w:i/>
        </w:rPr>
        <w:t>). Son principios de cumplimiento obligatorio:</w:t>
      </w:r>
    </w:p>
    <w:p w:rsidR="003D22A3" w:rsidRPr="007F3F61" w:rsidRDefault="003D22A3" w:rsidP="00F405F4">
      <w:pPr>
        <w:pBdr>
          <w:top w:val="nil"/>
          <w:left w:val="nil"/>
          <w:bottom w:val="nil"/>
          <w:right w:val="nil"/>
          <w:between w:val="nil"/>
        </w:pBdr>
        <w:spacing w:before="120" w:after="120" w:line="240" w:lineRule="auto"/>
        <w:ind w:left="426"/>
        <w:jc w:val="both"/>
        <w:rPr>
          <w:rFonts w:eastAsia="Helvetica Neue" w:cstheme="minorHAnsi"/>
          <w:b/>
          <w:i/>
          <w:lang w:val="es-ES" w:eastAsia="zh-CN"/>
        </w:rPr>
      </w:pPr>
      <w:r w:rsidRPr="007F3F61">
        <w:rPr>
          <w:b/>
          <w:i/>
        </w:rPr>
        <w:t>6. Complementariedad. El ejercicio de la Participación y Control Social, coadyuvará a la fiscalización y control gubernamental</w:t>
      </w:r>
      <w:r w:rsidRPr="007F3F61">
        <w:rPr>
          <w:i/>
        </w:rPr>
        <w:t>, en todos los niveles del Estado Plurinacional, para evitar la corrupción y la apropiación de instituciones estatales por intereses particulares</w:t>
      </w:r>
      <w:r w:rsidRPr="007F3F61">
        <w:rPr>
          <w:i/>
        </w:rPr>
        <w:t>”</w:t>
      </w:r>
      <w:r w:rsidR="002F6EF6" w:rsidRPr="007F3F61">
        <w:rPr>
          <w:rStyle w:val="Refdenotaalpie"/>
          <w:rFonts w:eastAsia="Helvetica Neue" w:cstheme="minorHAnsi"/>
          <w:b/>
          <w:i/>
          <w:lang w:val="es-ES" w:eastAsia="zh-CN"/>
        </w:rPr>
        <w:footnoteReference w:id="17"/>
      </w:r>
    </w:p>
    <w:p w:rsidR="00F405F4" w:rsidRPr="007F3F61" w:rsidRDefault="007F3F61" w:rsidP="002F6EF6">
      <w:pPr>
        <w:pBdr>
          <w:top w:val="nil"/>
          <w:left w:val="nil"/>
          <w:bottom w:val="nil"/>
          <w:right w:val="nil"/>
          <w:between w:val="nil"/>
        </w:pBdr>
        <w:spacing w:before="120" w:after="120" w:line="240" w:lineRule="auto"/>
        <w:ind w:left="426"/>
        <w:jc w:val="both"/>
        <w:rPr>
          <w:i/>
        </w:rPr>
      </w:pPr>
      <w:r w:rsidRPr="007F3F61">
        <w:rPr>
          <w:i/>
        </w:rPr>
        <w:t xml:space="preserve"> </w:t>
      </w:r>
      <w:r w:rsidR="002F6EF6" w:rsidRPr="007F3F61">
        <w:rPr>
          <w:b/>
          <w:i/>
        </w:rPr>
        <w:t>“</w:t>
      </w:r>
      <w:r w:rsidR="002F6EF6" w:rsidRPr="007F3F61">
        <w:rPr>
          <w:b/>
          <w:i/>
        </w:rPr>
        <w:t>Artículo 6. (</w:t>
      </w:r>
      <w:r w:rsidR="002F6EF6" w:rsidRPr="007F3F61">
        <w:rPr>
          <w:b/>
          <w:i/>
        </w:rPr>
        <w:t>Actores de la Participación y Control Social</w:t>
      </w:r>
      <w:r w:rsidR="002F6EF6" w:rsidRPr="007F3F61">
        <w:rPr>
          <w:b/>
          <w:i/>
        </w:rPr>
        <w:t>). Son actores de la Participación y Control Social, la sociedad civil organizada, sin ningún tipo de discriminación de</w:t>
      </w:r>
      <w:r w:rsidR="002F6EF6" w:rsidRPr="007F3F61">
        <w:rPr>
          <w:i/>
        </w:rPr>
        <w:t xml:space="preserve"> sexo, color, edad, </w:t>
      </w:r>
      <w:r w:rsidR="002F6EF6" w:rsidRPr="007F3F61">
        <w:rPr>
          <w:b/>
          <w:i/>
        </w:rPr>
        <w:t>orientación sexual, identidad de género,</w:t>
      </w:r>
      <w:r w:rsidR="002F6EF6" w:rsidRPr="007F3F61">
        <w:rPr>
          <w:i/>
        </w:rPr>
        <w:t xml:space="preserve"> origen, cultura, nacionalidad, ciudadanía, idioma, credo religioso, ideología, filiación política o filosófica, estado civil, condición económica o social, grado de instrucción y capacidades diferenciadas.</w:t>
      </w:r>
      <w:r w:rsidR="002F6EF6" w:rsidRPr="007F3F61">
        <w:rPr>
          <w:i/>
        </w:rPr>
        <w:t>”</w:t>
      </w:r>
    </w:p>
    <w:p w:rsidR="007F3F61" w:rsidRDefault="007F3F61" w:rsidP="002F6EF6">
      <w:pPr>
        <w:pBdr>
          <w:top w:val="nil"/>
          <w:left w:val="nil"/>
          <w:bottom w:val="nil"/>
          <w:right w:val="nil"/>
          <w:between w:val="nil"/>
        </w:pBdr>
        <w:spacing w:before="120" w:after="120" w:line="240" w:lineRule="auto"/>
        <w:ind w:left="426"/>
        <w:jc w:val="both"/>
        <w:rPr>
          <w:b/>
          <w:i/>
        </w:rPr>
      </w:pPr>
      <w:r w:rsidRPr="007F3F61">
        <w:rPr>
          <w:b/>
          <w:i/>
        </w:rPr>
        <w:t>“Artículo 8. (Derechos de los Actores). En el marco de la presente Ley, el derecho de la Participación y Control Social se efectúa a través de: 1. Participar en la formulación de políticas, planes, programas, proyectos, y en la toma de decisiones en los procesos de planificación, seguimiento a la ejecución y evaluación de la gestión pública en todos los niveles del Estado.”</w:t>
      </w:r>
    </w:p>
    <w:p w:rsidR="0076690D" w:rsidRPr="0076690D" w:rsidRDefault="007F3F61" w:rsidP="002F6EF6">
      <w:pPr>
        <w:pBdr>
          <w:top w:val="nil"/>
          <w:left w:val="nil"/>
          <w:bottom w:val="nil"/>
          <w:right w:val="nil"/>
          <w:between w:val="nil"/>
        </w:pBdr>
        <w:spacing w:before="120" w:after="120" w:line="240" w:lineRule="auto"/>
        <w:ind w:left="426"/>
        <w:jc w:val="both"/>
        <w:rPr>
          <w:b/>
          <w:i/>
          <w:lang w:val="es-ES"/>
        </w:rPr>
      </w:pPr>
      <w:r w:rsidRPr="0076690D">
        <w:rPr>
          <w:b/>
          <w:i/>
        </w:rPr>
        <w:t xml:space="preserve">Sin embargo, los derechos establecidos en la Ley de participación y Control Social, son simples enunciados, al considerar </w:t>
      </w:r>
      <w:proofErr w:type="gramStart"/>
      <w:r w:rsidRPr="0076690D">
        <w:rPr>
          <w:b/>
          <w:i/>
        </w:rPr>
        <w:t>que</w:t>
      </w:r>
      <w:proofErr w:type="gramEnd"/>
      <w:r w:rsidRPr="0076690D">
        <w:rPr>
          <w:b/>
          <w:i/>
        </w:rPr>
        <w:t xml:space="preserve"> en la práctica</w:t>
      </w:r>
      <w:r w:rsidR="0076690D" w:rsidRPr="0076690D">
        <w:rPr>
          <w:b/>
          <w:i/>
        </w:rPr>
        <w:t xml:space="preserve">, las diferentes instituciones gubernamentales, incluidas las que generan estadísticas, no incluyen a la población LGBTI </w:t>
      </w:r>
      <w:r w:rsidR="0076690D" w:rsidRPr="0076690D">
        <w:rPr>
          <w:b/>
          <w:i/>
        </w:rPr>
        <w:lastRenderedPageBreak/>
        <w:t xml:space="preserve">en procesos de </w:t>
      </w:r>
      <w:r w:rsidR="0076690D" w:rsidRPr="0076690D">
        <w:rPr>
          <w:b/>
          <w:i/>
          <w:lang w:val="es-ES"/>
        </w:rPr>
        <w:t>transparencia y rendición de cuentas; menos aún en la formulación de políticas públicas.</w:t>
      </w:r>
    </w:p>
    <w:p w:rsidR="007F3F61" w:rsidRPr="0076690D" w:rsidRDefault="0076690D" w:rsidP="002F6EF6">
      <w:pPr>
        <w:pBdr>
          <w:top w:val="nil"/>
          <w:left w:val="nil"/>
          <w:bottom w:val="nil"/>
          <w:right w:val="nil"/>
          <w:between w:val="nil"/>
        </w:pBdr>
        <w:spacing w:before="120" w:after="120" w:line="240" w:lineRule="auto"/>
        <w:ind w:left="426"/>
        <w:jc w:val="both"/>
        <w:rPr>
          <w:b/>
          <w:i/>
        </w:rPr>
      </w:pPr>
      <w:r w:rsidRPr="0076690D">
        <w:rPr>
          <w:b/>
          <w:i/>
          <w:lang w:val="es-ES"/>
        </w:rPr>
        <w:t xml:space="preserve">Dicha afirmación, se evidencia actualmente, al considerar que </w:t>
      </w:r>
      <w:r>
        <w:rPr>
          <w:b/>
          <w:i/>
          <w:lang w:val="es-ES"/>
        </w:rPr>
        <w:t xml:space="preserve">está en tratamiento el </w:t>
      </w:r>
      <w:r w:rsidRPr="0076690D">
        <w:rPr>
          <w:b/>
          <w:i/>
          <w:lang w:val="es-ES"/>
        </w:rPr>
        <w:t>Proyecto</w:t>
      </w:r>
      <w:r w:rsidRPr="0076690D">
        <w:rPr>
          <w:b/>
          <w:i/>
        </w:rPr>
        <w:t xml:space="preserve"> de Ley N° 108-19 “Libertad Religiosa, Organizaciones Religiosas y de Creencias Espirituales</w:t>
      </w:r>
      <w:r>
        <w:rPr>
          <w:b/>
          <w:i/>
        </w:rPr>
        <w:t>, la cual no ha sido convocada ni socializada a la población LGBTI de Bolivia.</w:t>
      </w:r>
    </w:p>
    <w:p w:rsidR="0053365D" w:rsidRPr="0076690D" w:rsidRDefault="0053365D" w:rsidP="0076690D">
      <w:pPr>
        <w:numPr>
          <w:ilvl w:val="0"/>
          <w:numId w:val="1"/>
        </w:numPr>
        <w:spacing w:before="120" w:after="120" w:line="240" w:lineRule="auto"/>
        <w:ind w:left="709" w:hanging="357"/>
        <w:jc w:val="both"/>
        <w:rPr>
          <w:rFonts w:eastAsia="Arial" w:cstheme="minorHAnsi"/>
          <w:b/>
          <w:color w:val="FF0000"/>
          <w:lang w:val="es-ES" w:eastAsia="zh-CN"/>
        </w:rPr>
      </w:pPr>
      <w:r w:rsidRPr="0076690D">
        <w:rPr>
          <w:rFonts w:eastAsia="Times New Roman" w:cstheme="minorHAnsi"/>
          <w:b/>
          <w:color w:val="FF0000"/>
          <w:lang w:val="es-ES" w:eastAsia="zh-CN"/>
        </w:rPr>
        <w:t xml:space="preserve">Cuáles son los riesgos asociados con la recopilación y gestión de datos sobre orientación sexual e identidad de género y las iniciativas para superar esos riesgos. </w:t>
      </w:r>
    </w:p>
    <w:p w:rsidR="0076690D" w:rsidRDefault="0076690D" w:rsidP="0076690D">
      <w:pPr>
        <w:spacing w:before="120" w:after="120" w:line="240" w:lineRule="auto"/>
        <w:ind w:left="352"/>
        <w:jc w:val="both"/>
        <w:rPr>
          <w:rFonts w:eastAsia="Times New Roman" w:cstheme="minorHAnsi"/>
          <w:lang w:val="es-ES" w:eastAsia="zh-CN"/>
        </w:rPr>
      </w:pPr>
      <w:r w:rsidRPr="0076690D">
        <w:rPr>
          <w:rFonts w:eastAsia="Times New Roman" w:cstheme="minorHAnsi"/>
          <w:lang w:val="es-ES" w:eastAsia="zh-CN"/>
        </w:rPr>
        <w:t xml:space="preserve">En </w:t>
      </w:r>
      <w:r>
        <w:rPr>
          <w:rFonts w:eastAsia="Times New Roman" w:cstheme="minorHAnsi"/>
          <w:lang w:val="es-ES" w:eastAsia="zh-CN"/>
        </w:rPr>
        <w:t>términos generales, los riesgos que implican la recopilación y gestión de datos sobre la orientación sexual e identidad de género,</w:t>
      </w:r>
      <w:r w:rsidR="000412FB">
        <w:rPr>
          <w:rFonts w:eastAsia="Times New Roman" w:cstheme="minorHAnsi"/>
          <w:lang w:val="es-ES" w:eastAsia="zh-CN"/>
        </w:rPr>
        <w:t xml:space="preserve"> son dos: el primero</w:t>
      </w:r>
      <w:r>
        <w:rPr>
          <w:rFonts w:eastAsia="Times New Roman" w:cstheme="minorHAnsi"/>
          <w:lang w:val="es-ES" w:eastAsia="zh-CN"/>
        </w:rPr>
        <w:t xml:space="preserve"> </w:t>
      </w:r>
      <w:r w:rsidR="000412FB">
        <w:rPr>
          <w:rFonts w:eastAsia="Times New Roman" w:cstheme="minorHAnsi"/>
          <w:lang w:val="es-ES" w:eastAsia="zh-CN"/>
        </w:rPr>
        <w:t xml:space="preserve">es el referido a la falta de legislación, protocolos entre </w:t>
      </w:r>
      <w:r w:rsidR="00E236C4">
        <w:rPr>
          <w:rFonts w:eastAsia="Times New Roman" w:cstheme="minorHAnsi"/>
          <w:lang w:val="es-ES" w:eastAsia="zh-CN"/>
        </w:rPr>
        <w:t>otra</w:t>
      </w:r>
      <w:r w:rsidR="000412FB">
        <w:rPr>
          <w:rFonts w:eastAsia="Times New Roman" w:cstheme="minorHAnsi"/>
          <w:lang w:val="es-ES" w:eastAsia="zh-CN"/>
        </w:rPr>
        <w:t xml:space="preserve">s </w:t>
      </w:r>
      <w:proofErr w:type="spellStart"/>
      <w:r w:rsidR="000412FB">
        <w:rPr>
          <w:rFonts w:eastAsia="Times New Roman" w:cstheme="minorHAnsi"/>
          <w:lang w:val="es-ES" w:eastAsia="zh-CN"/>
        </w:rPr>
        <w:t>i</w:t>
      </w:r>
      <w:r w:rsidR="00E236C4">
        <w:rPr>
          <w:rFonts w:eastAsia="Times New Roman" w:cstheme="minorHAnsi"/>
          <w:lang w:val="es-ES" w:eastAsia="zh-CN"/>
        </w:rPr>
        <w:t>medidas</w:t>
      </w:r>
      <w:proofErr w:type="spellEnd"/>
      <w:r w:rsidR="000412FB">
        <w:rPr>
          <w:rFonts w:eastAsia="Times New Roman" w:cstheme="minorHAnsi"/>
          <w:lang w:val="es-ES" w:eastAsia="zh-CN"/>
        </w:rPr>
        <w:t xml:space="preserve"> que aseguren la confidencialidad de las personas que brinden dicha información; y el segundo es el referido que las/os servidoras/es públicas/os no están capacitadas/os ni sensibilizadas/os en dicha temática.</w:t>
      </w:r>
    </w:p>
    <w:p w:rsidR="0076690D" w:rsidRPr="006A44B8" w:rsidRDefault="006A44B8" w:rsidP="006A44B8">
      <w:pPr>
        <w:spacing w:before="120" w:after="120" w:line="240" w:lineRule="auto"/>
        <w:ind w:left="352"/>
        <w:jc w:val="both"/>
        <w:rPr>
          <w:rFonts w:eastAsia="Arial" w:cstheme="minorHAnsi"/>
          <w:lang w:val="es-ES" w:eastAsia="zh-CN"/>
        </w:rPr>
      </w:pPr>
      <w:r>
        <w:rPr>
          <w:rFonts w:eastAsia="Times New Roman" w:cstheme="minorHAnsi"/>
          <w:lang w:val="es-ES" w:eastAsia="zh-CN"/>
        </w:rPr>
        <w:t xml:space="preserve">Las iniciativas imperiosas para lograr el cometido, básicamente son: la coordinación entre instancias gubernamentales (órgano ejecutivo, legislativo, judicial y electoral), el Instituto Nacional de Estadística y otras instancias gubernamentales que generan datos, con el fin establecer sistemas de recolección </w:t>
      </w:r>
      <w:r w:rsidR="008E2611">
        <w:rPr>
          <w:rFonts w:eastAsia="Times New Roman" w:cstheme="minorHAnsi"/>
          <w:lang w:val="es-ES" w:eastAsia="zh-CN"/>
        </w:rPr>
        <w:t xml:space="preserve">y gestión </w:t>
      </w:r>
      <w:r>
        <w:rPr>
          <w:rFonts w:eastAsia="Times New Roman" w:cstheme="minorHAnsi"/>
          <w:lang w:val="es-ES" w:eastAsia="zh-CN"/>
        </w:rPr>
        <w:t>de datos se</w:t>
      </w:r>
      <w:r w:rsidR="008E2611">
        <w:rPr>
          <w:rFonts w:eastAsia="Times New Roman" w:cstheme="minorHAnsi"/>
          <w:lang w:val="es-ES" w:eastAsia="zh-CN"/>
        </w:rPr>
        <w:t>guros. Sin embargo, deben</w:t>
      </w:r>
      <w:r>
        <w:rPr>
          <w:rFonts w:eastAsia="Times New Roman" w:cstheme="minorHAnsi"/>
          <w:lang w:val="es-ES" w:eastAsia="zh-CN"/>
        </w:rPr>
        <w:t xml:space="preserve"> </w:t>
      </w:r>
      <w:r w:rsidR="008E2611">
        <w:rPr>
          <w:rFonts w:eastAsia="Times New Roman" w:cstheme="minorHAnsi"/>
          <w:lang w:val="es-ES" w:eastAsia="zh-CN"/>
        </w:rPr>
        <w:t>responder</w:t>
      </w:r>
      <w:r>
        <w:rPr>
          <w:rFonts w:eastAsia="Times New Roman" w:cstheme="minorHAnsi"/>
          <w:lang w:val="es-ES" w:eastAsia="zh-CN"/>
        </w:rPr>
        <w:t xml:space="preserve"> a la confidencialidad y procedimientos amigables para recabar dicha información, principalmente referida a la violencia y discriminación dirigida a la población LGBTI. </w:t>
      </w:r>
    </w:p>
    <w:p w:rsidR="0053365D" w:rsidRPr="006A44B8" w:rsidRDefault="0053365D" w:rsidP="006A44B8">
      <w:pPr>
        <w:numPr>
          <w:ilvl w:val="0"/>
          <w:numId w:val="1"/>
        </w:numPr>
        <w:spacing w:before="120" w:after="120" w:line="240" w:lineRule="auto"/>
        <w:ind w:left="426" w:firstLine="0"/>
        <w:jc w:val="both"/>
        <w:rPr>
          <w:rFonts w:eastAsia="Arial" w:cstheme="minorHAnsi"/>
          <w:b/>
          <w:color w:val="FF0000"/>
          <w:lang w:val="es-ES" w:eastAsia="zh-CN"/>
        </w:rPr>
      </w:pPr>
      <w:r w:rsidRPr="006A44B8">
        <w:rPr>
          <w:rFonts w:eastAsia="Helvetica Neue" w:cstheme="minorHAnsi"/>
          <w:b/>
          <w:color w:val="FF0000"/>
          <w:lang w:val="es-ES" w:eastAsia="zh-CN"/>
        </w:rPr>
        <w:t>¿Existen circunstancias en las que la recopilación de datos no es aconsejable, como en países que penalizan las conductas sexuales consentidas entre adultos o en los que determinados organismos gubernamentales han demostrado ser motivo de preocupación en relación con el tratamiento de orientación sexual o identidad de género?</w:t>
      </w:r>
    </w:p>
    <w:p w:rsidR="006A44B8" w:rsidRPr="008E2611" w:rsidRDefault="006A44B8" w:rsidP="008E2611">
      <w:pPr>
        <w:spacing w:before="120" w:after="120" w:line="240" w:lineRule="auto"/>
        <w:ind w:left="426"/>
        <w:jc w:val="both"/>
        <w:rPr>
          <w:rFonts w:eastAsia="Arial" w:cstheme="minorHAnsi"/>
          <w:lang w:eastAsia="zh-CN"/>
        </w:rPr>
      </w:pPr>
      <w:r w:rsidRPr="006A44B8">
        <w:rPr>
          <w:rFonts w:eastAsia="Arial" w:cstheme="minorHAnsi"/>
          <w:lang w:val="es-ES" w:eastAsia="zh-CN"/>
        </w:rPr>
        <w:t>En el Estado Plurinacional de Bolivia</w:t>
      </w:r>
      <w:r>
        <w:rPr>
          <w:rFonts w:eastAsia="Arial" w:cstheme="minorHAnsi"/>
          <w:lang w:val="es-ES" w:eastAsia="zh-CN"/>
        </w:rPr>
        <w:t xml:space="preserve">, si es aconsejable </w:t>
      </w:r>
      <w:r w:rsidR="008E2611">
        <w:rPr>
          <w:rFonts w:eastAsia="Arial" w:cstheme="minorHAnsi"/>
          <w:lang w:val="es-ES" w:eastAsia="zh-CN"/>
        </w:rPr>
        <w:t xml:space="preserve">la recopilación y gestión de datos, principalmente en relación a la violencia y discriminación que son víctimas la población LGBTI, con el objeto que se promulguen normas, pero principalmente políticas públicas con presupuesto, con el fin de adoptar </w:t>
      </w:r>
      <w:r w:rsidR="008E2611" w:rsidRPr="008E2611">
        <w:rPr>
          <w:rFonts w:eastAsia="Arial" w:cstheme="minorHAnsi"/>
          <w:lang w:eastAsia="zh-CN"/>
        </w:rPr>
        <w:t xml:space="preserve">medidas </w:t>
      </w:r>
      <w:r w:rsidR="008E2611">
        <w:rPr>
          <w:rFonts w:eastAsia="Arial" w:cstheme="minorHAnsi"/>
          <w:lang w:eastAsia="zh-CN"/>
        </w:rPr>
        <w:t>inmediatas</w:t>
      </w:r>
      <w:r w:rsidR="008E2611" w:rsidRPr="008E2611">
        <w:rPr>
          <w:rFonts w:eastAsia="Arial" w:cstheme="minorHAnsi"/>
          <w:lang w:eastAsia="zh-CN"/>
        </w:rPr>
        <w:t xml:space="preserve"> para aplicar el estándar de debida diligencia en  la prevención, investigación, sanción y reparación de la violencia contra las personas  LGBTI, independientemente de si la violencia ocurre en el contexto de la familia, la  comunidad o la esfera pública, incluyendo en los </w:t>
      </w:r>
      <w:r w:rsidR="008E2611">
        <w:rPr>
          <w:rFonts w:eastAsia="Arial" w:cstheme="minorHAnsi"/>
          <w:lang w:eastAsia="zh-CN"/>
        </w:rPr>
        <w:t>ámbitos laboral, educativo y de</w:t>
      </w:r>
      <w:r w:rsidR="008E2611" w:rsidRPr="008E2611">
        <w:rPr>
          <w:rFonts w:eastAsia="Arial" w:cstheme="minorHAnsi"/>
          <w:lang w:eastAsia="zh-CN"/>
        </w:rPr>
        <w:t xml:space="preserve"> salud.</w:t>
      </w:r>
    </w:p>
    <w:p w:rsidR="0053365D" w:rsidRPr="008E2611" w:rsidRDefault="0053365D" w:rsidP="008E2611">
      <w:pPr>
        <w:numPr>
          <w:ilvl w:val="0"/>
          <w:numId w:val="1"/>
        </w:numPr>
        <w:spacing w:before="120" w:after="120" w:line="240" w:lineRule="auto"/>
        <w:ind w:left="709" w:hanging="357"/>
        <w:jc w:val="both"/>
        <w:rPr>
          <w:rFonts w:eastAsia="Arial" w:cstheme="minorHAnsi"/>
          <w:b/>
          <w:color w:val="FF0000"/>
          <w:lang w:eastAsia="zh-CN"/>
        </w:rPr>
      </w:pPr>
      <w:r w:rsidRPr="008E2611">
        <w:rPr>
          <w:rFonts w:eastAsia="Helvetica Neue" w:cstheme="minorHAnsi"/>
          <w:b/>
          <w:color w:val="FF0000"/>
          <w:lang w:val="es-ES" w:eastAsia="zh-CN"/>
        </w:rPr>
        <w:t>¿</w:t>
      </w:r>
      <w:r w:rsidR="008E2611" w:rsidRPr="008E2611">
        <w:rPr>
          <w:rFonts w:eastAsia="Helvetica Neue" w:cstheme="minorHAnsi"/>
          <w:b/>
          <w:color w:val="FF0000"/>
          <w:lang w:val="es-ES" w:eastAsia="zh-CN"/>
        </w:rPr>
        <w:t>Cuándo</w:t>
      </w:r>
      <w:r w:rsidRPr="008E2611">
        <w:rPr>
          <w:rFonts w:eastAsia="Helvetica Neue" w:cstheme="minorHAnsi"/>
          <w:b/>
          <w:color w:val="FF0000"/>
          <w:lang w:val="es-ES" w:eastAsia="zh-CN"/>
        </w:rPr>
        <w:t xml:space="preserve"> los Estados realizan actividades de recopilación de datos, en qué medida la sociedad civil puede participar de manera significativa en el diseño e implementación de estos programas? </w:t>
      </w:r>
      <w:r w:rsidRPr="008E2611">
        <w:rPr>
          <w:rFonts w:eastAsia="Helvetica Neue" w:cstheme="minorHAnsi"/>
          <w:b/>
          <w:color w:val="FF0000"/>
          <w:lang w:eastAsia="zh-CN"/>
        </w:rPr>
        <w:t>Esta pregunta incluye lo siguiente:</w:t>
      </w:r>
    </w:p>
    <w:p w:rsidR="008E2611" w:rsidRPr="006E1F17" w:rsidRDefault="008E2611" w:rsidP="008E2611">
      <w:pPr>
        <w:spacing w:before="120" w:after="120" w:line="240" w:lineRule="auto"/>
        <w:ind w:left="352"/>
        <w:jc w:val="both"/>
        <w:rPr>
          <w:rFonts w:eastAsia="Arial" w:cstheme="minorHAnsi"/>
          <w:lang w:eastAsia="zh-CN"/>
        </w:rPr>
      </w:pPr>
      <w:r w:rsidRPr="006E1F17">
        <w:rPr>
          <w:rFonts w:eastAsia="Helvetica Neue" w:cstheme="minorHAnsi"/>
          <w:lang w:eastAsia="zh-CN"/>
        </w:rPr>
        <w:t xml:space="preserve">En el Estado Plurinacional de Bolivia, las instancias gubernamentales deben dar cumplimiento a los artículos identificados en la pregunta 3. B del presente documento, al considerar que </w:t>
      </w:r>
      <w:r w:rsidR="006E1F17" w:rsidRPr="006E1F17">
        <w:rPr>
          <w:rFonts w:eastAsia="Helvetica Neue" w:cstheme="minorHAnsi"/>
          <w:lang w:eastAsia="zh-CN"/>
        </w:rPr>
        <w:t xml:space="preserve">la población LGBTI, </w:t>
      </w:r>
      <w:r w:rsidR="00E236C4">
        <w:rPr>
          <w:rFonts w:eastAsia="Helvetica Neue" w:cstheme="minorHAnsi"/>
          <w:lang w:eastAsia="zh-CN"/>
        </w:rPr>
        <w:t xml:space="preserve">tienen derecho a </w:t>
      </w:r>
      <w:r w:rsidR="006E1F17" w:rsidRPr="006E1F17">
        <w:rPr>
          <w:rFonts w:eastAsia="Helvetica Neue" w:cstheme="minorHAnsi"/>
          <w:lang w:eastAsia="zh-CN"/>
        </w:rPr>
        <w:t>participar en el diseño e implementación de programas nacionales de estadística y para aumentar el conocimiento de lo</w:t>
      </w:r>
      <w:r w:rsidR="00E236C4">
        <w:rPr>
          <w:rFonts w:eastAsia="Helvetica Neue" w:cstheme="minorHAnsi"/>
          <w:lang w:eastAsia="zh-CN"/>
        </w:rPr>
        <w:t>s derechos de la población con diversa orientación sexual e identidad de género</w:t>
      </w:r>
      <w:r w:rsidR="006E1F17" w:rsidRPr="006E1F17">
        <w:rPr>
          <w:rFonts w:eastAsia="Helvetica Neue" w:cstheme="minorHAnsi"/>
          <w:lang w:eastAsia="zh-CN"/>
        </w:rPr>
        <w:t>.</w:t>
      </w:r>
      <w:r w:rsidRPr="006E1F17">
        <w:rPr>
          <w:rFonts w:eastAsia="Helvetica Neue" w:cstheme="minorHAnsi"/>
          <w:lang w:eastAsia="zh-CN"/>
        </w:rPr>
        <w:t xml:space="preserve"> </w:t>
      </w:r>
    </w:p>
    <w:p w:rsidR="0053365D" w:rsidRPr="006E1F17" w:rsidRDefault="0053365D" w:rsidP="008E2611">
      <w:pPr>
        <w:numPr>
          <w:ilvl w:val="1"/>
          <w:numId w:val="1"/>
        </w:numPr>
        <w:spacing w:before="120" w:after="120" w:line="240" w:lineRule="auto"/>
        <w:ind w:left="1134" w:hanging="400"/>
        <w:jc w:val="both"/>
        <w:rPr>
          <w:rFonts w:eastAsia="Arial" w:cstheme="minorHAnsi"/>
          <w:b/>
          <w:color w:val="FF0000"/>
          <w:lang w:val="es-ES" w:eastAsia="zh-CN"/>
        </w:rPr>
      </w:pPr>
      <w:r w:rsidRPr="008E2611">
        <w:rPr>
          <w:rFonts w:eastAsia="Helvetica Neue" w:cstheme="minorHAnsi"/>
          <w:b/>
          <w:color w:val="FF0000"/>
          <w:lang w:val="es-ES" w:eastAsia="zh-CN"/>
        </w:rPr>
        <w:t xml:space="preserve"> ¿Tienen los Estados políticas que guíen el proceso de participación de la sociedad civil programas nacionales de estadística y otros esfuerzos del estado para aumentar el conocimiento sobre las poblaciones LGBT?</w:t>
      </w:r>
    </w:p>
    <w:p w:rsidR="006E1F17" w:rsidRPr="006E1F17" w:rsidRDefault="006E1F17" w:rsidP="006E1F17">
      <w:pPr>
        <w:spacing w:before="120" w:after="120" w:line="240" w:lineRule="auto"/>
        <w:ind w:left="300"/>
        <w:jc w:val="both"/>
        <w:rPr>
          <w:rFonts w:eastAsia="Helvetica Neue" w:cstheme="minorHAnsi"/>
          <w:lang w:val="es-ES" w:eastAsia="zh-CN"/>
        </w:rPr>
      </w:pPr>
      <w:r w:rsidRPr="006E1F17">
        <w:rPr>
          <w:rFonts w:eastAsia="Helvetica Neue" w:cstheme="minorHAnsi"/>
          <w:lang w:val="es-ES" w:eastAsia="zh-CN"/>
        </w:rPr>
        <w:t>El Estado Plurinacional de Bolivia, no cuenta específicamente con procesos concretos de participación en programas nacionales de estadísticas y para incrementar el conocimiento; así como las necesidades y demandas de la población LGBTI.</w:t>
      </w:r>
    </w:p>
    <w:p w:rsidR="006E1F17" w:rsidRPr="006E1F17" w:rsidRDefault="006E1F17" w:rsidP="006E1F17">
      <w:pPr>
        <w:spacing w:before="120" w:after="120" w:line="240" w:lineRule="auto"/>
        <w:ind w:left="300"/>
        <w:jc w:val="both"/>
        <w:rPr>
          <w:rFonts w:eastAsia="Arial" w:cstheme="minorHAnsi"/>
          <w:b/>
          <w:lang w:val="es-ES" w:eastAsia="zh-CN"/>
        </w:rPr>
      </w:pPr>
      <w:r>
        <w:rPr>
          <w:rFonts w:eastAsia="Helvetica Neue" w:cstheme="minorHAnsi"/>
          <w:b/>
          <w:lang w:val="es-ES" w:eastAsia="zh-CN"/>
        </w:rPr>
        <w:t xml:space="preserve">  </w:t>
      </w:r>
    </w:p>
    <w:p w:rsidR="0053365D" w:rsidRPr="006E1F17" w:rsidRDefault="0053365D" w:rsidP="008E2611">
      <w:pPr>
        <w:numPr>
          <w:ilvl w:val="1"/>
          <w:numId w:val="1"/>
        </w:numPr>
        <w:spacing w:before="120" w:after="120" w:line="240" w:lineRule="auto"/>
        <w:ind w:left="1134" w:hanging="357"/>
        <w:jc w:val="both"/>
        <w:rPr>
          <w:rFonts w:eastAsia="Arial" w:cstheme="minorHAnsi"/>
          <w:b/>
          <w:color w:val="FF0000"/>
          <w:lang w:val="es-ES" w:eastAsia="zh-CN"/>
        </w:rPr>
      </w:pPr>
      <w:r w:rsidRPr="008E2611">
        <w:rPr>
          <w:rFonts w:eastAsia="Calibri" w:cstheme="minorHAnsi"/>
          <w:b/>
          <w:color w:val="FF0000"/>
          <w:lang w:val="es-ES" w:eastAsia="zh-CN"/>
        </w:rPr>
        <w:lastRenderedPageBreak/>
        <w:t>¿Tiene la sociedad civil la capacidad, en términos de experiencia y conocimientos técnicos, de participar de manera significativa en los esfuerzos del Estado para recopilar datos?</w:t>
      </w:r>
    </w:p>
    <w:p w:rsidR="006E1F17" w:rsidRPr="00E727E5" w:rsidRDefault="00803555" w:rsidP="006E1F17">
      <w:pPr>
        <w:spacing w:before="120" w:after="120" w:line="240" w:lineRule="auto"/>
        <w:ind w:left="777"/>
        <w:jc w:val="both"/>
        <w:rPr>
          <w:rFonts w:eastAsia="Arial" w:cstheme="minorHAnsi"/>
          <w:lang w:val="es-ES" w:eastAsia="zh-CN"/>
        </w:rPr>
      </w:pPr>
      <w:r w:rsidRPr="00E727E5">
        <w:rPr>
          <w:rFonts w:eastAsia="Calibri" w:cstheme="minorHAnsi"/>
          <w:lang w:val="es-ES" w:eastAsia="zh-CN"/>
        </w:rPr>
        <w:t xml:space="preserve">Ante la ausencia de mecanismos de recopilación y gestión de datos por parte de las instancias gubernamentales del Estado Plurinacional de Bolivia, </w:t>
      </w:r>
      <w:r w:rsidR="00E727E5" w:rsidRPr="00E727E5">
        <w:rPr>
          <w:rFonts w:eastAsia="Calibri" w:cstheme="minorHAnsi"/>
          <w:lang w:val="es-ES" w:eastAsia="zh-CN"/>
        </w:rPr>
        <w:t xml:space="preserve">diversas organizaciones LGBTI, han desarrollado </w:t>
      </w:r>
      <w:r w:rsidR="00E236C4">
        <w:rPr>
          <w:rFonts w:eastAsia="Calibri" w:cstheme="minorHAnsi"/>
          <w:lang w:val="es-ES" w:eastAsia="zh-CN"/>
        </w:rPr>
        <w:t xml:space="preserve">diferentes encuestas, informes alternativos; que han generado </w:t>
      </w:r>
      <w:r w:rsidR="00E727E5" w:rsidRPr="00E727E5">
        <w:rPr>
          <w:rFonts w:eastAsia="Calibri" w:cstheme="minorHAnsi"/>
          <w:lang w:val="es-ES" w:eastAsia="zh-CN"/>
        </w:rPr>
        <w:t>datos de discriminación y violenci</w:t>
      </w:r>
      <w:r w:rsidR="00E236C4">
        <w:rPr>
          <w:rFonts w:eastAsia="Calibri" w:cstheme="minorHAnsi"/>
          <w:lang w:val="es-ES" w:eastAsia="zh-CN"/>
        </w:rPr>
        <w:t>a en varios ámbitos</w:t>
      </w:r>
      <w:r w:rsidR="00E727E5" w:rsidRPr="00E727E5">
        <w:rPr>
          <w:rFonts w:eastAsia="Calibri" w:cstheme="minorHAnsi"/>
          <w:lang w:val="es-ES" w:eastAsia="zh-CN"/>
        </w:rPr>
        <w:t>; generando la suficiente experiencia y conocimientos técnicos para desarrollar los mismos.</w:t>
      </w:r>
      <w:r w:rsidRPr="00E727E5">
        <w:rPr>
          <w:rFonts w:eastAsia="Calibri" w:cstheme="minorHAnsi"/>
          <w:lang w:val="es-ES" w:eastAsia="zh-CN"/>
        </w:rPr>
        <w:t xml:space="preserve">   </w:t>
      </w:r>
    </w:p>
    <w:p w:rsidR="0053365D" w:rsidRPr="00E727E5" w:rsidRDefault="0053365D" w:rsidP="008E2611">
      <w:pPr>
        <w:numPr>
          <w:ilvl w:val="1"/>
          <w:numId w:val="1"/>
        </w:numPr>
        <w:spacing w:before="120" w:after="120" w:line="240" w:lineRule="auto"/>
        <w:ind w:left="1134" w:hanging="357"/>
        <w:jc w:val="both"/>
        <w:rPr>
          <w:rFonts w:eastAsia="Arial" w:cstheme="minorHAnsi"/>
          <w:b/>
          <w:color w:val="FF0000"/>
          <w:lang w:val="es-ES" w:eastAsia="zh-CN"/>
        </w:rPr>
      </w:pPr>
      <w:r w:rsidRPr="008E2611">
        <w:rPr>
          <w:rFonts w:eastAsia="Calibri" w:cstheme="minorHAnsi"/>
          <w:b/>
          <w:color w:val="FF0000"/>
          <w:lang w:val="es-ES" w:eastAsia="zh-CN"/>
        </w:rPr>
        <w:t>¿Qué constituye una participación significativa en esta área?</w:t>
      </w:r>
    </w:p>
    <w:p w:rsidR="00E727E5" w:rsidRPr="00E727E5" w:rsidRDefault="00E727E5" w:rsidP="00E727E5">
      <w:pPr>
        <w:spacing w:before="120" w:after="120" w:line="240" w:lineRule="auto"/>
        <w:ind w:left="777"/>
        <w:jc w:val="both"/>
        <w:rPr>
          <w:rFonts w:eastAsia="Calibri" w:cstheme="minorHAnsi"/>
          <w:i/>
          <w:lang w:val="es-ES" w:eastAsia="zh-CN"/>
        </w:rPr>
      </w:pPr>
      <w:r w:rsidRPr="00E727E5">
        <w:rPr>
          <w:rFonts w:eastAsia="Calibri" w:cstheme="minorHAnsi"/>
          <w:lang w:val="es-ES" w:eastAsia="zh-CN"/>
        </w:rPr>
        <w:t xml:space="preserve">Una participación efectiva para que la población sea parte de la construcción y validación de programas nacionales de estadística y otros esfuerzos del estado para aumentar el conocimiento sobre las poblaciones LGBT, </w:t>
      </w:r>
      <w:r>
        <w:rPr>
          <w:rFonts w:eastAsia="Calibri" w:cstheme="minorHAnsi"/>
          <w:lang w:val="es-ES" w:eastAsia="zh-CN"/>
        </w:rPr>
        <w:t xml:space="preserve">debería basarse en la </w:t>
      </w:r>
      <w:r w:rsidRPr="00E727E5">
        <w:rPr>
          <w:rFonts w:eastAsia="Calibri" w:cstheme="minorHAnsi"/>
          <w:lang w:val="es-ES" w:eastAsia="zh-CN"/>
        </w:rPr>
        <w:t xml:space="preserve">convocatoria amplia de las diferentes poblaciones LGBTI por parte de las instancias gubernamentales competentes para que participen desde el inició </w:t>
      </w:r>
      <w:r w:rsidRPr="00E727E5">
        <w:rPr>
          <w:rFonts w:eastAsia="Calibri" w:cstheme="minorHAnsi"/>
          <w:lang w:eastAsia="zh-CN"/>
        </w:rPr>
        <w:t>en la formulación, seguimiento a la ejecución y evaluación de políticas públicas</w:t>
      </w:r>
      <w:r w:rsidR="00952A47">
        <w:rPr>
          <w:rFonts w:eastAsia="Calibri" w:cstheme="minorHAnsi"/>
          <w:lang w:eastAsia="zh-CN"/>
        </w:rPr>
        <w:t xml:space="preserve"> y la generación de los mismos</w:t>
      </w:r>
      <w:r w:rsidRPr="00E727E5">
        <w:rPr>
          <w:rFonts w:eastAsia="Calibri" w:cstheme="minorHAnsi"/>
          <w:lang w:eastAsia="zh-CN"/>
        </w:rPr>
        <w:t xml:space="preserve"> del Estado Plurinacional en relación a los derechos de las personas con diversa orientación sexual e identidad de género.</w:t>
      </w:r>
    </w:p>
    <w:p w:rsidR="00E727E5" w:rsidRPr="00952A47" w:rsidRDefault="00E727E5" w:rsidP="00952A47">
      <w:pPr>
        <w:spacing w:before="120" w:after="120" w:line="240" w:lineRule="auto"/>
        <w:ind w:left="777"/>
        <w:jc w:val="both"/>
        <w:rPr>
          <w:rFonts w:eastAsia="Calibri" w:cstheme="minorHAnsi"/>
          <w:lang w:eastAsia="zh-CN"/>
        </w:rPr>
      </w:pPr>
      <w:r>
        <w:rPr>
          <w:rFonts w:eastAsia="Calibri" w:cstheme="minorHAnsi"/>
          <w:lang w:val="es-ES" w:eastAsia="zh-CN"/>
        </w:rPr>
        <w:t xml:space="preserve">En </w:t>
      </w:r>
      <w:r w:rsidR="00952A47">
        <w:rPr>
          <w:rFonts w:eastAsia="Calibri" w:cstheme="minorHAnsi"/>
          <w:lang w:val="es-ES" w:eastAsia="zh-CN"/>
        </w:rPr>
        <w:t>base a lo descrito precedentemente,</w:t>
      </w:r>
      <w:r w:rsidR="00952A47">
        <w:rPr>
          <w:rFonts w:eastAsia="Calibri" w:cstheme="minorHAnsi"/>
          <w:lang w:eastAsia="zh-CN"/>
        </w:rPr>
        <w:t xml:space="preserve"> la población LGBTI al participar </w:t>
      </w:r>
      <w:r w:rsidRPr="00E727E5">
        <w:rPr>
          <w:rFonts w:eastAsia="Calibri" w:cstheme="minorHAnsi"/>
          <w:lang w:eastAsia="zh-CN"/>
        </w:rPr>
        <w:t xml:space="preserve">en la formulación de políticas, planes, programas, proyectos, y en la toma de decisiones en los procesos de planificación, seguimiento a la ejecución y evaluación de la gestión pública </w:t>
      </w:r>
      <w:r w:rsidR="00952A47">
        <w:rPr>
          <w:rFonts w:eastAsia="Calibri" w:cstheme="minorHAnsi"/>
          <w:lang w:eastAsia="zh-CN"/>
        </w:rPr>
        <w:t xml:space="preserve">en todos los niveles del Estado en relación a los datos estadísticos, permitiría que se refleje la realidad, necesidades, demandas y vacíos legales referidas a los derechos de la población con diversa orientación sexual e identidad de género en el estado boliviano.  </w:t>
      </w:r>
    </w:p>
    <w:p w:rsidR="0053365D" w:rsidRPr="006E1F17" w:rsidRDefault="0053365D" w:rsidP="00431685">
      <w:pPr>
        <w:numPr>
          <w:ilvl w:val="0"/>
          <w:numId w:val="1"/>
        </w:numPr>
        <w:pBdr>
          <w:top w:val="nil"/>
          <w:left w:val="nil"/>
          <w:bottom w:val="nil"/>
          <w:right w:val="nil"/>
          <w:between w:val="nil"/>
        </w:pBdr>
        <w:spacing w:before="120" w:after="120" w:line="240" w:lineRule="auto"/>
        <w:ind w:left="1080" w:hanging="357"/>
        <w:jc w:val="both"/>
        <w:rPr>
          <w:rFonts w:eastAsia="Arial" w:cstheme="minorHAnsi"/>
          <w:b/>
          <w:color w:val="FF0000"/>
          <w:lang w:val="es-ES" w:eastAsia="zh-CN"/>
        </w:rPr>
      </w:pPr>
      <w:r w:rsidRPr="006E1F17">
        <w:rPr>
          <w:rFonts w:eastAsia="Helvetica Neue" w:cstheme="minorHAnsi"/>
          <w:b/>
          <w:color w:val="FF0000"/>
          <w:lang w:val="es-ES" w:eastAsia="zh-CN"/>
        </w:rPr>
        <w:t xml:space="preserve">La falta de un esquema de clasificación global, </w:t>
      </w:r>
      <w:r w:rsidRPr="006E1F17">
        <w:rPr>
          <w:rFonts w:eastAsia="Calibri" w:cstheme="minorHAnsi"/>
          <w:b/>
          <w:color w:val="FF0000"/>
          <w:lang w:val="es-ES" w:eastAsia="zh-CN"/>
        </w:rPr>
        <w:t>¿</w:t>
      </w:r>
      <w:r w:rsidRPr="006E1F17">
        <w:rPr>
          <w:rFonts w:eastAsia="Helvetica Neue" w:cstheme="minorHAnsi"/>
          <w:b/>
          <w:color w:val="FF0000"/>
          <w:lang w:val="es-ES" w:eastAsia="zh-CN"/>
        </w:rPr>
        <w:t>conlleva el riesgo de que los datos no sean útiles para las comparaciones internacionales o no reflejen con precisión las identidades y realidades vividas por las poblaciones locales?</w:t>
      </w:r>
    </w:p>
    <w:p w:rsidR="00723B10" w:rsidRPr="00431685" w:rsidRDefault="00952A47" w:rsidP="00CC28C3">
      <w:pPr>
        <w:ind w:left="708"/>
        <w:jc w:val="both"/>
        <w:rPr>
          <w:rFonts w:cstheme="minorHAnsi"/>
          <w:lang w:val="es-ES"/>
        </w:rPr>
      </w:pPr>
      <w:r>
        <w:rPr>
          <w:rFonts w:cstheme="minorHAnsi"/>
          <w:lang w:val="es-ES"/>
        </w:rPr>
        <w:t xml:space="preserve">Se </w:t>
      </w:r>
      <w:r w:rsidRPr="00952A47">
        <w:rPr>
          <w:rFonts w:cstheme="minorHAnsi"/>
          <w:lang w:val="es-ES"/>
        </w:rPr>
        <w:t xml:space="preserve">requiere </w:t>
      </w:r>
      <w:r w:rsidRPr="00952A47">
        <w:rPr>
          <w:rFonts w:eastAsia="Helvetica Neue" w:cstheme="minorHAnsi"/>
          <w:lang w:val="es-ES" w:eastAsia="zh-CN"/>
        </w:rPr>
        <w:t>un esquema de clasificación global</w:t>
      </w:r>
      <w:r>
        <w:rPr>
          <w:rFonts w:eastAsia="Helvetica Neue" w:cstheme="minorHAnsi"/>
          <w:lang w:val="es-ES" w:eastAsia="zh-CN"/>
        </w:rPr>
        <w:t xml:space="preserve"> de la población LGBTI, sin embargo, para tomarla en cuenta como una referencia, y en la mayoría de los casos, como por ejemplo en el caso del Estado boliviano, se adaptarían algunas clasificaciones, pero coadyuvarían en </w:t>
      </w:r>
      <w:bookmarkStart w:id="0" w:name="_GoBack"/>
      <w:bookmarkEnd w:id="0"/>
      <w:r>
        <w:rPr>
          <w:rFonts w:eastAsia="Helvetica Neue" w:cstheme="minorHAnsi"/>
          <w:lang w:val="es-ES" w:eastAsia="zh-CN"/>
        </w:rPr>
        <w:t>realiza</w:t>
      </w:r>
      <w:r w:rsidR="00CC28C3">
        <w:rPr>
          <w:rFonts w:eastAsia="Helvetica Neue" w:cstheme="minorHAnsi"/>
          <w:lang w:val="es-ES" w:eastAsia="zh-CN"/>
        </w:rPr>
        <w:t>r comparaciones internacionales.</w:t>
      </w:r>
      <w:r>
        <w:rPr>
          <w:rFonts w:eastAsia="Helvetica Neue" w:cstheme="minorHAnsi"/>
          <w:lang w:val="es-ES" w:eastAsia="zh-CN"/>
        </w:rPr>
        <w:t xml:space="preserve"> </w:t>
      </w:r>
    </w:p>
    <w:sectPr w:rsidR="00723B10" w:rsidRPr="0043168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4E" w:rsidRDefault="00E8124E" w:rsidP="0020390D">
      <w:pPr>
        <w:spacing w:after="0" w:line="240" w:lineRule="auto"/>
      </w:pPr>
      <w:r>
        <w:separator/>
      </w:r>
    </w:p>
  </w:endnote>
  <w:endnote w:type="continuationSeparator" w:id="0">
    <w:p w:rsidR="00E8124E" w:rsidRDefault="00E8124E" w:rsidP="0020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4E" w:rsidRDefault="00E8124E" w:rsidP="0020390D">
      <w:pPr>
        <w:spacing w:after="0" w:line="240" w:lineRule="auto"/>
      </w:pPr>
      <w:r>
        <w:separator/>
      </w:r>
    </w:p>
  </w:footnote>
  <w:footnote w:type="continuationSeparator" w:id="0">
    <w:p w:rsidR="00E8124E" w:rsidRDefault="00E8124E" w:rsidP="0020390D">
      <w:pPr>
        <w:spacing w:after="0" w:line="240" w:lineRule="auto"/>
      </w:pPr>
      <w:r>
        <w:continuationSeparator/>
      </w:r>
    </w:p>
  </w:footnote>
  <w:footnote w:id="1">
    <w:p w:rsidR="0020390D" w:rsidRPr="001A43CC" w:rsidRDefault="0020390D">
      <w:pPr>
        <w:pStyle w:val="Textonotapie"/>
        <w:rPr>
          <w:sz w:val="12"/>
          <w:szCs w:val="12"/>
        </w:rPr>
      </w:pPr>
      <w:r w:rsidRPr="001A43CC">
        <w:rPr>
          <w:sz w:val="12"/>
          <w:szCs w:val="12"/>
        </w:rPr>
        <w:footnoteRef/>
      </w:r>
      <w:r w:rsidRPr="001A43CC">
        <w:rPr>
          <w:sz w:val="12"/>
          <w:szCs w:val="12"/>
        </w:rPr>
        <w:t xml:space="preserve"> http://www.derechoteca.com/gacetabolivia/ley-no-807-del-21-de-mayo-de-2016/</w:t>
      </w:r>
    </w:p>
  </w:footnote>
  <w:footnote w:id="2">
    <w:p w:rsidR="006B657C" w:rsidRPr="001A43CC" w:rsidRDefault="006B657C">
      <w:pPr>
        <w:pStyle w:val="Textonotapie"/>
        <w:rPr>
          <w:sz w:val="12"/>
          <w:szCs w:val="12"/>
        </w:rPr>
      </w:pPr>
      <w:r w:rsidRPr="001A43CC">
        <w:rPr>
          <w:sz w:val="12"/>
          <w:szCs w:val="12"/>
        </w:rPr>
        <w:footnoteRef/>
      </w:r>
      <w:r w:rsidRPr="001A43CC">
        <w:rPr>
          <w:sz w:val="12"/>
          <w:szCs w:val="12"/>
        </w:rPr>
        <w:t xml:space="preserve"> https://www.acnur.org/fileadmin/Documentos/BDL/2014/9502.pdf</w:t>
      </w:r>
    </w:p>
  </w:footnote>
  <w:footnote w:id="3">
    <w:p w:rsidR="001A43CC" w:rsidRDefault="001A43CC">
      <w:pPr>
        <w:pStyle w:val="Textonotapie"/>
      </w:pPr>
      <w:r w:rsidRPr="001A43CC">
        <w:rPr>
          <w:sz w:val="12"/>
          <w:szCs w:val="12"/>
        </w:rPr>
        <w:footnoteRef/>
      </w:r>
      <w:r w:rsidRPr="001A43CC">
        <w:rPr>
          <w:sz w:val="12"/>
          <w:szCs w:val="12"/>
        </w:rPr>
        <w:t xml:space="preserve"> https://www.acnur.org/fileadmin/Documentos/BDL/2014/9502.pdf</w:t>
      </w:r>
    </w:p>
  </w:footnote>
  <w:footnote w:id="4">
    <w:p w:rsidR="00F16AFE" w:rsidRPr="00003332" w:rsidRDefault="00F16AFE" w:rsidP="00F16AFE">
      <w:pPr>
        <w:pStyle w:val="Textonotapie"/>
        <w:rPr>
          <w:sz w:val="16"/>
          <w:szCs w:val="16"/>
        </w:rPr>
      </w:pPr>
      <w:r w:rsidRPr="00003332">
        <w:rPr>
          <w:rStyle w:val="Refdenotaalpie"/>
          <w:sz w:val="16"/>
          <w:szCs w:val="16"/>
        </w:rPr>
        <w:footnoteRef/>
      </w:r>
      <w:r w:rsidRPr="00003332">
        <w:rPr>
          <w:sz w:val="16"/>
          <w:szCs w:val="16"/>
        </w:rPr>
        <w:t xml:space="preserve"> </w:t>
      </w:r>
      <w:r w:rsidR="00003332" w:rsidRPr="00003332">
        <w:rPr>
          <w:sz w:val="16"/>
          <w:szCs w:val="16"/>
        </w:rPr>
        <w:t>http://www.noracismo.gob.bo/</w:t>
      </w:r>
    </w:p>
  </w:footnote>
  <w:footnote w:id="5">
    <w:p w:rsidR="00003332" w:rsidRPr="00003332" w:rsidRDefault="00003332" w:rsidP="00003332">
      <w:pPr>
        <w:pStyle w:val="Textonotapie"/>
        <w:rPr>
          <w:sz w:val="16"/>
          <w:szCs w:val="16"/>
        </w:rPr>
      </w:pPr>
      <w:r w:rsidRPr="00003332">
        <w:rPr>
          <w:rStyle w:val="Refdenotaalpie"/>
          <w:sz w:val="16"/>
          <w:szCs w:val="16"/>
        </w:rPr>
        <w:footnoteRef/>
      </w:r>
      <w:r w:rsidRPr="00003332">
        <w:rPr>
          <w:sz w:val="16"/>
          <w:szCs w:val="16"/>
        </w:rPr>
        <w:t xml:space="preserve"> Dirección Nacional FELCC – Secretaria General – CITE Nro.0729/2016.</w:t>
      </w:r>
    </w:p>
  </w:footnote>
  <w:footnote w:id="6">
    <w:p w:rsidR="00003332" w:rsidRDefault="00003332" w:rsidP="00003332">
      <w:pPr>
        <w:pStyle w:val="Textonotapie"/>
      </w:pPr>
      <w:r w:rsidRPr="00003332">
        <w:rPr>
          <w:rStyle w:val="Refdenotaalpie"/>
          <w:sz w:val="16"/>
          <w:szCs w:val="16"/>
        </w:rPr>
        <w:footnoteRef/>
      </w:r>
      <w:r w:rsidRPr="00003332">
        <w:rPr>
          <w:sz w:val="16"/>
          <w:szCs w:val="16"/>
        </w:rPr>
        <w:t xml:space="preserve"> MJ-DESP Nº1952/2016</w:t>
      </w:r>
    </w:p>
  </w:footnote>
  <w:footnote w:id="7">
    <w:p w:rsidR="00003332" w:rsidRPr="000637CD" w:rsidRDefault="00003332" w:rsidP="00003332">
      <w:pPr>
        <w:pStyle w:val="Textonotapie"/>
        <w:rPr>
          <w:sz w:val="16"/>
          <w:szCs w:val="16"/>
        </w:rPr>
      </w:pPr>
      <w:r w:rsidRPr="000637CD">
        <w:rPr>
          <w:rStyle w:val="Refdenotaalpie"/>
          <w:sz w:val="16"/>
          <w:szCs w:val="16"/>
        </w:rPr>
        <w:footnoteRef/>
      </w:r>
      <w:r w:rsidRPr="000637CD">
        <w:rPr>
          <w:sz w:val="16"/>
          <w:szCs w:val="16"/>
        </w:rPr>
        <w:t xml:space="preserve"> (MDCyT-VU1897/2016)</w:t>
      </w:r>
    </w:p>
  </w:footnote>
  <w:footnote w:id="8">
    <w:p w:rsidR="00DD09E3" w:rsidRPr="000637CD" w:rsidRDefault="00DD09E3" w:rsidP="000637CD">
      <w:pPr>
        <w:pStyle w:val="Textonotapie"/>
        <w:rPr>
          <w:rStyle w:val="Refdenotaalpie"/>
          <w:sz w:val="16"/>
          <w:szCs w:val="16"/>
        </w:rPr>
      </w:pPr>
      <w:r w:rsidRPr="000637CD">
        <w:rPr>
          <w:rStyle w:val="Refdenotaalpie"/>
          <w:sz w:val="16"/>
          <w:szCs w:val="16"/>
        </w:rPr>
        <w:footnoteRef/>
      </w:r>
      <w:r w:rsidRPr="000637CD">
        <w:rPr>
          <w:rStyle w:val="Refdenotaalpie"/>
          <w:sz w:val="16"/>
          <w:szCs w:val="16"/>
        </w:rPr>
        <w:t xml:space="preserve"> https://www.tribunalconstitucional.gob.do/content/sentencia-tc007617</w:t>
      </w:r>
    </w:p>
  </w:footnote>
  <w:footnote w:id="9">
    <w:p w:rsidR="00477BA0" w:rsidRPr="000637CD" w:rsidRDefault="00477BA0" w:rsidP="000637CD">
      <w:pPr>
        <w:pStyle w:val="Textonotapie"/>
        <w:rPr>
          <w:rStyle w:val="Refdenotaalpie"/>
          <w:sz w:val="16"/>
          <w:szCs w:val="16"/>
        </w:rPr>
      </w:pPr>
      <w:r w:rsidRPr="000637CD">
        <w:rPr>
          <w:rStyle w:val="Refdenotaalpie"/>
          <w:sz w:val="16"/>
          <w:szCs w:val="16"/>
        </w:rPr>
        <w:footnoteRef/>
      </w:r>
      <w:r w:rsidRPr="000637CD">
        <w:rPr>
          <w:rStyle w:val="Refdenotaalpie"/>
          <w:sz w:val="16"/>
          <w:szCs w:val="16"/>
        </w:rPr>
        <w:t xml:space="preserve"> </w:t>
      </w:r>
      <w:r w:rsidR="000637CD" w:rsidRPr="000637CD">
        <w:rPr>
          <w:rStyle w:val="Refdenotaalpie"/>
          <w:sz w:val="16"/>
          <w:szCs w:val="16"/>
        </w:rPr>
        <w:t>Sentencia Constitucional Plurinacional 0076/17, Pág. 42. III.4.5</w:t>
      </w:r>
    </w:p>
  </w:footnote>
  <w:footnote w:id="10">
    <w:p w:rsidR="00477BA0" w:rsidRPr="000637CD" w:rsidRDefault="00477BA0" w:rsidP="000637CD">
      <w:pPr>
        <w:pStyle w:val="Textonotapie"/>
        <w:rPr>
          <w:rStyle w:val="Refdenotaalpie"/>
          <w:sz w:val="16"/>
          <w:szCs w:val="16"/>
        </w:rPr>
      </w:pPr>
      <w:r w:rsidRPr="000637CD">
        <w:rPr>
          <w:rStyle w:val="Refdenotaalpie"/>
          <w:sz w:val="16"/>
          <w:szCs w:val="16"/>
        </w:rPr>
        <w:footnoteRef/>
      </w:r>
      <w:r w:rsidRPr="000637CD">
        <w:rPr>
          <w:rStyle w:val="Refdenotaalpie"/>
          <w:sz w:val="16"/>
          <w:szCs w:val="16"/>
        </w:rPr>
        <w:t xml:space="preserve"> Sentencia Constitucional Plurinacional 0076/17, Pág. 43. III.4.5</w:t>
      </w:r>
    </w:p>
  </w:footnote>
  <w:footnote w:id="11">
    <w:p w:rsidR="000637CD" w:rsidRPr="000637CD" w:rsidRDefault="000637CD">
      <w:pPr>
        <w:pStyle w:val="Textonotapie"/>
        <w:rPr>
          <w:rStyle w:val="Refdenotaalpie"/>
          <w:sz w:val="16"/>
          <w:szCs w:val="16"/>
        </w:rPr>
      </w:pPr>
      <w:r w:rsidRPr="000637CD">
        <w:rPr>
          <w:rStyle w:val="Refdenotaalpie"/>
          <w:sz w:val="16"/>
          <w:szCs w:val="16"/>
        </w:rPr>
        <w:footnoteRef/>
      </w:r>
      <w:r w:rsidRPr="000637CD">
        <w:rPr>
          <w:rStyle w:val="Refdenotaalpie"/>
          <w:sz w:val="16"/>
          <w:szCs w:val="16"/>
        </w:rPr>
        <w:t xml:space="preserve"> Sentencia Constitucional Plurinacional 0076/17, Pág. 43 y 44. III.4.5.</w:t>
      </w:r>
    </w:p>
  </w:footnote>
  <w:footnote w:id="12">
    <w:p w:rsidR="000637CD" w:rsidRDefault="000637CD">
      <w:pPr>
        <w:pStyle w:val="Textonotapie"/>
      </w:pPr>
      <w:r w:rsidRPr="000637CD">
        <w:rPr>
          <w:rStyle w:val="Refdenotaalpie"/>
          <w:sz w:val="16"/>
          <w:szCs w:val="16"/>
        </w:rPr>
        <w:footnoteRef/>
      </w:r>
      <w:r w:rsidRPr="000637CD">
        <w:rPr>
          <w:rStyle w:val="Refdenotaalpie"/>
          <w:sz w:val="16"/>
          <w:szCs w:val="16"/>
        </w:rPr>
        <w:t xml:space="preserve"> Sentencia Constitucional Plurinacional 0076/17, Pág. 43 y 44. III.4.5.</w:t>
      </w:r>
    </w:p>
  </w:footnote>
  <w:footnote w:id="13">
    <w:p w:rsidR="003D22A3" w:rsidRPr="002F6EF6" w:rsidRDefault="003D22A3">
      <w:pPr>
        <w:pStyle w:val="Textonotapie"/>
        <w:rPr>
          <w:rStyle w:val="Refdenotaalpie"/>
          <w:sz w:val="16"/>
          <w:szCs w:val="16"/>
        </w:rPr>
      </w:pPr>
      <w:r w:rsidRPr="003D22A3">
        <w:rPr>
          <w:rStyle w:val="Refdenotaalpie"/>
          <w:sz w:val="16"/>
          <w:szCs w:val="16"/>
        </w:rPr>
        <w:footnoteRef/>
      </w:r>
      <w:r w:rsidRPr="003D22A3">
        <w:rPr>
          <w:rStyle w:val="Refdenotaalpie"/>
          <w:sz w:val="16"/>
          <w:szCs w:val="16"/>
        </w:rPr>
        <w:t xml:space="preserve"> https://www.procuraduria.gob.bo/images/docs/marcolegal/Ley_Participacion_Control_Social.pdf</w:t>
      </w:r>
    </w:p>
  </w:footnote>
  <w:footnote w:id="14">
    <w:p w:rsidR="003D22A3" w:rsidRPr="002F6EF6" w:rsidRDefault="003D22A3">
      <w:pPr>
        <w:pStyle w:val="Textonotapie"/>
        <w:rPr>
          <w:rStyle w:val="Refdenotaalpie"/>
          <w:sz w:val="16"/>
          <w:szCs w:val="16"/>
        </w:rPr>
      </w:pPr>
      <w:r w:rsidRPr="002F6EF6">
        <w:rPr>
          <w:rStyle w:val="Refdenotaalpie"/>
          <w:sz w:val="16"/>
          <w:szCs w:val="16"/>
        </w:rPr>
        <w:footnoteRef/>
      </w:r>
      <w:r w:rsidRPr="002F6EF6">
        <w:rPr>
          <w:rStyle w:val="Refdenotaalpie"/>
          <w:sz w:val="16"/>
          <w:szCs w:val="16"/>
        </w:rPr>
        <w:t xml:space="preserve"> </w:t>
      </w:r>
      <w:r w:rsidR="002F6EF6" w:rsidRPr="003D22A3">
        <w:rPr>
          <w:rStyle w:val="Refdenotaalpie"/>
          <w:sz w:val="16"/>
          <w:szCs w:val="16"/>
        </w:rPr>
        <w:t>https://www.procuraduria.gob.bo/images/docs/marcolegal/Ley_Participacion_Control_Social.pdf</w:t>
      </w:r>
    </w:p>
  </w:footnote>
  <w:footnote w:id="15">
    <w:p w:rsidR="003D22A3" w:rsidRPr="002F6EF6" w:rsidRDefault="003D22A3">
      <w:pPr>
        <w:pStyle w:val="Textonotapie"/>
        <w:rPr>
          <w:rStyle w:val="Refdenotaalpie"/>
          <w:sz w:val="16"/>
          <w:szCs w:val="16"/>
        </w:rPr>
      </w:pPr>
      <w:r w:rsidRPr="002F6EF6">
        <w:rPr>
          <w:rStyle w:val="Refdenotaalpie"/>
          <w:sz w:val="16"/>
          <w:szCs w:val="16"/>
        </w:rPr>
        <w:footnoteRef/>
      </w:r>
      <w:r w:rsidRPr="002F6EF6">
        <w:rPr>
          <w:rStyle w:val="Refdenotaalpie"/>
          <w:sz w:val="16"/>
          <w:szCs w:val="16"/>
        </w:rPr>
        <w:t xml:space="preserve"> </w:t>
      </w:r>
      <w:r w:rsidR="002F6EF6" w:rsidRPr="003D22A3">
        <w:rPr>
          <w:rStyle w:val="Refdenotaalpie"/>
          <w:sz w:val="16"/>
          <w:szCs w:val="16"/>
        </w:rPr>
        <w:t>https://www.procuraduria.gob.bo/images/docs/marcolegal/Ley_Participacion_Control_Social.pdf</w:t>
      </w:r>
    </w:p>
  </w:footnote>
  <w:footnote w:id="16">
    <w:p w:rsidR="002F6EF6" w:rsidRDefault="002F6EF6">
      <w:pPr>
        <w:pStyle w:val="Textonotapie"/>
      </w:pPr>
      <w:r w:rsidRPr="002F6EF6">
        <w:rPr>
          <w:rStyle w:val="Refdenotaalpie"/>
          <w:sz w:val="16"/>
          <w:szCs w:val="16"/>
        </w:rPr>
        <w:footnoteRef/>
      </w:r>
      <w:r>
        <w:t xml:space="preserve"> </w:t>
      </w:r>
      <w:r w:rsidRPr="003D22A3">
        <w:rPr>
          <w:rStyle w:val="Refdenotaalpie"/>
          <w:sz w:val="16"/>
          <w:szCs w:val="16"/>
        </w:rPr>
        <w:t>https://www.procuraduria.gob.bo/images/docs/marcolegal/Ley_Participacion_Control_Social.pdf</w:t>
      </w:r>
    </w:p>
  </w:footnote>
  <w:footnote w:id="17">
    <w:p w:rsidR="002F6EF6" w:rsidRDefault="002F6EF6">
      <w:pPr>
        <w:pStyle w:val="Textonotapie"/>
      </w:pPr>
      <w:r w:rsidRPr="002F6EF6">
        <w:rPr>
          <w:rStyle w:val="Refdenotaalpie"/>
          <w:sz w:val="16"/>
          <w:szCs w:val="16"/>
        </w:rPr>
        <w:footnoteRef/>
      </w:r>
      <w:r w:rsidRPr="002F6EF6">
        <w:rPr>
          <w:rStyle w:val="Refdenotaalpie"/>
          <w:sz w:val="16"/>
          <w:szCs w:val="16"/>
        </w:rPr>
        <w:t xml:space="preserve"> </w:t>
      </w:r>
      <w:r w:rsidRPr="003D22A3">
        <w:rPr>
          <w:rStyle w:val="Refdenotaalpie"/>
          <w:sz w:val="16"/>
          <w:szCs w:val="16"/>
        </w:rPr>
        <w:t>https://www.procuraduria.gob.bo/images/docs/marcolegal/Ley_Participacion_Control_Social.pdf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6620"/>
    <w:multiLevelType w:val="hybridMultilevel"/>
    <w:tmpl w:val="07963E7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4F564CE0"/>
    <w:multiLevelType w:val="hybridMultilevel"/>
    <w:tmpl w:val="1A0A4874"/>
    <w:lvl w:ilvl="0" w:tplc="B940439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8D4292"/>
    <w:multiLevelType w:val="hybridMultilevel"/>
    <w:tmpl w:val="327C29BE"/>
    <w:lvl w:ilvl="0" w:tplc="D55A99AA">
      <w:start w:val="1"/>
      <w:numFmt w:val="bullet"/>
      <w:lvlText w:val=""/>
      <w:lvlJc w:val="left"/>
      <w:pPr>
        <w:ind w:left="360" w:hanging="360"/>
      </w:pPr>
      <w:rPr>
        <w:rFonts w:ascii="Symbol" w:hAnsi="Symbol" w:hint="default"/>
        <w:lang w:val="es-B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5D"/>
    <w:rsid w:val="00003332"/>
    <w:rsid w:val="000412FB"/>
    <w:rsid w:val="000637CD"/>
    <w:rsid w:val="000645C7"/>
    <w:rsid w:val="0006700C"/>
    <w:rsid w:val="000C23CB"/>
    <w:rsid w:val="00160234"/>
    <w:rsid w:val="00162549"/>
    <w:rsid w:val="001A43CC"/>
    <w:rsid w:val="0020390D"/>
    <w:rsid w:val="002726FB"/>
    <w:rsid w:val="002A5161"/>
    <w:rsid w:val="002F6EF6"/>
    <w:rsid w:val="003A3690"/>
    <w:rsid w:val="003D22A3"/>
    <w:rsid w:val="00431685"/>
    <w:rsid w:val="00477BA0"/>
    <w:rsid w:val="004A58BA"/>
    <w:rsid w:val="00516933"/>
    <w:rsid w:val="0053365D"/>
    <w:rsid w:val="0054732A"/>
    <w:rsid w:val="00610DF7"/>
    <w:rsid w:val="006A44B8"/>
    <w:rsid w:val="006B657C"/>
    <w:rsid w:val="006E1F17"/>
    <w:rsid w:val="00723B10"/>
    <w:rsid w:val="0076690D"/>
    <w:rsid w:val="007F3F61"/>
    <w:rsid w:val="00803555"/>
    <w:rsid w:val="008E2611"/>
    <w:rsid w:val="00952A47"/>
    <w:rsid w:val="00A24147"/>
    <w:rsid w:val="00AF159D"/>
    <w:rsid w:val="00B243C5"/>
    <w:rsid w:val="00B47E94"/>
    <w:rsid w:val="00C21117"/>
    <w:rsid w:val="00C31949"/>
    <w:rsid w:val="00CC28C3"/>
    <w:rsid w:val="00D21042"/>
    <w:rsid w:val="00DC0D82"/>
    <w:rsid w:val="00DC5021"/>
    <w:rsid w:val="00DD09E3"/>
    <w:rsid w:val="00E236C4"/>
    <w:rsid w:val="00E727E5"/>
    <w:rsid w:val="00E8124E"/>
    <w:rsid w:val="00F123CC"/>
    <w:rsid w:val="00F16AFE"/>
    <w:rsid w:val="00F405F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5E9C"/>
  <w15:chartTrackingRefBased/>
  <w15:docId w15:val="{DF6FF5E7-C2AE-4ABE-8BB3-7DAC4378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Texto nota pie Car Car Car,FOOTNOTES,fn,single space,Footnote Text Char Char Char,Footnote Text1 Char,Footnote Text2,Footnote Text Char Char Char1 Char,Footnote Text Char Char Char1,ft,ADB,ADB Car,Car"/>
    <w:basedOn w:val="Normal"/>
    <w:link w:val="TextonotapieCar"/>
    <w:uiPriority w:val="99"/>
    <w:unhideWhenUsed/>
    <w:rsid w:val="0020390D"/>
    <w:pPr>
      <w:spacing w:after="0" w:line="240" w:lineRule="auto"/>
    </w:pPr>
    <w:rPr>
      <w:sz w:val="20"/>
      <w:szCs w:val="20"/>
    </w:rPr>
  </w:style>
  <w:style w:type="character" w:customStyle="1" w:styleId="TextonotapieCar">
    <w:name w:val="Texto nota pie Car"/>
    <w:aliases w:val=" Car Car,Texto nota pie Car Car Car Car,FOOTNOTES Car,fn Car,single space Car,Footnote Text Char Char Char Car,Footnote Text1 Char Car,Footnote Text2 Car,Footnote Text Char Char Char1 Char Car,Footnote Text Char Char Char1 Car,ft Car"/>
    <w:basedOn w:val="Fuentedeprrafopredeter"/>
    <w:link w:val="Textonotapie"/>
    <w:uiPriority w:val="99"/>
    <w:rsid w:val="0020390D"/>
    <w:rPr>
      <w:sz w:val="20"/>
      <w:szCs w:val="20"/>
    </w:rPr>
  </w:style>
  <w:style w:type="character" w:styleId="Refdenotaalpie">
    <w:name w:val="footnote reference"/>
    <w:aliases w:val="Footnotes refss,4_G"/>
    <w:basedOn w:val="Fuentedeprrafopredeter"/>
    <w:unhideWhenUsed/>
    <w:qFormat/>
    <w:rsid w:val="0020390D"/>
    <w:rPr>
      <w:vertAlign w:val="superscript"/>
    </w:rPr>
  </w:style>
  <w:style w:type="paragraph" w:styleId="Prrafodelista">
    <w:name w:val="List Paragraph"/>
    <w:aliases w:val="Superíndice,Fundamentacion,paul2,Footnote,Fase"/>
    <w:basedOn w:val="Normal"/>
    <w:link w:val="PrrafodelistaCar"/>
    <w:uiPriority w:val="34"/>
    <w:qFormat/>
    <w:rsid w:val="00162549"/>
    <w:pPr>
      <w:ind w:left="720"/>
      <w:contextualSpacing/>
    </w:pPr>
  </w:style>
  <w:style w:type="character" w:customStyle="1" w:styleId="PrrafodelistaCar">
    <w:name w:val="Párrafo de lista Car"/>
    <w:aliases w:val="Superíndice Car,Fundamentacion Car,paul2 Car,Footnote Car,Fase Car"/>
    <w:basedOn w:val="Fuentedeprrafopredeter"/>
    <w:link w:val="Prrafodelista"/>
    <w:uiPriority w:val="34"/>
    <w:rsid w:val="00162549"/>
  </w:style>
  <w:style w:type="table" w:styleId="Tablaconcuadrcula">
    <w:name w:val="Table Grid"/>
    <w:basedOn w:val="Tablanormal"/>
    <w:uiPriority w:val="39"/>
    <w:rsid w:val="00C3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7650">
      <w:bodyDiv w:val="1"/>
      <w:marLeft w:val="0"/>
      <w:marRight w:val="0"/>
      <w:marTop w:val="0"/>
      <w:marBottom w:val="0"/>
      <w:divBdr>
        <w:top w:val="none" w:sz="0" w:space="0" w:color="auto"/>
        <w:left w:val="none" w:sz="0" w:space="0" w:color="auto"/>
        <w:bottom w:val="none" w:sz="0" w:space="0" w:color="auto"/>
        <w:right w:val="none" w:sz="0" w:space="0" w:color="auto"/>
      </w:divBdr>
    </w:div>
    <w:div w:id="388962634">
      <w:bodyDiv w:val="1"/>
      <w:marLeft w:val="0"/>
      <w:marRight w:val="0"/>
      <w:marTop w:val="0"/>
      <w:marBottom w:val="0"/>
      <w:divBdr>
        <w:top w:val="none" w:sz="0" w:space="0" w:color="auto"/>
        <w:left w:val="none" w:sz="0" w:space="0" w:color="auto"/>
        <w:bottom w:val="none" w:sz="0" w:space="0" w:color="auto"/>
        <w:right w:val="none" w:sz="0" w:space="0" w:color="auto"/>
      </w:divBdr>
    </w:div>
    <w:div w:id="16295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A7711B-8D0B-42A9-A05E-65E9E6B72B48}">
  <ds:schemaRefs>
    <ds:schemaRef ds:uri="http://schemas.openxmlformats.org/officeDocument/2006/bibliography"/>
  </ds:schemaRefs>
</ds:datastoreItem>
</file>

<file path=customXml/itemProps2.xml><?xml version="1.0" encoding="utf-8"?>
<ds:datastoreItem xmlns:ds="http://schemas.openxmlformats.org/officeDocument/2006/customXml" ds:itemID="{FEA28578-5ED0-4873-B248-CA0ECB5D2A02}"/>
</file>

<file path=customXml/itemProps3.xml><?xml version="1.0" encoding="utf-8"?>
<ds:datastoreItem xmlns:ds="http://schemas.openxmlformats.org/officeDocument/2006/customXml" ds:itemID="{51F6A69A-D977-45A3-A7C2-4059B039A35F}"/>
</file>

<file path=customXml/itemProps4.xml><?xml version="1.0" encoding="utf-8"?>
<ds:datastoreItem xmlns:ds="http://schemas.openxmlformats.org/officeDocument/2006/customXml" ds:itemID="{DD1CC003-A022-4E51-A09B-2C5340D4D09E}"/>
</file>

<file path=docProps/app.xml><?xml version="1.0" encoding="utf-8"?>
<Properties xmlns="http://schemas.openxmlformats.org/officeDocument/2006/extended-properties" xmlns:vt="http://schemas.openxmlformats.org/officeDocument/2006/docPropsVTypes">
  <Template>Normal</Template>
  <TotalTime>487</TotalTime>
  <Pages>8</Pages>
  <Words>4043</Words>
  <Characters>22237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10</cp:revision>
  <dcterms:created xsi:type="dcterms:W3CDTF">2019-03-14T16:04:00Z</dcterms:created>
  <dcterms:modified xsi:type="dcterms:W3CDTF">2019-03-15T06:02:00Z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