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17F" w:rsidRPr="0062517F" w:rsidRDefault="0062517F" w:rsidP="0062517F">
      <w:pPr>
        <w:spacing w:after="0" w:line="240" w:lineRule="auto"/>
        <w:jc w:val="center"/>
        <w:rPr>
          <w:rFonts w:ascii="Times New Roman" w:eastAsia="Arial" w:hAnsi="Times New Roman" w:cs="Times New Roman"/>
          <w:b/>
          <w:color w:val="000000"/>
          <w:sz w:val="24"/>
          <w:szCs w:val="24"/>
          <w:lang w:eastAsia="zh-CN"/>
        </w:rPr>
      </w:pPr>
      <w:r w:rsidRPr="0062517F">
        <w:rPr>
          <w:rFonts w:ascii="Times New Roman" w:eastAsia="Arial" w:hAnsi="Times New Roman" w:cs="Times New Roman"/>
          <w:b/>
          <w:color w:val="000000"/>
          <w:sz w:val="24"/>
          <w:szCs w:val="24"/>
          <w:lang w:eastAsia="zh-CN"/>
        </w:rPr>
        <w:t>Call for Inputs</w:t>
      </w:r>
    </w:p>
    <w:p w:rsidR="0062517F" w:rsidRPr="0062517F" w:rsidRDefault="0062517F" w:rsidP="0062517F">
      <w:pPr>
        <w:spacing w:after="0" w:line="240" w:lineRule="auto"/>
        <w:jc w:val="center"/>
        <w:rPr>
          <w:rFonts w:ascii="Times New Roman" w:eastAsia="Arial" w:hAnsi="Times New Roman" w:cs="Times New Roman"/>
          <w:b/>
          <w:color w:val="000000"/>
          <w:sz w:val="24"/>
          <w:szCs w:val="24"/>
          <w:lang w:eastAsia="zh-CN"/>
        </w:rPr>
      </w:pPr>
    </w:p>
    <w:p w:rsidR="0062517F" w:rsidRPr="0062517F" w:rsidRDefault="0062517F" w:rsidP="0062517F">
      <w:pPr>
        <w:spacing w:after="0" w:line="240" w:lineRule="auto"/>
        <w:jc w:val="center"/>
        <w:rPr>
          <w:rFonts w:ascii="Times New Roman" w:eastAsia="Times New Roman" w:hAnsi="Times New Roman" w:cs="Times New Roman"/>
          <w:b/>
          <w:color w:val="000000"/>
          <w:sz w:val="24"/>
          <w:szCs w:val="24"/>
          <w:u w:val="single"/>
          <w:lang w:eastAsia="zh-CN"/>
        </w:rPr>
      </w:pPr>
      <w:r w:rsidRPr="0062517F">
        <w:rPr>
          <w:rFonts w:ascii="Times New Roman" w:eastAsia="Arial" w:hAnsi="Times New Roman" w:cs="Times New Roman"/>
          <w:b/>
          <w:color w:val="000000"/>
          <w:sz w:val="24"/>
          <w:szCs w:val="24"/>
          <w:u w:val="single"/>
          <w:lang w:eastAsia="zh-CN"/>
        </w:rPr>
        <w:t xml:space="preserve">Deadline </w:t>
      </w:r>
      <w:r w:rsidR="00184F5D">
        <w:rPr>
          <w:rFonts w:ascii="Times New Roman" w:eastAsia="Arial" w:hAnsi="Times New Roman" w:cs="Times New Roman"/>
          <w:b/>
          <w:color w:val="000000"/>
          <w:sz w:val="24"/>
          <w:szCs w:val="24"/>
          <w:u w:val="single"/>
          <w:lang w:eastAsia="zh-CN"/>
        </w:rPr>
        <w:t>15 March</w:t>
      </w:r>
      <w:r w:rsidRPr="0062517F">
        <w:rPr>
          <w:rFonts w:ascii="Times New Roman" w:eastAsia="Arial" w:hAnsi="Times New Roman" w:cs="Times New Roman"/>
          <w:b/>
          <w:color w:val="000000"/>
          <w:sz w:val="24"/>
          <w:szCs w:val="24"/>
          <w:u w:val="single"/>
          <w:lang w:eastAsia="zh-CN"/>
        </w:rPr>
        <w:t xml:space="preserve"> 2019</w:t>
      </w:r>
    </w:p>
    <w:p w:rsidR="0062517F" w:rsidRPr="0062517F" w:rsidRDefault="0062517F" w:rsidP="0062517F">
      <w:pPr>
        <w:spacing w:after="0" w:line="240" w:lineRule="auto"/>
        <w:rPr>
          <w:rFonts w:ascii="Times New Roman" w:eastAsia="Times New Roman" w:hAnsi="Times New Roman" w:cs="Times New Roman"/>
          <w:b/>
          <w:color w:val="000000"/>
          <w:sz w:val="24"/>
          <w:szCs w:val="24"/>
          <w:lang w:eastAsia="zh-CN"/>
        </w:rPr>
      </w:pPr>
    </w:p>
    <w:p w:rsidR="0062517F" w:rsidRPr="0062517F" w:rsidRDefault="0062517F" w:rsidP="0062517F">
      <w:pPr>
        <w:autoSpaceDE w:val="0"/>
        <w:autoSpaceDN w:val="0"/>
        <w:adjustRightInd w:val="0"/>
        <w:spacing w:after="0" w:line="240" w:lineRule="auto"/>
        <w:jc w:val="center"/>
        <w:rPr>
          <w:rFonts w:ascii="Times New Roman" w:eastAsia="Arial" w:hAnsi="Times New Roman" w:cs="Times New Roman"/>
          <w:b/>
          <w:bCs/>
          <w:color w:val="000000"/>
          <w:sz w:val="24"/>
          <w:szCs w:val="24"/>
          <w:lang w:eastAsia="zh-CN"/>
        </w:rPr>
      </w:pPr>
      <w:r w:rsidRPr="0062517F">
        <w:rPr>
          <w:rFonts w:ascii="Times New Roman" w:eastAsia="Arial" w:hAnsi="Times New Roman" w:cs="Times New Roman"/>
          <w:b/>
          <w:color w:val="000000"/>
          <w:sz w:val="24"/>
          <w:szCs w:val="24"/>
          <w:lang w:eastAsia="zh-CN"/>
        </w:rPr>
        <w:t>Report of the Independent Expert on protection against violence and discrimination based on sexual orientation and gender identity</w:t>
      </w:r>
    </w:p>
    <w:p w:rsidR="0062517F" w:rsidRPr="0062517F" w:rsidRDefault="0062517F" w:rsidP="0062517F">
      <w:pPr>
        <w:autoSpaceDE w:val="0"/>
        <w:autoSpaceDN w:val="0"/>
        <w:adjustRightInd w:val="0"/>
        <w:spacing w:after="0" w:line="240" w:lineRule="auto"/>
        <w:rPr>
          <w:rFonts w:ascii="Times New Roman" w:eastAsia="Arial"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In accordance with my mandate as Independent Expert on protection against violence and discrimination based on sexual orientation and gender identity, pursuant to Human Rights Council resolution 32/2, I intend to present a thematic report at the 41</w:t>
      </w:r>
      <w:r w:rsidRPr="0062517F">
        <w:rPr>
          <w:rFonts w:ascii="Times New Roman" w:eastAsia="Arial" w:hAnsi="Times New Roman" w:cs="Times New Roman"/>
          <w:sz w:val="24"/>
          <w:szCs w:val="24"/>
          <w:vertAlign w:val="superscript"/>
          <w:lang w:eastAsia="zh-CN"/>
        </w:rPr>
        <w:t>st</w:t>
      </w:r>
      <w:r w:rsidRPr="0062517F">
        <w:rPr>
          <w:rFonts w:ascii="Times New Roman" w:eastAsia="Arial" w:hAnsi="Times New Roman" w:cs="Times New Roman"/>
          <w:sz w:val="24"/>
          <w:szCs w:val="24"/>
          <w:lang w:eastAsia="zh-CN"/>
        </w:rPr>
        <w:t xml:space="preserve"> session of the Human Rights Council, which  will focus on data as a means to create heightened awareness about violence and discrimination based on sexual orientation and gender identity. Further, the report will discuss human rights implications of State activities related to gathering information on violence and discrimination based on sexual orientation and gender identity.</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My report will discuss the types of data relevant to assess violence and discrimination based on sexual orientation and gender identity; map what data are already being collected, by whom, and for what purpose; highlight key human rights safeguards that must be taken into consideration when collecting and using data; and formulate recommendations to States and other relevant stakeholders.</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b/>
          <w:sz w:val="24"/>
          <w:szCs w:val="24"/>
          <w:u w:val="single"/>
          <w:lang w:val="en-US" w:eastAsia="zh-CN"/>
        </w:rPr>
      </w:pPr>
      <w:r w:rsidRPr="0062517F">
        <w:rPr>
          <w:rFonts w:ascii="Times New Roman" w:eastAsia="Arial" w:hAnsi="Times New Roman" w:cs="Times New Roman"/>
          <w:b/>
          <w:sz w:val="24"/>
          <w:szCs w:val="24"/>
          <w:u w:val="single"/>
          <w:lang w:val="en-US" w:eastAsia="zh-CN"/>
        </w:rPr>
        <w:t>Background</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val="en-US" w:eastAsia="zh-CN"/>
        </w:rPr>
      </w:pPr>
      <w:r w:rsidRPr="0062517F">
        <w:rPr>
          <w:rFonts w:ascii="Times New Roman" w:eastAsia="Arial" w:hAnsi="Times New Roman" w:cs="Times New Roman"/>
          <w:sz w:val="24"/>
          <w:szCs w:val="24"/>
          <w:lang w:val="en-US" w:eastAsia="zh-CN"/>
        </w:rPr>
        <w:t xml:space="preserve">Social prejudice and criminalization lead to the marginalization and exclusion of lesbian, gay, bisexual or trans and gender non-conforming (LGBT) persons </w:t>
      </w:r>
      <w:r w:rsidRPr="0062517F">
        <w:rPr>
          <w:rFonts w:ascii="Times New Roman" w:eastAsia="Arial" w:hAnsi="Times New Roman" w:cs="Times New Roman"/>
          <w:sz w:val="24"/>
          <w:szCs w:val="24"/>
          <w:lang w:eastAsia="zh-CN"/>
        </w:rPr>
        <w:t>from essential services, including health, education, employment, housing and access to justice.</w:t>
      </w:r>
      <w:r w:rsidRPr="0062517F">
        <w:rPr>
          <w:rFonts w:ascii="Times New Roman" w:eastAsia="Arial" w:hAnsi="Times New Roman" w:cs="Times New Roman"/>
          <w:sz w:val="24"/>
          <w:szCs w:val="24"/>
          <w:vertAlign w:val="superscript"/>
          <w:lang w:eastAsia="zh-CN"/>
        </w:rPr>
        <w:footnoteReference w:id="1"/>
      </w:r>
      <w:r w:rsidRPr="0062517F">
        <w:rPr>
          <w:rFonts w:ascii="Times New Roman" w:eastAsia="Arial" w:hAnsi="Times New Roman" w:cs="Times New Roman"/>
          <w:sz w:val="24"/>
          <w:szCs w:val="24"/>
          <w:lang w:val="en-US" w:eastAsia="zh-CN"/>
        </w:rPr>
        <w:t xml:space="preserve">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In May 2018, a group of </w:t>
      </w:r>
      <w:hyperlink r:id="rId10" w:history="1">
        <w:r w:rsidRPr="0062517F">
          <w:rPr>
            <w:rFonts w:ascii="Times New Roman" w:eastAsia="Arial" w:hAnsi="Times New Roman" w:cs="Times New Roman"/>
            <w:sz w:val="24"/>
            <w:szCs w:val="24"/>
            <w:u w:val="single"/>
            <w:lang w:eastAsia="zh-CN"/>
          </w:rPr>
          <w:t>United Nations and international human rights experts</w:t>
        </w:r>
      </w:hyperlink>
      <w:r w:rsidRPr="0062517F">
        <w:rPr>
          <w:rFonts w:ascii="Times New Roman" w:eastAsia="Arial" w:hAnsi="Times New Roman" w:cs="Times New Roman"/>
          <w:sz w:val="24"/>
          <w:szCs w:val="24"/>
          <w:lang w:eastAsia="zh-CN"/>
        </w:rPr>
        <w:t xml:space="preserve"> expressed concern that LGBT people are being effectively left behind. They noted: “the development commitments of the international community, placed in the frame of the SDGs, demands that immediate attention be given to ensuring that the systematic exclusion of these groups, communities and populations be addressed: to make sure that no one is left behind, actions must be taken to tear down the systematic barriers that exclude LGBT persons from the benefits of the development agenda.” In this context, the experts underlined that such actions will rely among other, on the availability of data and on ensuring that disaggregated data collection and management are implemented in strict compliance with human rights standards.</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val="en-US" w:eastAsia="zh-CN"/>
        </w:rPr>
      </w:pPr>
      <w:r w:rsidRPr="0062517F">
        <w:rPr>
          <w:rFonts w:ascii="Times New Roman" w:eastAsia="Arial" w:hAnsi="Times New Roman" w:cs="Times New Roman"/>
          <w:sz w:val="24"/>
          <w:szCs w:val="24"/>
          <w:lang w:eastAsia="zh-CN"/>
        </w:rPr>
        <w:lastRenderedPageBreak/>
        <w:t xml:space="preserve">Currently, however, there is a serious gap in the data available to capture the lived realities of LGBT people. Social prejudice and criminalization </w:t>
      </w:r>
      <w:r w:rsidRPr="0062517F">
        <w:rPr>
          <w:rFonts w:ascii="Times New Roman" w:eastAsia="Arial" w:hAnsi="Times New Roman" w:cs="Times New Roman"/>
          <w:sz w:val="24"/>
          <w:szCs w:val="24"/>
          <w:lang w:val="en-US" w:eastAsia="zh-CN"/>
        </w:rPr>
        <w:t xml:space="preserve">may result in non- or underreporting of violence and discrimination based on sexual orientation and gender identity and may seriously affect data collection efforts, which would help to provide evidence of the extent of the challenges faced by the LGBT population and of the policy and legislative needs in that regard. Similarly, the negation, by some States, of the existence of violence and discrimination based on sexual orientation and gender identity or even of the presence of LGBT persons in their jurisdiction, will result in serious data gaps. The collection is crucial to create visibility and build an evidence base about human rights abuses and potential responses, dispel myths and stereotypes that feed stigma and discrimination, and aid policy-makers and advocates in the formulation of State measures regarding socio-economic inclusion, access to health and education, inclusion in the civic and political sphere, anti-discriminatory measures, prevention of abuses, and access to justice.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802CE0" w:rsidRPr="00802CE0" w:rsidRDefault="00802CE0" w:rsidP="00802CE0">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r w:rsidRPr="00802CE0">
        <w:rPr>
          <w:rFonts w:ascii="Times New Roman" w:eastAsia="Arial" w:hAnsi="Times New Roman" w:cs="Times New Roman"/>
          <w:sz w:val="24"/>
          <w:szCs w:val="24"/>
          <w:lang w:eastAsia="zh-CN"/>
        </w:rPr>
        <w:t xml:space="preserve">In recent years, some States, regional human rights bodies, and multilateral institutions such as the United Nations have initiated efforts to increase the level of knowledge about LGBT people and the discrimination and violence they face.  Additionally, governments are increasingly including aspects of sexual orientation and gender in routine data collection that takes place as part of governmental administrative functions.  This interest in collecting data has been driven by several factors, including increased concern </w:t>
      </w:r>
      <w:r w:rsidRPr="00802CE0">
        <w:rPr>
          <w:rFonts w:ascii="Times New Roman" w:eastAsia="Arial" w:hAnsi="Times New Roman" w:cs="Times New Roman"/>
          <w:color w:val="171717" w:themeColor="background2" w:themeShade="1A"/>
          <w:sz w:val="24"/>
          <w:szCs w:val="24"/>
          <w:lang w:eastAsia="zh-CN"/>
        </w:rPr>
        <w:t>by States for the human rights of LGBT people, a call for disaggregated data as part of the 2030 Agenda (UN General Assembly Resolution A/RES/70/1), the development a new </w:t>
      </w:r>
      <w:hyperlink r:id="rId11" w:history="1">
        <w:r w:rsidRPr="00802CE0">
          <w:rPr>
            <w:rStyle w:val="Hyperlink"/>
            <w:rFonts w:ascii="Times New Roman" w:eastAsia="Arial" w:hAnsi="Times New Roman" w:cs="Times New Roman"/>
            <w:color w:val="171717" w:themeColor="background2" w:themeShade="1A"/>
            <w:sz w:val="24"/>
            <w:szCs w:val="24"/>
            <w:lang w:eastAsia="zh-CN"/>
          </w:rPr>
          <w:t>LGBTI Inclusion Index</w:t>
        </w:r>
      </w:hyperlink>
      <w:r w:rsidRPr="00802CE0">
        <w:rPr>
          <w:rFonts w:ascii="Times New Roman" w:eastAsia="Arial" w:hAnsi="Times New Roman" w:cs="Times New Roman"/>
          <w:color w:val="171717" w:themeColor="background2" w:themeShade="1A"/>
          <w:sz w:val="24"/>
          <w:szCs w:val="24"/>
          <w:u w:val="single"/>
          <w:lang w:eastAsia="zh-CN"/>
        </w:rPr>
        <w:t>,</w:t>
      </w:r>
      <w:r w:rsidRPr="00802CE0">
        <w:rPr>
          <w:rFonts w:ascii="Times New Roman" w:eastAsia="Arial" w:hAnsi="Times New Roman" w:cs="Times New Roman"/>
          <w:color w:val="171717" w:themeColor="background2" w:themeShade="1A"/>
          <w:sz w:val="24"/>
          <w:szCs w:val="24"/>
          <w:lang w:eastAsia="zh-CN"/>
        </w:rPr>
        <w:t xml:space="preserve"> and the articulation of a </w:t>
      </w:r>
      <w:hyperlink r:id="rId12" w:history="1">
        <w:r w:rsidRPr="00802CE0">
          <w:rPr>
            <w:rStyle w:val="Hyperlink"/>
            <w:rFonts w:ascii="Times New Roman" w:eastAsia="Arial" w:hAnsi="Times New Roman" w:cs="Times New Roman"/>
            <w:color w:val="171717" w:themeColor="background2" w:themeShade="1A"/>
            <w:sz w:val="24"/>
            <w:szCs w:val="24"/>
            <w:lang w:eastAsia="zh-CN"/>
          </w:rPr>
          <w:t>human rights based approach</w:t>
        </w:r>
        <w:r w:rsidRPr="00802CE0">
          <w:rPr>
            <w:rStyle w:val="Hyperlink"/>
            <w:rFonts w:ascii="Times New Roman" w:eastAsia="Arial" w:hAnsi="Times New Roman" w:cs="Times New Roman"/>
            <w:color w:val="171717" w:themeColor="background2" w:themeShade="1A"/>
            <w:sz w:val="24"/>
            <w:szCs w:val="24"/>
            <w:u w:val="none"/>
            <w:lang w:eastAsia="zh-CN"/>
          </w:rPr>
          <w:t xml:space="preserve"> to data</w:t>
        </w:r>
      </w:hyperlink>
      <w:r w:rsidRPr="00802CE0">
        <w:rPr>
          <w:rFonts w:ascii="Times New Roman" w:eastAsia="Arial" w:hAnsi="Times New Roman" w:cs="Times New Roman"/>
          <w:color w:val="171717" w:themeColor="background2" w:themeShade="1A"/>
          <w:sz w:val="24"/>
          <w:szCs w:val="24"/>
          <w:lang w:eastAsia="zh-CN"/>
        </w:rPr>
        <w:t xml:space="preserve"> by the Office of the High Commissioner for Human Rights.</w:t>
      </w:r>
      <w:r w:rsidRPr="00802CE0">
        <w:rPr>
          <w:rFonts w:ascii="Times New Roman" w:eastAsia="Arial" w:hAnsi="Times New Roman" w:cs="Times New Roman"/>
          <w:color w:val="171717" w:themeColor="background2" w:themeShade="1A"/>
          <w:sz w:val="24"/>
          <w:szCs w:val="24"/>
          <w:lang w:val="en-US" w:eastAsia="zh-CN"/>
        </w:rPr>
        <w:t xml:space="preserve"> Moreover, in 2018, the </w:t>
      </w:r>
      <w:hyperlink r:id="rId13" w:history="1">
        <w:r w:rsidRPr="00802CE0">
          <w:rPr>
            <w:rStyle w:val="Hyperlink"/>
            <w:rFonts w:ascii="Times New Roman" w:eastAsia="Arial" w:hAnsi="Times New Roman" w:cs="Times New Roman"/>
            <w:color w:val="171717" w:themeColor="background2" w:themeShade="1A"/>
            <w:sz w:val="24"/>
            <w:szCs w:val="24"/>
            <w:lang w:val="en-US" w:eastAsia="zh-CN"/>
          </w:rPr>
          <w:t>Global Commission on HIV and the Law</w:t>
        </w:r>
      </w:hyperlink>
      <w:r w:rsidRPr="00802CE0">
        <w:rPr>
          <w:rFonts w:ascii="Times New Roman" w:eastAsia="Arial" w:hAnsi="Times New Roman" w:cs="Times New Roman"/>
          <w:color w:val="171717" w:themeColor="background2" w:themeShade="1A"/>
          <w:sz w:val="24"/>
          <w:szCs w:val="24"/>
          <w:lang w:val="en-US" w:eastAsia="zh-CN"/>
        </w:rPr>
        <w:t xml:space="preserve"> supplemented its 2012 report to address new developments in this field and, among other matters, identified data collection and a security as an issue of concern. The Commission recommended that governments establish legal protections to safeguard privacy and confidentiality in social </w:t>
      </w:r>
      <w:r w:rsidRPr="00802CE0">
        <w:rPr>
          <w:rFonts w:ascii="Times New Roman" w:eastAsia="Arial" w:hAnsi="Times New Roman" w:cs="Times New Roman"/>
          <w:sz w:val="24"/>
          <w:szCs w:val="24"/>
          <w:lang w:val="en-US" w:eastAsia="zh-CN"/>
        </w:rPr>
        <w:t xml:space="preserve">media, digital health, online healthcare records, communications with providers. The Commission further recommended that governments prohibit non-consensual use by law enforcement or private entities of digitally-collected or stored private information, especially data related to sexual and reproductive health.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These efforts carry benefits for, and risks to, the human rights of LGBT people.  Data is needed to understand the nature and extent of violence and discrimination against LGBT people, dispel myths and stereotypes that feed stigma and discrimination, and aid in the formulation of state measures that incorporate relevant communities.  At the same time, any effort to collect data about sexual orientation and gender identity raises concerns about privacy, identity, self-determination, and security.   Information about an individual’s sexuality and gender continues to be highly stigmatizing. LGBT people remain vulnerable to the risks associated with the collection, maintenance and use of data.  </w:t>
      </w:r>
      <w:r w:rsidRPr="0062517F">
        <w:rPr>
          <w:rFonts w:ascii="Times New Roman" w:eastAsia="Arial" w:hAnsi="Times New Roman" w:cs="Times New Roman"/>
          <w:sz w:val="24"/>
          <w:szCs w:val="24"/>
          <w:lang w:val="en-US" w:eastAsia="zh-CN"/>
        </w:rPr>
        <w:t xml:space="preserve">In countries where same-sex sexual conduct is criminalized, where laws and policies are used to discriminate against or persecute LGBT persons, or where stigma and prejudice are rampant, the probability that victims will dare to report abuses is very low, owing to fear of prosecution, stigma, reprisals or victimization, unwillingness to be “outed”, or lack of trust. Even in progressive environments, the worry of regression may lead to non- or underreporting. </w:t>
      </w:r>
      <w:r w:rsidRPr="0062517F">
        <w:rPr>
          <w:rFonts w:ascii="Times New Roman" w:eastAsia="Arial" w:hAnsi="Times New Roman" w:cs="Times New Roman"/>
          <w:sz w:val="24"/>
          <w:szCs w:val="24"/>
          <w:lang w:eastAsia="zh-CN"/>
        </w:rPr>
        <w:t xml:space="preserve">In addition, there is currently no globally accepted definition, or international classification scheme, to facilitate </w:t>
      </w:r>
      <w:r w:rsidRPr="0062517F">
        <w:rPr>
          <w:rFonts w:ascii="Times New Roman" w:eastAsia="Arial" w:hAnsi="Times New Roman" w:cs="Times New Roman"/>
          <w:sz w:val="24"/>
          <w:szCs w:val="24"/>
          <w:lang w:eastAsia="zh-CN"/>
        </w:rPr>
        <w:lastRenderedPageBreak/>
        <w:t xml:space="preserve">internationally comparable data between subpopulations according to sexual orientation and gender identity.  </w:t>
      </w:r>
    </w:p>
    <w:p w:rsidR="0062517F" w:rsidRPr="0062517F" w:rsidRDefault="0062517F" w:rsidP="003A5D38">
      <w:pPr>
        <w:spacing w:after="0" w:line="276" w:lineRule="auto"/>
        <w:jc w:val="both"/>
        <w:rPr>
          <w:rFonts w:ascii="Times New Roman" w:eastAsia="Times New Roman"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b/>
          <w:sz w:val="24"/>
          <w:szCs w:val="24"/>
          <w:u w:val="single"/>
          <w:lang w:val="en-US" w:eastAsia="zh-CN"/>
        </w:rPr>
      </w:pPr>
      <w:r w:rsidRPr="0062517F">
        <w:rPr>
          <w:rFonts w:ascii="Times New Roman" w:eastAsia="Arial" w:hAnsi="Times New Roman" w:cs="Times New Roman"/>
          <w:b/>
          <w:sz w:val="24"/>
          <w:szCs w:val="24"/>
          <w:u w:val="single"/>
          <w:lang w:val="en-US" w:eastAsia="zh-CN"/>
        </w:rPr>
        <w:t>Call for input</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To inform my report, I am seeking views and inputs from all relevant stakeholders (Member States, civil society organizations, National Human Rights Institutions, United Nations agencies, regional institutions, corporate entities, etc.) and I kindly invite you to consider the following questions: </w:t>
      </w: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E63D58" w:rsidRDefault="0062517F" w:rsidP="00E63D58">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62517F">
        <w:rPr>
          <w:rFonts w:ascii="Times New Roman" w:eastAsia="Helvetica Neue" w:hAnsi="Times New Roman" w:cs="Times New Roman"/>
          <w:sz w:val="24"/>
          <w:szCs w:val="24"/>
          <w:lang w:eastAsia="zh-CN"/>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E63D58" w:rsidRPr="00157786" w:rsidRDefault="00E63D58" w:rsidP="00D5076D">
      <w:pPr>
        <w:pBdr>
          <w:top w:val="nil"/>
          <w:left w:val="nil"/>
          <w:bottom w:val="nil"/>
          <w:right w:val="nil"/>
          <w:between w:val="nil"/>
        </w:pBdr>
        <w:spacing w:after="0" w:line="276" w:lineRule="auto"/>
        <w:ind w:left="1080"/>
        <w:jc w:val="both"/>
        <w:rPr>
          <w:rFonts w:ascii="Times New Roman" w:eastAsia="Helvetica Neue" w:hAnsi="Times New Roman" w:cs="Times New Roman"/>
          <w:i/>
          <w:sz w:val="24"/>
          <w:szCs w:val="24"/>
          <w:lang w:eastAsia="zh-CN"/>
        </w:rPr>
      </w:pPr>
      <w:r w:rsidRPr="00157786">
        <w:rPr>
          <w:rFonts w:ascii="Times New Roman" w:eastAsia="Helvetica Neue" w:hAnsi="Times New Roman" w:cs="Times New Roman"/>
          <w:i/>
          <w:sz w:val="24"/>
          <w:szCs w:val="24"/>
          <w:lang w:eastAsia="zh-CN"/>
        </w:rPr>
        <w:t xml:space="preserve">The government does not launch any surveys related to sexual orientation and gender identity. </w:t>
      </w:r>
      <w:r w:rsidR="00157786" w:rsidRPr="00157786">
        <w:rPr>
          <w:rFonts w:ascii="Times New Roman" w:eastAsia="Helvetica Neue" w:hAnsi="Times New Roman" w:cs="Times New Roman"/>
          <w:i/>
          <w:sz w:val="24"/>
          <w:szCs w:val="24"/>
          <w:lang w:eastAsia="zh-CN"/>
        </w:rPr>
        <w:t>However, the Ministry of Labour and Social Policy has included SOGI and protection against discrimination of LGBTI people i</w:t>
      </w:r>
      <w:r w:rsidR="00157786" w:rsidRPr="00157786">
        <w:rPr>
          <w:rFonts w:ascii="Times New Roman" w:eastAsia="Helvetica Neue" w:hAnsi="Times New Roman" w:cs="Times New Roman"/>
          <w:i/>
          <w:sz w:val="24"/>
          <w:szCs w:val="24"/>
          <w:lang w:eastAsia="zh-CN"/>
        </w:rPr>
        <w:t>n the National Equality and Non-discrimination Strategy</w:t>
      </w:r>
      <w:r w:rsidR="00157786" w:rsidRPr="00157786">
        <w:rPr>
          <w:rFonts w:ascii="Times New Roman" w:eastAsia="Helvetica Neue" w:hAnsi="Times New Roman" w:cs="Times New Roman"/>
          <w:i/>
          <w:sz w:val="24"/>
          <w:szCs w:val="24"/>
          <w:lang w:eastAsia="zh-CN"/>
        </w:rPr>
        <w:t xml:space="preserve">, and its Action Plan, both adopted in 2016. Within the scope of the Action Plan, one of the activities is conducting basic level trainings for state authorities in addressing discrimination and hate speech. These trainings are implemented in partnership with Subversive Front – Sexual and Gender Minorities Association from Skopje, North Macedonia, where quantitative and qualitative assessment on the knowledge, the skills, the attitudes and perceptions of the public administration employees – participants to the trainings, is being conducted prior the training, and after the training. The results of the analysis of the assessment show significant disparities in the level of knowledge, skills, and attitudes public administration employees have toward discrimination based on ethnic origin (i.e. Albanian, Roma, etc.), and discrimination based on other grounds – SOGI, (dis)ability, health status (i.e. PLHIV), etc. </w:t>
      </w:r>
    </w:p>
    <w:p w:rsidR="0062517F" w:rsidRPr="00157786"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What kinds of data can be collected by government to understand the nature and extent of violence (e.g. thr</w:t>
      </w:r>
      <w:r w:rsidRPr="0062517F">
        <w:rPr>
          <w:rFonts w:ascii="Times New Roman" w:eastAsia="Arial" w:hAnsi="Times New Roman" w:cs="Times New Roman"/>
          <w:sz w:val="24"/>
          <w:szCs w:val="24"/>
          <w:lang w:eastAsia="zh-CN"/>
        </w:rPr>
        <w:t>ough statistics on LGBT-phobic hate crimes and hate speech)</w:t>
      </w:r>
      <w:r w:rsidRPr="0062517F">
        <w:rPr>
          <w:rFonts w:ascii="Times New Roman" w:eastAsia="Calibri" w:hAnsi="Times New Roman" w:cs="Times New Roman"/>
          <w:sz w:val="24"/>
          <w:szCs w:val="24"/>
          <w:lang w:eastAsia="zh-CN"/>
        </w:rPr>
        <w:t xml:space="preserve">, discrimination, and </w:t>
      </w:r>
      <w:r w:rsidRPr="0062517F">
        <w:rPr>
          <w:rFonts w:ascii="Times New Roman" w:eastAsia="Arial" w:hAnsi="Times New Roman" w:cs="Times New Roman"/>
          <w:sz w:val="24"/>
          <w:szCs w:val="24"/>
          <w:lang w:eastAsia="zh-CN"/>
        </w:rPr>
        <w:t>disparities</w:t>
      </w:r>
      <w:r w:rsidRPr="0062517F">
        <w:rPr>
          <w:rFonts w:ascii="Times New Roman" w:eastAsia="Calibri" w:hAnsi="Times New Roman" w:cs="Times New Roman"/>
          <w:sz w:val="24"/>
          <w:szCs w:val="24"/>
          <w:lang w:eastAsia="zh-CN"/>
        </w:rPr>
        <w:t xml:space="preserve"> in health, education, labour, civic participation, and other important areas?</w:t>
      </w:r>
    </w:p>
    <w:p w:rsidR="00D5076D" w:rsidRPr="00D5076D" w:rsidRDefault="00CE2C57" w:rsidP="00D5076D">
      <w:pPr>
        <w:spacing w:after="0" w:line="276" w:lineRule="auto"/>
        <w:ind w:left="1080"/>
        <w:jc w:val="both"/>
        <w:rPr>
          <w:rFonts w:ascii="Times New Roman" w:eastAsia="Arial" w:hAnsi="Times New Roman" w:cs="Times New Roman"/>
          <w:i/>
          <w:sz w:val="24"/>
          <w:szCs w:val="24"/>
          <w:lang w:eastAsia="zh-CN"/>
        </w:rPr>
      </w:pPr>
      <w:r w:rsidRPr="00D5076D">
        <w:rPr>
          <w:rFonts w:ascii="Times New Roman" w:eastAsia="Calibri" w:hAnsi="Times New Roman" w:cs="Times New Roman"/>
          <w:i/>
          <w:sz w:val="24"/>
          <w:szCs w:val="24"/>
          <w:lang w:eastAsia="zh-CN"/>
        </w:rPr>
        <w:t>The data can be collected through integration of qualitative and quantitative research methodologies, and community-based participatory research which will include all beneficiaries and stakeholders - LGBT community members, government officials (police, the Commission’s members, judges, legal representatives) and CSOs staff members who are responsible for processing the cases of violence and discrimination. Quantitative data can be collected b</w:t>
      </w:r>
      <w:r w:rsidR="00E63D58" w:rsidRPr="00D5076D">
        <w:rPr>
          <w:rFonts w:ascii="Times New Roman" w:eastAsia="Calibri" w:hAnsi="Times New Roman" w:cs="Times New Roman"/>
          <w:i/>
          <w:sz w:val="24"/>
          <w:szCs w:val="24"/>
          <w:lang w:eastAsia="zh-CN"/>
        </w:rPr>
        <w:t xml:space="preserve">y </w:t>
      </w:r>
      <w:r w:rsidRPr="00D5076D">
        <w:rPr>
          <w:rFonts w:ascii="Times New Roman" w:eastAsia="Calibri" w:hAnsi="Times New Roman" w:cs="Times New Roman"/>
          <w:i/>
          <w:sz w:val="24"/>
          <w:szCs w:val="24"/>
          <w:lang w:eastAsia="zh-CN"/>
        </w:rPr>
        <w:t xml:space="preserve">examining the </w:t>
      </w:r>
      <w:r w:rsidR="00E63D58" w:rsidRPr="00D5076D">
        <w:rPr>
          <w:rFonts w:ascii="Times New Roman" w:eastAsia="Calibri" w:hAnsi="Times New Roman" w:cs="Times New Roman"/>
          <w:i/>
          <w:sz w:val="24"/>
          <w:szCs w:val="24"/>
          <w:lang w:eastAsia="zh-CN"/>
        </w:rPr>
        <w:t xml:space="preserve">cases of violence, hate speech, hate crime, and </w:t>
      </w:r>
      <w:r w:rsidR="00E63D58" w:rsidRPr="00D5076D">
        <w:rPr>
          <w:rFonts w:ascii="Times New Roman" w:eastAsia="Calibri" w:hAnsi="Times New Roman" w:cs="Times New Roman"/>
          <w:i/>
          <w:sz w:val="24"/>
          <w:szCs w:val="24"/>
          <w:lang w:eastAsia="zh-CN"/>
        </w:rPr>
        <w:lastRenderedPageBreak/>
        <w:t>discrimination reported to relevant state institutions</w:t>
      </w:r>
      <w:r w:rsidRPr="00D5076D">
        <w:rPr>
          <w:rFonts w:ascii="Times New Roman" w:eastAsia="Calibri" w:hAnsi="Times New Roman" w:cs="Times New Roman"/>
          <w:i/>
          <w:sz w:val="24"/>
          <w:szCs w:val="24"/>
          <w:lang w:eastAsia="zh-CN"/>
        </w:rPr>
        <w:t xml:space="preserve"> - C</w:t>
      </w:r>
      <w:r w:rsidR="00E63D58" w:rsidRPr="00D5076D">
        <w:rPr>
          <w:rFonts w:ascii="Times New Roman" w:eastAsia="Calibri" w:hAnsi="Times New Roman" w:cs="Times New Roman"/>
          <w:i/>
          <w:sz w:val="24"/>
          <w:szCs w:val="24"/>
          <w:lang w:eastAsia="zh-CN"/>
        </w:rPr>
        <w:t>ommission for protection against discrimination, Ombudsman, police; official and non-official cases repo</w:t>
      </w:r>
      <w:r w:rsidRPr="00D5076D">
        <w:rPr>
          <w:rFonts w:ascii="Times New Roman" w:eastAsia="Calibri" w:hAnsi="Times New Roman" w:cs="Times New Roman"/>
          <w:i/>
          <w:sz w:val="24"/>
          <w:szCs w:val="24"/>
          <w:lang w:eastAsia="zh-CN"/>
        </w:rPr>
        <w:t>rted to human rights-based CSOs. Q</w:t>
      </w:r>
      <w:r w:rsidR="00E63D58" w:rsidRPr="00D5076D">
        <w:rPr>
          <w:rFonts w:ascii="Times New Roman" w:eastAsia="Calibri" w:hAnsi="Times New Roman" w:cs="Times New Roman"/>
          <w:i/>
          <w:sz w:val="24"/>
          <w:szCs w:val="24"/>
          <w:lang w:eastAsia="zh-CN"/>
        </w:rPr>
        <w:t>ualitative</w:t>
      </w:r>
      <w:r w:rsidRPr="00D5076D">
        <w:rPr>
          <w:rFonts w:ascii="Times New Roman" w:eastAsia="Calibri" w:hAnsi="Times New Roman" w:cs="Times New Roman"/>
          <w:i/>
          <w:sz w:val="24"/>
          <w:szCs w:val="24"/>
          <w:lang w:eastAsia="zh-CN"/>
        </w:rPr>
        <w:t xml:space="preserve"> data can be collected for understanding the nature of violence by conducting</w:t>
      </w:r>
      <w:r w:rsidR="00E63D58" w:rsidRPr="00D5076D">
        <w:rPr>
          <w:rFonts w:ascii="Times New Roman" w:eastAsia="Calibri" w:hAnsi="Times New Roman" w:cs="Times New Roman"/>
          <w:i/>
          <w:sz w:val="24"/>
          <w:szCs w:val="24"/>
          <w:lang w:eastAsia="zh-CN"/>
        </w:rPr>
        <w:t xml:space="preserve"> interviews with </w:t>
      </w:r>
      <w:r w:rsidRPr="00D5076D">
        <w:rPr>
          <w:rFonts w:ascii="Times New Roman" w:eastAsia="Calibri" w:hAnsi="Times New Roman" w:cs="Times New Roman"/>
          <w:i/>
          <w:sz w:val="24"/>
          <w:szCs w:val="24"/>
          <w:lang w:eastAsia="zh-CN"/>
        </w:rPr>
        <w:t xml:space="preserve">LGBT </w:t>
      </w:r>
      <w:r w:rsidR="00E63D58" w:rsidRPr="00D5076D">
        <w:rPr>
          <w:rFonts w:ascii="Times New Roman" w:eastAsia="Calibri" w:hAnsi="Times New Roman" w:cs="Times New Roman"/>
          <w:i/>
          <w:sz w:val="24"/>
          <w:szCs w:val="24"/>
          <w:lang w:eastAsia="zh-CN"/>
        </w:rPr>
        <w:t>community members</w:t>
      </w:r>
      <w:r w:rsidRPr="00D5076D">
        <w:rPr>
          <w:rFonts w:ascii="Times New Roman" w:eastAsia="Calibri" w:hAnsi="Times New Roman" w:cs="Times New Roman"/>
          <w:i/>
          <w:sz w:val="24"/>
          <w:szCs w:val="24"/>
          <w:lang w:eastAsia="zh-CN"/>
        </w:rPr>
        <w:t xml:space="preserve"> and CSOs staff members. </w:t>
      </w:r>
      <w:r w:rsidR="00E97FA5" w:rsidRPr="00D5076D">
        <w:rPr>
          <w:rFonts w:ascii="Times New Roman" w:eastAsia="Calibri" w:hAnsi="Times New Roman" w:cs="Times New Roman"/>
          <w:i/>
          <w:sz w:val="24"/>
          <w:szCs w:val="24"/>
          <w:lang w:eastAsia="zh-CN"/>
        </w:rPr>
        <w:t xml:space="preserve">The interview questions/guides should be developed by an experienced researcher. </w:t>
      </w:r>
    </w:p>
    <w:p w:rsidR="0062517F" w:rsidRPr="00CE2C57" w:rsidRDefault="0062517F" w:rsidP="00CE2C57">
      <w:pPr>
        <w:numPr>
          <w:ilvl w:val="0"/>
          <w:numId w:val="1"/>
        </w:numPr>
        <w:spacing w:after="0" w:line="276" w:lineRule="auto"/>
        <w:jc w:val="both"/>
        <w:rPr>
          <w:rFonts w:ascii="Times New Roman" w:eastAsia="Arial" w:hAnsi="Times New Roman" w:cs="Times New Roman"/>
          <w:sz w:val="24"/>
          <w:szCs w:val="24"/>
          <w:lang w:eastAsia="zh-CN"/>
        </w:rPr>
      </w:pPr>
      <w:r w:rsidRPr="00CE2C57">
        <w:rPr>
          <w:rFonts w:ascii="Times New Roman" w:eastAsia="Helvetica Neue" w:hAnsi="Times New Roman" w:cs="Times New Roman"/>
          <w:sz w:val="24"/>
          <w:szCs w:val="24"/>
          <w:lang w:eastAsia="zh-CN"/>
        </w:rPr>
        <w:t>What safeguards are in place, and what safeguards are needed, to protect the human rights of individuals providing personal data as well as individuals collecting such data?  This question includes the following:</w:t>
      </w:r>
    </w:p>
    <w:p w:rsidR="0062517F" w:rsidRPr="0062517F" w:rsidRDefault="0062517F" w:rsidP="003A5D38">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Safeguards to protect the privacy of individuals who provide data about their sexual orientation/gender identity, and the confidentiality of the data provided by these individuals.</w:t>
      </w:r>
    </w:p>
    <w:p w:rsidR="00E97FA5" w:rsidRDefault="0062517F" w:rsidP="00E97FA5">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Broader statutory rules or administrative policies to insure transparency and accountability of government institutions such as statistical bodies.</w:t>
      </w:r>
    </w:p>
    <w:p w:rsidR="00E63D58" w:rsidRPr="00D5076D" w:rsidRDefault="00960229" w:rsidP="00D5076D">
      <w:pPr>
        <w:pBdr>
          <w:top w:val="nil"/>
          <w:left w:val="nil"/>
          <w:bottom w:val="nil"/>
          <w:right w:val="nil"/>
          <w:between w:val="nil"/>
        </w:pBdr>
        <w:spacing w:after="0" w:line="276" w:lineRule="auto"/>
        <w:ind w:left="1080"/>
        <w:jc w:val="both"/>
        <w:rPr>
          <w:rFonts w:ascii="Times New Roman" w:eastAsia="Arial" w:hAnsi="Times New Roman" w:cs="Times New Roman"/>
          <w:i/>
          <w:sz w:val="24"/>
          <w:szCs w:val="24"/>
          <w:lang w:eastAsia="zh-CN"/>
        </w:rPr>
      </w:pPr>
      <w:r w:rsidRPr="00D5076D">
        <w:rPr>
          <w:rFonts w:ascii="Times New Roman" w:eastAsia="Helvetica Neue" w:hAnsi="Times New Roman" w:cs="Times New Roman"/>
          <w:i/>
          <w:sz w:val="24"/>
          <w:szCs w:val="24"/>
          <w:lang w:eastAsia="zh-CN"/>
        </w:rPr>
        <w:t>The privacy can be ensured b</w:t>
      </w:r>
      <w:r w:rsidR="00E63D58" w:rsidRPr="00D5076D">
        <w:rPr>
          <w:rFonts w:ascii="Times New Roman" w:eastAsia="Helvetica Neue" w:hAnsi="Times New Roman" w:cs="Times New Roman"/>
          <w:i/>
          <w:sz w:val="24"/>
          <w:szCs w:val="24"/>
          <w:lang w:eastAsia="zh-CN"/>
        </w:rPr>
        <w:t>y anonymous questionnaire</w:t>
      </w:r>
      <w:r w:rsidRPr="00D5076D">
        <w:rPr>
          <w:rFonts w:ascii="Times New Roman" w:eastAsia="Helvetica Neue" w:hAnsi="Times New Roman" w:cs="Times New Roman"/>
          <w:i/>
          <w:sz w:val="24"/>
          <w:szCs w:val="24"/>
          <w:lang w:eastAsia="zh-CN"/>
        </w:rPr>
        <w:t>s for the quantitative data collection and using pseudonyms for the qualitative interviews</w:t>
      </w:r>
      <w:r w:rsidR="00E63D58" w:rsidRPr="00D5076D">
        <w:rPr>
          <w:rFonts w:ascii="Times New Roman" w:eastAsia="Helvetica Neue" w:hAnsi="Times New Roman" w:cs="Times New Roman"/>
          <w:i/>
          <w:sz w:val="24"/>
          <w:szCs w:val="24"/>
          <w:lang w:eastAsia="zh-CN"/>
        </w:rPr>
        <w:t xml:space="preserve"> - not </w:t>
      </w:r>
      <w:r w:rsidRPr="00D5076D">
        <w:rPr>
          <w:rFonts w:ascii="Times New Roman" w:eastAsia="Helvetica Neue" w:hAnsi="Times New Roman" w:cs="Times New Roman"/>
          <w:i/>
          <w:sz w:val="24"/>
          <w:szCs w:val="24"/>
          <w:lang w:eastAsia="zh-CN"/>
        </w:rPr>
        <w:t xml:space="preserve">requesting </w:t>
      </w:r>
      <w:r w:rsidR="00E63D58" w:rsidRPr="00D5076D">
        <w:rPr>
          <w:rFonts w:ascii="Times New Roman" w:eastAsia="Helvetica Neue" w:hAnsi="Times New Roman" w:cs="Times New Roman"/>
          <w:i/>
          <w:sz w:val="24"/>
          <w:szCs w:val="24"/>
          <w:lang w:eastAsia="zh-CN"/>
        </w:rPr>
        <w:t xml:space="preserve">any </w:t>
      </w:r>
      <w:r w:rsidRPr="00D5076D">
        <w:rPr>
          <w:rFonts w:ascii="Times New Roman" w:eastAsia="Helvetica Neue" w:hAnsi="Times New Roman" w:cs="Times New Roman"/>
          <w:i/>
          <w:sz w:val="24"/>
          <w:szCs w:val="24"/>
          <w:lang w:eastAsia="zh-CN"/>
        </w:rPr>
        <w:t xml:space="preserve">personal/identifiable </w:t>
      </w:r>
      <w:r w:rsidR="00E63D58" w:rsidRPr="00D5076D">
        <w:rPr>
          <w:rFonts w:ascii="Times New Roman" w:eastAsia="Helvetica Neue" w:hAnsi="Times New Roman" w:cs="Times New Roman"/>
          <w:i/>
          <w:sz w:val="24"/>
          <w:szCs w:val="24"/>
          <w:lang w:eastAsia="zh-CN"/>
        </w:rPr>
        <w:t xml:space="preserve">information which can identify the research participant: name, surname, ID/personal document numbers, etc. </w:t>
      </w:r>
      <w:r w:rsidRPr="00D5076D">
        <w:rPr>
          <w:rFonts w:ascii="Times New Roman" w:eastAsia="Helvetica Neue" w:hAnsi="Times New Roman" w:cs="Times New Roman"/>
          <w:i/>
          <w:sz w:val="24"/>
          <w:szCs w:val="24"/>
          <w:lang w:eastAsia="zh-CN"/>
        </w:rPr>
        <w:t xml:space="preserve">Consent forms and ethical approval should be obtained by relevant bodies. </w:t>
      </w:r>
    </w:p>
    <w:p w:rsidR="00E63D58" w:rsidRPr="00157786"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Times New Roman" w:hAnsi="Times New Roman" w:cs="Times New Roman"/>
          <w:sz w:val="24"/>
          <w:szCs w:val="24"/>
          <w:lang w:eastAsia="zh-CN"/>
        </w:rPr>
        <w:t xml:space="preserve">What are the risks associated with the collection and management of data on sexual orientation and gender identity and initiatives to overcome those? </w:t>
      </w:r>
    </w:p>
    <w:p w:rsidR="0062517F" w:rsidRPr="00D5076D" w:rsidRDefault="00960229" w:rsidP="00D5076D">
      <w:pPr>
        <w:spacing w:after="0" w:line="276" w:lineRule="auto"/>
        <w:ind w:left="1080"/>
        <w:jc w:val="both"/>
        <w:rPr>
          <w:rFonts w:ascii="Times New Roman" w:eastAsia="Arial" w:hAnsi="Times New Roman" w:cs="Times New Roman"/>
          <w:i/>
          <w:sz w:val="24"/>
          <w:szCs w:val="24"/>
          <w:lang w:eastAsia="zh-CN"/>
        </w:rPr>
      </w:pPr>
      <w:r w:rsidRPr="00D5076D">
        <w:rPr>
          <w:rFonts w:ascii="Times New Roman" w:eastAsia="Times New Roman" w:hAnsi="Times New Roman" w:cs="Times New Roman"/>
          <w:i/>
          <w:sz w:val="24"/>
          <w:szCs w:val="24"/>
          <w:lang w:eastAsia="zh-CN"/>
        </w:rPr>
        <w:t>The risks depend on the methodology which is going to be used - For example, 1. To ensure</w:t>
      </w:r>
      <w:r w:rsidR="00E63D58" w:rsidRPr="00D5076D">
        <w:rPr>
          <w:rFonts w:ascii="Times New Roman" w:eastAsia="Times New Roman" w:hAnsi="Times New Roman" w:cs="Times New Roman"/>
          <w:i/>
          <w:sz w:val="24"/>
          <w:szCs w:val="24"/>
          <w:lang w:eastAsia="zh-CN"/>
        </w:rPr>
        <w:t xml:space="preserve"> reasonable representation of diverse </w:t>
      </w:r>
      <w:r w:rsidR="00E97FA5" w:rsidRPr="00D5076D">
        <w:rPr>
          <w:rFonts w:ascii="Times New Roman" w:eastAsia="Times New Roman" w:hAnsi="Times New Roman" w:cs="Times New Roman"/>
          <w:i/>
          <w:sz w:val="24"/>
          <w:szCs w:val="24"/>
          <w:lang w:eastAsia="zh-CN"/>
        </w:rPr>
        <w:t>LGBT</w:t>
      </w:r>
      <w:r w:rsidR="00E63D58" w:rsidRPr="00D5076D">
        <w:rPr>
          <w:rFonts w:ascii="Times New Roman" w:eastAsia="Times New Roman" w:hAnsi="Times New Roman" w:cs="Times New Roman"/>
          <w:i/>
          <w:sz w:val="24"/>
          <w:szCs w:val="24"/>
          <w:lang w:eastAsia="zh-CN"/>
        </w:rPr>
        <w:t xml:space="preserve"> community members in the research sample</w:t>
      </w:r>
      <w:r w:rsidR="00E97FA5" w:rsidRPr="00D5076D">
        <w:rPr>
          <w:rFonts w:ascii="Times New Roman" w:eastAsia="Times New Roman" w:hAnsi="Times New Roman" w:cs="Times New Roman"/>
          <w:i/>
          <w:sz w:val="24"/>
          <w:szCs w:val="24"/>
          <w:lang w:eastAsia="zh-CN"/>
        </w:rPr>
        <w:t xml:space="preserve"> (gays, lesbians, bisexual, trans*, Roma, Albanian LGBT community members) A</w:t>
      </w:r>
      <w:r w:rsidR="00E63D58" w:rsidRPr="00D5076D">
        <w:rPr>
          <w:rFonts w:ascii="Times New Roman" w:eastAsia="Times New Roman" w:hAnsi="Times New Roman" w:cs="Times New Roman"/>
          <w:i/>
          <w:sz w:val="24"/>
          <w:szCs w:val="24"/>
          <w:lang w:eastAsia="zh-CN"/>
        </w:rPr>
        <w:t xml:space="preserve">; </w:t>
      </w:r>
      <w:r w:rsidRPr="00D5076D">
        <w:rPr>
          <w:rFonts w:ascii="Times New Roman" w:eastAsia="Times New Roman" w:hAnsi="Times New Roman" w:cs="Times New Roman"/>
          <w:i/>
          <w:sz w:val="24"/>
          <w:szCs w:val="24"/>
          <w:lang w:eastAsia="zh-CN"/>
        </w:rPr>
        <w:t>2. T</w:t>
      </w:r>
      <w:r w:rsidR="00E63D58" w:rsidRPr="00D5076D">
        <w:rPr>
          <w:rFonts w:ascii="Times New Roman" w:eastAsia="Times New Roman" w:hAnsi="Times New Roman" w:cs="Times New Roman"/>
          <w:i/>
          <w:sz w:val="24"/>
          <w:szCs w:val="24"/>
          <w:lang w:eastAsia="zh-CN"/>
        </w:rPr>
        <w:t xml:space="preserve">o recruit </w:t>
      </w:r>
      <w:r w:rsidR="00E97FA5" w:rsidRPr="00D5076D">
        <w:rPr>
          <w:rFonts w:ascii="Times New Roman" w:eastAsia="Times New Roman" w:hAnsi="Times New Roman" w:cs="Times New Roman"/>
          <w:i/>
          <w:sz w:val="24"/>
          <w:szCs w:val="24"/>
          <w:lang w:eastAsia="zh-CN"/>
        </w:rPr>
        <w:t>LGBT</w:t>
      </w:r>
      <w:r w:rsidR="00E63D58" w:rsidRPr="00D5076D">
        <w:rPr>
          <w:rFonts w:ascii="Times New Roman" w:eastAsia="Times New Roman" w:hAnsi="Times New Roman" w:cs="Times New Roman"/>
          <w:i/>
          <w:sz w:val="24"/>
          <w:szCs w:val="24"/>
          <w:lang w:eastAsia="zh-CN"/>
        </w:rPr>
        <w:t xml:space="preserve"> participants </w:t>
      </w:r>
      <w:r w:rsidRPr="00D5076D">
        <w:rPr>
          <w:rFonts w:ascii="Times New Roman" w:eastAsia="Times New Roman" w:hAnsi="Times New Roman" w:cs="Times New Roman"/>
          <w:i/>
          <w:sz w:val="24"/>
          <w:szCs w:val="24"/>
          <w:lang w:eastAsia="zh-CN"/>
        </w:rPr>
        <w:t>from different cities and towns, 3. To engage experienced researche</w:t>
      </w:r>
      <w:r w:rsidR="00E97FA5" w:rsidRPr="00D5076D">
        <w:rPr>
          <w:rFonts w:ascii="Times New Roman" w:eastAsia="Times New Roman" w:hAnsi="Times New Roman" w:cs="Times New Roman"/>
          <w:i/>
          <w:sz w:val="24"/>
          <w:szCs w:val="24"/>
          <w:lang w:eastAsia="zh-CN"/>
        </w:rPr>
        <w:t>r</w:t>
      </w:r>
      <w:r w:rsidRPr="00D5076D">
        <w:rPr>
          <w:rFonts w:ascii="Times New Roman" w:eastAsia="Times New Roman" w:hAnsi="Times New Roman" w:cs="Times New Roman"/>
          <w:i/>
          <w:sz w:val="24"/>
          <w:szCs w:val="24"/>
          <w:lang w:eastAsia="zh-CN"/>
        </w:rPr>
        <w:t xml:space="preserve">s to conduct the research study, 4. To recruit </w:t>
      </w:r>
      <w:r w:rsidR="00E97FA5" w:rsidRPr="00D5076D">
        <w:rPr>
          <w:rFonts w:ascii="Times New Roman" w:eastAsia="Times New Roman" w:hAnsi="Times New Roman" w:cs="Times New Roman"/>
          <w:i/>
          <w:sz w:val="24"/>
          <w:szCs w:val="24"/>
          <w:lang w:eastAsia="zh-CN"/>
        </w:rPr>
        <w:t xml:space="preserve">well-informed </w:t>
      </w:r>
      <w:r w:rsidRPr="00D5076D">
        <w:rPr>
          <w:rFonts w:ascii="Times New Roman" w:eastAsia="Times New Roman" w:hAnsi="Times New Roman" w:cs="Times New Roman"/>
          <w:i/>
          <w:sz w:val="24"/>
          <w:szCs w:val="24"/>
          <w:lang w:eastAsia="zh-CN"/>
        </w:rPr>
        <w:t>state officials as research participants in the study; 5. Political events which are going to be prioritized in the country and might prevent successful recruitment process, 6. Cognitive, emotional, and communication barriers coming from the sensitiveness of the topic - interview proce</w:t>
      </w:r>
      <w:r w:rsidR="00E97FA5" w:rsidRPr="00D5076D">
        <w:rPr>
          <w:rFonts w:ascii="Times New Roman" w:eastAsia="Times New Roman" w:hAnsi="Times New Roman" w:cs="Times New Roman"/>
          <w:i/>
          <w:sz w:val="24"/>
          <w:szCs w:val="24"/>
          <w:lang w:eastAsia="zh-CN"/>
        </w:rPr>
        <w:t>ss with LGBT community members who are/were</w:t>
      </w:r>
      <w:r w:rsidRPr="00D5076D">
        <w:rPr>
          <w:rFonts w:ascii="Times New Roman" w:eastAsia="Times New Roman" w:hAnsi="Times New Roman" w:cs="Times New Roman"/>
          <w:i/>
          <w:sz w:val="24"/>
          <w:szCs w:val="24"/>
          <w:lang w:eastAsia="zh-CN"/>
        </w:rPr>
        <w:t xml:space="preserve"> victims of violence, discrimination and other forms of human rights violations.  </w:t>
      </w:r>
    </w:p>
    <w:p w:rsidR="0062517F" w:rsidRPr="00D5076D"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Are there circumstances where data collection is ill-advised, such as in countries that criminalize same-sex </w:t>
      </w:r>
      <w:proofErr w:type="spellStart"/>
      <w:r w:rsidRPr="0062517F">
        <w:rPr>
          <w:rFonts w:ascii="Times New Roman" w:eastAsia="Helvetica Neue" w:hAnsi="Times New Roman" w:cs="Times New Roman"/>
          <w:sz w:val="24"/>
          <w:szCs w:val="24"/>
          <w:lang w:eastAsia="zh-CN"/>
        </w:rPr>
        <w:t>behavior</w:t>
      </w:r>
      <w:proofErr w:type="spellEnd"/>
      <w:r w:rsidRPr="0062517F">
        <w:rPr>
          <w:rFonts w:ascii="Times New Roman" w:eastAsia="Helvetica Neue" w:hAnsi="Times New Roman" w:cs="Times New Roman"/>
          <w:sz w:val="24"/>
          <w:szCs w:val="24"/>
          <w:lang w:eastAsia="zh-CN"/>
        </w:rPr>
        <w:t xml:space="preserve"> or where particular government agencies have demonstrated a cause for concern regarding their treatment of issues related to sexual orientation and gender identity?</w:t>
      </w:r>
    </w:p>
    <w:p w:rsidR="00D5076D" w:rsidRPr="00D5076D" w:rsidRDefault="00D5076D" w:rsidP="00D5076D">
      <w:pPr>
        <w:spacing w:after="0" w:line="276" w:lineRule="auto"/>
        <w:ind w:left="1080"/>
        <w:jc w:val="both"/>
        <w:rPr>
          <w:rFonts w:ascii="Times New Roman" w:eastAsia="Arial" w:hAnsi="Times New Roman" w:cs="Times New Roman"/>
          <w:i/>
          <w:sz w:val="24"/>
          <w:szCs w:val="24"/>
          <w:lang w:eastAsia="zh-CN"/>
        </w:rPr>
      </w:pPr>
      <w:r>
        <w:rPr>
          <w:rFonts w:ascii="Times New Roman" w:eastAsia="Helvetica Neue" w:hAnsi="Times New Roman" w:cs="Times New Roman"/>
          <w:i/>
          <w:sz w:val="24"/>
          <w:szCs w:val="24"/>
          <w:lang w:eastAsia="zh-CN"/>
        </w:rPr>
        <w:t>N/A</w:t>
      </w:r>
    </w:p>
    <w:p w:rsidR="0062517F" w:rsidRPr="0062517F"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When States engage in data gathering activity, to what extent is civil society able to meaningfully participate in the design and implementation of these programs?  This question includes the following:</w:t>
      </w:r>
    </w:p>
    <w:p w:rsidR="0062517F" w:rsidRPr="00157786"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lastRenderedPageBreak/>
        <w:t xml:space="preserve"> Do states have policies that guide the process of civil society participation national statistical programs and other State efforts to increase knowledge about LGBT populations?</w:t>
      </w:r>
    </w:p>
    <w:p w:rsidR="00E97FA5" w:rsidRPr="00D5076D" w:rsidRDefault="00157786" w:rsidP="00D5076D">
      <w:pPr>
        <w:spacing w:after="0" w:line="276" w:lineRule="auto"/>
        <w:ind w:left="1800"/>
        <w:jc w:val="both"/>
        <w:rPr>
          <w:rFonts w:ascii="Times New Roman" w:eastAsia="Arial" w:hAnsi="Times New Roman" w:cs="Times New Roman"/>
          <w:i/>
          <w:sz w:val="24"/>
          <w:szCs w:val="24"/>
          <w:lang w:eastAsia="zh-CN"/>
        </w:rPr>
      </w:pPr>
      <w:r w:rsidRPr="00D5076D">
        <w:rPr>
          <w:rFonts w:ascii="Times New Roman" w:eastAsia="Helvetica Neue" w:hAnsi="Times New Roman" w:cs="Times New Roman"/>
          <w:i/>
          <w:sz w:val="24"/>
          <w:szCs w:val="24"/>
          <w:lang w:eastAsia="zh-CN"/>
        </w:rPr>
        <w:t>We</w:t>
      </w:r>
      <w:r w:rsidR="00E97FA5" w:rsidRPr="00D5076D">
        <w:rPr>
          <w:rFonts w:ascii="Times New Roman" w:eastAsia="Helvetica Neue" w:hAnsi="Times New Roman" w:cs="Times New Roman"/>
          <w:i/>
          <w:sz w:val="24"/>
          <w:szCs w:val="24"/>
          <w:lang w:eastAsia="zh-CN"/>
        </w:rPr>
        <w:t xml:space="preserve"> do not have information about this/if there are any policies.</w:t>
      </w:r>
    </w:p>
    <w:p w:rsidR="0062517F" w:rsidRPr="00157786"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Does civil society have the capacity, in terms of expertise and technical knowledge, to meaningfully participate in State efforts to gather data?</w:t>
      </w:r>
    </w:p>
    <w:p w:rsidR="00E97FA5" w:rsidRPr="0062517F" w:rsidRDefault="00E97FA5" w:rsidP="00D5076D">
      <w:pPr>
        <w:spacing w:after="0" w:line="276" w:lineRule="auto"/>
        <w:ind w:left="1800"/>
        <w:jc w:val="both"/>
        <w:rPr>
          <w:rFonts w:ascii="Times New Roman" w:eastAsia="Arial" w:hAnsi="Times New Roman" w:cs="Times New Roman"/>
          <w:sz w:val="24"/>
          <w:szCs w:val="24"/>
          <w:lang w:eastAsia="zh-CN"/>
        </w:rPr>
      </w:pPr>
      <w:r w:rsidRPr="00D5076D">
        <w:rPr>
          <w:rFonts w:ascii="Times New Roman" w:eastAsia="Calibri" w:hAnsi="Times New Roman" w:cs="Times New Roman"/>
          <w:i/>
          <w:sz w:val="24"/>
          <w:szCs w:val="24"/>
          <w:lang w:eastAsia="zh-CN"/>
        </w:rPr>
        <w:t>Yes, the civil society organizations have the expertise, knowledge and skills to initiate and conduct empirical research and participate in the State efforts throughout the entire research process</w:t>
      </w:r>
      <w:r>
        <w:rPr>
          <w:rFonts w:ascii="Times New Roman" w:eastAsia="Calibri" w:hAnsi="Times New Roman" w:cs="Times New Roman"/>
          <w:sz w:val="24"/>
          <w:szCs w:val="24"/>
          <w:lang w:eastAsia="zh-CN"/>
        </w:rPr>
        <w:t xml:space="preserve">. </w:t>
      </w:r>
    </w:p>
    <w:p w:rsidR="0062517F" w:rsidRPr="00D5076D"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What constitutes meaningful participation in this area?</w:t>
      </w:r>
    </w:p>
    <w:p w:rsidR="00D5076D" w:rsidRPr="00D5076D" w:rsidRDefault="00D5076D" w:rsidP="00D5076D">
      <w:pPr>
        <w:spacing w:after="0" w:line="276" w:lineRule="auto"/>
        <w:ind w:left="1800"/>
        <w:jc w:val="both"/>
        <w:rPr>
          <w:rFonts w:ascii="Times New Roman" w:eastAsia="Arial" w:hAnsi="Times New Roman" w:cs="Times New Roman"/>
          <w:i/>
          <w:sz w:val="24"/>
          <w:szCs w:val="24"/>
          <w:lang w:eastAsia="zh-CN"/>
        </w:rPr>
      </w:pPr>
      <w:r>
        <w:rPr>
          <w:rFonts w:ascii="Times New Roman" w:eastAsia="Calibri" w:hAnsi="Times New Roman" w:cs="Times New Roman"/>
          <w:i/>
          <w:sz w:val="24"/>
          <w:szCs w:val="24"/>
          <w:lang w:eastAsia="zh-CN"/>
        </w:rPr>
        <w:t xml:space="preserve">This would mean engaging into consultations with the civil society organisations in designing the research methodology, data collection, analysis of the collected data, and compiling the research report, while preserving the confidentiality, and privacy of the research participants. </w:t>
      </w:r>
    </w:p>
    <w:p w:rsidR="00E97FA5" w:rsidRPr="00B80AE0" w:rsidRDefault="0062517F" w:rsidP="003A5D38">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Does the lack of a global classification scheme carry risks that data will not be useful for international comparisons or will not accurately reflect the identities and lived realities of local populations?</w:t>
      </w:r>
    </w:p>
    <w:p w:rsidR="00B80AE0" w:rsidRPr="00B80AE0" w:rsidRDefault="00B80AE0" w:rsidP="00B80AE0">
      <w:pPr>
        <w:pBdr>
          <w:top w:val="nil"/>
          <w:left w:val="nil"/>
          <w:bottom w:val="nil"/>
          <w:right w:val="nil"/>
          <w:between w:val="nil"/>
        </w:pBdr>
        <w:spacing w:after="0" w:line="276" w:lineRule="auto"/>
        <w:ind w:left="1080"/>
        <w:jc w:val="both"/>
        <w:rPr>
          <w:rFonts w:ascii="Times New Roman" w:eastAsia="Arial" w:hAnsi="Times New Roman" w:cs="Times New Roman"/>
          <w:i/>
          <w:sz w:val="24"/>
          <w:szCs w:val="24"/>
          <w:lang w:eastAsia="zh-CN"/>
        </w:rPr>
      </w:pPr>
      <w:r>
        <w:rPr>
          <w:rFonts w:ascii="Times New Roman" w:eastAsia="Helvetica Neue" w:hAnsi="Times New Roman" w:cs="Times New Roman"/>
          <w:i/>
          <w:sz w:val="24"/>
          <w:szCs w:val="24"/>
          <w:lang w:eastAsia="zh-CN"/>
        </w:rPr>
        <w:t xml:space="preserve">Yes, it does, however, there can be a model which will meet the international comparison criteria, and still accurately reflect the identities and the lived realities of local populations. One suggestion for this would be conducting community research studies that focus on the issues such as violence, discrimination, </w:t>
      </w:r>
      <w:r>
        <w:rPr>
          <w:rFonts w:ascii="Times New Roman" w:eastAsia="Helvetica Neue" w:hAnsi="Times New Roman" w:cs="Times New Roman"/>
          <w:i/>
          <w:sz w:val="24"/>
          <w:szCs w:val="24"/>
          <w:lang w:val="en-US" w:eastAsia="zh-CN"/>
        </w:rPr>
        <w:t xml:space="preserve">whilst being </w:t>
      </w:r>
      <w:r>
        <w:rPr>
          <w:rFonts w:ascii="Times New Roman" w:eastAsia="Helvetica Neue" w:hAnsi="Times New Roman" w:cs="Times New Roman"/>
          <w:i/>
          <w:sz w:val="24"/>
          <w:szCs w:val="24"/>
          <w:lang w:eastAsia="zh-CN"/>
        </w:rPr>
        <w:t>LGBTI in the geographic, political, economic and social context where the community members</w:t>
      </w:r>
      <w:bookmarkStart w:id="0" w:name="_GoBack"/>
      <w:bookmarkEnd w:id="0"/>
      <w:r>
        <w:rPr>
          <w:rFonts w:ascii="Times New Roman" w:eastAsia="Helvetica Neue" w:hAnsi="Times New Roman" w:cs="Times New Roman"/>
          <w:i/>
          <w:sz w:val="24"/>
          <w:szCs w:val="24"/>
          <w:lang w:eastAsia="zh-CN"/>
        </w:rPr>
        <w:t xml:space="preserve"> exist.   </w:t>
      </w: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Responses to the questions above can be submitted in English, French or Spanish, and in Word format. Please note that if you wish your submissions to be kept confidential, you are required to make an explicit request in your submission, as otherwise information may be referenced in the report.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I would be particularly grateful to receive the information requested at your earliest convenience, and preferably by </w:t>
      </w:r>
      <w:r w:rsidR="00B61FDC">
        <w:rPr>
          <w:rFonts w:ascii="Times New Roman" w:eastAsia="Arial" w:hAnsi="Times New Roman" w:cs="Times New Roman"/>
          <w:sz w:val="24"/>
          <w:szCs w:val="24"/>
          <w:lang w:eastAsia="zh-CN"/>
        </w:rPr>
        <w:t xml:space="preserve">15 March </w:t>
      </w:r>
      <w:r w:rsidRPr="0062517F">
        <w:rPr>
          <w:rFonts w:ascii="Times New Roman" w:eastAsia="Arial" w:hAnsi="Times New Roman" w:cs="Times New Roman"/>
          <w:sz w:val="24"/>
          <w:szCs w:val="24"/>
          <w:lang w:eastAsia="zh-CN"/>
        </w:rPr>
        <w:t>2019 at the latest. Responses may be addressed to the Independent Expert at the Office of the UN High Commissioner for Human Rights and can be submitted by email (</w:t>
      </w:r>
      <w:hyperlink r:id="rId14" w:history="1">
        <w:r w:rsidRPr="0062517F">
          <w:rPr>
            <w:rFonts w:ascii="Times New Roman" w:eastAsia="Arial" w:hAnsi="Times New Roman" w:cs="Times New Roman"/>
            <w:sz w:val="24"/>
            <w:szCs w:val="24"/>
            <w:u w:val="single"/>
            <w:lang w:eastAsia="zh-CN"/>
          </w:rPr>
          <w:t>ie-sogi@ohchr.org</w:t>
        </w:r>
      </w:hyperlink>
      <w:r w:rsidRPr="0062517F">
        <w:rPr>
          <w:rFonts w:ascii="Times New Roman" w:eastAsia="Arial" w:hAnsi="Times New Roman" w:cs="Times New Roman"/>
          <w:sz w:val="24"/>
          <w:szCs w:val="24"/>
          <w:lang w:eastAsia="zh-CN"/>
        </w:rPr>
        <w:t>).</w:t>
      </w: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For any further question or clarification, please do not hesitate to contact me through the Office of the United Nations High Commissioner for Human Rights (Ms. Catherine de </w:t>
      </w:r>
      <w:proofErr w:type="spellStart"/>
      <w:r w:rsidRPr="0062517F">
        <w:rPr>
          <w:rFonts w:ascii="Times New Roman" w:eastAsia="Arial" w:hAnsi="Times New Roman" w:cs="Times New Roman"/>
          <w:sz w:val="24"/>
          <w:szCs w:val="24"/>
          <w:lang w:eastAsia="zh-CN"/>
        </w:rPr>
        <w:t>Preux</w:t>
      </w:r>
      <w:proofErr w:type="spellEnd"/>
      <w:r w:rsidRPr="0062517F">
        <w:rPr>
          <w:rFonts w:ascii="Times New Roman" w:eastAsia="Arial" w:hAnsi="Times New Roman" w:cs="Times New Roman"/>
          <w:sz w:val="24"/>
          <w:szCs w:val="24"/>
          <w:lang w:eastAsia="zh-CN"/>
        </w:rPr>
        <w:t xml:space="preserve"> De </w:t>
      </w:r>
      <w:proofErr w:type="spellStart"/>
      <w:r w:rsidRPr="0062517F">
        <w:rPr>
          <w:rFonts w:ascii="Times New Roman" w:eastAsia="Arial" w:hAnsi="Times New Roman" w:cs="Times New Roman"/>
          <w:sz w:val="24"/>
          <w:szCs w:val="24"/>
          <w:lang w:eastAsia="zh-CN"/>
        </w:rPr>
        <w:t>Baets</w:t>
      </w:r>
      <w:proofErr w:type="spellEnd"/>
      <w:r w:rsidRPr="0062517F">
        <w:rPr>
          <w:rFonts w:ascii="Times New Roman" w:eastAsia="Arial" w:hAnsi="Times New Roman" w:cs="Times New Roman"/>
          <w:sz w:val="24"/>
          <w:szCs w:val="24"/>
          <w:lang w:eastAsia="zh-CN"/>
        </w:rPr>
        <w:t xml:space="preserve">, telephone: 022 917 93 27, email: </w:t>
      </w:r>
      <w:hyperlink r:id="rId15" w:history="1">
        <w:r w:rsidRPr="0062517F">
          <w:rPr>
            <w:rFonts w:ascii="Times New Roman" w:eastAsia="Arial" w:hAnsi="Times New Roman" w:cs="Times New Roman"/>
            <w:sz w:val="24"/>
            <w:szCs w:val="24"/>
            <w:u w:val="single"/>
            <w:lang w:eastAsia="zh-CN"/>
          </w:rPr>
          <w:t>cdepreuxdebaets@ohchr.org</w:t>
        </w:r>
      </w:hyperlink>
      <w:r w:rsidRPr="0062517F">
        <w:rPr>
          <w:rFonts w:ascii="Times New Roman" w:eastAsia="Arial" w:hAnsi="Times New Roman" w:cs="Times New Roman"/>
          <w:sz w:val="24"/>
          <w:szCs w:val="24"/>
          <w:lang w:eastAsia="zh-CN"/>
        </w:rPr>
        <w:t xml:space="preserve"> or Ms. Alice </w:t>
      </w:r>
      <w:proofErr w:type="spellStart"/>
      <w:r w:rsidRPr="0062517F">
        <w:rPr>
          <w:rFonts w:ascii="Times New Roman" w:eastAsia="Arial" w:hAnsi="Times New Roman" w:cs="Times New Roman"/>
          <w:sz w:val="24"/>
          <w:szCs w:val="24"/>
          <w:lang w:eastAsia="zh-CN"/>
        </w:rPr>
        <w:t>Ochsenbein</w:t>
      </w:r>
      <w:proofErr w:type="spellEnd"/>
      <w:r w:rsidRPr="0062517F">
        <w:rPr>
          <w:rFonts w:ascii="Times New Roman" w:eastAsia="Arial" w:hAnsi="Times New Roman" w:cs="Times New Roman"/>
          <w:sz w:val="24"/>
          <w:szCs w:val="24"/>
          <w:lang w:eastAsia="zh-CN"/>
        </w:rPr>
        <w:t xml:space="preserve">, telephone: 022 917 32 98, </w:t>
      </w:r>
      <w:hyperlink r:id="rId16" w:history="1">
        <w:r w:rsidRPr="0062517F">
          <w:rPr>
            <w:rFonts w:ascii="Times New Roman" w:eastAsia="Arial" w:hAnsi="Times New Roman" w:cs="Times New Roman"/>
            <w:sz w:val="24"/>
            <w:szCs w:val="24"/>
            <w:u w:val="single"/>
            <w:lang w:eastAsia="zh-CN"/>
          </w:rPr>
          <w:t>aochsenbein@ohchr.org</w:t>
        </w:r>
      </w:hyperlink>
      <w:r w:rsidRPr="0062517F">
        <w:rPr>
          <w:rFonts w:ascii="Times New Roman" w:eastAsia="Arial" w:hAnsi="Times New Roman" w:cs="Times New Roman"/>
          <w:sz w:val="24"/>
          <w:szCs w:val="24"/>
          <w:lang w:eastAsia="zh-CN"/>
        </w:rPr>
        <w:t xml:space="preserve">). </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62517F">
      <w:pPr>
        <w:spacing w:after="0" w:line="240" w:lineRule="auto"/>
        <w:ind w:left="2880" w:firstLine="720"/>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Warm regards,</w:t>
      </w:r>
    </w:p>
    <w:p w:rsidR="0062517F" w:rsidRPr="0062517F" w:rsidRDefault="0062517F" w:rsidP="0062517F">
      <w:pPr>
        <w:spacing w:after="0" w:line="240" w:lineRule="auto"/>
        <w:jc w:val="both"/>
        <w:rPr>
          <w:rFonts w:ascii="Times New Roman" w:eastAsia="Arial" w:hAnsi="Times New Roman" w:cs="Times New Roman"/>
          <w:color w:val="000000"/>
          <w:lang w:eastAsia="zh-CN"/>
        </w:rPr>
      </w:pPr>
    </w:p>
    <w:p w:rsidR="0062517F" w:rsidRPr="0062517F" w:rsidRDefault="0062517F" w:rsidP="0062517F">
      <w:pPr>
        <w:spacing w:after="0" w:line="240" w:lineRule="auto"/>
        <w:jc w:val="center"/>
        <w:rPr>
          <w:rFonts w:ascii="Times New Roman" w:eastAsia="Arial" w:hAnsi="Times New Roman" w:cs="Times New Roman"/>
          <w:color w:val="000000"/>
          <w:lang w:eastAsia="zh-CN"/>
        </w:rPr>
      </w:pPr>
      <w:r w:rsidRPr="0062517F">
        <w:rPr>
          <w:rFonts w:ascii="Times New Roman" w:eastAsia="Arial" w:hAnsi="Times New Roman" w:cs="Times New Roman"/>
          <w:noProof/>
          <w:color w:val="000000"/>
          <w:lang w:val="bg-BG" w:eastAsia="bg-BG"/>
        </w:rPr>
        <w:lastRenderedPageBreak/>
        <w:drawing>
          <wp:inline distT="0" distB="0" distL="0" distR="0" wp14:anchorId="3356D1A4" wp14:editId="24B545D0">
            <wp:extent cx="2158365" cy="902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8365" cy="902335"/>
                    </a:xfrm>
                    <a:prstGeom prst="rect">
                      <a:avLst/>
                    </a:prstGeom>
                    <a:noFill/>
                  </pic:spPr>
                </pic:pic>
              </a:graphicData>
            </a:graphic>
          </wp:inline>
        </w:drawing>
      </w:r>
    </w:p>
    <w:p w:rsidR="0062517F" w:rsidRPr="0062517F" w:rsidRDefault="0062517F" w:rsidP="0062517F">
      <w:pPr>
        <w:spacing w:after="0" w:line="240" w:lineRule="auto"/>
        <w:jc w:val="both"/>
        <w:rPr>
          <w:rFonts w:ascii="Times New Roman" w:eastAsia="Arial" w:hAnsi="Times New Roman" w:cs="Times New Roman"/>
          <w:color w:val="000000"/>
          <w:lang w:eastAsia="zh-CN"/>
        </w:rPr>
      </w:pPr>
    </w:p>
    <w:p w:rsidR="0062517F" w:rsidRPr="0062517F" w:rsidRDefault="0062517F" w:rsidP="0062517F">
      <w:pPr>
        <w:spacing w:after="0" w:line="240" w:lineRule="auto"/>
        <w:jc w:val="center"/>
        <w:rPr>
          <w:rFonts w:ascii="Times New Roman" w:eastAsia="Times New Roman" w:hAnsi="Times New Roman" w:cs="Times New Roman"/>
          <w:sz w:val="24"/>
          <w:szCs w:val="24"/>
          <w:lang w:eastAsia="en-GB"/>
        </w:rPr>
      </w:pPr>
      <w:r w:rsidRPr="0062517F">
        <w:rPr>
          <w:rFonts w:ascii="Times New Roman" w:eastAsia="Times New Roman" w:hAnsi="Times New Roman" w:cs="Times New Roman"/>
          <w:sz w:val="24"/>
          <w:szCs w:val="24"/>
          <w:lang w:eastAsia="en-GB"/>
        </w:rPr>
        <w:t xml:space="preserve">Victor </w:t>
      </w:r>
      <w:proofErr w:type="spellStart"/>
      <w:r w:rsidRPr="0062517F">
        <w:rPr>
          <w:rFonts w:ascii="Times New Roman" w:eastAsia="Times New Roman" w:hAnsi="Times New Roman" w:cs="Times New Roman"/>
          <w:sz w:val="24"/>
          <w:szCs w:val="24"/>
          <w:lang w:eastAsia="en-GB"/>
        </w:rPr>
        <w:t>Borloz</w:t>
      </w:r>
      <w:proofErr w:type="spellEnd"/>
      <w:r w:rsidRPr="0062517F">
        <w:rPr>
          <w:rFonts w:ascii="Times New Roman" w:eastAsia="Times New Roman" w:hAnsi="Times New Roman" w:cs="Times New Roman"/>
          <w:sz w:val="24"/>
          <w:szCs w:val="24"/>
          <w:lang w:eastAsia="en-GB"/>
        </w:rPr>
        <w:t>-Madrigal</w:t>
      </w:r>
    </w:p>
    <w:p w:rsidR="0062517F" w:rsidRPr="0062517F" w:rsidRDefault="0062517F" w:rsidP="0062517F">
      <w:pPr>
        <w:autoSpaceDE w:val="0"/>
        <w:autoSpaceDN w:val="0"/>
        <w:adjustRightInd w:val="0"/>
        <w:spacing w:after="0" w:line="240" w:lineRule="auto"/>
        <w:jc w:val="center"/>
        <w:rPr>
          <w:rFonts w:ascii="Times New Roman" w:eastAsia="Arial" w:hAnsi="Times New Roman" w:cs="Times New Roman"/>
          <w:color w:val="000000"/>
          <w:sz w:val="24"/>
          <w:szCs w:val="24"/>
          <w:lang w:eastAsia="zh-CN"/>
        </w:rPr>
      </w:pPr>
      <w:r w:rsidRPr="0062517F">
        <w:rPr>
          <w:rFonts w:ascii="Times New Roman" w:eastAsia="Arial" w:hAnsi="Times New Roman" w:cs="Times New Roman"/>
          <w:color w:val="000000"/>
          <w:sz w:val="24"/>
          <w:szCs w:val="24"/>
          <w:lang w:eastAsia="zh-CN"/>
        </w:rPr>
        <w:t>Independent Expert on protection against violence and discrimination based on sexual orientation and gender identity</w:t>
      </w:r>
    </w:p>
    <w:p w:rsidR="0062517F" w:rsidRPr="0062517F" w:rsidRDefault="0062517F" w:rsidP="0062517F">
      <w:pPr>
        <w:spacing w:after="0" w:line="240" w:lineRule="auto"/>
        <w:rPr>
          <w:rFonts w:ascii="Times New Roman" w:eastAsia="Times New Roman" w:hAnsi="Times New Roman" w:cs="Times New Roman"/>
          <w:sz w:val="20"/>
          <w:szCs w:val="20"/>
        </w:rPr>
      </w:pPr>
    </w:p>
    <w:p w:rsidR="00655F9E" w:rsidRDefault="000C49AB"/>
    <w:sectPr w:rsidR="00655F9E" w:rsidSect="00C772EF">
      <w:headerReference w:type="default" r:id="rId18"/>
      <w:headerReference w:type="first" r:id="rId19"/>
      <w:footerReference w:type="first" r:id="rId20"/>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9AB" w:rsidRDefault="000C49AB" w:rsidP="0062517F">
      <w:pPr>
        <w:spacing w:after="0" w:line="240" w:lineRule="auto"/>
      </w:pPr>
      <w:r>
        <w:separator/>
      </w:r>
    </w:p>
  </w:endnote>
  <w:endnote w:type="continuationSeparator" w:id="0">
    <w:p w:rsidR="000C49AB" w:rsidRDefault="000C49AB" w:rsidP="0062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07B" w:rsidRDefault="000C49AB" w:rsidP="00B73FD1">
    <w:pPr>
      <w:pStyle w:val="Footer"/>
    </w:pPr>
  </w:p>
  <w:p w:rsidR="00A54DED" w:rsidRDefault="000C49AB" w:rsidP="00B73FD1">
    <w:pPr>
      <w:pStyle w:val="Footer"/>
    </w:pPr>
  </w:p>
  <w:p w:rsidR="00D4007B" w:rsidRPr="002873B2" w:rsidRDefault="000C49AB" w:rsidP="00B73F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9AB" w:rsidRDefault="000C49AB" w:rsidP="0062517F">
      <w:pPr>
        <w:spacing w:after="0" w:line="240" w:lineRule="auto"/>
      </w:pPr>
      <w:r>
        <w:separator/>
      </w:r>
    </w:p>
  </w:footnote>
  <w:footnote w:type="continuationSeparator" w:id="0">
    <w:p w:rsidR="000C49AB" w:rsidRDefault="000C49AB" w:rsidP="0062517F">
      <w:pPr>
        <w:spacing w:after="0" w:line="240" w:lineRule="auto"/>
      </w:pPr>
      <w:r>
        <w:continuationSeparator/>
      </w:r>
    </w:p>
  </w:footnote>
  <w:footnote w:id="1">
    <w:p w:rsidR="0062517F" w:rsidRPr="006A7577" w:rsidRDefault="0062517F" w:rsidP="0062517F">
      <w:pPr>
        <w:pStyle w:val="FootnoteText"/>
        <w:rPr>
          <w:sz w:val="18"/>
          <w:szCs w:val="18"/>
        </w:rPr>
      </w:pPr>
      <w:r w:rsidRPr="006A7577">
        <w:rPr>
          <w:rStyle w:val="FootnoteReference"/>
          <w:sz w:val="18"/>
          <w:szCs w:val="18"/>
        </w:rPr>
        <w:footnoteRef/>
      </w:r>
      <w:r w:rsidRPr="006A7577">
        <w:rPr>
          <w:sz w:val="18"/>
          <w:szCs w:val="18"/>
        </w:rPr>
        <w:t xml:space="preserve"> Report of the IE SOGI to the Human Rights Council (</w:t>
      </w:r>
      <w:hyperlink r:id="rId1" w:history="1">
        <w:r w:rsidRPr="006A7577">
          <w:rPr>
            <w:rStyle w:val="Hyperlink1"/>
            <w:sz w:val="18"/>
            <w:szCs w:val="18"/>
          </w:rPr>
          <w:t>A/HRC/38/43</w:t>
        </w:r>
      </w:hyperlink>
      <w:r w:rsidRPr="006A7577">
        <w:rPr>
          <w:sz w:val="18"/>
          <w:szCs w:val="18"/>
        </w:rPr>
        <w: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07B" w:rsidRPr="00AD4CA9" w:rsidRDefault="0062517F" w:rsidP="00F80A14">
    <w:pPr>
      <w:pStyle w:val="Header"/>
      <w:tabs>
        <w:tab w:val="right" w:pos="9214"/>
      </w:tabs>
      <w:spacing w:before="360" w:after="840"/>
      <w:rPr>
        <w:sz w:val="14"/>
        <w:szCs w:val="14"/>
      </w:rPr>
    </w:pPr>
    <w:r>
      <w:rPr>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07B" w:rsidRPr="00925A9D" w:rsidRDefault="0062517F" w:rsidP="00E97A8F">
    <w:pPr>
      <w:pStyle w:val="Header"/>
      <w:jc w:val="center"/>
      <w:rPr>
        <w:sz w:val="14"/>
        <w:szCs w:val="14"/>
      </w:rPr>
    </w:pPr>
    <w:r>
      <w:rPr>
        <w:noProof/>
        <w:sz w:val="14"/>
        <w:szCs w:val="14"/>
        <w:lang w:val="bg-BG" w:eastAsia="bg-BG"/>
      </w:rPr>
      <w:drawing>
        <wp:inline distT="0" distB="0" distL="0" distR="0" wp14:anchorId="16114BDC" wp14:editId="309800CD">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D4007B" w:rsidRPr="002745FF" w:rsidRDefault="0062517F" w:rsidP="0003674D">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rsidR="00D4007B" w:rsidRPr="002745FF" w:rsidRDefault="0062517F" w:rsidP="0003674D">
    <w:pPr>
      <w:pStyle w:val="Header"/>
      <w:tabs>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rsidR="00D4007B" w:rsidRPr="00B73FD1" w:rsidRDefault="000C49AB" w:rsidP="0003674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17F"/>
    <w:rsid w:val="000A7453"/>
    <w:rsid w:val="000B3078"/>
    <w:rsid w:val="000C49AB"/>
    <w:rsid w:val="00157786"/>
    <w:rsid w:val="00184F5D"/>
    <w:rsid w:val="002F6E70"/>
    <w:rsid w:val="003A5D38"/>
    <w:rsid w:val="0062517F"/>
    <w:rsid w:val="00645067"/>
    <w:rsid w:val="00705512"/>
    <w:rsid w:val="00802CE0"/>
    <w:rsid w:val="00960229"/>
    <w:rsid w:val="009877F0"/>
    <w:rsid w:val="00A5616D"/>
    <w:rsid w:val="00B61FDC"/>
    <w:rsid w:val="00B80AE0"/>
    <w:rsid w:val="00C74088"/>
    <w:rsid w:val="00CE2C57"/>
    <w:rsid w:val="00D5076D"/>
    <w:rsid w:val="00E63D58"/>
    <w:rsid w:val="00E97FA5"/>
    <w:rsid w:val="00FD5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AA19"/>
  <w15:docId w15:val="{01231254-36A7-44FA-920E-E4BCBDD5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51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517F"/>
  </w:style>
  <w:style w:type="paragraph" w:styleId="Footer">
    <w:name w:val="footer"/>
    <w:basedOn w:val="Normal"/>
    <w:link w:val="FooterChar"/>
    <w:uiPriority w:val="99"/>
    <w:semiHidden/>
    <w:unhideWhenUsed/>
    <w:rsid w:val="006251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517F"/>
  </w:style>
  <w:style w:type="paragraph" w:styleId="FootnoteText">
    <w:name w:val="footnote text"/>
    <w:basedOn w:val="Normal"/>
    <w:link w:val="FootnoteTextChar"/>
    <w:uiPriority w:val="99"/>
    <w:semiHidden/>
    <w:unhideWhenUsed/>
    <w:rsid w:val="006251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17F"/>
    <w:rPr>
      <w:sz w:val="20"/>
      <w:szCs w:val="20"/>
    </w:rPr>
  </w:style>
  <w:style w:type="character" w:customStyle="1" w:styleId="Hyperlink1">
    <w:name w:val="Hyperlink1"/>
    <w:basedOn w:val="DefaultParagraphFont"/>
    <w:uiPriority w:val="99"/>
    <w:unhideWhenUsed/>
    <w:rsid w:val="0062517F"/>
    <w:rPr>
      <w:color w:val="0563C1"/>
      <w:u w:val="single"/>
    </w:rPr>
  </w:style>
  <w:style w:type="character" w:styleId="FootnoteReference">
    <w:name w:val="footnote reference"/>
    <w:basedOn w:val="DefaultParagraphFont"/>
    <w:uiPriority w:val="99"/>
    <w:semiHidden/>
    <w:unhideWhenUsed/>
    <w:rsid w:val="0062517F"/>
    <w:rPr>
      <w:vertAlign w:val="superscript"/>
    </w:rPr>
  </w:style>
  <w:style w:type="character" w:styleId="Hyperlink">
    <w:name w:val="Hyperlink"/>
    <w:basedOn w:val="DefaultParagraphFont"/>
    <w:uiPriority w:val="99"/>
    <w:unhideWhenUsed/>
    <w:rsid w:val="0062517F"/>
    <w:rPr>
      <w:color w:val="0563C1" w:themeColor="hyperlink"/>
      <w:u w:val="single"/>
    </w:rPr>
  </w:style>
  <w:style w:type="paragraph" w:styleId="BalloonText">
    <w:name w:val="Balloon Text"/>
    <w:basedOn w:val="Normal"/>
    <w:link w:val="BalloonTextChar"/>
    <w:uiPriority w:val="99"/>
    <w:semiHidden/>
    <w:unhideWhenUsed/>
    <w:rsid w:val="00E63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D58"/>
    <w:rPr>
      <w:rFonts w:ascii="Tahoma" w:hAnsi="Tahoma" w:cs="Tahoma"/>
      <w:sz w:val="16"/>
      <w:szCs w:val="16"/>
    </w:rPr>
  </w:style>
  <w:style w:type="character" w:styleId="CommentReference">
    <w:name w:val="annotation reference"/>
    <w:basedOn w:val="DefaultParagraphFont"/>
    <w:uiPriority w:val="99"/>
    <w:semiHidden/>
    <w:unhideWhenUsed/>
    <w:rsid w:val="00CE2C57"/>
    <w:rPr>
      <w:sz w:val="16"/>
      <w:szCs w:val="16"/>
    </w:rPr>
  </w:style>
  <w:style w:type="paragraph" w:styleId="CommentText">
    <w:name w:val="annotation text"/>
    <w:basedOn w:val="Normal"/>
    <w:link w:val="CommentTextChar"/>
    <w:uiPriority w:val="99"/>
    <w:semiHidden/>
    <w:unhideWhenUsed/>
    <w:rsid w:val="00CE2C57"/>
    <w:pPr>
      <w:spacing w:line="240" w:lineRule="auto"/>
    </w:pPr>
    <w:rPr>
      <w:sz w:val="20"/>
      <w:szCs w:val="20"/>
    </w:rPr>
  </w:style>
  <w:style w:type="character" w:customStyle="1" w:styleId="CommentTextChar">
    <w:name w:val="Comment Text Char"/>
    <w:basedOn w:val="DefaultParagraphFont"/>
    <w:link w:val="CommentText"/>
    <w:uiPriority w:val="99"/>
    <w:semiHidden/>
    <w:rsid w:val="00CE2C57"/>
    <w:rPr>
      <w:sz w:val="20"/>
      <w:szCs w:val="20"/>
    </w:rPr>
  </w:style>
  <w:style w:type="paragraph" w:styleId="CommentSubject">
    <w:name w:val="annotation subject"/>
    <w:basedOn w:val="CommentText"/>
    <w:next w:val="CommentText"/>
    <w:link w:val="CommentSubjectChar"/>
    <w:uiPriority w:val="99"/>
    <w:semiHidden/>
    <w:unhideWhenUsed/>
    <w:rsid w:val="00CE2C57"/>
    <w:rPr>
      <w:b/>
      <w:bCs/>
    </w:rPr>
  </w:style>
  <w:style w:type="character" w:customStyle="1" w:styleId="CommentSubjectChar">
    <w:name w:val="Comment Subject Char"/>
    <w:basedOn w:val="CommentTextChar"/>
    <w:link w:val="CommentSubject"/>
    <w:uiPriority w:val="99"/>
    <w:semiHidden/>
    <w:rsid w:val="00CE2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ivlawcommission.org/suppl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hchr.org/Documents/Issues/HRIndicators/GuidanceNoteonApproachtoData.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aochsenbein@ohch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uments.worldbank.org/curated/en/608921536847788293/A-Set-of-Proposed-Indicators-for-the-LGBTI-Inclusion-Index" TargetMode="External"/><Relationship Id="rId5" Type="http://schemas.openxmlformats.org/officeDocument/2006/relationships/styles" Target="styles.xml"/><Relationship Id="rId15" Type="http://schemas.openxmlformats.org/officeDocument/2006/relationships/hyperlink" Target="mailto:cdepreuxdebaets@ohchr.org" TargetMode="External"/><Relationship Id="rId10" Type="http://schemas.openxmlformats.org/officeDocument/2006/relationships/hyperlink" Target="https://www.ohchr.org/en/NewsEvents/Pages/DisplayNews.aspx?NewsID=23092&amp;LangID=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e-sogi@ohchr.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G18/132/12/PDF/G1813212.pdf?OpenEl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F741E1-90DC-42FC-9AFA-26D4DF49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E266F-CA78-4093-8DBD-E469A008F987}">
  <ds:schemaRefs>
    <ds:schemaRef ds:uri="http://schemas.microsoft.com/sharepoint/v3/contenttype/forms"/>
  </ds:schemaRefs>
</ds:datastoreItem>
</file>

<file path=customXml/itemProps3.xml><?xml version="1.0" encoding="utf-8"?>
<ds:datastoreItem xmlns:ds="http://schemas.openxmlformats.org/officeDocument/2006/customXml" ds:itemID="{AA22DF9A-0CE8-4269-9F59-29B6C9835F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Call Data Collection_EN</vt:lpstr>
    </vt:vector>
  </TitlesOfParts>
  <Company>OHCHR</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Data Collection_EN</dc:title>
  <dc:creator>OCHSENBEIN Alice</dc:creator>
  <cp:lastModifiedBy>Antonio Mihajlov</cp:lastModifiedBy>
  <cp:revision>5</cp:revision>
  <dcterms:created xsi:type="dcterms:W3CDTF">2019-03-11T14:27:00Z</dcterms:created>
  <dcterms:modified xsi:type="dcterms:W3CDTF">2019-03-18T10:07:00Z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