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DBF" w:rsidRDefault="00371DBF" w:rsidP="0098545C">
      <w:pPr>
        <w:spacing w:line="240" w:lineRule="auto"/>
        <w:jc w:val="center"/>
        <w:rPr>
          <w:rFonts w:ascii="Times New Roman" w:hAnsi="Times New Roman" w:cs="Times New Roman"/>
          <w:b/>
          <w:color w:val="000000"/>
          <w:sz w:val="28"/>
          <w:szCs w:val="28"/>
          <w:u w:val="single"/>
          <w:lang w:val="en-US" w:eastAsia="zh-CN"/>
        </w:rPr>
      </w:pPr>
      <w:bookmarkStart w:id="0" w:name="_GoBack"/>
      <w:bookmarkEnd w:id="0"/>
    </w:p>
    <w:p w:rsidR="0098545C" w:rsidRPr="00133F68" w:rsidRDefault="0098545C" w:rsidP="0098545C">
      <w:pPr>
        <w:spacing w:line="240" w:lineRule="auto"/>
        <w:jc w:val="center"/>
        <w:rPr>
          <w:b/>
          <w:sz w:val="28"/>
          <w:szCs w:val="28"/>
          <w:u w:val="single"/>
          <w:lang w:val="en-US"/>
        </w:rPr>
      </w:pPr>
      <w:r w:rsidRPr="00133F68">
        <w:rPr>
          <w:b/>
          <w:color w:val="000000"/>
          <w:sz w:val="28"/>
          <w:szCs w:val="28"/>
          <w:u w:val="single"/>
          <w:lang w:val="en-US" w:eastAsia="zh-CN"/>
        </w:rPr>
        <w:t xml:space="preserve">Inputs for the Report </w:t>
      </w:r>
      <w:r w:rsidR="00C107D9" w:rsidRPr="00133F68">
        <w:rPr>
          <w:b/>
          <w:color w:val="000000"/>
          <w:sz w:val="28"/>
          <w:szCs w:val="28"/>
          <w:u w:val="single"/>
          <w:lang w:val="en-US" w:eastAsia="zh-CN"/>
        </w:rPr>
        <w:t xml:space="preserve">on Data Collection </w:t>
      </w:r>
      <w:r w:rsidRPr="00133F68">
        <w:rPr>
          <w:b/>
          <w:color w:val="000000"/>
          <w:sz w:val="28"/>
          <w:szCs w:val="28"/>
          <w:u w:val="single"/>
          <w:lang w:val="en-US" w:eastAsia="zh-CN"/>
        </w:rPr>
        <w:t xml:space="preserve">of the Independent Expert on Protection Against Violence and Discrimination Based on Sexual Orientation and Gender Identity </w:t>
      </w:r>
    </w:p>
    <w:p w:rsidR="0098545C" w:rsidRPr="00133F68" w:rsidRDefault="0098545C" w:rsidP="0098545C">
      <w:pPr>
        <w:spacing w:line="240" w:lineRule="auto"/>
        <w:rPr>
          <w:b/>
          <w:sz w:val="28"/>
          <w:szCs w:val="28"/>
          <w:lang w:val="en-US"/>
        </w:rPr>
      </w:pPr>
    </w:p>
    <w:p w:rsidR="0098545C" w:rsidRPr="00133F68" w:rsidRDefault="0098545C" w:rsidP="0098545C">
      <w:pPr>
        <w:spacing w:line="240" w:lineRule="auto"/>
        <w:jc w:val="right"/>
        <w:rPr>
          <w:b/>
          <w:lang w:val="en-US"/>
        </w:rPr>
      </w:pPr>
    </w:p>
    <w:p w:rsidR="0098545C" w:rsidRPr="00133F68" w:rsidRDefault="0098545C" w:rsidP="0098545C">
      <w:pPr>
        <w:spacing w:line="240" w:lineRule="auto"/>
        <w:jc w:val="right"/>
        <w:rPr>
          <w:b/>
        </w:rPr>
      </w:pPr>
      <w:r w:rsidRPr="00133F68">
        <w:rPr>
          <w:b/>
        </w:rPr>
        <w:t xml:space="preserve">Rafael Carrano Lelis </w:t>
      </w:r>
    </w:p>
    <w:p w:rsidR="0098545C" w:rsidRPr="00133F68" w:rsidRDefault="0098545C" w:rsidP="0098545C">
      <w:pPr>
        <w:spacing w:line="240" w:lineRule="auto"/>
        <w:jc w:val="right"/>
        <w:rPr>
          <w:i/>
        </w:rPr>
      </w:pPr>
      <w:r w:rsidRPr="00133F68">
        <w:rPr>
          <w:i/>
        </w:rPr>
        <w:t xml:space="preserve">Manager of TODXS Núcleo </w:t>
      </w:r>
    </w:p>
    <w:p w:rsidR="0098545C" w:rsidRPr="00133F68" w:rsidRDefault="0098545C" w:rsidP="0098545C">
      <w:pPr>
        <w:spacing w:line="360" w:lineRule="auto"/>
        <w:jc w:val="right"/>
      </w:pPr>
    </w:p>
    <w:p w:rsidR="0098545C" w:rsidRPr="00133F68" w:rsidRDefault="0098545C" w:rsidP="0098545C">
      <w:pPr>
        <w:spacing w:line="240" w:lineRule="auto"/>
        <w:jc w:val="right"/>
        <w:rPr>
          <w:b/>
        </w:rPr>
      </w:pPr>
      <w:r w:rsidRPr="00133F68">
        <w:rPr>
          <w:b/>
        </w:rPr>
        <w:t>Pedro Alves Bernardes</w:t>
      </w:r>
    </w:p>
    <w:p w:rsidR="0098545C" w:rsidRPr="0098545C" w:rsidRDefault="0098545C" w:rsidP="0098545C">
      <w:pPr>
        <w:spacing w:line="240" w:lineRule="auto"/>
        <w:jc w:val="right"/>
        <w:rPr>
          <w:rFonts w:asciiTheme="majorHAnsi" w:hAnsiTheme="majorHAnsi"/>
          <w:i/>
        </w:rPr>
      </w:pPr>
      <w:r w:rsidRPr="00133F68">
        <w:rPr>
          <w:i/>
        </w:rPr>
        <w:t>Researcher at TODXS Núcleo</w:t>
      </w:r>
      <w:r w:rsidRPr="0098545C">
        <w:rPr>
          <w:rFonts w:asciiTheme="majorHAnsi" w:hAnsiTheme="majorHAnsi"/>
          <w:i/>
        </w:rPr>
        <w:t xml:space="preserve"> </w:t>
      </w:r>
    </w:p>
    <w:p w:rsidR="00955CDF" w:rsidRDefault="00955CDF" w:rsidP="00955CDF">
      <w:pPr>
        <w:pBdr>
          <w:top w:val="nil"/>
          <w:left w:val="nil"/>
          <w:bottom w:val="nil"/>
          <w:right w:val="nil"/>
          <w:between w:val="nil"/>
        </w:pBdr>
        <w:spacing w:line="360" w:lineRule="auto"/>
        <w:jc w:val="both"/>
        <w:rPr>
          <w:rFonts w:eastAsia="Helvetica Neue"/>
          <w:b/>
          <w:sz w:val="24"/>
          <w:szCs w:val="24"/>
          <w:lang w:eastAsia="zh-CN"/>
        </w:rPr>
      </w:pPr>
    </w:p>
    <w:p w:rsidR="0098545C" w:rsidRDefault="0098545C" w:rsidP="00955CDF">
      <w:pPr>
        <w:pBdr>
          <w:top w:val="nil"/>
          <w:left w:val="nil"/>
          <w:bottom w:val="nil"/>
          <w:right w:val="nil"/>
          <w:between w:val="nil"/>
        </w:pBdr>
        <w:spacing w:line="360" w:lineRule="auto"/>
        <w:jc w:val="both"/>
        <w:rPr>
          <w:rFonts w:eastAsia="Helvetica Neue"/>
          <w:b/>
          <w:sz w:val="24"/>
          <w:szCs w:val="24"/>
          <w:lang w:eastAsia="zh-CN"/>
        </w:rPr>
      </w:pPr>
    </w:p>
    <w:p w:rsidR="00A404CE" w:rsidRDefault="00A81716" w:rsidP="00955CDF">
      <w:pPr>
        <w:pBdr>
          <w:top w:val="nil"/>
          <w:left w:val="nil"/>
          <w:bottom w:val="nil"/>
          <w:right w:val="nil"/>
          <w:between w:val="nil"/>
        </w:pBdr>
        <w:spacing w:line="360" w:lineRule="auto"/>
        <w:jc w:val="both"/>
        <w:rPr>
          <w:rFonts w:eastAsia="Helvetica Neue"/>
          <w:sz w:val="24"/>
          <w:szCs w:val="24"/>
          <w:lang w:val="en-US" w:eastAsia="zh-CN"/>
        </w:rPr>
      </w:pPr>
      <w:r w:rsidRPr="00A81716">
        <w:rPr>
          <w:rFonts w:eastAsia="Helvetica Neue"/>
          <w:b/>
          <w:sz w:val="24"/>
          <w:szCs w:val="24"/>
          <w:lang w:val="en-US" w:eastAsia="zh-CN"/>
        </w:rPr>
        <w:t xml:space="preserve">About our organization: </w:t>
      </w:r>
      <w:r w:rsidRPr="00A81716">
        <w:rPr>
          <w:rFonts w:eastAsia="Helvetica Neue"/>
          <w:sz w:val="24"/>
          <w:szCs w:val="24"/>
          <w:lang w:val="en-US" w:eastAsia="zh-CN"/>
        </w:rPr>
        <w:t>TODXS N</w:t>
      </w:r>
      <w:r w:rsidR="00491F49">
        <w:rPr>
          <w:rFonts w:eastAsia="Helvetica Neue"/>
          <w:sz w:val="24"/>
          <w:szCs w:val="24"/>
          <w:lang w:val="en-US" w:eastAsia="zh-CN"/>
        </w:rPr>
        <w:t>úcleo is a research</w:t>
      </w:r>
      <w:r w:rsidRPr="00A81716">
        <w:rPr>
          <w:rFonts w:eastAsia="Helvetica Neue"/>
          <w:sz w:val="24"/>
          <w:szCs w:val="24"/>
          <w:lang w:val="en-US" w:eastAsia="zh-CN"/>
        </w:rPr>
        <w:t xml:space="preserve"> </w:t>
      </w:r>
      <w:r>
        <w:rPr>
          <w:rFonts w:eastAsia="Helvetica Neue"/>
          <w:sz w:val="24"/>
          <w:szCs w:val="24"/>
          <w:lang w:val="en-US" w:eastAsia="zh-CN"/>
        </w:rPr>
        <w:t xml:space="preserve">center focused on LGBTI+ </w:t>
      </w:r>
      <w:r w:rsidR="00A404CE">
        <w:rPr>
          <w:rFonts w:eastAsia="Helvetica Neue"/>
          <w:sz w:val="24"/>
          <w:szCs w:val="24"/>
          <w:lang w:val="en-US" w:eastAsia="zh-CN"/>
        </w:rPr>
        <w:t>Public Policy that</w:t>
      </w:r>
      <w:r w:rsidR="0018736A">
        <w:rPr>
          <w:rFonts w:eastAsia="Helvetica Neue"/>
          <w:sz w:val="24"/>
          <w:szCs w:val="24"/>
          <w:lang w:val="en-US" w:eastAsia="zh-CN"/>
        </w:rPr>
        <w:t xml:space="preserve"> works</w:t>
      </w:r>
      <w:r w:rsidR="00A404CE">
        <w:rPr>
          <w:rFonts w:eastAsia="Helvetica Neue"/>
          <w:sz w:val="24"/>
          <w:szCs w:val="24"/>
          <w:lang w:val="en-US" w:eastAsia="zh-CN"/>
        </w:rPr>
        <w:t xml:space="preserve"> within the NGO “TODXS”. Our current investigations are directed to understanding the violence against LGBTI+ persons in Brazil, as well as analyzing the government’s policies (or the lack of them) regarding LGBTI+ individuals. More information about the research center and the NGO can be found at: </w:t>
      </w:r>
      <w:hyperlink r:id="rId7" w:history="1">
        <w:r w:rsidR="0018736A" w:rsidRPr="001746EE">
          <w:rPr>
            <w:rStyle w:val="Hyperlink"/>
            <w:rFonts w:eastAsia="Helvetica Neue"/>
            <w:sz w:val="24"/>
            <w:szCs w:val="24"/>
            <w:lang w:val="en-US" w:eastAsia="zh-CN"/>
          </w:rPr>
          <w:t>https://nucleo.todxs.org/</w:t>
        </w:r>
      </w:hyperlink>
      <w:r w:rsidR="00A404CE">
        <w:rPr>
          <w:rFonts w:eastAsia="Helvetica Neue"/>
          <w:sz w:val="24"/>
          <w:szCs w:val="24"/>
          <w:lang w:val="en-US" w:eastAsia="zh-CN"/>
        </w:rPr>
        <w:t xml:space="preserve"> and </w:t>
      </w:r>
      <w:hyperlink r:id="rId8" w:history="1">
        <w:r w:rsidR="0018736A" w:rsidRPr="001746EE">
          <w:rPr>
            <w:rStyle w:val="Hyperlink"/>
            <w:rFonts w:eastAsia="Helvetica Neue"/>
            <w:sz w:val="24"/>
            <w:szCs w:val="24"/>
            <w:lang w:val="en-US" w:eastAsia="zh-CN"/>
          </w:rPr>
          <w:t>https://www.todxs.org/</w:t>
        </w:r>
      </w:hyperlink>
      <w:r w:rsidR="00A404CE">
        <w:rPr>
          <w:rFonts w:eastAsia="Helvetica Neue"/>
          <w:sz w:val="24"/>
          <w:szCs w:val="24"/>
          <w:lang w:val="en-US" w:eastAsia="zh-CN"/>
        </w:rPr>
        <w:t>.</w:t>
      </w:r>
      <w:r w:rsidR="0018736A">
        <w:rPr>
          <w:rFonts w:eastAsia="Helvetica Neue"/>
          <w:sz w:val="24"/>
          <w:szCs w:val="24"/>
          <w:lang w:val="en-US" w:eastAsia="zh-CN"/>
        </w:rPr>
        <w:t xml:space="preserve"> </w:t>
      </w:r>
      <w:r w:rsidR="006271F9">
        <w:rPr>
          <w:rFonts w:eastAsia="Helvetica Neue"/>
          <w:sz w:val="24"/>
          <w:szCs w:val="24"/>
          <w:lang w:val="en-US" w:eastAsia="zh-CN"/>
        </w:rPr>
        <w:t xml:space="preserve">E-mail for contact: </w:t>
      </w:r>
      <w:hyperlink r:id="rId9" w:history="1">
        <w:r w:rsidR="006271F9" w:rsidRPr="001746EE">
          <w:rPr>
            <w:rStyle w:val="Hyperlink"/>
            <w:rFonts w:eastAsia="Helvetica Neue"/>
            <w:sz w:val="24"/>
            <w:szCs w:val="24"/>
            <w:lang w:val="en-US" w:eastAsia="zh-CN"/>
          </w:rPr>
          <w:t>rafael.lelis@todxs.org</w:t>
        </w:r>
      </w:hyperlink>
      <w:r w:rsidR="006271F9">
        <w:rPr>
          <w:rFonts w:eastAsia="Helvetica Neue"/>
          <w:sz w:val="24"/>
          <w:szCs w:val="24"/>
          <w:lang w:val="en-US" w:eastAsia="zh-CN"/>
        </w:rPr>
        <w:t xml:space="preserve">. </w:t>
      </w:r>
    </w:p>
    <w:p w:rsidR="00A404CE" w:rsidRDefault="00A404CE" w:rsidP="00955CDF">
      <w:pPr>
        <w:pBdr>
          <w:top w:val="nil"/>
          <w:left w:val="nil"/>
          <w:bottom w:val="nil"/>
          <w:right w:val="nil"/>
          <w:between w:val="nil"/>
        </w:pBdr>
        <w:spacing w:line="360" w:lineRule="auto"/>
        <w:jc w:val="both"/>
        <w:rPr>
          <w:rFonts w:eastAsia="Helvetica Neue"/>
          <w:sz w:val="24"/>
          <w:szCs w:val="24"/>
          <w:lang w:val="en-US" w:eastAsia="zh-CN"/>
        </w:rPr>
      </w:pPr>
    </w:p>
    <w:p w:rsidR="002542D3" w:rsidRPr="00A404CE" w:rsidRDefault="00A404CE" w:rsidP="00955CDF">
      <w:pPr>
        <w:pBdr>
          <w:top w:val="nil"/>
          <w:left w:val="nil"/>
          <w:bottom w:val="nil"/>
          <w:right w:val="nil"/>
          <w:between w:val="nil"/>
        </w:pBdr>
        <w:spacing w:line="360" w:lineRule="auto"/>
        <w:jc w:val="both"/>
        <w:rPr>
          <w:rFonts w:eastAsia="Helvetica Neue"/>
          <w:sz w:val="24"/>
          <w:szCs w:val="24"/>
          <w:lang w:val="en-US" w:eastAsia="zh-CN"/>
        </w:rPr>
      </w:pPr>
      <w:r>
        <w:rPr>
          <w:rFonts w:eastAsia="Helvetica Neue"/>
          <w:b/>
          <w:sz w:val="24"/>
          <w:szCs w:val="24"/>
          <w:lang w:val="en-US" w:eastAsia="zh-CN"/>
        </w:rPr>
        <w:t>Questions and Inputs:</w:t>
      </w:r>
      <w:r>
        <w:rPr>
          <w:rFonts w:eastAsia="Helvetica Neue"/>
          <w:sz w:val="24"/>
          <w:szCs w:val="24"/>
          <w:lang w:val="en-US" w:eastAsia="zh-CN"/>
        </w:rPr>
        <w:t xml:space="preserve"> </w:t>
      </w:r>
    </w:p>
    <w:p w:rsidR="002542D3" w:rsidRPr="00A81716" w:rsidRDefault="002542D3" w:rsidP="00955CDF">
      <w:pPr>
        <w:pBdr>
          <w:top w:val="nil"/>
          <w:left w:val="nil"/>
          <w:bottom w:val="nil"/>
          <w:right w:val="nil"/>
          <w:between w:val="nil"/>
        </w:pBdr>
        <w:spacing w:line="360" w:lineRule="auto"/>
        <w:jc w:val="both"/>
        <w:rPr>
          <w:rFonts w:eastAsia="Helvetica Neue"/>
          <w:b/>
          <w:sz w:val="24"/>
          <w:szCs w:val="24"/>
          <w:lang w:val="en-US" w:eastAsia="zh-CN"/>
        </w:rPr>
      </w:pPr>
    </w:p>
    <w:p w:rsidR="00955CDF" w:rsidRDefault="00955CDF" w:rsidP="00955CDF">
      <w:pPr>
        <w:pBdr>
          <w:top w:val="nil"/>
          <w:left w:val="nil"/>
          <w:bottom w:val="nil"/>
          <w:right w:val="nil"/>
          <w:between w:val="nil"/>
        </w:pBdr>
        <w:spacing w:line="360" w:lineRule="auto"/>
        <w:jc w:val="both"/>
        <w:rPr>
          <w:rFonts w:eastAsia="Helvetica Neue"/>
          <w:sz w:val="24"/>
          <w:szCs w:val="24"/>
          <w:lang w:val="en-US" w:eastAsia="zh-CN"/>
        </w:rPr>
      </w:pPr>
      <w:r>
        <w:rPr>
          <w:rFonts w:eastAsia="Helvetica Neue"/>
          <w:b/>
          <w:sz w:val="24"/>
          <w:szCs w:val="24"/>
          <w:lang w:val="en-US" w:eastAsia="zh-CN"/>
        </w:rPr>
        <w:t xml:space="preserve">1) </w:t>
      </w:r>
      <w:r w:rsidRPr="00955CDF">
        <w:rPr>
          <w:rFonts w:eastAsia="Helvetica Neue"/>
          <w:sz w:val="24"/>
          <w:szCs w:val="24"/>
          <w:lang w:val="en-US" w:eastAsia="zh-CN"/>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955CDF" w:rsidRPr="00955CDF" w:rsidRDefault="00296D59" w:rsidP="00955CDF">
      <w:pPr>
        <w:pBdr>
          <w:top w:val="nil"/>
          <w:left w:val="nil"/>
          <w:bottom w:val="nil"/>
          <w:right w:val="nil"/>
          <w:between w:val="nil"/>
        </w:pBdr>
        <w:spacing w:line="360" w:lineRule="auto"/>
        <w:jc w:val="both"/>
        <w:rPr>
          <w:rFonts w:eastAsia="Helvetica Neue"/>
          <w:sz w:val="24"/>
          <w:szCs w:val="24"/>
          <w:lang w:val="en-US" w:eastAsia="zh-CN"/>
        </w:rPr>
      </w:pPr>
      <w:r>
        <w:rPr>
          <w:rFonts w:eastAsia="Helvetica Neue"/>
          <w:b/>
          <w:color w:val="C00000"/>
          <w:sz w:val="24"/>
          <w:szCs w:val="24"/>
          <w:lang w:val="en-US" w:eastAsia="zh-CN"/>
        </w:rPr>
        <w:t>Input</w:t>
      </w:r>
      <w:r w:rsidR="00955CDF" w:rsidRPr="00296D59">
        <w:rPr>
          <w:rFonts w:eastAsia="Helvetica Neue"/>
          <w:b/>
          <w:color w:val="C00000"/>
          <w:sz w:val="24"/>
          <w:szCs w:val="24"/>
          <w:lang w:val="en-US" w:eastAsia="zh-CN"/>
        </w:rPr>
        <w:t>:</w:t>
      </w:r>
      <w:r w:rsidR="00955CDF">
        <w:rPr>
          <w:rFonts w:eastAsia="Helvetica Neue"/>
          <w:b/>
          <w:sz w:val="24"/>
          <w:szCs w:val="24"/>
          <w:lang w:val="en-US" w:eastAsia="zh-CN"/>
        </w:rPr>
        <w:t xml:space="preserve"> </w:t>
      </w:r>
      <w:r w:rsidR="00955CDF" w:rsidRPr="00955CDF">
        <w:rPr>
          <w:rFonts w:eastAsia="Helvetica Neue"/>
          <w:sz w:val="24"/>
          <w:szCs w:val="24"/>
          <w:lang w:val="en-US" w:eastAsia="zh-CN"/>
        </w:rPr>
        <w:t xml:space="preserve">Current efforts made by the Brazilian government in terms of LGBTI data collection are generally unsatisfactory. The only governmental survey that presented a slight picture of the Brazilian LGBTI population was the last national census, implemented in 2010 by the Brazilian Institute of Geography and Statistics (IBGE), </w:t>
      </w:r>
      <w:r w:rsidR="00955CDF" w:rsidRPr="00955CDF">
        <w:rPr>
          <w:rFonts w:eastAsia="Helvetica Neue"/>
          <w:sz w:val="24"/>
          <w:szCs w:val="24"/>
          <w:lang w:val="en-US" w:eastAsia="zh-CN"/>
        </w:rPr>
        <w:lastRenderedPageBreak/>
        <w:t xml:space="preserve">which allowed respondents to report whether they cohabited with same-sex partners, revealing the existence of more than 60.000 Brazilian people living in this situation. However, there was no question specifically regarding gender identity and/or sexual orientation, evidencing the underreporting of the other realities of the LGBTI </w:t>
      </w:r>
      <w:r w:rsidR="00955CDF">
        <w:rPr>
          <w:rFonts w:eastAsia="Helvetica Neue"/>
          <w:sz w:val="24"/>
          <w:szCs w:val="24"/>
          <w:lang w:val="en-US" w:eastAsia="zh-CN"/>
        </w:rPr>
        <w:t>population</w:t>
      </w:r>
      <w:r w:rsidR="00955CDF" w:rsidRPr="00955CDF">
        <w:rPr>
          <w:rFonts w:eastAsia="Helvetica Neue"/>
          <w:sz w:val="24"/>
          <w:szCs w:val="24"/>
          <w:lang w:val="en-US" w:eastAsia="zh-CN"/>
        </w:rPr>
        <w:t>.</w:t>
      </w:r>
    </w:p>
    <w:p w:rsidR="00296D59" w:rsidRDefault="00955CDF" w:rsidP="00DB2131">
      <w:pPr>
        <w:pBdr>
          <w:top w:val="nil"/>
          <w:left w:val="nil"/>
          <w:bottom w:val="nil"/>
          <w:right w:val="nil"/>
          <w:between w:val="nil"/>
        </w:pBdr>
        <w:spacing w:line="360" w:lineRule="auto"/>
        <w:ind w:firstLine="720"/>
        <w:jc w:val="both"/>
        <w:rPr>
          <w:rFonts w:eastAsia="Helvetica Neue"/>
          <w:sz w:val="24"/>
          <w:szCs w:val="24"/>
          <w:lang w:val="en-US" w:eastAsia="zh-CN"/>
        </w:rPr>
      </w:pPr>
      <w:r w:rsidRPr="00955CDF">
        <w:rPr>
          <w:rFonts w:eastAsia="Helvetica Neue"/>
          <w:sz w:val="24"/>
          <w:szCs w:val="24"/>
          <w:lang w:val="en-US" w:eastAsia="zh-CN"/>
        </w:rPr>
        <w:t xml:space="preserve">Considering the lack of State efforts to gather official information, most of data collection about LGBTI </w:t>
      </w:r>
      <w:r w:rsidR="00296D59">
        <w:rPr>
          <w:rFonts w:eastAsia="Helvetica Neue"/>
          <w:sz w:val="24"/>
          <w:szCs w:val="24"/>
          <w:lang w:val="en-US" w:eastAsia="zh-CN"/>
        </w:rPr>
        <w:t>persons in Brazil</w:t>
      </w:r>
      <w:r w:rsidRPr="00955CDF">
        <w:rPr>
          <w:rFonts w:eastAsia="Helvetica Neue"/>
          <w:sz w:val="24"/>
          <w:szCs w:val="24"/>
          <w:lang w:val="en-US" w:eastAsia="zh-CN"/>
        </w:rPr>
        <w:t xml:space="preserve"> has been executed</w:t>
      </w:r>
      <w:r w:rsidR="00676BEF">
        <w:rPr>
          <w:rFonts w:eastAsia="Helvetica Neue"/>
          <w:sz w:val="24"/>
          <w:szCs w:val="24"/>
          <w:lang w:val="en-US" w:eastAsia="zh-CN"/>
        </w:rPr>
        <w:t xml:space="preserve"> by civil society organizations.</w:t>
      </w:r>
      <w:r w:rsidRPr="00955CDF">
        <w:rPr>
          <w:rFonts w:eastAsia="Helvetica Neue"/>
          <w:sz w:val="24"/>
          <w:szCs w:val="24"/>
          <w:lang w:val="en-US" w:eastAsia="zh-CN"/>
        </w:rPr>
        <w:t xml:space="preserve"> </w:t>
      </w:r>
      <w:r w:rsidR="00676BEF">
        <w:rPr>
          <w:rFonts w:eastAsia="Helvetica Neue"/>
          <w:sz w:val="24"/>
          <w:szCs w:val="24"/>
          <w:lang w:val="en-US" w:eastAsia="zh-CN"/>
        </w:rPr>
        <w:t>Although</w:t>
      </w:r>
      <w:r w:rsidR="00296D59">
        <w:rPr>
          <w:rFonts w:eastAsia="Helvetica Neue"/>
          <w:sz w:val="24"/>
          <w:szCs w:val="24"/>
          <w:lang w:val="en-US" w:eastAsia="zh-CN"/>
        </w:rPr>
        <w:t>, such data collection by civil society is usually focused in the number of assassinations of LGBTI persons</w:t>
      </w:r>
      <w:r w:rsidR="00676BEF">
        <w:rPr>
          <w:rFonts w:eastAsia="Helvetica Neue"/>
          <w:sz w:val="24"/>
          <w:szCs w:val="24"/>
          <w:lang w:val="en-US" w:eastAsia="zh-CN"/>
        </w:rPr>
        <w:t xml:space="preserve"> and do not cover broader fields of information</w:t>
      </w:r>
      <w:r w:rsidR="00296D59">
        <w:rPr>
          <w:rFonts w:eastAsia="Helvetica Neue"/>
          <w:sz w:val="24"/>
          <w:szCs w:val="24"/>
          <w:lang w:val="en-US" w:eastAsia="zh-CN"/>
        </w:rPr>
        <w:t xml:space="preserve">. In that sense, the two biggest reports produced are from GGB – Grupo Gay da Bahia (“Gay Group from Bahia”) and ANTRA – </w:t>
      </w:r>
      <w:proofErr w:type="spellStart"/>
      <w:r w:rsidR="00296D59">
        <w:rPr>
          <w:rFonts w:eastAsia="Helvetica Neue"/>
          <w:sz w:val="24"/>
          <w:szCs w:val="24"/>
          <w:lang w:val="en-US" w:eastAsia="zh-CN"/>
        </w:rPr>
        <w:t>Associação</w:t>
      </w:r>
      <w:proofErr w:type="spellEnd"/>
      <w:r w:rsidR="00296D59">
        <w:rPr>
          <w:rFonts w:eastAsia="Helvetica Neue"/>
          <w:sz w:val="24"/>
          <w:szCs w:val="24"/>
          <w:lang w:val="en-US" w:eastAsia="zh-CN"/>
        </w:rPr>
        <w:t xml:space="preserve"> Nacional de </w:t>
      </w:r>
      <w:proofErr w:type="spellStart"/>
      <w:r w:rsidR="00296D59">
        <w:rPr>
          <w:rFonts w:eastAsia="Helvetica Neue"/>
          <w:sz w:val="24"/>
          <w:szCs w:val="24"/>
          <w:lang w:val="en-US" w:eastAsia="zh-CN"/>
        </w:rPr>
        <w:t>Travestis</w:t>
      </w:r>
      <w:proofErr w:type="spellEnd"/>
      <w:r w:rsidR="00296D59">
        <w:rPr>
          <w:rFonts w:eastAsia="Helvetica Neue"/>
          <w:sz w:val="24"/>
          <w:szCs w:val="24"/>
          <w:lang w:val="en-US" w:eastAsia="zh-CN"/>
        </w:rPr>
        <w:t xml:space="preserve"> e </w:t>
      </w:r>
      <w:proofErr w:type="spellStart"/>
      <w:r w:rsidR="00296D59">
        <w:rPr>
          <w:rFonts w:eastAsia="Helvetica Neue"/>
          <w:sz w:val="24"/>
          <w:szCs w:val="24"/>
          <w:lang w:val="en-US" w:eastAsia="zh-CN"/>
        </w:rPr>
        <w:t>Transexuais</w:t>
      </w:r>
      <w:proofErr w:type="spellEnd"/>
      <w:r w:rsidR="00296D59">
        <w:rPr>
          <w:rFonts w:eastAsia="Helvetica Neue"/>
          <w:sz w:val="24"/>
          <w:szCs w:val="24"/>
          <w:lang w:val="en-US" w:eastAsia="zh-CN"/>
        </w:rPr>
        <w:t xml:space="preserve"> (“National Association of Travesties and Transsexuals”).</w:t>
      </w:r>
      <w:r w:rsidR="00676BEF">
        <w:rPr>
          <w:rFonts w:eastAsia="Helvetica Neue"/>
          <w:sz w:val="24"/>
          <w:szCs w:val="24"/>
          <w:lang w:val="en-US" w:eastAsia="zh-CN"/>
        </w:rPr>
        <w:t xml:space="preserve"> Moreover, even though the effort made by civil society is remarkable, the lack of structure to conduct the data collection </w:t>
      </w:r>
      <w:r w:rsidR="00E97C8B">
        <w:rPr>
          <w:rFonts w:eastAsia="Helvetica Neue"/>
          <w:sz w:val="24"/>
          <w:szCs w:val="24"/>
          <w:lang w:val="en-US" w:eastAsia="zh-CN"/>
        </w:rPr>
        <w:t xml:space="preserve">makes it very difficult to reach precise and reliable numbers. For example, since there </w:t>
      </w:r>
      <w:r w:rsidR="00E25940">
        <w:rPr>
          <w:rFonts w:eastAsia="Helvetica Neue"/>
          <w:sz w:val="24"/>
          <w:szCs w:val="24"/>
          <w:lang w:val="en-US" w:eastAsia="zh-CN"/>
        </w:rPr>
        <w:t>is</w:t>
      </w:r>
      <w:r w:rsidR="00E97C8B">
        <w:rPr>
          <w:rFonts w:eastAsia="Helvetica Neue"/>
          <w:sz w:val="24"/>
          <w:szCs w:val="24"/>
          <w:lang w:val="en-US" w:eastAsia="zh-CN"/>
        </w:rPr>
        <w:t xml:space="preserve"> no official</w:t>
      </w:r>
      <w:r w:rsidR="00E25940">
        <w:rPr>
          <w:rFonts w:eastAsia="Helvetica Neue"/>
          <w:sz w:val="24"/>
          <w:szCs w:val="24"/>
          <w:lang w:val="en-US" w:eastAsia="zh-CN"/>
        </w:rPr>
        <w:t xml:space="preserve"> registry of </w:t>
      </w:r>
      <w:r w:rsidR="00251750">
        <w:rPr>
          <w:rFonts w:eastAsia="Helvetica Neue"/>
          <w:sz w:val="24"/>
          <w:szCs w:val="24"/>
          <w:lang w:val="en-US" w:eastAsia="zh-CN"/>
        </w:rPr>
        <w:t xml:space="preserve">specific LGBTI-motivated crimes, the NGOs rely only on media coverage as well as “local informants” to collect the data for the reports. </w:t>
      </w:r>
      <w:r w:rsidR="00E97C8B">
        <w:rPr>
          <w:rFonts w:eastAsia="Helvetica Neue"/>
          <w:sz w:val="24"/>
          <w:szCs w:val="24"/>
          <w:lang w:val="en-US" w:eastAsia="zh-CN"/>
        </w:rPr>
        <w:t xml:space="preserve"> </w:t>
      </w:r>
      <w:r w:rsidR="00296D59">
        <w:rPr>
          <w:rFonts w:eastAsia="Helvetica Neue"/>
          <w:sz w:val="24"/>
          <w:szCs w:val="24"/>
          <w:lang w:val="en-US" w:eastAsia="zh-CN"/>
        </w:rPr>
        <w:t xml:space="preserve">  </w:t>
      </w:r>
    </w:p>
    <w:p w:rsidR="00955CDF" w:rsidRPr="00955CDF" w:rsidRDefault="00251750" w:rsidP="00251750">
      <w:pPr>
        <w:pBdr>
          <w:top w:val="nil"/>
          <w:left w:val="nil"/>
          <w:bottom w:val="nil"/>
          <w:right w:val="nil"/>
          <w:between w:val="nil"/>
        </w:pBdr>
        <w:spacing w:line="360" w:lineRule="auto"/>
        <w:ind w:firstLine="720"/>
        <w:jc w:val="both"/>
        <w:rPr>
          <w:rFonts w:eastAsia="Helvetica Neue"/>
          <w:sz w:val="24"/>
          <w:szCs w:val="24"/>
          <w:lang w:val="en-US" w:eastAsia="zh-CN"/>
        </w:rPr>
      </w:pPr>
      <w:r>
        <w:rPr>
          <w:rFonts w:eastAsia="Helvetica Neue"/>
          <w:sz w:val="24"/>
          <w:szCs w:val="24"/>
          <w:lang w:val="en-US" w:eastAsia="zh-CN"/>
        </w:rPr>
        <w:t>Currently, our organization, TODXS, is preparing to conduct a national survey in Brazil (having already finalized the first tests) in order</w:t>
      </w:r>
      <w:r w:rsidR="00955CDF" w:rsidRPr="00955CDF">
        <w:rPr>
          <w:rFonts w:eastAsia="Helvetica Neue"/>
          <w:sz w:val="24"/>
          <w:szCs w:val="24"/>
          <w:lang w:val="en-US" w:eastAsia="zh-CN"/>
        </w:rPr>
        <w:t xml:space="preserve"> to expand the knowledge about </w:t>
      </w:r>
      <w:r w:rsidR="00772269">
        <w:rPr>
          <w:rFonts w:eastAsia="Helvetica Neue"/>
          <w:sz w:val="24"/>
          <w:szCs w:val="24"/>
          <w:lang w:val="en-US" w:eastAsia="zh-CN"/>
        </w:rPr>
        <w:t xml:space="preserve">the </w:t>
      </w:r>
      <w:r w:rsidR="00955CDF" w:rsidRPr="00955CDF">
        <w:rPr>
          <w:rFonts w:eastAsia="Helvetica Neue"/>
          <w:sz w:val="24"/>
          <w:szCs w:val="24"/>
          <w:lang w:val="en-US" w:eastAsia="zh-CN"/>
        </w:rPr>
        <w:t xml:space="preserve">LGBTI population </w:t>
      </w:r>
      <w:r>
        <w:rPr>
          <w:rFonts w:eastAsia="Helvetica Neue"/>
          <w:sz w:val="24"/>
          <w:szCs w:val="24"/>
          <w:lang w:val="en-US" w:eastAsia="zh-CN"/>
        </w:rPr>
        <w:t>and data collection regarding t</w:t>
      </w:r>
      <w:r w:rsidR="00955CDF" w:rsidRPr="00955CDF">
        <w:rPr>
          <w:rFonts w:eastAsia="Helvetica Neue"/>
          <w:sz w:val="24"/>
          <w:szCs w:val="24"/>
          <w:lang w:val="en-US" w:eastAsia="zh-CN"/>
        </w:rPr>
        <w:t>he areas of personal identities, health, discrimination, access to education, employment and income.</w:t>
      </w:r>
    </w:p>
    <w:p w:rsidR="00955CDF" w:rsidRPr="00955CDF" w:rsidRDefault="00955CDF" w:rsidP="00955CDF">
      <w:pPr>
        <w:pBdr>
          <w:top w:val="nil"/>
          <w:left w:val="nil"/>
          <w:bottom w:val="nil"/>
          <w:right w:val="nil"/>
          <w:between w:val="nil"/>
        </w:pBdr>
        <w:spacing w:line="360" w:lineRule="auto"/>
        <w:jc w:val="both"/>
        <w:rPr>
          <w:rFonts w:eastAsia="Helvetica Neue"/>
          <w:sz w:val="24"/>
          <w:szCs w:val="24"/>
          <w:lang w:val="en-US" w:eastAsia="zh-CN"/>
        </w:rPr>
      </w:pPr>
    </w:p>
    <w:p w:rsidR="00251750"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sz w:val="24"/>
          <w:szCs w:val="24"/>
          <w:lang w:val="en-US" w:eastAsia="zh-CN"/>
        </w:rPr>
      </w:pPr>
      <w:r>
        <w:rPr>
          <w:rFonts w:eastAsia="Calibri"/>
          <w:b/>
          <w:sz w:val="24"/>
          <w:szCs w:val="24"/>
          <w:lang w:val="en-US" w:eastAsia="zh-CN"/>
        </w:rPr>
        <w:t xml:space="preserve">2) </w:t>
      </w:r>
      <w:r w:rsidRPr="00955CDF">
        <w:rPr>
          <w:rFonts w:eastAsia="Calibri"/>
          <w:sz w:val="24"/>
          <w:szCs w:val="24"/>
          <w:lang w:val="en-US" w:eastAsia="zh-CN"/>
        </w:rPr>
        <w:t>What kinds of data can be collected by government to understand the nature and extent of violence (e.g. thr</w:t>
      </w:r>
      <w:r w:rsidRPr="00955CDF">
        <w:rPr>
          <w:sz w:val="24"/>
          <w:szCs w:val="24"/>
          <w:lang w:val="en-US" w:eastAsia="zh-CN"/>
        </w:rPr>
        <w:t>ough statistics on LGBT-phobic hate crimes and hate speech)</w:t>
      </w:r>
      <w:r w:rsidRPr="00955CDF">
        <w:rPr>
          <w:rFonts w:eastAsia="Calibri"/>
          <w:sz w:val="24"/>
          <w:szCs w:val="24"/>
          <w:lang w:val="en-US" w:eastAsia="zh-CN"/>
        </w:rPr>
        <w:t xml:space="preserve">, discrimination, and </w:t>
      </w:r>
      <w:r w:rsidRPr="00955CDF">
        <w:rPr>
          <w:sz w:val="24"/>
          <w:szCs w:val="24"/>
          <w:lang w:val="en-US" w:eastAsia="zh-CN"/>
        </w:rPr>
        <w:t>disparities</w:t>
      </w:r>
      <w:r w:rsidRPr="00955CDF">
        <w:rPr>
          <w:rFonts w:eastAsia="Calibri"/>
          <w:sz w:val="24"/>
          <w:szCs w:val="24"/>
          <w:lang w:val="en-US" w:eastAsia="zh-CN"/>
        </w:rPr>
        <w:t xml:space="preserve"> in health, education, </w:t>
      </w:r>
      <w:proofErr w:type="spellStart"/>
      <w:r w:rsidRPr="00955CDF">
        <w:rPr>
          <w:rFonts w:eastAsia="Calibri"/>
          <w:sz w:val="24"/>
          <w:szCs w:val="24"/>
          <w:lang w:val="en-US" w:eastAsia="zh-CN"/>
        </w:rPr>
        <w:t>labour</w:t>
      </w:r>
      <w:proofErr w:type="spellEnd"/>
      <w:r w:rsidRPr="00955CDF">
        <w:rPr>
          <w:rFonts w:eastAsia="Calibri"/>
          <w:sz w:val="24"/>
          <w:szCs w:val="24"/>
          <w:lang w:val="en-US" w:eastAsia="zh-CN"/>
        </w:rPr>
        <w:t>, civic participation, and other important areas?</w:t>
      </w:r>
    </w:p>
    <w:p w:rsidR="00317CCE" w:rsidRDefault="00251750"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Helvetica Neue"/>
          <w:sz w:val="24"/>
          <w:szCs w:val="24"/>
          <w:lang w:val="en-US" w:eastAsia="zh-CN"/>
        </w:rPr>
      </w:pPr>
      <w:r>
        <w:rPr>
          <w:rFonts w:eastAsia="Helvetica Neue"/>
          <w:b/>
          <w:color w:val="C00000"/>
          <w:sz w:val="24"/>
          <w:szCs w:val="24"/>
          <w:lang w:val="en-US" w:eastAsia="zh-CN"/>
        </w:rPr>
        <w:t>Input</w:t>
      </w:r>
      <w:r w:rsidRPr="00296D59">
        <w:rPr>
          <w:rFonts w:eastAsia="Helvetica Neue"/>
          <w:b/>
          <w:color w:val="C00000"/>
          <w:sz w:val="24"/>
          <w:szCs w:val="24"/>
          <w:lang w:val="en-US" w:eastAsia="zh-CN"/>
        </w:rPr>
        <w:t>:</w:t>
      </w:r>
      <w:r>
        <w:rPr>
          <w:rFonts w:eastAsia="Helvetica Neue"/>
          <w:b/>
          <w:color w:val="C00000"/>
          <w:sz w:val="24"/>
          <w:szCs w:val="24"/>
          <w:lang w:val="en-US" w:eastAsia="zh-CN"/>
        </w:rPr>
        <w:t xml:space="preserve"> </w:t>
      </w:r>
      <w:r>
        <w:rPr>
          <w:rFonts w:eastAsia="Helvetica Neue"/>
          <w:sz w:val="24"/>
          <w:szCs w:val="24"/>
          <w:lang w:val="en-US" w:eastAsia="zh-CN"/>
        </w:rPr>
        <w:t xml:space="preserve">Violence based on one’s actual </w:t>
      </w:r>
      <w:r w:rsidR="00772269">
        <w:rPr>
          <w:rFonts w:eastAsia="Helvetica Neue"/>
          <w:sz w:val="24"/>
          <w:szCs w:val="24"/>
          <w:lang w:val="en-US" w:eastAsia="zh-CN"/>
        </w:rPr>
        <w:t>or perceived sexual orientation</w:t>
      </w:r>
      <w:r>
        <w:rPr>
          <w:rFonts w:eastAsia="Helvetica Neue"/>
          <w:sz w:val="24"/>
          <w:szCs w:val="24"/>
          <w:lang w:val="en-US" w:eastAsia="zh-CN"/>
        </w:rPr>
        <w:t xml:space="preserve">, gender identity or expression and sex characteristics are not considered, under Brazilian criminal law, a specific type of hate crime. Therefore, they are </w:t>
      </w:r>
      <w:r w:rsidR="00BC5054">
        <w:rPr>
          <w:rFonts w:eastAsia="Helvetica Neue"/>
          <w:sz w:val="24"/>
          <w:szCs w:val="24"/>
          <w:lang w:val="en-US" w:eastAsia="zh-CN"/>
        </w:rPr>
        <w:t xml:space="preserve">included within general crimes established. Because of this, there is no national policy that obliges, for example, that such data is collected when a crime is reported. Thus, the collection of such data varies </w:t>
      </w:r>
      <w:r w:rsidR="00BC5054">
        <w:rPr>
          <w:rFonts w:eastAsia="Helvetica Neue"/>
          <w:sz w:val="24"/>
          <w:szCs w:val="24"/>
          <w:lang w:val="en-US" w:eastAsia="zh-CN"/>
        </w:rPr>
        <w:lastRenderedPageBreak/>
        <w:t>among the states. A minority</w:t>
      </w:r>
      <w:r w:rsidR="00915CFC">
        <w:rPr>
          <w:rFonts w:eastAsia="Helvetica Neue"/>
          <w:sz w:val="24"/>
          <w:szCs w:val="24"/>
          <w:lang w:val="en-US" w:eastAsia="zh-CN"/>
        </w:rPr>
        <w:t xml:space="preserve"> of Brazilian states</w:t>
      </w:r>
      <w:r w:rsidR="00BC5054">
        <w:rPr>
          <w:rFonts w:eastAsia="Helvetica Neue"/>
          <w:sz w:val="24"/>
          <w:szCs w:val="24"/>
          <w:lang w:val="en-US" w:eastAsia="zh-CN"/>
        </w:rPr>
        <w:t xml:space="preserve"> include in the report form a “pre-fixed” option to include the person’s sexual orientation and/or gender identity, while other</w:t>
      </w:r>
      <w:r w:rsidR="00772269">
        <w:rPr>
          <w:rFonts w:eastAsia="Helvetica Neue"/>
          <w:sz w:val="24"/>
          <w:szCs w:val="24"/>
          <w:lang w:val="en-US" w:eastAsia="zh-CN"/>
        </w:rPr>
        <w:t>s allow</w:t>
      </w:r>
      <w:r w:rsidR="00BC5054">
        <w:rPr>
          <w:rFonts w:eastAsia="Helvetica Neue"/>
          <w:sz w:val="24"/>
          <w:szCs w:val="24"/>
          <w:lang w:val="en-US" w:eastAsia="zh-CN"/>
        </w:rPr>
        <w:t xml:space="preserve"> the inclusion of the motivation of the crime, where could be stated that it was a LGBTI</w:t>
      </w:r>
      <w:r w:rsidR="00772269">
        <w:rPr>
          <w:rFonts w:eastAsia="Helvetica Neue"/>
          <w:sz w:val="24"/>
          <w:szCs w:val="24"/>
          <w:lang w:val="en-US" w:eastAsia="zh-CN"/>
        </w:rPr>
        <w:t>-</w:t>
      </w:r>
      <w:r w:rsidR="00BC5054">
        <w:rPr>
          <w:rFonts w:eastAsia="Helvetica Neue"/>
          <w:sz w:val="24"/>
          <w:szCs w:val="24"/>
          <w:lang w:val="en-US" w:eastAsia="zh-CN"/>
        </w:rPr>
        <w:t xml:space="preserve">phobic crime. </w:t>
      </w:r>
      <w:r w:rsidR="00317CCE">
        <w:rPr>
          <w:rFonts w:eastAsia="Helvetica Neue"/>
          <w:sz w:val="24"/>
          <w:szCs w:val="24"/>
          <w:lang w:val="en-US" w:eastAsia="zh-CN"/>
        </w:rPr>
        <w:t xml:space="preserve">In addition, since 2013 patients that are treated in the public </w:t>
      </w:r>
      <w:r w:rsidR="003D1A88">
        <w:rPr>
          <w:rFonts w:eastAsia="Helvetica Neue"/>
          <w:sz w:val="24"/>
          <w:szCs w:val="24"/>
          <w:lang w:val="en-US" w:eastAsia="zh-CN"/>
        </w:rPr>
        <w:t xml:space="preserve">national </w:t>
      </w:r>
      <w:r w:rsidR="00317CCE">
        <w:rPr>
          <w:rFonts w:eastAsia="Helvetica Neue"/>
          <w:sz w:val="24"/>
          <w:szCs w:val="24"/>
          <w:lang w:val="en-US" w:eastAsia="zh-CN"/>
        </w:rPr>
        <w:t>health system (SUS)</w:t>
      </w:r>
      <w:r w:rsidR="00BC5054">
        <w:rPr>
          <w:rFonts w:eastAsia="Helvetica Neue"/>
          <w:sz w:val="24"/>
          <w:szCs w:val="24"/>
          <w:lang w:val="en-US" w:eastAsia="zh-CN"/>
        </w:rPr>
        <w:t xml:space="preserve"> </w:t>
      </w:r>
      <w:r w:rsidR="00317CCE">
        <w:rPr>
          <w:rFonts w:eastAsia="Helvetica Neue"/>
          <w:sz w:val="24"/>
          <w:szCs w:val="24"/>
          <w:lang w:val="en-US" w:eastAsia="zh-CN"/>
        </w:rPr>
        <w:t xml:space="preserve">can inform if the violence they suffered was motivated by homophobia. However, there is no information regarding the </w:t>
      </w:r>
      <w:r w:rsidR="00317CCE">
        <w:rPr>
          <w:rFonts w:eastAsia="Helvetica Neue"/>
          <w:i/>
          <w:sz w:val="24"/>
          <w:szCs w:val="24"/>
          <w:lang w:val="en-US" w:eastAsia="zh-CN"/>
        </w:rPr>
        <w:t>de facto</w:t>
      </w:r>
      <w:r w:rsidR="00BC5054">
        <w:rPr>
          <w:rFonts w:eastAsia="Helvetica Neue"/>
          <w:sz w:val="24"/>
          <w:szCs w:val="24"/>
          <w:lang w:val="en-US" w:eastAsia="zh-CN"/>
        </w:rPr>
        <w:t xml:space="preserve"> </w:t>
      </w:r>
      <w:r w:rsidR="00317CCE">
        <w:rPr>
          <w:rFonts w:eastAsia="Helvetica Neue"/>
          <w:sz w:val="24"/>
          <w:szCs w:val="24"/>
          <w:lang w:val="en-US" w:eastAsia="zh-CN"/>
        </w:rPr>
        <w:t xml:space="preserve">application of such mechanism as well as the use of this data. </w:t>
      </w:r>
    </w:p>
    <w:p w:rsidR="004754FC" w:rsidRDefault="00915CFC"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Helvetica Neue"/>
          <w:sz w:val="24"/>
          <w:szCs w:val="24"/>
          <w:lang w:val="en-US" w:eastAsia="zh-CN"/>
        </w:rPr>
      </w:pPr>
      <w:r>
        <w:rPr>
          <w:rFonts w:eastAsia="Helvetica Neue"/>
          <w:sz w:val="24"/>
          <w:szCs w:val="24"/>
          <w:lang w:val="en-US" w:eastAsia="zh-CN"/>
        </w:rPr>
        <w:tab/>
      </w:r>
      <w:r w:rsidR="005E7C5A">
        <w:rPr>
          <w:rFonts w:eastAsia="Helvetica Neue"/>
          <w:sz w:val="24"/>
          <w:szCs w:val="24"/>
          <w:lang w:val="en-US" w:eastAsia="zh-CN"/>
        </w:rPr>
        <w:t>The Brazilian government has a well-equipped structure for data collection, especially regarding</w:t>
      </w:r>
      <w:r w:rsidR="00772269">
        <w:rPr>
          <w:rFonts w:eastAsia="Helvetica Neue"/>
          <w:sz w:val="24"/>
          <w:szCs w:val="24"/>
          <w:lang w:val="en-US" w:eastAsia="zh-CN"/>
        </w:rPr>
        <w:t xml:space="preserve"> the national survey. Thus, it is</w:t>
      </w:r>
      <w:r w:rsidR="005E7C5A">
        <w:rPr>
          <w:rFonts w:eastAsia="Helvetica Neue"/>
          <w:sz w:val="24"/>
          <w:szCs w:val="24"/>
          <w:lang w:val="en-US" w:eastAsia="zh-CN"/>
        </w:rPr>
        <w:t xml:space="preserve"> possible, if willing, to collect a lot of essential data and information about the LGBTI population in order to promote public policy. Nonetheless, as mentioned, almost all of this data collection is done by NGOs and other civil society organizations. In that sense, our organization, TODXS, has developed a smartphone app that allows persons to report violence against LGBTI individuals. The app was launched in mid of 2017 and thus far it has received around 200 reports. Among those, approximately only 7% of the victims indicated that they had reported the violence to the official authorities, which illustrates the great amount of underreporting of this type of violence</w:t>
      </w:r>
      <w:r w:rsidR="00772269">
        <w:rPr>
          <w:rFonts w:eastAsia="Helvetica Neue"/>
          <w:sz w:val="24"/>
          <w:szCs w:val="24"/>
          <w:lang w:val="en-US" w:eastAsia="zh-CN"/>
        </w:rPr>
        <w:t xml:space="preserve"> in Brazil</w:t>
      </w:r>
      <w:r w:rsidR="005E7C5A">
        <w:rPr>
          <w:rFonts w:eastAsia="Helvetica Neue"/>
          <w:sz w:val="24"/>
          <w:szCs w:val="24"/>
          <w:lang w:val="en-US" w:eastAsia="zh-CN"/>
        </w:rPr>
        <w:t xml:space="preserve">.   </w:t>
      </w:r>
    </w:p>
    <w:p w:rsidR="00251750" w:rsidRPr="00A07EF6" w:rsidRDefault="004754FC"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sz w:val="24"/>
          <w:szCs w:val="24"/>
          <w:lang w:val="en-US" w:eastAsia="zh-CN"/>
        </w:rPr>
      </w:pPr>
      <w:r>
        <w:rPr>
          <w:rFonts w:eastAsia="Helvetica Neue"/>
          <w:sz w:val="24"/>
          <w:szCs w:val="24"/>
          <w:lang w:val="en-US" w:eastAsia="zh-CN"/>
        </w:rPr>
        <w:tab/>
      </w:r>
      <w:r w:rsidR="003B7572">
        <w:rPr>
          <w:rFonts w:eastAsia="Helvetica Neue"/>
          <w:sz w:val="24"/>
          <w:szCs w:val="24"/>
          <w:lang w:val="en-US" w:eastAsia="zh-CN"/>
        </w:rPr>
        <w:t xml:space="preserve">More recently, in 2018, the Brazilian government, through its </w:t>
      </w:r>
      <w:r w:rsidR="0095500F">
        <w:rPr>
          <w:rFonts w:eastAsia="Helvetica Neue"/>
          <w:sz w:val="24"/>
          <w:szCs w:val="24"/>
          <w:lang w:val="en-US" w:eastAsia="zh-CN"/>
        </w:rPr>
        <w:t xml:space="preserve">former </w:t>
      </w:r>
      <w:r w:rsidR="003B7572">
        <w:rPr>
          <w:rFonts w:eastAsia="Helvetica Neue"/>
          <w:sz w:val="24"/>
          <w:szCs w:val="24"/>
          <w:lang w:val="en-US" w:eastAsia="zh-CN"/>
        </w:rPr>
        <w:t>“Human Rights Ministry”</w:t>
      </w:r>
      <w:r w:rsidR="003D1A88">
        <w:rPr>
          <w:rFonts w:eastAsia="Helvetica Neue"/>
          <w:sz w:val="24"/>
          <w:szCs w:val="24"/>
          <w:lang w:val="en-US" w:eastAsia="zh-CN"/>
        </w:rPr>
        <w:t>,</w:t>
      </w:r>
      <w:r w:rsidR="003B7572">
        <w:rPr>
          <w:rFonts w:eastAsia="Helvetica Neue"/>
          <w:sz w:val="24"/>
          <w:szCs w:val="24"/>
          <w:lang w:val="en-US" w:eastAsia="zh-CN"/>
        </w:rPr>
        <w:t xml:space="preserve"> released a </w:t>
      </w:r>
      <w:hyperlink r:id="rId10" w:history="1">
        <w:r w:rsidR="003B7572" w:rsidRPr="00C8743C">
          <w:rPr>
            <w:rStyle w:val="Hyperlink"/>
            <w:rFonts w:eastAsia="Helvetica Neue"/>
            <w:sz w:val="24"/>
            <w:szCs w:val="24"/>
            <w:lang w:val="en-US" w:eastAsia="zh-CN"/>
          </w:rPr>
          <w:t>report</w:t>
        </w:r>
      </w:hyperlink>
      <w:r w:rsidR="003B7572">
        <w:rPr>
          <w:rFonts w:eastAsia="Helvetica Neue"/>
          <w:sz w:val="24"/>
          <w:szCs w:val="24"/>
          <w:lang w:val="en-US" w:eastAsia="zh-CN"/>
        </w:rPr>
        <w:t xml:space="preserve"> on “LGBT-phobic violence in Brazil</w:t>
      </w:r>
      <w:r w:rsidR="003D1A88">
        <w:rPr>
          <w:rFonts w:eastAsia="Helvetica Neue"/>
          <w:sz w:val="24"/>
          <w:szCs w:val="24"/>
          <w:lang w:val="en-US" w:eastAsia="zh-CN"/>
        </w:rPr>
        <w:t>: violence data</w:t>
      </w:r>
      <w:r w:rsidR="003B7572">
        <w:rPr>
          <w:rFonts w:eastAsia="Helvetica Neue"/>
          <w:sz w:val="24"/>
          <w:szCs w:val="24"/>
          <w:lang w:val="en-US" w:eastAsia="zh-CN"/>
        </w:rPr>
        <w:t xml:space="preserve">”. </w:t>
      </w:r>
      <w:r w:rsidR="00845FB9">
        <w:rPr>
          <w:rFonts w:eastAsia="Helvetica Neue"/>
          <w:sz w:val="24"/>
          <w:szCs w:val="24"/>
          <w:lang w:val="en-US" w:eastAsia="zh-CN"/>
        </w:rPr>
        <w:t xml:space="preserve">The report analysis covers LGBT-phobic violence from the year of 2016. However, in regard to the method, it is highly dependable on the data produced by civil society. As described in the report, the data analyzed was collected from the report of two Brazilian NGOs – GGB and </w:t>
      </w:r>
      <w:proofErr w:type="spellStart"/>
      <w:r w:rsidR="00845FB9">
        <w:rPr>
          <w:rFonts w:eastAsia="Helvetica Neue"/>
          <w:sz w:val="24"/>
          <w:szCs w:val="24"/>
          <w:lang w:val="en-US" w:eastAsia="zh-CN"/>
        </w:rPr>
        <w:t>Rede</w:t>
      </w:r>
      <w:proofErr w:type="spellEnd"/>
      <w:r w:rsidR="00845FB9">
        <w:rPr>
          <w:rFonts w:eastAsia="Helvetica Neue"/>
          <w:sz w:val="24"/>
          <w:szCs w:val="24"/>
          <w:lang w:val="en-US" w:eastAsia="zh-CN"/>
        </w:rPr>
        <w:t xml:space="preserve"> Trans </w:t>
      </w:r>
      <w:proofErr w:type="spellStart"/>
      <w:r w:rsidR="00845FB9">
        <w:rPr>
          <w:rFonts w:eastAsia="Helvetica Neue"/>
          <w:sz w:val="24"/>
          <w:szCs w:val="24"/>
          <w:lang w:val="en-US" w:eastAsia="zh-CN"/>
        </w:rPr>
        <w:t>Brasil</w:t>
      </w:r>
      <w:proofErr w:type="spellEnd"/>
      <w:r w:rsidR="00845FB9">
        <w:rPr>
          <w:rFonts w:eastAsia="Helvetica Neue"/>
          <w:sz w:val="24"/>
          <w:szCs w:val="24"/>
          <w:lang w:val="en-US" w:eastAsia="zh-CN"/>
        </w:rPr>
        <w:t xml:space="preserve"> (“Trans Network Brazil”). The only source of data directly collec</w:t>
      </w:r>
      <w:r w:rsidR="004A056C">
        <w:rPr>
          <w:rFonts w:eastAsia="Helvetica Neue"/>
          <w:sz w:val="24"/>
          <w:szCs w:val="24"/>
          <w:lang w:val="en-US" w:eastAsia="zh-CN"/>
        </w:rPr>
        <w:t>ted by the government were the complaints</w:t>
      </w:r>
      <w:r w:rsidR="00845FB9">
        <w:rPr>
          <w:rFonts w:eastAsia="Helvetica Neue"/>
          <w:sz w:val="24"/>
          <w:szCs w:val="24"/>
          <w:lang w:val="en-US" w:eastAsia="zh-CN"/>
        </w:rPr>
        <w:t xml:space="preserve"> </w:t>
      </w:r>
      <w:r w:rsidR="004A056C">
        <w:rPr>
          <w:rFonts w:eastAsia="Helvetica Neue"/>
          <w:sz w:val="24"/>
          <w:szCs w:val="24"/>
          <w:lang w:val="en-US" w:eastAsia="zh-CN"/>
        </w:rPr>
        <w:t xml:space="preserve">delivered </w:t>
      </w:r>
      <w:r w:rsidR="00845FB9">
        <w:rPr>
          <w:rFonts w:eastAsia="Helvetica Neue"/>
          <w:sz w:val="24"/>
          <w:szCs w:val="24"/>
          <w:lang w:val="en-US" w:eastAsia="zh-CN"/>
        </w:rPr>
        <w:t>in the “Human Rights Helpline”</w:t>
      </w:r>
      <w:r w:rsidR="00C8743C">
        <w:rPr>
          <w:rFonts w:eastAsia="Helvetica Neue"/>
          <w:sz w:val="24"/>
          <w:szCs w:val="24"/>
          <w:lang w:val="en-US" w:eastAsia="zh-CN"/>
        </w:rPr>
        <w:t>, established to receive reports of general human rights violations.</w:t>
      </w:r>
      <w:r w:rsidR="00845FB9">
        <w:rPr>
          <w:rFonts w:eastAsia="Helvetica Neue"/>
          <w:sz w:val="24"/>
          <w:szCs w:val="24"/>
          <w:lang w:val="en-US" w:eastAsia="zh-CN"/>
        </w:rPr>
        <w:t xml:space="preserve">  </w:t>
      </w:r>
    </w:p>
    <w:p w:rsidR="00955CDF" w:rsidRPr="00A07EF6"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sz w:val="24"/>
          <w:szCs w:val="24"/>
          <w:lang w:val="en-US" w:eastAsia="zh-CN"/>
        </w:rPr>
      </w:pPr>
    </w:p>
    <w:p w:rsidR="00955CDF" w:rsidRPr="00955CDF"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sz w:val="24"/>
          <w:szCs w:val="24"/>
          <w:lang w:val="en-US" w:eastAsia="zh-CN"/>
        </w:rPr>
      </w:pPr>
      <w:r>
        <w:rPr>
          <w:rFonts w:eastAsia="Helvetica Neue"/>
          <w:b/>
          <w:sz w:val="24"/>
          <w:szCs w:val="24"/>
          <w:lang w:val="en-US" w:eastAsia="zh-CN"/>
        </w:rPr>
        <w:t xml:space="preserve">3) </w:t>
      </w:r>
      <w:r w:rsidRPr="00955CDF">
        <w:rPr>
          <w:rFonts w:eastAsia="Helvetica Neue"/>
          <w:sz w:val="24"/>
          <w:szCs w:val="24"/>
          <w:lang w:val="en-US" w:eastAsia="zh-CN"/>
        </w:rPr>
        <w:t>What safeguards are in place, and what safeguards are needed, to protect the human rights of individuals providing personal data as well as individuals collecting such data?  This question includes the following:</w:t>
      </w:r>
    </w:p>
    <w:p w:rsidR="00955CDF" w:rsidRPr="00955CDF" w:rsidRDefault="00955CDF" w:rsidP="00955CDF">
      <w:pPr>
        <w:pBdr>
          <w:top w:val="nil"/>
          <w:left w:val="nil"/>
          <w:bottom w:val="nil"/>
          <w:right w:val="nil"/>
          <w:between w:val="nil"/>
        </w:pBdr>
        <w:spacing w:line="360" w:lineRule="auto"/>
        <w:jc w:val="both"/>
        <w:rPr>
          <w:sz w:val="24"/>
          <w:szCs w:val="24"/>
          <w:lang w:val="en-US" w:eastAsia="zh-CN"/>
        </w:rPr>
      </w:pPr>
      <w:r>
        <w:rPr>
          <w:rFonts w:eastAsia="Helvetica Neue"/>
          <w:b/>
          <w:sz w:val="24"/>
          <w:szCs w:val="24"/>
          <w:lang w:val="en-US" w:eastAsia="zh-CN"/>
        </w:rPr>
        <w:lastRenderedPageBreak/>
        <w:t xml:space="preserve">a. </w:t>
      </w:r>
      <w:r w:rsidRPr="00955CDF">
        <w:rPr>
          <w:rFonts w:eastAsia="Helvetica Neue"/>
          <w:sz w:val="24"/>
          <w:szCs w:val="24"/>
          <w:lang w:val="en-US" w:eastAsia="zh-CN"/>
        </w:rPr>
        <w:t>Safeguards to protect the privacy of individuals who provide data about their sexual orientation/gender identity, and the confidentiality of the data provided by these individuals.</w:t>
      </w:r>
    </w:p>
    <w:p w:rsidR="00955CDF" w:rsidRPr="00B81BB6" w:rsidRDefault="00955CDF" w:rsidP="00955CDF">
      <w:pPr>
        <w:pBdr>
          <w:top w:val="nil"/>
          <w:left w:val="nil"/>
          <w:bottom w:val="nil"/>
          <w:right w:val="nil"/>
          <w:between w:val="nil"/>
        </w:pBdr>
        <w:spacing w:line="360" w:lineRule="auto"/>
        <w:jc w:val="both"/>
        <w:rPr>
          <w:rFonts w:eastAsia="Helvetica Neue"/>
          <w:sz w:val="24"/>
          <w:szCs w:val="24"/>
          <w:lang w:val="en-US" w:eastAsia="zh-CN"/>
        </w:rPr>
      </w:pPr>
      <w:r>
        <w:rPr>
          <w:rFonts w:eastAsia="Helvetica Neue"/>
          <w:b/>
          <w:sz w:val="24"/>
          <w:szCs w:val="24"/>
          <w:lang w:val="en-US" w:eastAsia="zh-CN"/>
        </w:rPr>
        <w:t xml:space="preserve">b. </w:t>
      </w:r>
      <w:r w:rsidRPr="00955CDF">
        <w:rPr>
          <w:rFonts w:eastAsia="Helvetica Neue"/>
          <w:sz w:val="24"/>
          <w:szCs w:val="24"/>
          <w:lang w:val="en-US" w:eastAsia="zh-CN"/>
        </w:rPr>
        <w:t>Broader statutory rules or administrative policies to insure transparency and accountability of government institutions such as statistical bodies.</w:t>
      </w:r>
    </w:p>
    <w:p w:rsidR="000B1C0C" w:rsidRPr="000B1C0C" w:rsidRDefault="00B71DC7" w:rsidP="00955CDF">
      <w:pPr>
        <w:pBdr>
          <w:top w:val="nil"/>
          <w:left w:val="nil"/>
          <w:bottom w:val="nil"/>
          <w:right w:val="nil"/>
          <w:between w:val="nil"/>
        </w:pBdr>
        <w:spacing w:line="360" w:lineRule="auto"/>
        <w:jc w:val="both"/>
        <w:rPr>
          <w:rFonts w:eastAsia="Helvetica Neue"/>
          <w:sz w:val="24"/>
          <w:szCs w:val="24"/>
          <w:lang w:val="en-US" w:eastAsia="zh-CN"/>
        </w:rPr>
      </w:pPr>
      <w:r>
        <w:rPr>
          <w:rFonts w:eastAsia="Helvetica Neue"/>
          <w:b/>
          <w:color w:val="C00000"/>
          <w:sz w:val="24"/>
          <w:szCs w:val="24"/>
          <w:lang w:val="en-US" w:eastAsia="zh-CN"/>
        </w:rPr>
        <w:t>Input</w:t>
      </w:r>
      <w:r w:rsidRPr="00296D59">
        <w:rPr>
          <w:rFonts w:eastAsia="Helvetica Neue"/>
          <w:b/>
          <w:color w:val="C00000"/>
          <w:sz w:val="24"/>
          <w:szCs w:val="24"/>
          <w:lang w:val="en-US" w:eastAsia="zh-CN"/>
        </w:rPr>
        <w:t>:</w:t>
      </w:r>
      <w:r>
        <w:rPr>
          <w:rFonts w:eastAsia="Helvetica Neue"/>
          <w:b/>
          <w:color w:val="C00000"/>
          <w:sz w:val="24"/>
          <w:szCs w:val="24"/>
          <w:lang w:val="en-US" w:eastAsia="zh-CN"/>
        </w:rPr>
        <w:t xml:space="preserve"> </w:t>
      </w:r>
      <w:r w:rsidRPr="00B71DC7">
        <w:rPr>
          <w:rFonts w:eastAsia="Helvetica Neue"/>
          <w:sz w:val="24"/>
          <w:szCs w:val="24"/>
          <w:lang w:val="en-US" w:eastAsia="zh-CN"/>
        </w:rPr>
        <w:t xml:space="preserve">Despite the absence of specific content regarding LGBTI </w:t>
      </w:r>
      <w:r w:rsidR="00484E0B">
        <w:rPr>
          <w:rFonts w:eastAsia="Helvetica Neue"/>
          <w:sz w:val="24"/>
          <w:szCs w:val="24"/>
          <w:lang w:val="en-US" w:eastAsia="zh-CN"/>
        </w:rPr>
        <w:t>persons</w:t>
      </w:r>
      <w:r w:rsidRPr="00B71DC7">
        <w:rPr>
          <w:rFonts w:eastAsia="Helvetica Neue"/>
          <w:sz w:val="24"/>
          <w:szCs w:val="24"/>
          <w:lang w:val="en-US" w:eastAsia="zh-CN"/>
        </w:rPr>
        <w:t>, protection and confidentiality of data collected by governmental institutions, such as the IBGE</w:t>
      </w:r>
      <w:r w:rsidR="00484E0B">
        <w:rPr>
          <w:rFonts w:eastAsia="Helvetica Neue"/>
          <w:sz w:val="24"/>
          <w:szCs w:val="24"/>
          <w:lang w:val="en-US" w:eastAsia="zh-CN"/>
        </w:rPr>
        <w:t xml:space="preserve"> (Brazilian Institute of Geography and Statistic)</w:t>
      </w:r>
      <w:r w:rsidRPr="00B71DC7">
        <w:rPr>
          <w:rFonts w:eastAsia="Helvetica Neue"/>
          <w:sz w:val="24"/>
          <w:szCs w:val="24"/>
          <w:lang w:val="en-US" w:eastAsia="zh-CN"/>
        </w:rPr>
        <w:t xml:space="preserve">, are guaranteed by law and respect the United Nations Fundamental Principles of Official Statistics. </w:t>
      </w:r>
      <w:hyperlink r:id="rId11" w:history="1">
        <w:r w:rsidRPr="00484E0B">
          <w:rPr>
            <w:rStyle w:val="Hyperlink"/>
            <w:rFonts w:eastAsia="Helvetica Neue"/>
            <w:sz w:val="24"/>
            <w:szCs w:val="24"/>
            <w:lang w:val="en-US" w:eastAsia="zh-CN"/>
          </w:rPr>
          <w:t>Federal Decree No. 73.177 (1973)</w:t>
        </w:r>
      </w:hyperlink>
      <w:r w:rsidRPr="00B71DC7">
        <w:rPr>
          <w:rFonts w:eastAsia="Helvetica Neue"/>
          <w:sz w:val="24"/>
          <w:szCs w:val="24"/>
          <w:lang w:val="en-US" w:eastAsia="zh-CN"/>
        </w:rPr>
        <w:t xml:space="preserve">, </w:t>
      </w:r>
      <w:hyperlink r:id="rId12" w:history="1">
        <w:r w:rsidRPr="00484E0B">
          <w:rPr>
            <w:rStyle w:val="Hyperlink"/>
            <w:rFonts w:eastAsia="Helvetica Neue"/>
            <w:sz w:val="24"/>
            <w:szCs w:val="24"/>
            <w:lang w:val="en-US" w:eastAsia="zh-CN"/>
          </w:rPr>
          <w:t>Law No. 5.534 (1968)</w:t>
        </w:r>
      </w:hyperlink>
      <w:r w:rsidRPr="00B71DC7">
        <w:rPr>
          <w:rFonts w:eastAsia="Helvetica Neue"/>
          <w:sz w:val="24"/>
          <w:szCs w:val="24"/>
          <w:lang w:val="en-US" w:eastAsia="zh-CN"/>
        </w:rPr>
        <w:t xml:space="preserve"> and </w:t>
      </w:r>
      <w:hyperlink r:id="rId13" w:history="1">
        <w:r w:rsidRPr="00484E0B">
          <w:rPr>
            <w:rStyle w:val="Hyperlink"/>
            <w:rFonts w:eastAsia="Helvetica Neue"/>
            <w:sz w:val="24"/>
            <w:szCs w:val="24"/>
            <w:lang w:val="en-US" w:eastAsia="zh-CN"/>
          </w:rPr>
          <w:t>No. 5.878 (1978)</w:t>
        </w:r>
      </w:hyperlink>
      <w:r w:rsidRPr="00B71DC7">
        <w:rPr>
          <w:rFonts w:eastAsia="Helvetica Neue"/>
          <w:sz w:val="24"/>
          <w:szCs w:val="24"/>
          <w:lang w:val="en-US" w:eastAsia="zh-CN"/>
        </w:rPr>
        <w:t xml:space="preserve"> establish the secrecy and obligation for statistical purposes only of the information collected by governmental bodies. Moreover, it is also important to mention the </w:t>
      </w:r>
      <w:hyperlink r:id="rId14" w:history="1">
        <w:r w:rsidRPr="00484E0B">
          <w:rPr>
            <w:rStyle w:val="Hyperlink"/>
            <w:rFonts w:eastAsia="Helvetica Neue"/>
            <w:sz w:val="24"/>
            <w:szCs w:val="24"/>
            <w:lang w:val="en-US" w:eastAsia="zh-CN"/>
          </w:rPr>
          <w:t>General Law on Protection of Personal Data</w:t>
        </w:r>
      </w:hyperlink>
      <w:r w:rsidRPr="00B71DC7">
        <w:rPr>
          <w:rFonts w:eastAsia="Helvetica Neue"/>
          <w:sz w:val="24"/>
          <w:szCs w:val="24"/>
          <w:lang w:val="en-US" w:eastAsia="zh-CN"/>
        </w:rPr>
        <w:t xml:space="preserve">, which </w:t>
      </w:r>
      <w:r w:rsidR="00484E0B">
        <w:rPr>
          <w:rFonts w:eastAsia="Helvetica Neue"/>
          <w:sz w:val="24"/>
          <w:szCs w:val="24"/>
          <w:lang w:val="en-US" w:eastAsia="zh-CN"/>
        </w:rPr>
        <w:t>was approved</w:t>
      </w:r>
      <w:r w:rsidRPr="00B71DC7">
        <w:rPr>
          <w:rFonts w:eastAsia="Helvetica Neue"/>
          <w:sz w:val="24"/>
          <w:szCs w:val="24"/>
          <w:lang w:val="en-US" w:eastAsia="zh-CN"/>
        </w:rPr>
        <w:t xml:space="preserve"> in 2018</w:t>
      </w:r>
      <w:r w:rsidR="00484E0B">
        <w:rPr>
          <w:rFonts w:eastAsia="Helvetica Neue"/>
          <w:sz w:val="24"/>
          <w:szCs w:val="24"/>
          <w:lang w:val="en-US" w:eastAsia="zh-CN"/>
        </w:rPr>
        <w:t xml:space="preserve"> (although only applicable by August of 2020)</w:t>
      </w:r>
      <w:r w:rsidRPr="00B71DC7">
        <w:rPr>
          <w:rFonts w:eastAsia="Helvetica Neue"/>
          <w:sz w:val="24"/>
          <w:szCs w:val="24"/>
          <w:lang w:val="en-US" w:eastAsia="zh-CN"/>
        </w:rPr>
        <w:t xml:space="preserve"> and provides protection of data and privacy of Brazilian citizens.</w:t>
      </w:r>
      <w:r w:rsidR="00F16C51">
        <w:rPr>
          <w:rFonts w:eastAsia="Helvetica Neue"/>
          <w:sz w:val="24"/>
          <w:szCs w:val="24"/>
          <w:lang w:val="en-US" w:eastAsia="zh-CN"/>
        </w:rPr>
        <w:t xml:space="preserve"> This legislation </w:t>
      </w:r>
      <w:r w:rsidR="000B1C0C">
        <w:rPr>
          <w:rFonts w:eastAsia="Helvetica Neue"/>
          <w:sz w:val="24"/>
          <w:szCs w:val="24"/>
          <w:lang w:val="en-US" w:eastAsia="zh-CN"/>
        </w:rPr>
        <w:t xml:space="preserve">establishes some types of data, considered </w:t>
      </w:r>
      <w:r w:rsidR="00255C5A">
        <w:rPr>
          <w:rFonts w:eastAsia="Helvetica Neue"/>
          <w:sz w:val="24"/>
          <w:szCs w:val="24"/>
          <w:lang w:val="en-US" w:eastAsia="zh-CN"/>
        </w:rPr>
        <w:t xml:space="preserve">as </w:t>
      </w:r>
      <w:r w:rsidR="000B1C0C">
        <w:rPr>
          <w:rFonts w:eastAsia="Helvetica Neue"/>
          <w:sz w:val="24"/>
          <w:szCs w:val="24"/>
          <w:lang w:val="en-US" w:eastAsia="zh-CN"/>
        </w:rPr>
        <w:t>“</w:t>
      </w:r>
      <w:r w:rsidR="00CB2636">
        <w:rPr>
          <w:rFonts w:eastAsia="Helvetica Neue"/>
          <w:sz w:val="24"/>
          <w:szCs w:val="24"/>
          <w:lang w:val="en-US" w:eastAsia="zh-CN"/>
        </w:rPr>
        <w:t>sensitive</w:t>
      </w:r>
      <w:r w:rsidR="000B1C0C">
        <w:rPr>
          <w:rFonts w:eastAsia="Helvetica Neue"/>
          <w:sz w:val="24"/>
          <w:szCs w:val="24"/>
          <w:lang w:val="en-US" w:eastAsia="zh-CN"/>
        </w:rPr>
        <w:t xml:space="preserve"> personal data”</w:t>
      </w:r>
      <w:r w:rsidR="00255C5A">
        <w:rPr>
          <w:rFonts w:eastAsia="Helvetica Neue"/>
          <w:sz w:val="24"/>
          <w:szCs w:val="24"/>
          <w:lang w:val="en-US" w:eastAsia="zh-CN"/>
        </w:rPr>
        <w:t>,</w:t>
      </w:r>
      <w:r w:rsidR="000B1C0C">
        <w:rPr>
          <w:rFonts w:eastAsia="Helvetica Neue"/>
          <w:sz w:val="24"/>
          <w:szCs w:val="24"/>
          <w:lang w:val="en-US" w:eastAsia="zh-CN"/>
        </w:rPr>
        <w:t xml:space="preserve"> that deserves special protection. </w:t>
      </w:r>
      <w:r w:rsidR="000B1C0C" w:rsidRPr="000B1C0C">
        <w:rPr>
          <w:rFonts w:eastAsia="Helvetica Neue"/>
          <w:sz w:val="24"/>
          <w:szCs w:val="24"/>
          <w:lang w:val="en-US" w:eastAsia="zh-CN"/>
        </w:rPr>
        <w:t xml:space="preserve">In the definition of what would be this </w:t>
      </w:r>
      <w:r w:rsidR="00CB2636">
        <w:rPr>
          <w:rFonts w:eastAsia="Helvetica Neue"/>
          <w:sz w:val="24"/>
          <w:szCs w:val="24"/>
          <w:lang w:val="en-US" w:eastAsia="zh-CN"/>
        </w:rPr>
        <w:t>sensitive</w:t>
      </w:r>
      <w:r w:rsidR="000B1C0C" w:rsidRPr="000B1C0C">
        <w:rPr>
          <w:rFonts w:eastAsia="Helvetica Neue"/>
          <w:sz w:val="24"/>
          <w:szCs w:val="24"/>
          <w:lang w:val="en-US" w:eastAsia="zh-CN"/>
        </w:rPr>
        <w:t xml:space="preserve"> data, the law states that </w:t>
      </w:r>
      <w:r w:rsidR="00255C5A">
        <w:rPr>
          <w:rFonts w:eastAsia="Helvetica Neue"/>
          <w:sz w:val="24"/>
          <w:szCs w:val="24"/>
          <w:lang w:val="en-US" w:eastAsia="zh-CN"/>
        </w:rPr>
        <w:t>those are the ones</w:t>
      </w:r>
      <w:r w:rsidR="000B1C0C" w:rsidRPr="000B1C0C">
        <w:rPr>
          <w:rFonts w:eastAsia="Helvetica Neue"/>
          <w:sz w:val="24"/>
          <w:szCs w:val="24"/>
          <w:lang w:val="en-US" w:eastAsia="zh-CN"/>
        </w:rPr>
        <w:t xml:space="preserve"> regard</w:t>
      </w:r>
      <w:r w:rsidR="00255C5A">
        <w:rPr>
          <w:rFonts w:eastAsia="Helvetica Neue"/>
          <w:sz w:val="24"/>
          <w:szCs w:val="24"/>
          <w:lang w:val="en-US" w:eastAsia="zh-CN"/>
        </w:rPr>
        <w:t>ing</w:t>
      </w:r>
      <w:r w:rsidR="000B1C0C" w:rsidRPr="000B1C0C">
        <w:rPr>
          <w:rFonts w:eastAsia="Helvetica Neue"/>
          <w:sz w:val="24"/>
          <w:szCs w:val="24"/>
          <w:lang w:val="en-US" w:eastAsia="zh-CN"/>
        </w:rPr>
        <w:t xml:space="preserve"> “racial or ethnical origin, religious conviction</w:t>
      </w:r>
      <w:r w:rsidR="000B1C0C">
        <w:rPr>
          <w:rFonts w:eastAsia="Helvetica Neue"/>
          <w:sz w:val="24"/>
          <w:szCs w:val="24"/>
          <w:lang w:val="en-US" w:eastAsia="zh-CN"/>
        </w:rPr>
        <w:t xml:space="preserve">, political opinion, filiation to union or organization of religious, philosophical or political character, data regarding health or </w:t>
      </w:r>
      <w:r w:rsidR="000B1C0C">
        <w:rPr>
          <w:rFonts w:eastAsia="Helvetica Neue"/>
          <w:b/>
          <w:sz w:val="24"/>
          <w:szCs w:val="24"/>
          <w:lang w:val="en-US" w:eastAsia="zh-CN"/>
        </w:rPr>
        <w:t>sexual life</w:t>
      </w:r>
      <w:r w:rsidR="000B1C0C">
        <w:rPr>
          <w:rFonts w:eastAsia="Helvetica Neue"/>
          <w:sz w:val="24"/>
          <w:szCs w:val="24"/>
          <w:lang w:val="en-US" w:eastAsia="zh-CN"/>
        </w:rPr>
        <w:t xml:space="preserve">, genetic or biometric data, when attached to a natural person”. </w:t>
      </w:r>
      <w:r w:rsidR="00CB2636">
        <w:rPr>
          <w:rFonts w:eastAsia="Helvetica Neue"/>
          <w:sz w:val="24"/>
          <w:szCs w:val="24"/>
          <w:lang w:val="en-US" w:eastAsia="zh-CN"/>
        </w:rPr>
        <w:t>Despite the fact it mentions “sexual life” as a sensitive data</w:t>
      </w:r>
      <w:r w:rsidR="00D46ABE">
        <w:rPr>
          <w:rFonts w:eastAsia="Helvetica Neue"/>
          <w:sz w:val="24"/>
          <w:szCs w:val="24"/>
          <w:lang w:val="en-US" w:eastAsia="zh-CN"/>
        </w:rPr>
        <w:t xml:space="preserve"> type</w:t>
      </w:r>
      <w:r w:rsidR="00CB2636">
        <w:rPr>
          <w:rFonts w:eastAsia="Helvetica Neue"/>
          <w:sz w:val="24"/>
          <w:szCs w:val="24"/>
          <w:lang w:val="en-US" w:eastAsia="zh-CN"/>
        </w:rPr>
        <w:t xml:space="preserve">, it is still unsure whether this will apply to protect data regarding sexual orientation or not. For example, the European </w:t>
      </w:r>
      <w:hyperlink r:id="rId15" w:history="1">
        <w:r w:rsidR="00CB2636" w:rsidRPr="00CB2636">
          <w:rPr>
            <w:rStyle w:val="Hyperlink"/>
            <w:rFonts w:eastAsia="Helvetica Neue"/>
            <w:sz w:val="24"/>
            <w:szCs w:val="24"/>
            <w:lang w:val="en-US" w:eastAsia="zh-CN"/>
          </w:rPr>
          <w:t xml:space="preserve">General Data Protection Regulation </w:t>
        </w:r>
      </w:hyperlink>
      <w:r w:rsidR="00CB2636">
        <w:rPr>
          <w:rFonts w:eastAsia="Helvetica Neue"/>
          <w:sz w:val="24"/>
          <w:szCs w:val="24"/>
          <w:lang w:val="en-US" w:eastAsia="zh-CN"/>
        </w:rPr>
        <w:t>explicitly mention sexual orientation, besides “sex life”</w:t>
      </w:r>
      <w:r w:rsidR="0098545C">
        <w:rPr>
          <w:rFonts w:eastAsia="Helvetica Neue"/>
          <w:sz w:val="24"/>
          <w:szCs w:val="24"/>
          <w:lang w:val="en-US" w:eastAsia="zh-CN"/>
        </w:rPr>
        <w:t xml:space="preserve">, which guarantees juridical certainty with regard of the protection of this kind of data. </w:t>
      </w:r>
      <w:r w:rsidR="00CB2636">
        <w:rPr>
          <w:rFonts w:eastAsia="Helvetica Neue"/>
          <w:sz w:val="24"/>
          <w:szCs w:val="24"/>
          <w:lang w:val="en-US" w:eastAsia="zh-CN"/>
        </w:rPr>
        <w:t xml:space="preserve"> </w:t>
      </w:r>
      <w:r w:rsidR="000B1C0C" w:rsidRPr="000B1C0C">
        <w:rPr>
          <w:rFonts w:eastAsia="Helvetica Neue"/>
          <w:sz w:val="24"/>
          <w:szCs w:val="24"/>
          <w:lang w:val="en-US" w:eastAsia="zh-CN"/>
        </w:rPr>
        <w:t xml:space="preserve"> </w:t>
      </w:r>
    </w:p>
    <w:p w:rsidR="00B71DC7" w:rsidRPr="00CB2636" w:rsidRDefault="00B71DC7" w:rsidP="00955CDF">
      <w:pPr>
        <w:pBdr>
          <w:top w:val="nil"/>
          <w:left w:val="nil"/>
          <w:bottom w:val="nil"/>
          <w:right w:val="nil"/>
          <w:between w:val="nil"/>
        </w:pBdr>
        <w:spacing w:line="360" w:lineRule="auto"/>
        <w:jc w:val="both"/>
        <w:rPr>
          <w:sz w:val="24"/>
          <w:szCs w:val="24"/>
          <w:lang w:val="en-US" w:eastAsia="zh-CN"/>
        </w:rPr>
      </w:pPr>
    </w:p>
    <w:p w:rsidR="00B71DC7" w:rsidRDefault="00955CDF" w:rsidP="00B71DC7">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sz w:val="24"/>
          <w:szCs w:val="24"/>
          <w:lang w:val="en-US" w:eastAsia="zh-CN"/>
        </w:rPr>
      </w:pPr>
      <w:r>
        <w:rPr>
          <w:rFonts w:eastAsia="Times New Roman"/>
          <w:b/>
          <w:sz w:val="24"/>
          <w:szCs w:val="24"/>
          <w:lang w:val="en-US" w:eastAsia="zh-CN"/>
        </w:rPr>
        <w:t xml:space="preserve">4) </w:t>
      </w:r>
      <w:r w:rsidRPr="00955CDF">
        <w:rPr>
          <w:rFonts w:eastAsia="Times New Roman"/>
          <w:sz w:val="24"/>
          <w:szCs w:val="24"/>
          <w:lang w:val="en-US" w:eastAsia="zh-CN"/>
        </w:rPr>
        <w:t xml:space="preserve">What are the risks associated with the collection and management of data on sexual orientation and gender identity and initiatives to overcome those?  </w:t>
      </w:r>
    </w:p>
    <w:p w:rsidR="00B71DC7" w:rsidRPr="00B71DC7" w:rsidRDefault="00B71DC7" w:rsidP="00B71DC7">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sz w:val="24"/>
          <w:szCs w:val="24"/>
          <w:lang w:val="en-US" w:eastAsia="zh-CN"/>
        </w:rPr>
      </w:pPr>
      <w:r>
        <w:rPr>
          <w:rFonts w:eastAsia="Helvetica Neue"/>
          <w:b/>
          <w:color w:val="C00000"/>
          <w:sz w:val="24"/>
          <w:szCs w:val="24"/>
          <w:lang w:val="en-US" w:eastAsia="zh-CN"/>
        </w:rPr>
        <w:t>Input</w:t>
      </w:r>
      <w:r w:rsidRPr="00296D59">
        <w:rPr>
          <w:rFonts w:eastAsia="Helvetica Neue"/>
          <w:b/>
          <w:color w:val="C00000"/>
          <w:sz w:val="24"/>
          <w:szCs w:val="24"/>
          <w:lang w:val="en-US" w:eastAsia="zh-CN"/>
        </w:rPr>
        <w:t>:</w:t>
      </w:r>
      <w:r>
        <w:rPr>
          <w:rFonts w:eastAsia="Helvetica Neue"/>
          <w:b/>
          <w:color w:val="C00000"/>
          <w:sz w:val="24"/>
          <w:szCs w:val="24"/>
          <w:lang w:val="en-US" w:eastAsia="zh-CN"/>
        </w:rPr>
        <w:t xml:space="preserve"> </w:t>
      </w:r>
      <w:r w:rsidRPr="00B71DC7">
        <w:rPr>
          <w:rFonts w:eastAsia="Times New Roman"/>
          <w:sz w:val="24"/>
          <w:szCs w:val="24"/>
          <w:lang w:val="en-US" w:eastAsia="zh-CN"/>
        </w:rPr>
        <w:t>The main challenge regarding collection and management of data on sexual orientation and gender identity is certainly that some people may not feel comfortable or may even feel afraid of disclosing their identities, due to the history of discrimination experienced by LGBTI people</w:t>
      </w:r>
      <w:r w:rsidR="00310B06">
        <w:rPr>
          <w:rFonts w:eastAsia="Times New Roman"/>
          <w:sz w:val="24"/>
          <w:szCs w:val="24"/>
          <w:lang w:val="en-US" w:eastAsia="zh-CN"/>
        </w:rPr>
        <w:t xml:space="preserve"> in Brazil and </w:t>
      </w:r>
      <w:r w:rsidR="003804BC">
        <w:rPr>
          <w:rFonts w:eastAsia="Times New Roman"/>
          <w:sz w:val="24"/>
          <w:szCs w:val="24"/>
          <w:lang w:val="en-US" w:eastAsia="zh-CN"/>
        </w:rPr>
        <w:t xml:space="preserve">in </w:t>
      </w:r>
      <w:r w:rsidR="00310B06">
        <w:rPr>
          <w:rFonts w:eastAsia="Times New Roman"/>
          <w:sz w:val="24"/>
          <w:szCs w:val="24"/>
          <w:lang w:val="en-US" w:eastAsia="zh-CN"/>
        </w:rPr>
        <w:t>the rest of the world</w:t>
      </w:r>
      <w:r w:rsidRPr="00B71DC7">
        <w:rPr>
          <w:rFonts w:eastAsia="Times New Roman"/>
          <w:sz w:val="24"/>
          <w:szCs w:val="24"/>
          <w:lang w:val="en-US" w:eastAsia="zh-CN"/>
        </w:rPr>
        <w:t>. Individuals may be also reluctant to take part in da</w:t>
      </w:r>
      <w:r>
        <w:rPr>
          <w:rFonts w:eastAsia="Times New Roman"/>
          <w:sz w:val="24"/>
          <w:szCs w:val="24"/>
          <w:lang w:val="en-US" w:eastAsia="zh-CN"/>
        </w:rPr>
        <w:t>ta collection processes if this</w:t>
      </w:r>
      <w:r w:rsidRPr="00B71DC7">
        <w:rPr>
          <w:rFonts w:eastAsia="Times New Roman"/>
          <w:sz w:val="24"/>
          <w:szCs w:val="24"/>
          <w:lang w:val="en-US" w:eastAsia="zh-CN"/>
        </w:rPr>
        <w:t xml:space="preserve"> risk disclosing their identities without their consent. </w:t>
      </w:r>
    </w:p>
    <w:p w:rsidR="00B71DC7" w:rsidRDefault="00B71DC7" w:rsidP="00B71DC7">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sz w:val="24"/>
          <w:szCs w:val="24"/>
          <w:lang w:val="en-US" w:eastAsia="zh-CN"/>
        </w:rPr>
      </w:pPr>
      <w:r w:rsidRPr="00B71DC7">
        <w:rPr>
          <w:rFonts w:eastAsia="Times New Roman"/>
          <w:sz w:val="24"/>
          <w:szCs w:val="24"/>
          <w:lang w:val="en-US" w:eastAsia="zh-CN"/>
        </w:rPr>
        <w:t>A possible mean of overcoming reluctance to disclose sexual orientation, gender identity or sex characteristics is the implementation of anonymous online surveys. Nevertheless, results of online survey may reflect those who are already more open about their sexuality and gender identities in websites/social networks, besides not covering those people who do not have access to internet</w:t>
      </w:r>
      <w:r w:rsidR="00310B06">
        <w:rPr>
          <w:rFonts w:eastAsia="Times New Roman"/>
          <w:sz w:val="24"/>
          <w:szCs w:val="24"/>
          <w:lang w:val="en-US" w:eastAsia="zh-CN"/>
        </w:rPr>
        <w:t xml:space="preserve"> in Brazil</w:t>
      </w:r>
      <w:r w:rsidRPr="00B71DC7">
        <w:rPr>
          <w:rFonts w:eastAsia="Times New Roman"/>
          <w:sz w:val="24"/>
          <w:szCs w:val="24"/>
          <w:lang w:val="en-US" w:eastAsia="zh-CN"/>
        </w:rPr>
        <w:t xml:space="preserve"> (almost 63 million people, according to the IBGE). Therefore, it is also important to display physical copies of the anonymous surveys in local application </w:t>
      </w:r>
      <w:r w:rsidR="00231680" w:rsidRPr="00B71DC7">
        <w:rPr>
          <w:rFonts w:eastAsia="Times New Roman"/>
          <w:sz w:val="24"/>
          <w:szCs w:val="24"/>
          <w:lang w:val="en-US" w:eastAsia="zh-CN"/>
        </w:rPr>
        <w:t>centers</w:t>
      </w:r>
      <w:r w:rsidRPr="00B71DC7">
        <w:rPr>
          <w:rFonts w:eastAsia="Times New Roman"/>
          <w:sz w:val="24"/>
          <w:szCs w:val="24"/>
          <w:lang w:val="en-US" w:eastAsia="zh-CN"/>
        </w:rPr>
        <w:t>, such as civil society LGBTI organizations and public spaces frequented by LGBTI population.</w:t>
      </w:r>
    </w:p>
    <w:p w:rsidR="00955CDF" w:rsidRPr="00955CDF"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sz w:val="24"/>
          <w:szCs w:val="24"/>
          <w:lang w:val="en-US" w:eastAsia="zh-CN"/>
        </w:rPr>
      </w:pPr>
    </w:p>
    <w:p w:rsidR="006163BD"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Helvetica Neue"/>
          <w:sz w:val="24"/>
          <w:szCs w:val="24"/>
          <w:lang w:val="en-US" w:eastAsia="zh-CN"/>
        </w:rPr>
      </w:pPr>
      <w:r>
        <w:rPr>
          <w:rFonts w:eastAsia="Helvetica Neue"/>
          <w:b/>
          <w:sz w:val="24"/>
          <w:szCs w:val="24"/>
          <w:lang w:val="en-US" w:eastAsia="zh-CN"/>
        </w:rPr>
        <w:t xml:space="preserve">5) </w:t>
      </w:r>
      <w:r w:rsidRPr="00955CDF">
        <w:rPr>
          <w:rFonts w:eastAsia="Helvetica Neue"/>
          <w:sz w:val="24"/>
          <w:szCs w:val="24"/>
          <w:lang w:val="en-US" w:eastAsia="zh-CN"/>
        </w:rPr>
        <w:t>Are there circumstances where data collection is ill-advised, such as in countries that criminalize same-sex behavior or where particular government agencies have demonstrated a cause for concern regarding their treatment of issues related to sexual orientation and gender identity?</w:t>
      </w:r>
    </w:p>
    <w:p w:rsidR="00A7693B" w:rsidRDefault="006163BD" w:rsidP="00A7693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Helvetica Neue"/>
          <w:sz w:val="24"/>
          <w:szCs w:val="24"/>
          <w:lang w:val="en-US" w:eastAsia="zh-CN"/>
        </w:rPr>
      </w:pPr>
      <w:r>
        <w:rPr>
          <w:rFonts w:eastAsia="Helvetica Neue"/>
          <w:b/>
          <w:color w:val="C00000"/>
          <w:sz w:val="24"/>
          <w:szCs w:val="24"/>
          <w:lang w:val="en-US" w:eastAsia="zh-CN"/>
        </w:rPr>
        <w:t>Input</w:t>
      </w:r>
      <w:r w:rsidRPr="00296D59">
        <w:rPr>
          <w:rFonts w:eastAsia="Helvetica Neue"/>
          <w:b/>
          <w:color w:val="C00000"/>
          <w:sz w:val="24"/>
          <w:szCs w:val="24"/>
          <w:lang w:val="en-US" w:eastAsia="zh-CN"/>
        </w:rPr>
        <w:t>:</w:t>
      </w:r>
      <w:r>
        <w:rPr>
          <w:rFonts w:eastAsia="Helvetica Neue"/>
          <w:b/>
          <w:color w:val="C00000"/>
          <w:sz w:val="24"/>
          <w:szCs w:val="24"/>
          <w:lang w:val="en-US" w:eastAsia="zh-CN"/>
        </w:rPr>
        <w:t xml:space="preserve"> </w:t>
      </w:r>
      <w:r>
        <w:rPr>
          <w:rFonts w:eastAsia="Helvetica Neue"/>
          <w:sz w:val="24"/>
          <w:szCs w:val="24"/>
          <w:lang w:val="en-US" w:eastAsia="zh-CN"/>
        </w:rPr>
        <w:t xml:space="preserve">Brazil’s current president </w:t>
      </w:r>
      <w:r w:rsidR="003804BC">
        <w:rPr>
          <w:rFonts w:eastAsia="Helvetica Neue"/>
          <w:sz w:val="24"/>
          <w:szCs w:val="24"/>
          <w:lang w:val="en-US" w:eastAsia="zh-CN"/>
        </w:rPr>
        <w:t xml:space="preserve">was elected </w:t>
      </w:r>
      <w:r>
        <w:rPr>
          <w:rFonts w:eastAsia="Helvetica Neue"/>
          <w:sz w:val="24"/>
          <w:szCs w:val="24"/>
          <w:lang w:val="en-US" w:eastAsia="zh-CN"/>
        </w:rPr>
        <w:t xml:space="preserve">under an extremely conservative and LGBTI-phobic agenda. During the campaign he </w:t>
      </w:r>
      <w:r w:rsidR="006D4BC3">
        <w:rPr>
          <w:rFonts w:eastAsia="Helvetica Neue"/>
          <w:sz w:val="24"/>
          <w:szCs w:val="24"/>
          <w:lang w:val="en-US" w:eastAsia="zh-CN"/>
        </w:rPr>
        <w:t>openly spoke against LGBTI rights already guaranteed in Brazil (such as same-</w:t>
      </w:r>
      <w:r w:rsidR="003804BC">
        <w:rPr>
          <w:rFonts w:eastAsia="Helvetica Neue"/>
          <w:sz w:val="24"/>
          <w:szCs w:val="24"/>
          <w:lang w:val="en-US" w:eastAsia="zh-CN"/>
        </w:rPr>
        <w:t>sex</w:t>
      </w:r>
      <w:r w:rsidR="006D4BC3">
        <w:rPr>
          <w:rFonts w:eastAsia="Helvetica Neue"/>
          <w:sz w:val="24"/>
          <w:szCs w:val="24"/>
          <w:lang w:val="en-US" w:eastAsia="zh-CN"/>
        </w:rPr>
        <w:t xml:space="preserve"> marriage and rights of trans persons to change their name and gender assigned at birth). He also made several declarations indicating that sexually diverse persons should suffer violence and that no kind of sexual education should be contemplated in school’s curricula. In addition to his systematic homo and transphobic behavior, he assigned an extremely conservative politician and with religious background to the “Ministry of Woman, Human Rights and Family</w:t>
      </w:r>
      <w:r w:rsidR="003804BC">
        <w:rPr>
          <w:rFonts w:eastAsia="Helvetica Neue"/>
          <w:sz w:val="24"/>
          <w:szCs w:val="24"/>
          <w:lang w:val="en-US" w:eastAsia="zh-CN"/>
        </w:rPr>
        <w:t>”. She has</w:t>
      </w:r>
      <w:r w:rsidR="006D4BC3">
        <w:rPr>
          <w:rFonts w:eastAsia="Helvetica Neue"/>
          <w:sz w:val="24"/>
          <w:szCs w:val="24"/>
          <w:lang w:val="en-US" w:eastAsia="zh-CN"/>
        </w:rPr>
        <w:t xml:space="preserve"> more than once have spo</w:t>
      </w:r>
      <w:r w:rsidR="003804BC">
        <w:rPr>
          <w:rFonts w:eastAsia="Helvetica Neue"/>
          <w:sz w:val="24"/>
          <w:szCs w:val="24"/>
          <w:lang w:val="en-US" w:eastAsia="zh-CN"/>
        </w:rPr>
        <w:t>ken against LGBTI rights and</w:t>
      </w:r>
      <w:r w:rsidR="006D4BC3">
        <w:rPr>
          <w:rFonts w:eastAsia="Helvetica Neue"/>
          <w:sz w:val="24"/>
          <w:szCs w:val="24"/>
          <w:lang w:val="en-US" w:eastAsia="zh-CN"/>
        </w:rPr>
        <w:t xml:space="preserve"> </w:t>
      </w:r>
      <w:r w:rsidR="008F1B3E">
        <w:rPr>
          <w:rFonts w:eastAsia="Helvetica Neue"/>
          <w:sz w:val="24"/>
          <w:szCs w:val="24"/>
          <w:lang w:val="en-US" w:eastAsia="zh-CN"/>
        </w:rPr>
        <w:t xml:space="preserve">abolished the </w:t>
      </w:r>
      <w:r w:rsidR="00A7693B">
        <w:rPr>
          <w:rFonts w:eastAsia="Helvetica Neue"/>
          <w:sz w:val="24"/>
          <w:szCs w:val="24"/>
          <w:lang w:val="en-US" w:eastAsia="zh-CN"/>
        </w:rPr>
        <w:t xml:space="preserve">special organ focused in LGBTI issues within the Ministry. Moreover, she has repeatedly made declarations reinforcing gender binarism. Given this context, it is difficult to assert if a massive data collection regarding LGBTI issues, conducted by the government, would </w:t>
      </w:r>
      <w:r w:rsidR="00DC502D">
        <w:rPr>
          <w:rFonts w:eastAsia="Helvetica Neue"/>
          <w:sz w:val="24"/>
          <w:szCs w:val="24"/>
          <w:lang w:val="en-US" w:eastAsia="zh-CN"/>
        </w:rPr>
        <w:t>be advised at this time</w:t>
      </w:r>
      <w:r w:rsidR="00A7693B">
        <w:rPr>
          <w:rFonts w:eastAsia="Helvetica Neue"/>
          <w:sz w:val="24"/>
          <w:szCs w:val="24"/>
          <w:lang w:val="en-US" w:eastAsia="zh-CN"/>
        </w:rPr>
        <w:t xml:space="preserve">. That is because in view of the highly anti-LGBTI positionings of the current government and its conservative agenda, the data collected could be misused in order to harm LGBTI persons. Therefore, although the Brazilian government still has to advance greatly in data production and collection about LGBTI people, any initiatives conducted by the current government must be closely and carefully monitored.   </w:t>
      </w:r>
    </w:p>
    <w:p w:rsidR="006163BD" w:rsidRPr="006163BD" w:rsidRDefault="006163BD" w:rsidP="00A7693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Helvetica Neue"/>
          <w:sz w:val="24"/>
          <w:szCs w:val="24"/>
          <w:lang w:val="en-US" w:eastAsia="zh-CN"/>
        </w:rPr>
      </w:pPr>
      <w:r>
        <w:rPr>
          <w:rFonts w:eastAsia="Helvetica Neue"/>
          <w:sz w:val="24"/>
          <w:szCs w:val="24"/>
          <w:lang w:val="en-US" w:eastAsia="zh-CN"/>
        </w:rPr>
        <w:t xml:space="preserve"> </w:t>
      </w:r>
    </w:p>
    <w:p w:rsidR="00955CDF" w:rsidRPr="00955CDF"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sz w:val="24"/>
          <w:szCs w:val="24"/>
          <w:lang w:val="en-US" w:eastAsia="zh-CN"/>
        </w:rPr>
      </w:pPr>
      <w:r>
        <w:rPr>
          <w:rFonts w:eastAsia="Helvetica Neue"/>
          <w:b/>
          <w:sz w:val="24"/>
          <w:szCs w:val="24"/>
          <w:lang w:val="en-US" w:eastAsia="zh-CN"/>
        </w:rPr>
        <w:t xml:space="preserve">6) </w:t>
      </w:r>
      <w:r w:rsidRPr="00955CDF">
        <w:rPr>
          <w:rFonts w:eastAsia="Helvetica Neue"/>
          <w:sz w:val="24"/>
          <w:szCs w:val="24"/>
          <w:lang w:val="en-US" w:eastAsia="zh-CN"/>
        </w:rPr>
        <w:t>When States engage in data gathering activity, to what extent is civil society able to meaningfully participate in the design and implementation of these programs?  This question includes the following:</w:t>
      </w:r>
    </w:p>
    <w:p w:rsidR="00955CDF" w:rsidRPr="00955CDF"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sz w:val="24"/>
          <w:szCs w:val="24"/>
          <w:lang w:val="en-US" w:eastAsia="zh-CN"/>
        </w:rPr>
      </w:pPr>
      <w:r>
        <w:rPr>
          <w:rFonts w:eastAsia="Helvetica Neue"/>
          <w:b/>
          <w:sz w:val="24"/>
          <w:szCs w:val="24"/>
          <w:lang w:val="en-US" w:eastAsia="zh-CN"/>
        </w:rPr>
        <w:t xml:space="preserve">a. </w:t>
      </w:r>
      <w:r w:rsidRPr="00955CDF">
        <w:rPr>
          <w:rFonts w:eastAsia="Helvetica Neue"/>
          <w:sz w:val="24"/>
          <w:szCs w:val="24"/>
          <w:lang w:val="en-US" w:eastAsia="zh-CN"/>
        </w:rPr>
        <w:t>Do states have policies that guide the process of civil society participation national statistical programs and other State efforts to increase knowledge about LGBT populations?</w:t>
      </w:r>
    </w:p>
    <w:p w:rsidR="00955CDF" w:rsidRPr="00955CDF"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sz w:val="24"/>
          <w:szCs w:val="24"/>
          <w:lang w:val="en-US" w:eastAsia="zh-CN"/>
        </w:rPr>
      </w:pPr>
      <w:r>
        <w:rPr>
          <w:rFonts w:eastAsia="Calibri"/>
          <w:b/>
          <w:sz w:val="24"/>
          <w:szCs w:val="24"/>
          <w:lang w:val="en-US" w:eastAsia="zh-CN"/>
        </w:rPr>
        <w:t xml:space="preserve">b. </w:t>
      </w:r>
      <w:r w:rsidRPr="00955CDF">
        <w:rPr>
          <w:rFonts w:eastAsia="Calibri"/>
          <w:sz w:val="24"/>
          <w:szCs w:val="24"/>
          <w:lang w:val="en-US" w:eastAsia="zh-CN"/>
        </w:rPr>
        <w:t>Does civil society have the capacity, in terms of expertise and technical knowledge, to meaningfully participate in State efforts to gather data?</w:t>
      </w:r>
    </w:p>
    <w:p w:rsidR="00AB4491"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sz w:val="24"/>
          <w:szCs w:val="24"/>
          <w:lang w:val="en-US" w:eastAsia="zh-CN"/>
        </w:rPr>
      </w:pPr>
      <w:r>
        <w:rPr>
          <w:rFonts w:eastAsia="Calibri"/>
          <w:b/>
          <w:sz w:val="24"/>
          <w:szCs w:val="24"/>
          <w:lang w:val="en-US" w:eastAsia="zh-CN"/>
        </w:rPr>
        <w:t xml:space="preserve">c. </w:t>
      </w:r>
      <w:r w:rsidRPr="00955CDF">
        <w:rPr>
          <w:rFonts w:eastAsia="Calibri"/>
          <w:sz w:val="24"/>
          <w:szCs w:val="24"/>
          <w:lang w:val="en-US" w:eastAsia="zh-CN"/>
        </w:rPr>
        <w:t>What constitutes meaningful participation in this area?</w:t>
      </w:r>
    </w:p>
    <w:p w:rsidR="00514DDB" w:rsidRDefault="00AB4491"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Helvetica Neue"/>
          <w:sz w:val="24"/>
          <w:szCs w:val="24"/>
          <w:lang w:val="en-US" w:eastAsia="zh-CN"/>
        </w:rPr>
      </w:pPr>
      <w:r>
        <w:rPr>
          <w:rFonts w:eastAsia="Helvetica Neue"/>
          <w:b/>
          <w:color w:val="C00000"/>
          <w:sz w:val="24"/>
          <w:szCs w:val="24"/>
          <w:lang w:val="en-US" w:eastAsia="zh-CN"/>
        </w:rPr>
        <w:t>Input</w:t>
      </w:r>
      <w:r w:rsidRPr="00296D59">
        <w:rPr>
          <w:rFonts w:eastAsia="Helvetica Neue"/>
          <w:b/>
          <w:color w:val="C00000"/>
          <w:sz w:val="24"/>
          <w:szCs w:val="24"/>
          <w:lang w:val="en-US" w:eastAsia="zh-CN"/>
        </w:rPr>
        <w:t>:</w:t>
      </w:r>
      <w:r w:rsidR="00B7107D">
        <w:rPr>
          <w:rFonts w:eastAsia="Helvetica Neue"/>
          <w:b/>
          <w:color w:val="C00000"/>
          <w:sz w:val="24"/>
          <w:szCs w:val="24"/>
          <w:lang w:val="en-US" w:eastAsia="zh-CN"/>
        </w:rPr>
        <w:t xml:space="preserve"> </w:t>
      </w:r>
      <w:r w:rsidR="00B7107D">
        <w:rPr>
          <w:rFonts w:eastAsia="Helvetica Neue"/>
          <w:sz w:val="24"/>
          <w:szCs w:val="24"/>
          <w:lang w:val="en-US" w:eastAsia="zh-CN"/>
        </w:rPr>
        <w:t xml:space="preserve">As previously mentioned there have not been any State effort to conduct national data collection regarding the LGBTI population. Thus, there is no information about the participation of civil society in such specific data collection initiatives. Nonetheless, it is of general concern that the current government will not be open to dialogue with civil society organizations, especially the ones dedicated to “human rights issues”, since the government has made it clear that they are against the activities conduct by such organizations given that they represent “interests of the left”. In this sense, it has even issued an </w:t>
      </w:r>
      <w:hyperlink r:id="rId16" w:history="1">
        <w:r w:rsidR="00B7107D" w:rsidRPr="00B7107D">
          <w:rPr>
            <w:rStyle w:val="Hyperlink"/>
            <w:rFonts w:eastAsia="Helvetica Neue"/>
            <w:sz w:val="24"/>
            <w:szCs w:val="24"/>
            <w:lang w:val="en-US" w:eastAsia="zh-CN"/>
          </w:rPr>
          <w:t>executive measure</w:t>
        </w:r>
      </w:hyperlink>
      <w:r w:rsidR="00B7107D">
        <w:rPr>
          <w:rFonts w:eastAsia="Helvetica Neue"/>
          <w:sz w:val="24"/>
          <w:szCs w:val="24"/>
          <w:lang w:val="en-US" w:eastAsia="zh-CN"/>
        </w:rPr>
        <w:t xml:space="preserve"> that </w:t>
      </w:r>
      <w:r w:rsidR="005B313A">
        <w:rPr>
          <w:rFonts w:eastAsia="Helvetica Neue"/>
          <w:sz w:val="24"/>
          <w:szCs w:val="24"/>
          <w:lang w:val="en-US" w:eastAsia="zh-CN"/>
        </w:rPr>
        <w:t xml:space="preserve">gives the government the power to monitor the activities of NGOs in all national territory. This measure was seen with great concern by all civil </w:t>
      </w:r>
      <w:r w:rsidR="00514DDB">
        <w:rPr>
          <w:rFonts w:eastAsia="Helvetica Neue"/>
          <w:sz w:val="24"/>
          <w:szCs w:val="24"/>
          <w:lang w:val="en-US" w:eastAsia="zh-CN"/>
        </w:rPr>
        <w:t>society since</w:t>
      </w:r>
      <w:r w:rsidR="005B313A">
        <w:rPr>
          <w:rFonts w:eastAsia="Helvetica Neue"/>
          <w:sz w:val="24"/>
          <w:szCs w:val="24"/>
          <w:lang w:val="en-US" w:eastAsia="zh-CN"/>
        </w:rPr>
        <w:t xml:space="preserve"> it has shown yet another explicit attempt to control </w:t>
      </w:r>
      <w:r w:rsidR="00514DDB">
        <w:rPr>
          <w:rFonts w:eastAsia="Helvetica Neue"/>
          <w:sz w:val="24"/>
          <w:szCs w:val="24"/>
          <w:lang w:val="en-US" w:eastAsia="zh-CN"/>
        </w:rPr>
        <w:t>and impair</w:t>
      </w:r>
      <w:r w:rsidR="005B313A">
        <w:rPr>
          <w:rFonts w:eastAsia="Helvetica Neue"/>
          <w:sz w:val="24"/>
          <w:szCs w:val="24"/>
          <w:lang w:val="en-US" w:eastAsia="zh-CN"/>
        </w:rPr>
        <w:t xml:space="preserve"> NGO’s activities. </w:t>
      </w:r>
    </w:p>
    <w:p w:rsidR="00AB4491" w:rsidRPr="00B7107D" w:rsidRDefault="00514DDB"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sz w:val="24"/>
          <w:szCs w:val="24"/>
          <w:lang w:val="en-US" w:eastAsia="zh-CN"/>
        </w:rPr>
      </w:pPr>
      <w:r>
        <w:rPr>
          <w:rFonts w:eastAsia="Helvetica Neue"/>
          <w:sz w:val="24"/>
          <w:szCs w:val="24"/>
          <w:lang w:val="en-US" w:eastAsia="zh-CN"/>
        </w:rPr>
        <w:t xml:space="preserve">With regard to what constitutes meaningful participation in data collection, it is essential that civil </w:t>
      </w:r>
      <w:r w:rsidR="003804BC">
        <w:rPr>
          <w:rFonts w:eastAsia="Helvetica Neue"/>
          <w:sz w:val="24"/>
          <w:szCs w:val="24"/>
          <w:lang w:val="en-US" w:eastAsia="zh-CN"/>
        </w:rPr>
        <w:t xml:space="preserve">society </w:t>
      </w:r>
      <w:r>
        <w:rPr>
          <w:rFonts w:eastAsia="Helvetica Neue"/>
          <w:sz w:val="24"/>
          <w:szCs w:val="24"/>
          <w:lang w:val="en-US" w:eastAsia="zh-CN"/>
        </w:rPr>
        <w:t xml:space="preserve">has a real influence (meaning that their suggestions are effectively and not only formally considered) in the definition of what types of data will be collected, what questions will be asked, and also in what regions and </w:t>
      </w:r>
      <w:r w:rsidR="003804BC">
        <w:rPr>
          <w:rFonts w:eastAsia="Helvetica Neue"/>
          <w:sz w:val="24"/>
          <w:szCs w:val="24"/>
          <w:lang w:val="en-US" w:eastAsia="zh-CN"/>
        </w:rPr>
        <w:t>what</w:t>
      </w:r>
      <w:r>
        <w:rPr>
          <w:rFonts w:eastAsia="Helvetica Neue"/>
          <w:sz w:val="24"/>
          <w:szCs w:val="24"/>
          <w:lang w:val="en-US" w:eastAsia="zh-CN"/>
        </w:rPr>
        <w:t xml:space="preserve"> method </w:t>
      </w:r>
      <w:r w:rsidR="003804BC">
        <w:rPr>
          <w:rFonts w:eastAsia="Helvetica Neue"/>
          <w:sz w:val="24"/>
          <w:szCs w:val="24"/>
          <w:lang w:val="en-US" w:eastAsia="zh-CN"/>
        </w:rPr>
        <w:t>will be applied</w:t>
      </w:r>
      <w:r>
        <w:rPr>
          <w:rFonts w:eastAsia="Helvetica Neue"/>
          <w:sz w:val="24"/>
          <w:szCs w:val="24"/>
          <w:lang w:val="en-US" w:eastAsia="zh-CN"/>
        </w:rPr>
        <w:t xml:space="preserve">. Otherwise, the participation of civil society may be used only to legitimate an arbitrary and non-inclusive process of data collection that may lead to unwanted or useless results.   </w:t>
      </w:r>
      <w:r w:rsidR="00B7107D">
        <w:rPr>
          <w:rFonts w:eastAsia="Helvetica Neue"/>
          <w:sz w:val="24"/>
          <w:szCs w:val="24"/>
          <w:lang w:val="en-US" w:eastAsia="zh-CN"/>
        </w:rPr>
        <w:t xml:space="preserve">  </w:t>
      </w:r>
    </w:p>
    <w:p w:rsidR="00955CDF" w:rsidRPr="00955CDF" w:rsidRDefault="00955CDF" w:rsidP="00955CDF">
      <w:pPr>
        <w:pBdr>
          <w:top w:val="none" w:sz="0" w:space="0" w:color="auto"/>
          <w:left w:val="none" w:sz="0" w:space="0" w:color="auto"/>
          <w:bottom w:val="none" w:sz="0" w:space="0" w:color="auto"/>
          <w:right w:val="none" w:sz="0" w:space="0" w:color="auto"/>
          <w:between w:val="none" w:sz="0" w:space="0" w:color="auto"/>
        </w:pBdr>
        <w:spacing w:line="360" w:lineRule="auto"/>
        <w:jc w:val="both"/>
        <w:rPr>
          <w:sz w:val="24"/>
          <w:szCs w:val="24"/>
          <w:lang w:val="en-US" w:eastAsia="zh-CN"/>
        </w:rPr>
      </w:pPr>
    </w:p>
    <w:p w:rsidR="00AB4491" w:rsidRDefault="00955CDF" w:rsidP="00955CDF">
      <w:pPr>
        <w:pBdr>
          <w:top w:val="nil"/>
          <w:left w:val="nil"/>
          <w:bottom w:val="nil"/>
          <w:right w:val="nil"/>
          <w:between w:val="nil"/>
        </w:pBdr>
        <w:spacing w:line="360" w:lineRule="auto"/>
        <w:jc w:val="both"/>
        <w:rPr>
          <w:rFonts w:eastAsia="Helvetica Neue"/>
          <w:sz w:val="24"/>
          <w:szCs w:val="24"/>
          <w:lang w:val="en-US" w:eastAsia="zh-CN"/>
        </w:rPr>
      </w:pPr>
      <w:r>
        <w:rPr>
          <w:rFonts w:eastAsia="Helvetica Neue"/>
          <w:b/>
          <w:sz w:val="24"/>
          <w:szCs w:val="24"/>
          <w:lang w:val="en-US" w:eastAsia="zh-CN"/>
        </w:rPr>
        <w:t xml:space="preserve">7) </w:t>
      </w:r>
      <w:r w:rsidRPr="00955CDF">
        <w:rPr>
          <w:rFonts w:eastAsia="Helvetica Neue"/>
          <w:sz w:val="24"/>
          <w:szCs w:val="24"/>
          <w:lang w:val="en-US" w:eastAsia="zh-CN"/>
        </w:rPr>
        <w:t>Does the lack of a global classification scheme carry risks that data will not be useful for international comparisons or will not accurately reflect the identities and lived realities of local populations? </w:t>
      </w:r>
    </w:p>
    <w:p w:rsidR="00AB4491" w:rsidRPr="00125BFC" w:rsidRDefault="00AB4491" w:rsidP="00955CDF">
      <w:pPr>
        <w:pBdr>
          <w:top w:val="nil"/>
          <w:left w:val="nil"/>
          <w:bottom w:val="nil"/>
          <w:right w:val="nil"/>
          <w:between w:val="nil"/>
        </w:pBdr>
        <w:spacing w:line="360" w:lineRule="auto"/>
        <w:jc w:val="both"/>
        <w:rPr>
          <w:sz w:val="24"/>
          <w:szCs w:val="24"/>
          <w:lang w:val="en-US" w:eastAsia="zh-CN"/>
        </w:rPr>
      </w:pPr>
      <w:r>
        <w:rPr>
          <w:rFonts w:eastAsia="Helvetica Neue"/>
          <w:b/>
          <w:color w:val="C00000"/>
          <w:sz w:val="24"/>
          <w:szCs w:val="24"/>
          <w:lang w:val="en-US" w:eastAsia="zh-CN"/>
        </w:rPr>
        <w:t>Input</w:t>
      </w:r>
      <w:r w:rsidRPr="00296D59">
        <w:rPr>
          <w:rFonts w:eastAsia="Helvetica Neue"/>
          <w:b/>
          <w:color w:val="C00000"/>
          <w:sz w:val="24"/>
          <w:szCs w:val="24"/>
          <w:lang w:val="en-US" w:eastAsia="zh-CN"/>
        </w:rPr>
        <w:t>:</w:t>
      </w:r>
      <w:r w:rsidR="00125BFC">
        <w:rPr>
          <w:rFonts w:eastAsia="Helvetica Neue"/>
          <w:b/>
          <w:color w:val="C00000"/>
          <w:sz w:val="24"/>
          <w:szCs w:val="24"/>
          <w:lang w:val="en-US" w:eastAsia="zh-CN"/>
        </w:rPr>
        <w:t xml:space="preserve"> </w:t>
      </w:r>
      <w:r w:rsidR="00125BFC">
        <w:rPr>
          <w:rFonts w:eastAsia="Helvetica Neue"/>
          <w:sz w:val="24"/>
          <w:szCs w:val="24"/>
          <w:lang w:val="en-US" w:eastAsia="zh-CN"/>
        </w:rPr>
        <w:t xml:space="preserve">Although a global classification scheme may be of great help in the comparison of realities around the world, its </w:t>
      </w:r>
      <w:r w:rsidR="001A4948">
        <w:rPr>
          <w:rFonts w:eastAsia="Helvetica Neue"/>
          <w:sz w:val="24"/>
          <w:szCs w:val="24"/>
          <w:lang w:val="en-US" w:eastAsia="zh-CN"/>
        </w:rPr>
        <w:t>absence does not necessarily mean that the data will be useless. It is important, however, that every classification is well described, so that persons from different realities can understand the meaning of the classification from elsewhere. Moreover, it is important to note that there seems to be an actual risk of invisibilizing</w:t>
      </w:r>
      <w:r w:rsidR="003804BC">
        <w:rPr>
          <w:rFonts w:eastAsia="Helvetica Neue"/>
          <w:sz w:val="24"/>
          <w:szCs w:val="24"/>
          <w:lang w:val="en-US" w:eastAsia="zh-CN"/>
        </w:rPr>
        <w:t xml:space="preserve"> and erasing</w:t>
      </w:r>
      <w:r w:rsidR="001A4948">
        <w:rPr>
          <w:rFonts w:eastAsia="Helvetica Neue"/>
          <w:sz w:val="24"/>
          <w:szCs w:val="24"/>
          <w:lang w:val="en-US" w:eastAsia="zh-CN"/>
        </w:rPr>
        <w:t xml:space="preserve"> regional identities when establishing a unique scheme for classification worldwide. That is because it is really difficult to establish a common ground for such classification. Even when focusing only in status language (i.e. sexual orientation, gender identity and expression and sex characteristics) rather than identity language (i.e. lesbians, gays, </w:t>
      </w:r>
      <w:r w:rsidR="002408BC">
        <w:rPr>
          <w:rFonts w:eastAsia="Helvetica Neue"/>
          <w:sz w:val="24"/>
          <w:szCs w:val="24"/>
          <w:lang w:val="en-US" w:eastAsia="zh-CN"/>
        </w:rPr>
        <w:t xml:space="preserve">bisexuals, trans and intersex), there is an actual problem of erasing identities. That is because mentioning only “diverse sexual orientation”, for example, is too abstract and general and would not cover different realities as well as differentiated exposure </w:t>
      </w:r>
      <w:r w:rsidR="003804BC">
        <w:rPr>
          <w:rFonts w:eastAsia="Helvetica Neue"/>
          <w:sz w:val="24"/>
          <w:szCs w:val="24"/>
          <w:lang w:val="en-US" w:eastAsia="zh-CN"/>
        </w:rPr>
        <w:t>to violence and discrimination suffered by persons that experience</w:t>
      </w:r>
      <w:r w:rsidR="002408BC">
        <w:rPr>
          <w:rFonts w:eastAsia="Helvetica Neue"/>
          <w:sz w:val="24"/>
          <w:szCs w:val="24"/>
          <w:lang w:val="en-US" w:eastAsia="zh-CN"/>
        </w:rPr>
        <w:t xml:space="preserve"> sexuality in profoundly distinct ways.  </w:t>
      </w:r>
      <w:r w:rsidR="001A4948">
        <w:rPr>
          <w:rFonts w:eastAsia="Helvetica Neue"/>
          <w:sz w:val="24"/>
          <w:szCs w:val="24"/>
          <w:lang w:val="en-US" w:eastAsia="zh-CN"/>
        </w:rPr>
        <w:t xml:space="preserve">       </w:t>
      </w:r>
      <w:r w:rsidR="00125BFC">
        <w:rPr>
          <w:rFonts w:eastAsia="Helvetica Neue"/>
          <w:sz w:val="24"/>
          <w:szCs w:val="24"/>
          <w:lang w:val="en-US" w:eastAsia="zh-CN"/>
        </w:rPr>
        <w:t xml:space="preserve"> </w:t>
      </w:r>
    </w:p>
    <w:p w:rsidR="006001A0" w:rsidRPr="00955CDF" w:rsidRDefault="006001A0" w:rsidP="00955CDF">
      <w:pPr>
        <w:spacing w:line="360" w:lineRule="auto"/>
        <w:rPr>
          <w:lang w:val="en-US"/>
        </w:rPr>
      </w:pPr>
    </w:p>
    <w:p w:rsidR="006001A0" w:rsidRDefault="006001A0" w:rsidP="00955CDF">
      <w:pPr>
        <w:spacing w:line="360" w:lineRule="auto"/>
        <w:rPr>
          <w:rFonts w:asciiTheme="majorHAnsi" w:hAnsiTheme="majorHAnsi"/>
          <w:lang w:val="en-US"/>
        </w:rPr>
      </w:pPr>
    </w:p>
    <w:p w:rsidR="0098545C" w:rsidRDefault="0098545C" w:rsidP="00955CDF">
      <w:pPr>
        <w:spacing w:line="360" w:lineRule="auto"/>
        <w:rPr>
          <w:rFonts w:asciiTheme="majorHAnsi" w:hAnsiTheme="majorHAnsi"/>
          <w:lang w:val="en-US"/>
        </w:rPr>
      </w:pPr>
    </w:p>
    <w:sectPr w:rsidR="0098545C">
      <w:headerReference w:type="default" r:id="rId17"/>
      <w:footerReference w:type="default" r:id="rId1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AD" w:rsidRDefault="006900AD">
      <w:pPr>
        <w:spacing w:line="240" w:lineRule="auto"/>
      </w:pPr>
      <w:r>
        <w:separator/>
      </w:r>
    </w:p>
  </w:endnote>
  <w:endnote w:type="continuationSeparator" w:id="0">
    <w:p w:rsidR="006900AD" w:rsidRDefault="0069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1A0" w:rsidRDefault="0084569A">
    <w:r>
      <w:rPr>
        <w:noProof/>
        <w:lang w:val="en-GB" w:eastAsia="en-GB"/>
      </w:rPr>
      <w:drawing>
        <wp:anchor distT="0" distB="0" distL="0" distR="0" simplePos="0" relativeHeight="251659264" behindDoc="0" locked="0" layoutInCell="1" hidden="0" allowOverlap="1">
          <wp:simplePos x="0" y="0"/>
          <wp:positionH relativeFrom="column">
            <wp:posOffset>-914399</wp:posOffset>
          </wp:positionH>
          <wp:positionV relativeFrom="paragraph">
            <wp:posOffset>172085</wp:posOffset>
          </wp:positionV>
          <wp:extent cx="7577455" cy="46799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77455" cy="46799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AD" w:rsidRDefault="006900AD">
      <w:pPr>
        <w:spacing w:line="240" w:lineRule="auto"/>
      </w:pPr>
      <w:r>
        <w:separator/>
      </w:r>
    </w:p>
  </w:footnote>
  <w:footnote w:type="continuationSeparator" w:id="0">
    <w:p w:rsidR="006900AD" w:rsidRDefault="006900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1A0" w:rsidRDefault="00FB0D4B">
    <w:r>
      <w:rPr>
        <w:noProof/>
        <w:lang w:val="en-GB" w:eastAsia="en-GB"/>
      </w:rPr>
      <w:drawing>
        <wp:anchor distT="0" distB="0" distL="114300" distR="114300" simplePos="0" relativeHeight="251660288" behindDoc="0" locked="0" layoutInCell="1" allowOverlap="1">
          <wp:simplePos x="0" y="0"/>
          <wp:positionH relativeFrom="column">
            <wp:posOffset>4096987</wp:posOffset>
          </wp:positionH>
          <wp:positionV relativeFrom="paragraph">
            <wp:posOffset>308758</wp:posOffset>
          </wp:positionV>
          <wp:extent cx="2327564" cy="105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6-07 at 20.36.14.png"/>
                  <pic:cNvPicPr/>
                </pic:nvPicPr>
                <pic:blipFill>
                  <a:blip r:embed="rId1">
                    <a:extLst>
                      <a:ext uri="{28A0092B-C50C-407E-A947-70E740481C1C}">
                        <a14:useLocalDpi xmlns:a14="http://schemas.microsoft.com/office/drawing/2010/main" val="0"/>
                      </a:ext>
                    </a:extLst>
                  </a:blip>
                  <a:stretch>
                    <a:fillRect/>
                  </a:stretch>
                </pic:blipFill>
                <pic:spPr>
                  <a:xfrm>
                    <a:off x="0" y="0"/>
                    <a:ext cx="2327564" cy="1055125"/>
                  </a:xfrm>
                  <a:prstGeom prst="rect">
                    <a:avLst/>
                  </a:prstGeom>
                </pic:spPr>
              </pic:pic>
            </a:graphicData>
          </a:graphic>
          <wp14:sizeRelH relativeFrom="page">
            <wp14:pctWidth>0</wp14:pctWidth>
          </wp14:sizeRelH>
          <wp14:sizeRelV relativeFrom="page">
            <wp14:pctHeight>0</wp14:pctHeight>
          </wp14:sizeRelV>
        </wp:anchor>
      </w:drawing>
    </w:r>
    <w:r w:rsidR="0084569A">
      <w:rPr>
        <w:noProof/>
        <w:lang w:val="en-GB" w:eastAsia="en-GB"/>
      </w:rPr>
      <w:drawing>
        <wp:anchor distT="0" distB="0" distL="0" distR="0" simplePos="0" relativeHeight="251658240" behindDoc="0" locked="0" layoutInCell="1" hidden="0" allowOverlap="1">
          <wp:simplePos x="0" y="0"/>
          <wp:positionH relativeFrom="column">
            <wp:posOffset>-923288</wp:posOffset>
          </wp:positionH>
          <wp:positionV relativeFrom="paragraph">
            <wp:posOffset>-66039</wp:posOffset>
          </wp:positionV>
          <wp:extent cx="7710170" cy="149098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710170" cy="14909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807F4"/>
    <w:multiLevelType w:val="multilevel"/>
    <w:tmpl w:val="A992B54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A0"/>
    <w:rsid w:val="000B1C0C"/>
    <w:rsid w:val="00125BFC"/>
    <w:rsid w:val="00133F68"/>
    <w:rsid w:val="0018736A"/>
    <w:rsid w:val="001926A7"/>
    <w:rsid w:val="001A4948"/>
    <w:rsid w:val="00231680"/>
    <w:rsid w:val="002408BC"/>
    <w:rsid w:val="00251750"/>
    <w:rsid w:val="002542D3"/>
    <w:rsid w:val="00255C5A"/>
    <w:rsid w:val="00296D59"/>
    <w:rsid w:val="002C5057"/>
    <w:rsid w:val="00310B06"/>
    <w:rsid w:val="00317CCE"/>
    <w:rsid w:val="00371DBF"/>
    <w:rsid w:val="003804BC"/>
    <w:rsid w:val="003B7572"/>
    <w:rsid w:val="003D1A88"/>
    <w:rsid w:val="0041218B"/>
    <w:rsid w:val="004565AE"/>
    <w:rsid w:val="004754FC"/>
    <w:rsid w:val="00484E0B"/>
    <w:rsid w:val="00491F49"/>
    <w:rsid w:val="004A056C"/>
    <w:rsid w:val="00514DDB"/>
    <w:rsid w:val="00554764"/>
    <w:rsid w:val="005B313A"/>
    <w:rsid w:val="005E7C5A"/>
    <w:rsid w:val="005F745F"/>
    <w:rsid w:val="006001A0"/>
    <w:rsid w:val="006163BD"/>
    <w:rsid w:val="006271F9"/>
    <w:rsid w:val="00676BEF"/>
    <w:rsid w:val="006900AD"/>
    <w:rsid w:val="006D4BC3"/>
    <w:rsid w:val="00772269"/>
    <w:rsid w:val="0084569A"/>
    <w:rsid w:val="00845FB9"/>
    <w:rsid w:val="008B1F7F"/>
    <w:rsid w:val="008F1B3E"/>
    <w:rsid w:val="00915CFC"/>
    <w:rsid w:val="0095500F"/>
    <w:rsid w:val="00955CDF"/>
    <w:rsid w:val="0098545C"/>
    <w:rsid w:val="00A07EF6"/>
    <w:rsid w:val="00A404CE"/>
    <w:rsid w:val="00A405AB"/>
    <w:rsid w:val="00A7693B"/>
    <w:rsid w:val="00A81716"/>
    <w:rsid w:val="00AA2416"/>
    <w:rsid w:val="00AB4491"/>
    <w:rsid w:val="00B54D8B"/>
    <w:rsid w:val="00B7107D"/>
    <w:rsid w:val="00B71DC7"/>
    <w:rsid w:val="00B81BB6"/>
    <w:rsid w:val="00BC5054"/>
    <w:rsid w:val="00C107D9"/>
    <w:rsid w:val="00C8743C"/>
    <w:rsid w:val="00CB2636"/>
    <w:rsid w:val="00D46ABE"/>
    <w:rsid w:val="00DB2131"/>
    <w:rsid w:val="00DC502D"/>
    <w:rsid w:val="00E25940"/>
    <w:rsid w:val="00E97C8B"/>
    <w:rsid w:val="00F16C51"/>
    <w:rsid w:val="00F62FDF"/>
    <w:rsid w:val="00FB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669BAF1-B192-1C4A-AE4E-A4AC5030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FB0D4B"/>
    <w:pPr>
      <w:tabs>
        <w:tab w:val="center" w:pos="4680"/>
        <w:tab w:val="right" w:pos="9360"/>
      </w:tabs>
      <w:spacing w:line="240" w:lineRule="auto"/>
    </w:pPr>
  </w:style>
  <w:style w:type="character" w:customStyle="1" w:styleId="HeaderChar">
    <w:name w:val="Header Char"/>
    <w:basedOn w:val="DefaultParagraphFont"/>
    <w:link w:val="Header"/>
    <w:uiPriority w:val="99"/>
    <w:rsid w:val="00FB0D4B"/>
  </w:style>
  <w:style w:type="paragraph" w:styleId="Footer">
    <w:name w:val="footer"/>
    <w:basedOn w:val="Normal"/>
    <w:link w:val="FooterChar"/>
    <w:uiPriority w:val="99"/>
    <w:unhideWhenUsed/>
    <w:rsid w:val="00FB0D4B"/>
    <w:pPr>
      <w:tabs>
        <w:tab w:val="center" w:pos="4680"/>
        <w:tab w:val="right" w:pos="9360"/>
      </w:tabs>
      <w:spacing w:line="240" w:lineRule="auto"/>
    </w:pPr>
  </w:style>
  <w:style w:type="character" w:customStyle="1" w:styleId="FooterChar">
    <w:name w:val="Footer Char"/>
    <w:basedOn w:val="DefaultParagraphFont"/>
    <w:link w:val="Footer"/>
    <w:uiPriority w:val="99"/>
    <w:rsid w:val="00FB0D4B"/>
  </w:style>
  <w:style w:type="paragraph" w:styleId="ListParagraph">
    <w:name w:val="List Paragraph"/>
    <w:basedOn w:val="Normal"/>
    <w:uiPriority w:val="34"/>
    <w:qFormat/>
    <w:rsid w:val="00955CDF"/>
    <w:pPr>
      <w:ind w:left="720"/>
      <w:contextualSpacing/>
    </w:pPr>
  </w:style>
  <w:style w:type="character" w:styleId="Hyperlink">
    <w:name w:val="Hyperlink"/>
    <w:basedOn w:val="DefaultParagraphFont"/>
    <w:uiPriority w:val="99"/>
    <w:unhideWhenUsed/>
    <w:rsid w:val="00C8743C"/>
    <w:rPr>
      <w:color w:val="0000FF" w:themeColor="hyperlink"/>
      <w:u w:val="single"/>
    </w:rPr>
  </w:style>
  <w:style w:type="character" w:customStyle="1" w:styleId="UnresolvedMention">
    <w:name w:val="Unresolved Mention"/>
    <w:basedOn w:val="DefaultParagraphFont"/>
    <w:uiPriority w:val="99"/>
    <w:semiHidden/>
    <w:unhideWhenUsed/>
    <w:rsid w:val="00C8743C"/>
    <w:rPr>
      <w:color w:val="808080"/>
      <w:shd w:val="clear" w:color="auto" w:fill="E6E6E6"/>
    </w:rPr>
  </w:style>
  <w:style w:type="character" w:styleId="FollowedHyperlink">
    <w:name w:val="FollowedHyperlink"/>
    <w:basedOn w:val="DefaultParagraphFont"/>
    <w:uiPriority w:val="99"/>
    <w:semiHidden/>
    <w:unhideWhenUsed/>
    <w:rsid w:val="00231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dxs.org/" TargetMode="External"/><Relationship Id="rId13" Type="http://schemas.openxmlformats.org/officeDocument/2006/relationships/hyperlink" Target="http://www.planalto.gov.br/ccivil_03/leis/L587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nucleo.todxs.org/" TargetMode="External"/><Relationship Id="rId12" Type="http://schemas.openxmlformats.org/officeDocument/2006/relationships/hyperlink" Target="http://www.planalto.gov.br/ccivil_03/leis/L5534.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lanalto.gov.br/ccivil_03/_Ato2019-2022/2019/Mpv/mpv870.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decreto/Antigos/D73177.htm" TargetMode="External"/><Relationship Id="rId5" Type="http://schemas.openxmlformats.org/officeDocument/2006/relationships/footnotes" Target="footnotes.xml"/><Relationship Id="rId15" Type="http://schemas.openxmlformats.org/officeDocument/2006/relationships/hyperlink" Target="https://eur-lex.europa.eu/eli/reg/2016/679/oj" TargetMode="External"/><Relationship Id="rId23" Type="http://schemas.openxmlformats.org/officeDocument/2006/relationships/customXml" Target="../customXml/item3.xml"/><Relationship Id="rId10" Type="http://schemas.openxmlformats.org/officeDocument/2006/relationships/hyperlink" Target="https://www.mdh.gov.br/biblioteca/consultorias/lgbt/violencia-lgbtfobicas-no-brasil-dados-da-violenc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fael.lelis@todxs.org" TargetMode="External"/><Relationship Id="rId14" Type="http://schemas.openxmlformats.org/officeDocument/2006/relationships/hyperlink" Target="http://www.planalto.gov.br/ccivil_03/_Ato2015-2018/2018/Lei/L13709.htm"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82A149-3307-42E5-B7C0-C79AB1853210}"/>
</file>

<file path=customXml/itemProps2.xml><?xml version="1.0" encoding="utf-8"?>
<ds:datastoreItem xmlns:ds="http://schemas.openxmlformats.org/officeDocument/2006/customXml" ds:itemID="{4BAC5A7B-B7B0-4BA6-AF47-CADDF16FA90E}"/>
</file>

<file path=customXml/itemProps3.xml><?xml version="1.0" encoding="utf-8"?>
<ds:datastoreItem xmlns:ds="http://schemas.openxmlformats.org/officeDocument/2006/customXml" ds:itemID="{6CBAF937-FE42-4991-9765-9A140B056A3D}"/>
</file>

<file path=docProps/app.xml><?xml version="1.0" encoding="utf-8"?>
<Properties xmlns="http://schemas.openxmlformats.org/officeDocument/2006/extended-properties" xmlns:vt="http://schemas.openxmlformats.org/officeDocument/2006/docPropsVTypes">
  <Template>Normal.dotm</Template>
  <TotalTime>0</TotalTime>
  <Pages>7</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OCHSENBEIN Alice</dc:creator>
  <cp:lastModifiedBy>OCHSENBEIN Alice</cp:lastModifiedBy>
  <cp:revision>2</cp:revision>
  <dcterms:created xsi:type="dcterms:W3CDTF">2019-05-21T17:21:00Z</dcterms:created>
  <dcterms:modified xsi:type="dcterms:W3CDTF">2019-05-21T17:21:00Z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