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73" w:rsidRPr="0074028A" w:rsidRDefault="00CF7A73" w:rsidP="00CF7A73">
      <w:pPr>
        <w:tabs>
          <w:tab w:val="left" w:pos="3571"/>
        </w:tabs>
        <w:spacing w:line="240" w:lineRule="auto"/>
        <w:ind w:left="709"/>
        <w:jc w:val="center"/>
        <w:rPr>
          <w:rFonts w:ascii="Times New Roman" w:hAnsi="Times New Roman" w:cs="Times New Roman"/>
          <w:b/>
          <w:color w:val="000000" w:themeColor="text1"/>
          <w:shd w:val="clear" w:color="auto" w:fill="FFFFFF"/>
        </w:rPr>
      </w:pPr>
      <w:r w:rsidRPr="0074028A">
        <w:rPr>
          <w:rFonts w:ascii="Times New Roman" w:hAnsi="Times New Roman" w:cs="Times New Roman"/>
          <w:b/>
          <w:color w:val="000000" w:themeColor="text1"/>
          <w:shd w:val="clear" w:color="auto" w:fill="FFFFFF"/>
        </w:rPr>
        <w:t>F. No. 6/62/2019- Coord.</w:t>
      </w:r>
      <w:r w:rsidRPr="0074028A">
        <w:rPr>
          <w:rFonts w:ascii="Times New Roman" w:hAnsi="Times New Roman" w:cs="Times New Roman"/>
          <w:b/>
          <w:color w:val="000000" w:themeColor="text1"/>
          <w:shd w:val="clear" w:color="auto" w:fill="FFFFFF"/>
        </w:rPr>
        <w:br/>
        <w:t xml:space="preserve">NATIONAL HUMAN RIGHTS </w:t>
      </w:r>
      <w:r w:rsidR="00F0252A" w:rsidRPr="0074028A">
        <w:rPr>
          <w:rFonts w:ascii="Times New Roman" w:hAnsi="Times New Roman" w:cs="Times New Roman"/>
          <w:b/>
          <w:color w:val="000000" w:themeColor="text1"/>
          <w:shd w:val="clear" w:color="auto" w:fill="FFFFFF"/>
        </w:rPr>
        <w:t xml:space="preserve">COMMISSION </w:t>
      </w:r>
      <w:r w:rsidRPr="0074028A">
        <w:rPr>
          <w:rFonts w:ascii="Times New Roman" w:hAnsi="Times New Roman" w:cs="Times New Roman"/>
          <w:b/>
          <w:color w:val="000000" w:themeColor="text1"/>
          <w:shd w:val="clear" w:color="auto" w:fill="FFFFFF"/>
        </w:rPr>
        <w:br/>
        <w:t>(Coordination Section)</w:t>
      </w:r>
    </w:p>
    <w:p w:rsidR="00CF7A73" w:rsidRPr="0074028A" w:rsidRDefault="00CF7A73" w:rsidP="001273B5">
      <w:pPr>
        <w:ind w:left="709"/>
        <w:jc w:val="both"/>
        <w:rPr>
          <w:rFonts w:ascii="Times New Roman" w:hAnsi="Times New Roman" w:cs="Times New Roman"/>
          <w:b/>
          <w:color w:val="000000" w:themeColor="text1"/>
          <w:shd w:val="clear" w:color="auto" w:fill="FFFFFF"/>
        </w:rPr>
      </w:pPr>
    </w:p>
    <w:p w:rsidR="00D43A14" w:rsidRPr="0074028A" w:rsidRDefault="005B0529" w:rsidP="001273B5">
      <w:pPr>
        <w:ind w:left="709"/>
        <w:jc w:val="both"/>
        <w:rPr>
          <w:rFonts w:ascii="Times New Roman" w:hAnsi="Times New Roman" w:cs="Times New Roman"/>
          <w:b/>
          <w:color w:val="000000" w:themeColor="text1"/>
          <w:shd w:val="clear" w:color="auto" w:fill="FFFFFF"/>
        </w:rPr>
      </w:pPr>
      <w:r w:rsidRPr="0074028A">
        <w:rPr>
          <w:rFonts w:ascii="Times New Roman" w:hAnsi="Times New Roman" w:cs="Times New Roman"/>
          <w:b/>
          <w:color w:val="000000" w:themeColor="text1"/>
          <w:shd w:val="clear" w:color="auto" w:fill="FFFFFF"/>
        </w:rPr>
        <w:t>Sub: IE SOGI</w:t>
      </w:r>
      <w:r w:rsidR="00D43A14" w:rsidRPr="0074028A">
        <w:rPr>
          <w:rFonts w:ascii="Times New Roman" w:hAnsi="Times New Roman" w:cs="Times New Roman"/>
          <w:b/>
          <w:color w:val="000000" w:themeColor="text1"/>
          <w:shd w:val="clear" w:color="auto" w:fill="FFFFFF"/>
        </w:rPr>
        <w:t>– Call for inputs on protection against violence and discrimination based on sexual orientation and gender identity</w:t>
      </w:r>
    </w:p>
    <w:p w:rsidR="00FB3CF1" w:rsidRPr="0074028A" w:rsidRDefault="005B0529" w:rsidP="00FB3CF1">
      <w:pPr>
        <w:pStyle w:val="ListParagraph"/>
        <w:numPr>
          <w:ilvl w:val="0"/>
          <w:numId w:val="10"/>
        </w:numPr>
        <w:shd w:val="clear" w:color="auto" w:fill="FFFFFF"/>
        <w:spacing w:after="0" w:line="253" w:lineRule="atLeast"/>
        <w:jc w:val="both"/>
        <w:textAlignment w:val="top"/>
        <w:rPr>
          <w:rFonts w:ascii="Times New Roman" w:eastAsia="Times New Roman" w:hAnsi="Times New Roman" w:cs="Times New Roman"/>
          <w:color w:val="494949"/>
          <w:lang w:eastAsia="en-IN"/>
        </w:rPr>
      </w:pPr>
      <w:r w:rsidRPr="0074028A">
        <w:rPr>
          <w:rFonts w:ascii="Times New Roman" w:hAnsi="Times New Roman" w:cs="Times New Roman"/>
          <w:color w:val="000000" w:themeColor="text1"/>
        </w:rPr>
        <w:t>Gender is a social construct whereas sex is the biological make-up of</w:t>
      </w:r>
      <w:r w:rsidRPr="0074028A">
        <w:rPr>
          <w:rFonts w:ascii="Times New Roman" w:hAnsi="Times New Roman" w:cs="Times New Roman"/>
          <w:color w:val="000000" w:themeColor="text1"/>
        </w:rPr>
        <w:br/>
        <w:t>male and female</w:t>
      </w:r>
      <w:r w:rsidR="00F0252A" w:rsidRPr="0074028A">
        <w:rPr>
          <w:rFonts w:ascii="Times New Roman" w:hAnsi="Times New Roman" w:cs="Times New Roman"/>
          <w:color w:val="000000" w:themeColor="text1"/>
        </w:rPr>
        <w:t xml:space="preserve"> bodies.</w:t>
      </w:r>
      <w:r w:rsidRPr="0074028A">
        <w:rPr>
          <w:rFonts w:ascii="Times New Roman" w:hAnsi="Times New Roman" w:cs="Times New Roman"/>
          <w:color w:val="000000" w:themeColor="text1"/>
        </w:rPr>
        <w:t xml:space="preserve"> The conceptual perspectives on Gender, its interpretation and negotiation in social realities constitutes of how gender identities are actually constituted</w:t>
      </w:r>
      <w:r w:rsidR="00F0252A" w:rsidRPr="0074028A">
        <w:rPr>
          <w:rFonts w:ascii="Times New Roman" w:hAnsi="Times New Roman" w:cs="Times New Roman"/>
          <w:color w:val="000000" w:themeColor="text1"/>
        </w:rPr>
        <w:t xml:space="preserve"> in social realm</w:t>
      </w:r>
      <w:r w:rsidRPr="0074028A">
        <w:rPr>
          <w:rFonts w:ascii="Times New Roman" w:hAnsi="Times New Roman" w:cs="Times New Roman"/>
          <w:color w:val="000000" w:themeColor="text1"/>
        </w:rPr>
        <w:t xml:space="preserve">. The </w:t>
      </w:r>
      <w:r w:rsidR="00F0252A" w:rsidRPr="0074028A">
        <w:rPr>
          <w:rFonts w:ascii="Times New Roman" w:hAnsi="Times New Roman" w:cs="Times New Roman"/>
          <w:color w:val="000000" w:themeColor="text1"/>
        </w:rPr>
        <w:t>process of socialization facilitates the</w:t>
      </w:r>
      <w:r w:rsidRPr="0074028A">
        <w:rPr>
          <w:rFonts w:ascii="Times New Roman" w:hAnsi="Times New Roman" w:cs="Times New Roman"/>
          <w:color w:val="000000" w:themeColor="text1"/>
        </w:rPr>
        <w:t xml:space="preserve"> children to learn and internalise the norms and values of the family, community and society and learn to perform their respective roles.</w:t>
      </w:r>
      <w:r w:rsidR="00941F0C" w:rsidRPr="0074028A">
        <w:rPr>
          <w:rFonts w:ascii="Times New Roman" w:hAnsi="Times New Roman" w:cs="Times New Roman"/>
          <w:color w:val="000000" w:themeColor="text1"/>
        </w:rPr>
        <w:t xml:space="preserve"> </w:t>
      </w:r>
    </w:p>
    <w:p w:rsidR="00FB3CF1" w:rsidRPr="0074028A" w:rsidRDefault="00FB3CF1" w:rsidP="00FB3CF1">
      <w:pPr>
        <w:pStyle w:val="ListParagraph"/>
        <w:shd w:val="clear" w:color="auto" w:fill="FFFFFF"/>
        <w:spacing w:after="0" w:line="253" w:lineRule="atLeast"/>
        <w:jc w:val="both"/>
        <w:textAlignment w:val="top"/>
        <w:rPr>
          <w:rFonts w:ascii="Times New Roman" w:eastAsia="Times New Roman" w:hAnsi="Times New Roman" w:cs="Times New Roman"/>
          <w:color w:val="494949"/>
          <w:lang w:eastAsia="en-IN"/>
        </w:rPr>
      </w:pPr>
    </w:p>
    <w:p w:rsidR="00FB3CF1" w:rsidRPr="0074028A" w:rsidRDefault="00941F0C" w:rsidP="00FB3CF1">
      <w:pPr>
        <w:pStyle w:val="ListParagraph"/>
        <w:numPr>
          <w:ilvl w:val="0"/>
          <w:numId w:val="10"/>
        </w:numPr>
        <w:shd w:val="clear" w:color="auto" w:fill="FFFFFF"/>
        <w:spacing w:after="0" w:line="253" w:lineRule="atLeast"/>
        <w:jc w:val="both"/>
        <w:textAlignment w:val="top"/>
        <w:rPr>
          <w:rFonts w:ascii="Times New Roman" w:eastAsia="Times New Roman" w:hAnsi="Times New Roman" w:cs="Times New Roman"/>
          <w:color w:val="494949"/>
          <w:lang w:eastAsia="en-IN"/>
        </w:rPr>
      </w:pPr>
      <w:r w:rsidRPr="0074028A">
        <w:rPr>
          <w:rFonts w:ascii="Times New Roman" w:hAnsi="Times New Roman" w:cs="Times New Roman"/>
        </w:rPr>
        <w:t xml:space="preserve">In India as a developing country, the gender parity in education, land inheritance, political participation, the share of women in wage employment are the major acknowledged contributors for the achievement of Sustainable Development Goal (SDG-5) on </w:t>
      </w:r>
      <w:r w:rsidRPr="0074028A">
        <w:rPr>
          <w:rFonts w:ascii="Times New Roman" w:hAnsi="Times New Roman" w:cs="Times New Roman"/>
          <w:i/>
        </w:rPr>
        <w:t xml:space="preserve">Gender Equality </w:t>
      </w:r>
      <w:r w:rsidRPr="0074028A">
        <w:rPr>
          <w:rFonts w:ascii="Times New Roman" w:hAnsi="Times New Roman" w:cs="Times New Roman"/>
        </w:rPr>
        <w:t>that promises to stop discrimination and violence against women in public and private spaces and undertake the reforms that would provide an equal rights to women. So as to adopt and strengthen sound policies and enforceable legislations for the promotion of gender equality</w:t>
      </w:r>
      <w:r w:rsidR="00FB3CF1" w:rsidRPr="0074028A">
        <w:rPr>
          <w:rFonts w:ascii="Times New Roman" w:hAnsi="Times New Roman" w:cs="Times New Roman"/>
        </w:rPr>
        <w:t xml:space="preserve"> in India</w:t>
      </w:r>
      <w:r w:rsidRPr="0074028A">
        <w:rPr>
          <w:rFonts w:ascii="Times New Roman" w:hAnsi="Times New Roman" w:cs="Times New Roman"/>
        </w:rPr>
        <w:t>, the Ministry of Women and Child Development</w:t>
      </w:r>
      <w:r w:rsidR="00FB3CF1" w:rsidRPr="0074028A">
        <w:rPr>
          <w:rFonts w:ascii="Times New Roman" w:hAnsi="Times New Roman" w:cs="Times New Roman"/>
        </w:rPr>
        <w:t xml:space="preserve"> ( MWCD) is the nodal ministry</w:t>
      </w:r>
      <w:r w:rsidR="00FB3CF1" w:rsidRPr="0074028A">
        <w:rPr>
          <w:rFonts w:ascii="Times New Roman" w:eastAsia="Times New Roman" w:hAnsi="Times New Roman" w:cs="Times New Roman"/>
          <w:color w:val="494949"/>
          <w:lang w:eastAsia="en-IN"/>
        </w:rPr>
        <w:t xml:space="preserve">. </w:t>
      </w:r>
      <w:r w:rsidR="00FB3CF1" w:rsidRPr="0074028A">
        <w:rPr>
          <w:rFonts w:ascii="Times New Roman" w:eastAsia="Times New Roman" w:hAnsi="Times New Roman" w:cs="Times New Roman"/>
          <w:color w:val="000000" w:themeColor="text1"/>
          <w:lang w:eastAsia="en-IN"/>
        </w:rPr>
        <w:t xml:space="preserve">Along with this </w:t>
      </w:r>
      <w:r w:rsidR="00FB3CF1" w:rsidRPr="0074028A">
        <w:rPr>
          <w:rFonts w:ascii="Times New Roman" w:hAnsi="Times New Roman" w:cs="Times New Roman"/>
          <w:color w:val="000000" w:themeColor="text1"/>
        </w:rPr>
        <w:t>various other ministries, such as Ministry of Rural Development (MoRD, Department of Land Resources), Ministry of Housing and Urban Affairs (MoUD), Ministry of Housing and Urban Poverty Alleviation (MHUPA), Ministry of Social Justice and Empowerment (MSJE), Ministry of Electronics and Information Technology (MeitY), among others have also been identified as playing important roles in achieving gender-related Targets.</w:t>
      </w:r>
    </w:p>
    <w:p w:rsidR="00FB3CF1" w:rsidRPr="0074028A" w:rsidRDefault="00FB3CF1" w:rsidP="00FB3CF1">
      <w:pPr>
        <w:pStyle w:val="ListParagraph"/>
      </w:pPr>
    </w:p>
    <w:p w:rsidR="0090108A" w:rsidRPr="0074028A" w:rsidRDefault="00941F0C" w:rsidP="0074028A">
      <w:pPr>
        <w:pStyle w:val="ListParagraph"/>
        <w:numPr>
          <w:ilvl w:val="0"/>
          <w:numId w:val="10"/>
        </w:numPr>
        <w:shd w:val="clear" w:color="auto" w:fill="FFFFFF"/>
        <w:spacing w:after="0" w:line="253" w:lineRule="atLeast"/>
        <w:jc w:val="both"/>
        <w:textAlignment w:val="top"/>
        <w:rPr>
          <w:rFonts w:ascii="Times New Roman" w:eastAsia="Times New Roman" w:hAnsi="Times New Roman" w:cs="Times New Roman"/>
          <w:color w:val="494949"/>
          <w:lang w:eastAsia="en-IN"/>
        </w:rPr>
      </w:pPr>
      <w:r w:rsidRPr="0074028A">
        <w:rPr>
          <w:rFonts w:ascii="Times New Roman" w:hAnsi="Times New Roman" w:cs="Times New Roman"/>
        </w:rPr>
        <w:t>As a part of social fact,</w:t>
      </w:r>
      <w:r w:rsidR="00224420" w:rsidRPr="0074028A">
        <w:rPr>
          <w:rFonts w:ascii="Times New Roman" w:hAnsi="Times New Roman" w:cs="Times New Roman"/>
          <w:color w:val="000000" w:themeColor="text1"/>
        </w:rPr>
        <w:t xml:space="preserve"> the male and female </w:t>
      </w:r>
      <w:r w:rsidR="00F0252A" w:rsidRPr="0074028A">
        <w:rPr>
          <w:rFonts w:ascii="Times New Roman" w:hAnsi="Times New Roman" w:cs="Times New Roman"/>
          <w:color w:val="000000" w:themeColor="text1"/>
        </w:rPr>
        <w:t>gender faces</w:t>
      </w:r>
      <w:r w:rsidR="00224420" w:rsidRPr="0074028A">
        <w:rPr>
          <w:rFonts w:ascii="Times New Roman" w:hAnsi="Times New Roman" w:cs="Times New Roman"/>
          <w:color w:val="000000" w:themeColor="text1"/>
        </w:rPr>
        <w:t xml:space="preserve"> much lesser </w:t>
      </w:r>
      <w:r w:rsidR="00F0252A" w:rsidRPr="0074028A">
        <w:rPr>
          <w:rFonts w:ascii="Times New Roman" w:hAnsi="Times New Roman" w:cs="Times New Roman"/>
          <w:color w:val="000000" w:themeColor="text1"/>
        </w:rPr>
        <w:t>discrimination than the LGBTI people.</w:t>
      </w:r>
      <w:r w:rsidR="00224420" w:rsidRPr="0074028A">
        <w:rPr>
          <w:rFonts w:ascii="Times New Roman" w:hAnsi="Times New Roman" w:cs="Times New Roman"/>
          <w:color w:val="000000" w:themeColor="text1"/>
        </w:rPr>
        <w:t xml:space="preserve"> In India, there is a prolonged struggle to gain the identity</w:t>
      </w:r>
      <w:r w:rsidR="00F0252A" w:rsidRPr="0074028A">
        <w:rPr>
          <w:rFonts w:ascii="Times New Roman" w:hAnsi="Times New Roman" w:cs="Times New Roman"/>
          <w:color w:val="000000" w:themeColor="text1"/>
        </w:rPr>
        <w:t xml:space="preserve"> as a Lesbian Gay, Bisexual and Transgender. The</w:t>
      </w:r>
      <w:r w:rsidR="00224420" w:rsidRPr="0074028A">
        <w:rPr>
          <w:rFonts w:ascii="Times New Roman" w:hAnsi="Times New Roman" w:cs="Times New Roman"/>
          <w:color w:val="000000" w:themeColor="text1"/>
        </w:rPr>
        <w:t xml:space="preserve"> legal reservations</w:t>
      </w:r>
      <w:r w:rsidR="00F0252A" w:rsidRPr="0074028A">
        <w:rPr>
          <w:rFonts w:ascii="Times New Roman" w:hAnsi="Times New Roman" w:cs="Times New Roman"/>
          <w:color w:val="000000" w:themeColor="text1"/>
        </w:rPr>
        <w:t xml:space="preserve"> pertaining to each identity are yet to be achieved same as the Transgender is recognised as a legal category today, which will ensure the</w:t>
      </w:r>
      <w:r w:rsidR="00224420" w:rsidRPr="0074028A">
        <w:rPr>
          <w:rFonts w:ascii="Times New Roman" w:hAnsi="Times New Roman" w:cs="Times New Roman"/>
          <w:color w:val="000000" w:themeColor="text1"/>
        </w:rPr>
        <w:t xml:space="preserve"> life of dignity and an equal treatment</w:t>
      </w:r>
      <w:r w:rsidR="00F0252A" w:rsidRPr="0074028A">
        <w:rPr>
          <w:rFonts w:ascii="Times New Roman" w:hAnsi="Times New Roman" w:cs="Times New Roman"/>
          <w:color w:val="000000" w:themeColor="text1"/>
        </w:rPr>
        <w:t xml:space="preserve"> of gender minorities</w:t>
      </w:r>
      <w:r w:rsidR="00224420" w:rsidRPr="0074028A">
        <w:rPr>
          <w:rFonts w:ascii="Times New Roman" w:hAnsi="Times New Roman" w:cs="Times New Roman"/>
          <w:color w:val="000000" w:themeColor="text1"/>
        </w:rPr>
        <w:t xml:space="preserve"> in </w:t>
      </w:r>
      <w:r w:rsidR="00F0252A" w:rsidRPr="0074028A">
        <w:rPr>
          <w:rFonts w:ascii="Times New Roman" w:hAnsi="Times New Roman" w:cs="Times New Roman"/>
          <w:color w:val="000000" w:themeColor="text1"/>
        </w:rPr>
        <w:t>society.</w:t>
      </w:r>
      <w:r w:rsidR="00224420" w:rsidRPr="0074028A">
        <w:rPr>
          <w:rFonts w:ascii="Times New Roman" w:hAnsi="Times New Roman" w:cs="Times New Roman"/>
          <w:color w:val="000000" w:themeColor="text1"/>
        </w:rPr>
        <w:t xml:space="preserve">  </w:t>
      </w:r>
      <w:r w:rsidR="005B0529" w:rsidRPr="0074028A">
        <w:rPr>
          <w:rFonts w:ascii="Times New Roman" w:hAnsi="Times New Roman" w:cs="Times New Roman"/>
          <w:color w:val="000000" w:themeColor="text1"/>
          <w:shd w:val="clear" w:color="auto" w:fill="FFFFFF"/>
        </w:rPr>
        <w:t xml:space="preserve">‘In the case of India, in particular, </w:t>
      </w:r>
      <w:r w:rsidR="00F0252A" w:rsidRPr="0074028A">
        <w:rPr>
          <w:rFonts w:ascii="Times New Roman" w:hAnsi="Times New Roman" w:cs="Times New Roman"/>
          <w:color w:val="000000" w:themeColor="text1"/>
          <w:shd w:val="clear" w:color="auto" w:fill="FFFFFF"/>
        </w:rPr>
        <w:t xml:space="preserve"> on application of an international law </w:t>
      </w:r>
      <w:r w:rsidR="005B0529" w:rsidRPr="0074028A">
        <w:rPr>
          <w:rFonts w:ascii="Times New Roman" w:hAnsi="Times New Roman" w:cs="Times New Roman"/>
          <w:color w:val="000000" w:themeColor="text1"/>
          <w:shd w:val="clear" w:color="auto" w:fill="FFFFFF"/>
        </w:rPr>
        <w:t xml:space="preserve">with the Yogyakarta Principles </w:t>
      </w:r>
      <w:r w:rsidR="00F0252A" w:rsidRPr="0074028A">
        <w:rPr>
          <w:rFonts w:ascii="Times New Roman" w:hAnsi="Times New Roman" w:cs="Times New Roman"/>
          <w:color w:val="000000" w:themeColor="text1"/>
          <w:shd w:val="clear" w:color="auto" w:fill="FFFFFF"/>
        </w:rPr>
        <w:t xml:space="preserve">which reasoned </w:t>
      </w:r>
      <w:r w:rsidR="005B0529" w:rsidRPr="0074028A">
        <w:rPr>
          <w:rFonts w:ascii="Times New Roman" w:hAnsi="Times New Roman" w:cs="Times New Roman"/>
          <w:color w:val="000000" w:themeColor="text1"/>
          <w:shd w:val="clear" w:color="auto" w:fill="FFFFFF"/>
        </w:rPr>
        <w:t>repealing</w:t>
      </w:r>
      <w:r w:rsidR="00F0252A" w:rsidRPr="0074028A">
        <w:rPr>
          <w:rFonts w:ascii="Times New Roman" w:hAnsi="Times New Roman" w:cs="Times New Roman"/>
          <w:color w:val="000000" w:themeColor="text1"/>
          <w:shd w:val="clear" w:color="auto" w:fill="FFFFFF"/>
        </w:rPr>
        <w:t xml:space="preserve"> of</w:t>
      </w:r>
      <w:r w:rsidR="005B0529" w:rsidRPr="0074028A">
        <w:rPr>
          <w:rFonts w:ascii="Times New Roman" w:hAnsi="Times New Roman" w:cs="Times New Roman"/>
          <w:color w:val="000000" w:themeColor="text1"/>
          <w:shd w:val="clear" w:color="auto" w:fill="FFFFFF"/>
        </w:rPr>
        <w:t xml:space="preserve"> section 377 of the Indian Penal Code </w:t>
      </w:r>
      <w:r w:rsidR="005B0529" w:rsidRPr="0074028A">
        <w:rPr>
          <w:rFonts w:ascii="Times New Roman" w:hAnsi="Times New Roman" w:cs="Times New Roman"/>
          <w:color w:val="000000" w:themeColor="text1"/>
        </w:rPr>
        <w:t>(IPC)</w:t>
      </w:r>
      <w:r w:rsidR="00F0252A" w:rsidRPr="0074028A">
        <w:rPr>
          <w:rFonts w:ascii="Times New Roman" w:hAnsi="Times New Roman" w:cs="Times New Roman"/>
          <w:color w:val="000000" w:themeColor="text1"/>
          <w:shd w:val="clear" w:color="auto" w:fill="FFFFFF"/>
        </w:rPr>
        <w:t>. The</w:t>
      </w:r>
      <w:r w:rsidR="005B0529" w:rsidRPr="0074028A">
        <w:rPr>
          <w:rFonts w:ascii="Times New Roman" w:hAnsi="Times New Roman" w:cs="Times New Roman"/>
          <w:color w:val="000000" w:themeColor="text1"/>
          <w:shd w:val="clear" w:color="auto" w:fill="FFFFFF"/>
        </w:rPr>
        <w:t xml:space="preserve"> Government </w:t>
      </w:r>
      <w:r w:rsidR="005B0529" w:rsidRPr="0074028A">
        <w:rPr>
          <w:rFonts w:ascii="Times New Roman" w:hAnsi="Times New Roman" w:cs="Times New Roman"/>
          <w:color w:val="000000" w:themeColor="text1"/>
        </w:rPr>
        <w:t xml:space="preserve">decriminalised homosexuality and ensured that the violations against the fundamental rights of the LGBTQ community </w:t>
      </w:r>
      <w:r w:rsidR="00DB594C" w:rsidRPr="0074028A">
        <w:rPr>
          <w:rFonts w:ascii="Times New Roman" w:hAnsi="Times New Roman" w:cs="Times New Roman"/>
          <w:color w:val="000000" w:themeColor="text1"/>
        </w:rPr>
        <w:t xml:space="preserve">were removed. </w:t>
      </w:r>
      <w:r w:rsidR="002D352F" w:rsidRPr="0074028A">
        <w:rPr>
          <w:rFonts w:ascii="Times New Roman" w:hAnsi="Times New Roman" w:cs="Times New Roman"/>
          <w:color w:val="000000" w:themeColor="text1"/>
        </w:rPr>
        <w:t xml:space="preserve">The Supreme court upheld the pre-eminence of constitutional morality by observing that equality before the constitutional law </w:t>
      </w:r>
      <w:r w:rsidR="00430416" w:rsidRPr="0074028A">
        <w:rPr>
          <w:rFonts w:ascii="Times New Roman" w:hAnsi="Times New Roman" w:cs="Times New Roman"/>
          <w:color w:val="000000" w:themeColor="text1"/>
        </w:rPr>
        <w:t>(</w:t>
      </w:r>
      <w:r w:rsidR="002D352F" w:rsidRPr="0074028A">
        <w:rPr>
          <w:rFonts w:ascii="Times New Roman" w:hAnsi="Times New Roman" w:cs="Times New Roman"/>
          <w:color w:val="000000" w:themeColor="text1"/>
        </w:rPr>
        <w:t>as promised under the Article 14 of the Indian Constitution) cannot be denied by giving priority to public-ethnic or even religious morality. As observed by the Supreme Court that homosexuality is not exclusive to humans which intrinsically dispels the prejudice and discrimination against any gender identity</w:t>
      </w:r>
      <w:r w:rsidR="00430416" w:rsidRPr="0074028A">
        <w:rPr>
          <w:rFonts w:ascii="Times New Roman" w:hAnsi="Times New Roman" w:cs="Times New Roman"/>
          <w:color w:val="000000" w:themeColor="text1"/>
        </w:rPr>
        <w:t>.</w:t>
      </w:r>
      <w:r w:rsidR="00FC0C5D" w:rsidRPr="0074028A">
        <w:rPr>
          <w:rFonts w:ascii="Times New Roman" w:hAnsi="Times New Roman" w:cs="Times New Roman"/>
          <w:color w:val="000000" w:themeColor="text1"/>
        </w:rPr>
        <w:t xml:space="preserve"> </w:t>
      </w:r>
    </w:p>
    <w:p w:rsidR="0074028A" w:rsidRPr="0074028A" w:rsidRDefault="0074028A" w:rsidP="0074028A">
      <w:pPr>
        <w:pStyle w:val="ListParagraph"/>
        <w:shd w:val="clear" w:color="auto" w:fill="FFFFFF"/>
        <w:spacing w:after="0" w:line="253" w:lineRule="atLeast"/>
        <w:jc w:val="both"/>
        <w:textAlignment w:val="top"/>
        <w:rPr>
          <w:rFonts w:ascii="Times New Roman" w:eastAsia="Times New Roman" w:hAnsi="Times New Roman" w:cs="Times New Roman"/>
          <w:color w:val="494949"/>
          <w:lang w:eastAsia="en-IN"/>
        </w:rPr>
      </w:pPr>
    </w:p>
    <w:p w:rsidR="0074028A" w:rsidRPr="0074028A" w:rsidRDefault="001E36D0" w:rsidP="0074028A">
      <w:pPr>
        <w:pStyle w:val="NormalWeb"/>
        <w:numPr>
          <w:ilvl w:val="0"/>
          <w:numId w:val="10"/>
        </w:numPr>
        <w:tabs>
          <w:tab w:val="left" w:pos="851"/>
        </w:tabs>
        <w:spacing w:after="230" w:afterAutospacing="0"/>
        <w:jc w:val="both"/>
        <w:rPr>
          <w:color w:val="000000" w:themeColor="text1"/>
          <w:sz w:val="22"/>
          <w:szCs w:val="22"/>
        </w:rPr>
      </w:pPr>
      <w:r w:rsidRPr="0074028A">
        <w:rPr>
          <w:color w:val="000000" w:themeColor="text1"/>
          <w:sz w:val="22"/>
          <w:szCs w:val="22"/>
        </w:rPr>
        <w:t>H</w:t>
      </w:r>
      <w:r w:rsidR="005313F5" w:rsidRPr="0074028A">
        <w:rPr>
          <w:color w:val="000000" w:themeColor="text1"/>
          <w:sz w:val="22"/>
          <w:szCs w:val="22"/>
        </w:rPr>
        <w:t>istorically</w:t>
      </w:r>
      <w:r w:rsidR="0074028A">
        <w:rPr>
          <w:color w:val="000000" w:themeColor="text1"/>
          <w:sz w:val="22"/>
          <w:szCs w:val="22"/>
        </w:rPr>
        <w:t>, the</w:t>
      </w:r>
      <w:r w:rsidR="005313F5" w:rsidRPr="0074028A">
        <w:rPr>
          <w:color w:val="000000" w:themeColor="text1"/>
          <w:sz w:val="22"/>
          <w:szCs w:val="22"/>
        </w:rPr>
        <w:t xml:space="preserve"> Indian constitution from the core of fundamental </w:t>
      </w:r>
      <w:r w:rsidR="00FC0C5D" w:rsidRPr="0074028A">
        <w:rPr>
          <w:color w:val="000000" w:themeColor="text1"/>
          <w:sz w:val="22"/>
          <w:szCs w:val="22"/>
        </w:rPr>
        <w:t xml:space="preserve">rights </w:t>
      </w:r>
      <w:r w:rsidR="0074028A">
        <w:rPr>
          <w:color w:val="000000" w:themeColor="text1"/>
          <w:sz w:val="22"/>
          <w:szCs w:val="22"/>
        </w:rPr>
        <w:t>guarantees the</w:t>
      </w:r>
      <w:r w:rsidR="005313F5" w:rsidRPr="0074028A">
        <w:rPr>
          <w:color w:val="000000" w:themeColor="text1"/>
          <w:sz w:val="22"/>
          <w:szCs w:val="22"/>
        </w:rPr>
        <w:t xml:space="preserve"> Right to Privacy and the protection of sexual orientation</w:t>
      </w:r>
      <w:r w:rsidR="00FC0C5D" w:rsidRPr="0074028A">
        <w:rPr>
          <w:color w:val="000000" w:themeColor="text1"/>
          <w:sz w:val="22"/>
          <w:szCs w:val="22"/>
        </w:rPr>
        <w:t xml:space="preserve"> </w:t>
      </w:r>
      <w:r w:rsidR="005313F5" w:rsidRPr="0074028A">
        <w:rPr>
          <w:color w:val="000000" w:themeColor="text1"/>
          <w:sz w:val="22"/>
          <w:szCs w:val="22"/>
        </w:rPr>
        <w:t>by Article 14 (Equality before Law), Article 15 (Prohibition of discrimination on the basis of race, religion, caste, sex, place of birth), Article 21 (Protection of life and liberty) and Article 19 (Freedom of expression) of the Constitution.</w:t>
      </w:r>
      <w:r w:rsidR="0074028A">
        <w:rPr>
          <w:color w:val="000000" w:themeColor="text1"/>
          <w:sz w:val="22"/>
          <w:szCs w:val="22"/>
        </w:rPr>
        <w:t xml:space="preserve"> </w:t>
      </w:r>
      <w:r w:rsidRPr="0074028A">
        <w:rPr>
          <w:color w:val="000000" w:themeColor="text1"/>
          <w:sz w:val="22"/>
          <w:szCs w:val="22"/>
        </w:rPr>
        <w:t xml:space="preserve">The sexual orientation and gender identity are an essential part of human rights which were also outlined in 2006 in Yogyakarta Principles, introduced in Indonesia by a distinguished group of International Human Right experts. The principals gave </w:t>
      </w:r>
      <w:r w:rsidRPr="0074028A">
        <w:rPr>
          <w:color w:val="000000" w:themeColor="text1"/>
          <w:sz w:val="22"/>
          <w:szCs w:val="22"/>
          <w:shd w:val="clear" w:color="auto" w:fill="FFFFFF"/>
        </w:rPr>
        <w:t xml:space="preserve">authoritative guidance on the human rights of gay, lesbian, bisexual, transgender and intersex persons and the obligations of States to promote and protect these rights, ensure full equality and address </w:t>
      </w:r>
      <w:r w:rsidRPr="0074028A">
        <w:rPr>
          <w:color w:val="000000" w:themeColor="text1"/>
          <w:sz w:val="22"/>
          <w:szCs w:val="22"/>
          <w:shd w:val="clear" w:color="auto" w:fill="FFFFFF"/>
        </w:rPr>
        <w:lastRenderedPageBreak/>
        <w:t>discrimination.</w:t>
      </w:r>
      <w:r w:rsidRPr="0074028A">
        <w:rPr>
          <w:color w:val="000000" w:themeColor="text1"/>
          <w:sz w:val="22"/>
          <w:szCs w:val="22"/>
        </w:rPr>
        <w:t xml:space="preserve"> </w:t>
      </w:r>
      <w:r w:rsidR="00224420" w:rsidRPr="0074028A">
        <w:rPr>
          <w:color w:val="000000" w:themeColor="text1"/>
          <w:sz w:val="22"/>
          <w:szCs w:val="22"/>
        </w:rPr>
        <w:t xml:space="preserve">The plight of sexual minorities was </w:t>
      </w:r>
      <w:r w:rsidR="00F0252A" w:rsidRPr="0074028A">
        <w:rPr>
          <w:color w:val="000000" w:themeColor="text1"/>
          <w:sz w:val="22"/>
          <w:szCs w:val="22"/>
        </w:rPr>
        <w:t>distinctly dealt</w:t>
      </w:r>
      <w:r w:rsidR="00224420" w:rsidRPr="0074028A">
        <w:rPr>
          <w:color w:val="000000" w:themeColor="text1"/>
          <w:sz w:val="22"/>
          <w:szCs w:val="22"/>
        </w:rPr>
        <w:t xml:space="preserve"> by </w:t>
      </w:r>
      <w:r w:rsidR="00FC0C5D" w:rsidRPr="0074028A">
        <w:rPr>
          <w:color w:val="000000" w:themeColor="text1"/>
          <w:sz w:val="22"/>
          <w:szCs w:val="22"/>
        </w:rPr>
        <w:t>landmark judgements</w:t>
      </w:r>
      <w:r w:rsidR="00224420" w:rsidRPr="0074028A">
        <w:rPr>
          <w:color w:val="000000" w:themeColor="text1"/>
          <w:sz w:val="22"/>
          <w:szCs w:val="22"/>
        </w:rPr>
        <w:t xml:space="preserve"> like</w:t>
      </w:r>
      <w:r w:rsidR="00FC0C5D" w:rsidRPr="0074028A">
        <w:rPr>
          <w:color w:val="000000" w:themeColor="text1"/>
          <w:sz w:val="22"/>
          <w:szCs w:val="22"/>
        </w:rPr>
        <w:t xml:space="preserve"> </w:t>
      </w:r>
      <w:r w:rsidR="00FC0C5D" w:rsidRPr="0074028A">
        <w:rPr>
          <w:rStyle w:val="Strong"/>
          <w:b w:val="0"/>
          <w:color w:val="000000" w:themeColor="text1"/>
          <w:sz w:val="22"/>
          <w:szCs w:val="22"/>
        </w:rPr>
        <w:t>Naz Foundation vs. Govt. of NCT of Delhi (2009), Suresh Kumar Koushal Case (2013)</w:t>
      </w:r>
      <w:r w:rsidR="00224420" w:rsidRPr="0074028A">
        <w:rPr>
          <w:rStyle w:val="Strong"/>
          <w:b w:val="0"/>
          <w:color w:val="000000" w:themeColor="text1"/>
          <w:sz w:val="22"/>
          <w:szCs w:val="22"/>
        </w:rPr>
        <w:t xml:space="preserve"> and </w:t>
      </w:r>
      <w:r w:rsidR="00FC0C5D" w:rsidRPr="0074028A">
        <w:rPr>
          <w:rStyle w:val="Strong"/>
          <w:b w:val="0"/>
          <w:color w:val="000000" w:themeColor="text1"/>
          <w:sz w:val="22"/>
          <w:szCs w:val="22"/>
        </w:rPr>
        <w:t>Justice K.S. Puttaswamy vs. Union of India (2017)</w:t>
      </w:r>
      <w:r w:rsidR="00224420" w:rsidRPr="0074028A">
        <w:rPr>
          <w:rStyle w:val="Strong"/>
          <w:b w:val="0"/>
          <w:color w:val="000000" w:themeColor="text1"/>
          <w:sz w:val="22"/>
          <w:szCs w:val="22"/>
        </w:rPr>
        <w:t xml:space="preserve"> </w:t>
      </w:r>
      <w:r w:rsidR="0090108A" w:rsidRPr="0074028A">
        <w:rPr>
          <w:rStyle w:val="Strong"/>
          <w:b w:val="0"/>
          <w:color w:val="000000" w:themeColor="text1"/>
          <w:sz w:val="22"/>
          <w:szCs w:val="22"/>
        </w:rPr>
        <w:t>and lastly</w:t>
      </w:r>
      <w:r w:rsidR="00224420" w:rsidRPr="0074028A">
        <w:rPr>
          <w:rStyle w:val="Strong"/>
          <w:b w:val="0"/>
          <w:color w:val="000000" w:themeColor="text1"/>
          <w:sz w:val="22"/>
          <w:szCs w:val="22"/>
        </w:rPr>
        <w:t xml:space="preserve">, </w:t>
      </w:r>
      <w:r w:rsidR="00FC0C5D" w:rsidRPr="0074028A">
        <w:rPr>
          <w:rStyle w:val="Strong"/>
          <w:b w:val="0"/>
          <w:color w:val="000000" w:themeColor="text1"/>
          <w:sz w:val="22"/>
          <w:szCs w:val="22"/>
        </w:rPr>
        <w:t>Navtej Singh Johar vs. Union Of India (2018)</w:t>
      </w:r>
      <w:r w:rsidR="00224420" w:rsidRPr="0074028A">
        <w:rPr>
          <w:rStyle w:val="Strong"/>
          <w:b w:val="0"/>
          <w:color w:val="000000" w:themeColor="text1"/>
          <w:sz w:val="22"/>
          <w:szCs w:val="22"/>
        </w:rPr>
        <w:t xml:space="preserve"> that </w:t>
      </w:r>
      <w:r w:rsidR="00F0252A" w:rsidRPr="0074028A">
        <w:rPr>
          <w:color w:val="000000" w:themeColor="text1"/>
          <w:sz w:val="22"/>
          <w:szCs w:val="22"/>
        </w:rPr>
        <w:t>d</w:t>
      </w:r>
      <w:r w:rsidR="00224420" w:rsidRPr="0074028A">
        <w:rPr>
          <w:color w:val="000000" w:themeColor="text1"/>
          <w:sz w:val="22"/>
          <w:szCs w:val="22"/>
        </w:rPr>
        <w:t>ecriminalised homosexuality and d</w:t>
      </w:r>
      <w:r w:rsidR="00FC0C5D" w:rsidRPr="0074028A">
        <w:rPr>
          <w:color w:val="000000" w:themeColor="text1"/>
          <w:sz w:val="22"/>
          <w:szCs w:val="22"/>
        </w:rPr>
        <w:t>ismissed the position taken by SC in Suresh Kumar Koushal case (2013)</w:t>
      </w:r>
      <w:r w:rsidR="00F0252A" w:rsidRPr="0074028A">
        <w:rPr>
          <w:color w:val="000000" w:themeColor="text1"/>
          <w:sz w:val="22"/>
          <w:szCs w:val="22"/>
        </w:rPr>
        <w:t xml:space="preserve"> which entailed in brief </w:t>
      </w:r>
      <w:r w:rsidR="00FC0C5D" w:rsidRPr="0074028A">
        <w:rPr>
          <w:color w:val="000000" w:themeColor="text1"/>
          <w:sz w:val="22"/>
          <w:szCs w:val="22"/>
        </w:rPr>
        <w:t xml:space="preserve"> that the LGBTQ community constitute a minuscule minority and so there was no need to decriminalise homosexual sex.</w:t>
      </w:r>
      <w:r w:rsidRPr="0074028A">
        <w:rPr>
          <w:color w:val="000000" w:themeColor="text1"/>
          <w:sz w:val="22"/>
          <w:szCs w:val="22"/>
        </w:rPr>
        <w:t xml:space="preserve"> </w:t>
      </w:r>
    </w:p>
    <w:p w:rsidR="00B53ACE" w:rsidRPr="0074028A" w:rsidRDefault="00224420" w:rsidP="001E36D0">
      <w:pPr>
        <w:pStyle w:val="NormalWeb"/>
        <w:numPr>
          <w:ilvl w:val="0"/>
          <w:numId w:val="10"/>
        </w:numPr>
        <w:tabs>
          <w:tab w:val="left" w:pos="851"/>
        </w:tabs>
        <w:spacing w:after="230" w:afterAutospacing="0"/>
        <w:jc w:val="both"/>
        <w:rPr>
          <w:color w:val="000000" w:themeColor="text1"/>
          <w:sz w:val="22"/>
          <w:szCs w:val="22"/>
        </w:rPr>
      </w:pPr>
      <w:r w:rsidRPr="0074028A">
        <w:rPr>
          <w:color w:val="000000" w:themeColor="text1"/>
          <w:sz w:val="22"/>
          <w:szCs w:val="22"/>
        </w:rPr>
        <w:t xml:space="preserve">However, the </w:t>
      </w:r>
      <w:r w:rsidRPr="0074028A">
        <w:rPr>
          <w:bCs/>
          <w:color w:val="000000" w:themeColor="text1"/>
          <w:sz w:val="22"/>
          <w:szCs w:val="22"/>
        </w:rPr>
        <w:t>i</w:t>
      </w:r>
      <w:r w:rsidR="002F0D55" w:rsidRPr="0074028A">
        <w:rPr>
          <w:bCs/>
          <w:color w:val="000000" w:themeColor="text1"/>
          <w:sz w:val="22"/>
          <w:szCs w:val="22"/>
        </w:rPr>
        <w:t>mpact of d</w:t>
      </w:r>
      <w:r w:rsidR="00FC0C5D" w:rsidRPr="0074028A">
        <w:rPr>
          <w:bCs/>
          <w:color w:val="000000" w:themeColor="text1"/>
          <w:sz w:val="22"/>
          <w:szCs w:val="22"/>
        </w:rPr>
        <w:t>ecriminalising Homosexuality</w:t>
      </w:r>
      <w:r w:rsidRPr="0074028A">
        <w:rPr>
          <w:bCs/>
          <w:color w:val="000000" w:themeColor="text1"/>
          <w:sz w:val="22"/>
          <w:szCs w:val="22"/>
        </w:rPr>
        <w:t xml:space="preserve"> makes the sexual minorities </w:t>
      </w:r>
      <w:r w:rsidRPr="0074028A">
        <w:rPr>
          <w:color w:val="000000" w:themeColor="text1"/>
          <w:sz w:val="22"/>
          <w:szCs w:val="22"/>
        </w:rPr>
        <w:t>in India atleast</w:t>
      </w:r>
      <w:r w:rsidR="00FC0C5D" w:rsidRPr="0074028A">
        <w:rPr>
          <w:color w:val="000000" w:themeColor="text1"/>
          <w:sz w:val="22"/>
          <w:szCs w:val="22"/>
        </w:rPr>
        <w:t xml:space="preserve"> one step closer to living with dignity.</w:t>
      </w:r>
      <w:r w:rsidRPr="0074028A">
        <w:rPr>
          <w:color w:val="000000" w:themeColor="text1"/>
          <w:sz w:val="22"/>
          <w:szCs w:val="22"/>
        </w:rPr>
        <w:t xml:space="preserve"> Secondly, </w:t>
      </w:r>
      <w:r w:rsidR="00FC0C5D" w:rsidRPr="0074028A">
        <w:rPr>
          <w:color w:val="000000" w:themeColor="text1"/>
          <w:sz w:val="22"/>
          <w:szCs w:val="22"/>
        </w:rPr>
        <w:t>LGBTQ Community will be able to come out in the open with their sexual preferences</w:t>
      </w:r>
      <w:r w:rsidRPr="0074028A">
        <w:rPr>
          <w:color w:val="000000" w:themeColor="text1"/>
          <w:sz w:val="22"/>
          <w:szCs w:val="22"/>
        </w:rPr>
        <w:t xml:space="preserve"> without fear of discrimination, non-acceptance in employment, reservation etc. The d</w:t>
      </w:r>
      <w:r w:rsidR="00FC0C5D" w:rsidRPr="0074028A">
        <w:rPr>
          <w:color w:val="000000" w:themeColor="text1"/>
          <w:sz w:val="22"/>
          <w:szCs w:val="22"/>
        </w:rPr>
        <w:t>iscrimination faced by them in accessing health and their harassment by Police will cease.</w:t>
      </w:r>
      <w:r w:rsidR="00B53ACE" w:rsidRPr="0074028A">
        <w:rPr>
          <w:color w:val="000000" w:themeColor="text1"/>
          <w:sz w:val="22"/>
          <w:szCs w:val="22"/>
        </w:rPr>
        <w:t xml:space="preserve"> </w:t>
      </w:r>
      <w:r w:rsidR="0090108A" w:rsidRPr="0074028A">
        <w:rPr>
          <w:color w:val="000000" w:themeColor="text1"/>
          <w:sz w:val="22"/>
          <w:szCs w:val="22"/>
        </w:rPr>
        <w:t>These judgments have</w:t>
      </w:r>
      <w:r w:rsidR="00B53ACE" w:rsidRPr="0074028A">
        <w:rPr>
          <w:color w:val="000000" w:themeColor="text1"/>
          <w:sz w:val="22"/>
          <w:szCs w:val="22"/>
        </w:rPr>
        <w:t xml:space="preserve"> brought to light the issues faced by sexual minorities in India that began the wider debate.</w:t>
      </w:r>
    </w:p>
    <w:p w:rsidR="00CF7A73" w:rsidRPr="0074028A" w:rsidRDefault="0090108A" w:rsidP="00FB3CF1">
      <w:pPr>
        <w:pStyle w:val="NormalWeb"/>
        <w:numPr>
          <w:ilvl w:val="0"/>
          <w:numId w:val="10"/>
        </w:numPr>
        <w:tabs>
          <w:tab w:val="left" w:pos="851"/>
        </w:tabs>
        <w:spacing w:after="230" w:afterAutospacing="0"/>
        <w:jc w:val="both"/>
        <w:rPr>
          <w:sz w:val="22"/>
          <w:szCs w:val="22"/>
        </w:rPr>
      </w:pPr>
      <w:r w:rsidRPr="0074028A">
        <w:rPr>
          <w:color w:val="000000" w:themeColor="text1"/>
          <w:sz w:val="22"/>
          <w:szCs w:val="22"/>
        </w:rPr>
        <w:t xml:space="preserve">The way forward of these judgements and even the </w:t>
      </w:r>
      <w:r w:rsidR="00CF7A73" w:rsidRPr="0074028A">
        <w:rPr>
          <w:sz w:val="22"/>
          <w:szCs w:val="22"/>
        </w:rPr>
        <w:t>Transgender Persons (Protection of Rights) Bill, 2019</w:t>
      </w:r>
      <w:r w:rsidR="00681D92" w:rsidRPr="0074028A">
        <w:rPr>
          <w:sz w:val="22"/>
          <w:szCs w:val="22"/>
        </w:rPr>
        <w:t xml:space="preserve"> which consists of absolute clarifications related to  prohibition against discrimination, recognition of identity of the Transgender persons, Welfare measures and obligations of establishments and other persons and lastly, education, health and social security of the Transgender Persons</w:t>
      </w:r>
      <w:r w:rsidR="00832E84" w:rsidRPr="0074028A">
        <w:rPr>
          <w:sz w:val="22"/>
          <w:szCs w:val="22"/>
        </w:rPr>
        <w:t xml:space="preserve"> </w:t>
      </w:r>
      <w:r w:rsidR="00CF7A73" w:rsidRPr="0074028A">
        <w:rPr>
          <w:color w:val="000000" w:themeColor="text1"/>
          <w:sz w:val="22"/>
          <w:szCs w:val="22"/>
        </w:rPr>
        <w:t>will hopefully</w:t>
      </w:r>
      <w:r w:rsidR="00832E84" w:rsidRPr="0074028A">
        <w:rPr>
          <w:color w:val="000000" w:themeColor="text1"/>
          <w:sz w:val="22"/>
          <w:szCs w:val="22"/>
        </w:rPr>
        <w:t xml:space="preserve"> go</w:t>
      </w:r>
      <w:r w:rsidR="006613B2" w:rsidRPr="0074028A">
        <w:rPr>
          <w:color w:val="000000" w:themeColor="text1"/>
          <w:sz w:val="22"/>
          <w:szCs w:val="22"/>
        </w:rPr>
        <w:t xml:space="preserve"> a long way in removing the stigma attached with the </w:t>
      </w:r>
      <w:r w:rsidR="00CF7A73" w:rsidRPr="0074028A">
        <w:rPr>
          <w:color w:val="000000" w:themeColor="text1"/>
          <w:sz w:val="22"/>
          <w:szCs w:val="22"/>
        </w:rPr>
        <w:t xml:space="preserve">Transgender </w:t>
      </w:r>
      <w:r w:rsidR="00EB72C7" w:rsidRPr="0074028A">
        <w:rPr>
          <w:color w:val="000000" w:themeColor="text1"/>
          <w:sz w:val="22"/>
          <w:szCs w:val="22"/>
        </w:rPr>
        <w:t>community;</w:t>
      </w:r>
      <w:r w:rsidR="006613B2" w:rsidRPr="0074028A">
        <w:rPr>
          <w:color w:val="000000" w:themeColor="text1"/>
          <w:sz w:val="22"/>
          <w:szCs w:val="22"/>
        </w:rPr>
        <w:t xml:space="preserve"> there is </w:t>
      </w:r>
      <w:r w:rsidR="00CF7A73" w:rsidRPr="0074028A">
        <w:rPr>
          <w:color w:val="000000" w:themeColor="text1"/>
          <w:sz w:val="22"/>
          <w:szCs w:val="22"/>
        </w:rPr>
        <w:t xml:space="preserve">a </w:t>
      </w:r>
      <w:r w:rsidR="006613B2" w:rsidRPr="0074028A">
        <w:rPr>
          <w:color w:val="000000" w:themeColor="text1"/>
          <w:sz w:val="22"/>
          <w:szCs w:val="22"/>
        </w:rPr>
        <w:t>need for a multi pronged approach to deal with issue of prejudice and discrimination prevalent in society against them.</w:t>
      </w:r>
      <w:r w:rsidR="00EB72C7" w:rsidRPr="0074028A">
        <w:rPr>
          <w:color w:val="000000" w:themeColor="text1"/>
          <w:sz w:val="22"/>
          <w:szCs w:val="22"/>
        </w:rPr>
        <w:t xml:space="preserve"> </w:t>
      </w:r>
    </w:p>
    <w:p w:rsidR="00832E84" w:rsidRPr="0074028A" w:rsidRDefault="002F0D55" w:rsidP="0074028A">
      <w:pPr>
        <w:pStyle w:val="NormalWeb"/>
        <w:numPr>
          <w:ilvl w:val="0"/>
          <w:numId w:val="10"/>
        </w:numPr>
        <w:tabs>
          <w:tab w:val="left" w:pos="851"/>
        </w:tabs>
        <w:spacing w:after="230" w:afterAutospacing="0"/>
        <w:jc w:val="both"/>
        <w:rPr>
          <w:color w:val="000000" w:themeColor="text1"/>
          <w:sz w:val="22"/>
          <w:szCs w:val="22"/>
        </w:rPr>
      </w:pPr>
      <w:r w:rsidRPr="0074028A">
        <w:rPr>
          <w:color w:val="000000" w:themeColor="text1"/>
          <w:sz w:val="22"/>
          <w:szCs w:val="22"/>
        </w:rPr>
        <w:t xml:space="preserve">So as to combat the legal </w:t>
      </w:r>
      <w:r w:rsidR="00941F0C" w:rsidRPr="0074028A">
        <w:rPr>
          <w:color w:val="000000" w:themeColor="text1"/>
          <w:sz w:val="22"/>
          <w:szCs w:val="22"/>
        </w:rPr>
        <w:t>commitments,</w:t>
      </w:r>
      <w:r w:rsidRPr="0074028A">
        <w:rPr>
          <w:color w:val="000000" w:themeColor="text1"/>
          <w:sz w:val="22"/>
          <w:szCs w:val="22"/>
        </w:rPr>
        <w:t xml:space="preserve"> the proactive measures</w:t>
      </w:r>
      <w:r w:rsidR="001E36D0" w:rsidRPr="0074028A">
        <w:rPr>
          <w:color w:val="000000" w:themeColor="text1"/>
          <w:sz w:val="22"/>
          <w:szCs w:val="22"/>
        </w:rPr>
        <w:t xml:space="preserve">, dilution of gender equality. We </w:t>
      </w:r>
      <w:r w:rsidRPr="0074028A">
        <w:rPr>
          <w:color w:val="000000" w:themeColor="text1"/>
          <w:sz w:val="22"/>
          <w:szCs w:val="22"/>
        </w:rPr>
        <w:t xml:space="preserve"> </w:t>
      </w:r>
      <w:r w:rsidR="00941F0C" w:rsidRPr="0074028A">
        <w:rPr>
          <w:color w:val="000000" w:themeColor="text1"/>
          <w:sz w:val="22"/>
          <w:szCs w:val="22"/>
        </w:rPr>
        <w:t>are required to keep the policies</w:t>
      </w:r>
      <w:r w:rsidR="001E36D0" w:rsidRPr="0074028A">
        <w:rPr>
          <w:color w:val="000000" w:themeColor="text1"/>
          <w:sz w:val="22"/>
          <w:szCs w:val="22"/>
        </w:rPr>
        <w:t xml:space="preserve"> related to gender and sexual</w:t>
      </w:r>
      <w:r w:rsidR="00941F0C" w:rsidRPr="0074028A">
        <w:rPr>
          <w:color w:val="000000" w:themeColor="text1"/>
          <w:sz w:val="22"/>
          <w:szCs w:val="22"/>
        </w:rPr>
        <w:t xml:space="preserve"> orientation</w:t>
      </w:r>
      <w:r w:rsidR="001E36D0" w:rsidRPr="0074028A">
        <w:rPr>
          <w:color w:val="000000" w:themeColor="text1"/>
          <w:sz w:val="22"/>
          <w:szCs w:val="22"/>
        </w:rPr>
        <w:t xml:space="preserve"> compacted </w:t>
      </w:r>
      <w:r w:rsidR="00941F0C" w:rsidRPr="0074028A">
        <w:rPr>
          <w:color w:val="000000" w:themeColor="text1"/>
          <w:sz w:val="22"/>
          <w:szCs w:val="22"/>
        </w:rPr>
        <w:t xml:space="preserve"> </w:t>
      </w:r>
      <w:r w:rsidR="001E36D0" w:rsidRPr="0074028A">
        <w:rPr>
          <w:color w:val="000000" w:themeColor="text1"/>
          <w:sz w:val="22"/>
          <w:szCs w:val="22"/>
        </w:rPr>
        <w:t xml:space="preserve">in terms of duties when diluted at all governmental and individual levels that </w:t>
      </w:r>
      <w:r w:rsidRPr="0074028A">
        <w:rPr>
          <w:sz w:val="22"/>
          <w:szCs w:val="22"/>
        </w:rPr>
        <w:t>ensure</w:t>
      </w:r>
      <w:r w:rsidR="001E36D0" w:rsidRPr="0074028A">
        <w:rPr>
          <w:sz w:val="22"/>
          <w:szCs w:val="22"/>
        </w:rPr>
        <w:t>s</w:t>
      </w:r>
      <w:r w:rsidRPr="0074028A">
        <w:rPr>
          <w:sz w:val="22"/>
          <w:szCs w:val="22"/>
        </w:rPr>
        <w:t xml:space="preserve"> that a gender lens is used by all sectors. </w:t>
      </w:r>
      <w:r w:rsidR="001E36D0" w:rsidRPr="0074028A">
        <w:rPr>
          <w:sz w:val="22"/>
          <w:szCs w:val="22"/>
        </w:rPr>
        <w:t xml:space="preserve">Lastly, new </w:t>
      </w:r>
      <w:r w:rsidRPr="0074028A">
        <w:rPr>
          <w:sz w:val="22"/>
          <w:szCs w:val="22"/>
        </w:rPr>
        <w:t>modalities are also needed to give civil society groups working on gender equality, adequate resources and capacity strengthening support to facilitate their representation in policy dialogues.</w:t>
      </w:r>
      <w:r w:rsidR="0074028A">
        <w:rPr>
          <w:color w:val="000000" w:themeColor="text1"/>
          <w:sz w:val="22"/>
          <w:szCs w:val="22"/>
        </w:rPr>
        <w:t xml:space="preserve"> Also</w:t>
      </w:r>
      <w:r w:rsidR="008E4E31">
        <w:rPr>
          <w:color w:val="000000" w:themeColor="text1"/>
          <w:sz w:val="22"/>
          <w:szCs w:val="22"/>
        </w:rPr>
        <w:t xml:space="preserve">, </w:t>
      </w:r>
      <w:r w:rsidR="008E4E31">
        <w:rPr>
          <w:sz w:val="22"/>
          <w:szCs w:val="22"/>
        </w:rPr>
        <w:t>i</w:t>
      </w:r>
      <w:r w:rsidRPr="0074028A">
        <w:rPr>
          <w:sz w:val="22"/>
          <w:szCs w:val="22"/>
        </w:rPr>
        <w:t>nnovative approaches are also needed to raise the awareness of the private sector on gender issues</w:t>
      </w:r>
      <w:r w:rsidR="001E36D0" w:rsidRPr="0074028A">
        <w:rPr>
          <w:color w:val="000000" w:themeColor="text1"/>
          <w:sz w:val="22"/>
          <w:szCs w:val="22"/>
        </w:rPr>
        <w:t xml:space="preserve">. Where gendered minorities itself along with </w:t>
      </w:r>
      <w:r w:rsidR="00F0681C" w:rsidRPr="0074028A">
        <w:rPr>
          <w:color w:val="000000" w:themeColor="text1"/>
          <w:sz w:val="22"/>
          <w:szCs w:val="22"/>
        </w:rPr>
        <w:t>the</w:t>
      </w:r>
      <w:r w:rsidR="00EB72C7" w:rsidRPr="0074028A">
        <w:rPr>
          <w:color w:val="000000" w:themeColor="text1"/>
          <w:sz w:val="22"/>
          <w:szCs w:val="22"/>
        </w:rPr>
        <w:t xml:space="preserve"> </w:t>
      </w:r>
      <w:r w:rsidR="001E36D0" w:rsidRPr="0074028A">
        <w:rPr>
          <w:color w:val="000000" w:themeColor="text1"/>
          <w:sz w:val="22"/>
          <w:szCs w:val="22"/>
        </w:rPr>
        <w:t xml:space="preserve">Government bodies organize awareness camps in villages and urban spaces </w:t>
      </w:r>
      <w:r w:rsidR="006613B2" w:rsidRPr="0074028A">
        <w:rPr>
          <w:color w:val="000000" w:themeColor="text1"/>
          <w:sz w:val="22"/>
          <w:szCs w:val="22"/>
        </w:rPr>
        <w:t xml:space="preserve">especially related to </w:t>
      </w:r>
      <w:r w:rsidR="001E36D0" w:rsidRPr="0074028A">
        <w:rPr>
          <w:color w:val="000000" w:themeColor="text1"/>
          <w:sz w:val="22"/>
          <w:szCs w:val="22"/>
        </w:rPr>
        <w:t>their social issues, h</w:t>
      </w:r>
      <w:r w:rsidR="006613B2" w:rsidRPr="0074028A">
        <w:rPr>
          <w:color w:val="000000" w:themeColor="text1"/>
          <w:sz w:val="22"/>
          <w:szCs w:val="22"/>
        </w:rPr>
        <w:t>ealth,</w:t>
      </w:r>
      <w:r w:rsidR="001E36D0" w:rsidRPr="0074028A">
        <w:rPr>
          <w:color w:val="000000" w:themeColor="text1"/>
          <w:sz w:val="22"/>
          <w:szCs w:val="22"/>
        </w:rPr>
        <w:t xml:space="preserve"> discrimination. The controlling authorities in jails and police stations also </w:t>
      </w:r>
      <w:r w:rsidR="006613B2" w:rsidRPr="0074028A">
        <w:rPr>
          <w:color w:val="000000" w:themeColor="text1"/>
          <w:sz w:val="22"/>
          <w:szCs w:val="22"/>
        </w:rPr>
        <w:t>need</w:t>
      </w:r>
      <w:r w:rsidR="00F0681C" w:rsidRPr="0074028A">
        <w:rPr>
          <w:color w:val="000000" w:themeColor="text1"/>
          <w:sz w:val="22"/>
          <w:szCs w:val="22"/>
        </w:rPr>
        <w:t>s</w:t>
      </w:r>
      <w:r w:rsidR="006613B2" w:rsidRPr="0074028A">
        <w:rPr>
          <w:color w:val="000000" w:themeColor="text1"/>
          <w:sz w:val="22"/>
          <w:szCs w:val="22"/>
        </w:rPr>
        <w:t xml:space="preserve"> to be sensitised and made aware about the changed pos</w:t>
      </w:r>
      <w:r w:rsidR="001E36D0" w:rsidRPr="0074028A">
        <w:rPr>
          <w:color w:val="000000" w:themeColor="text1"/>
          <w:sz w:val="22"/>
          <w:szCs w:val="22"/>
        </w:rPr>
        <w:t xml:space="preserve">ition of law to ensure </w:t>
      </w:r>
      <w:r w:rsidR="0074028A" w:rsidRPr="0074028A">
        <w:rPr>
          <w:color w:val="000000" w:themeColor="text1"/>
          <w:sz w:val="22"/>
          <w:szCs w:val="22"/>
        </w:rPr>
        <w:t>that no gender is</w:t>
      </w:r>
      <w:r w:rsidR="006613B2" w:rsidRPr="0074028A">
        <w:rPr>
          <w:color w:val="000000" w:themeColor="text1"/>
          <w:sz w:val="22"/>
          <w:szCs w:val="22"/>
        </w:rPr>
        <w:t xml:space="preserve"> denied public services or harassed for their sexual orientation</w:t>
      </w:r>
      <w:r w:rsidR="0074028A" w:rsidRPr="0074028A">
        <w:rPr>
          <w:color w:val="000000" w:themeColor="text1"/>
          <w:sz w:val="22"/>
          <w:szCs w:val="22"/>
        </w:rPr>
        <w:t>.</w:t>
      </w:r>
    </w:p>
    <w:p w:rsidR="001E356A" w:rsidRDefault="001E356A" w:rsidP="001E356A">
      <w:pPr>
        <w:pStyle w:val="NormalWeb"/>
        <w:spacing w:after="230" w:afterAutospacing="0"/>
        <w:ind w:left="709"/>
        <w:jc w:val="both"/>
        <w:rPr>
          <w:rFonts w:ascii="Bookman Old Style" w:hAnsi="Bookman Old Style"/>
          <w:color w:val="000000"/>
        </w:rPr>
      </w:pPr>
    </w:p>
    <w:p w:rsidR="00F82241" w:rsidRPr="008133BC" w:rsidRDefault="00F82241" w:rsidP="008133BC">
      <w:pPr>
        <w:pStyle w:val="NormalWeb"/>
        <w:spacing w:after="230" w:afterAutospacing="0"/>
        <w:ind w:left="709"/>
        <w:rPr>
          <w:rFonts w:ascii="Quicksand" w:hAnsi="Quicksand"/>
          <w:color w:val="000000"/>
          <w:sz w:val="21"/>
          <w:szCs w:val="21"/>
        </w:rPr>
      </w:pPr>
    </w:p>
    <w:sectPr w:rsidR="00F82241" w:rsidRPr="008133BC" w:rsidSect="00F8224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2BD" w:rsidRDefault="006962BD" w:rsidP="00CF7A73">
      <w:pPr>
        <w:spacing w:after="0" w:line="240" w:lineRule="auto"/>
      </w:pPr>
      <w:r>
        <w:separator/>
      </w:r>
    </w:p>
  </w:endnote>
  <w:endnote w:type="continuationSeparator" w:id="1">
    <w:p w:rsidR="006962BD" w:rsidRDefault="006962BD" w:rsidP="00CF7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Quicksan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2BD" w:rsidRDefault="006962BD" w:rsidP="00CF7A73">
      <w:pPr>
        <w:spacing w:after="0" w:line="240" w:lineRule="auto"/>
      </w:pPr>
      <w:r>
        <w:separator/>
      </w:r>
    </w:p>
  </w:footnote>
  <w:footnote w:type="continuationSeparator" w:id="1">
    <w:p w:rsidR="006962BD" w:rsidRDefault="006962BD" w:rsidP="00CF7A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EC9"/>
    <w:multiLevelType w:val="multilevel"/>
    <w:tmpl w:val="D6F62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5560D"/>
    <w:multiLevelType w:val="multilevel"/>
    <w:tmpl w:val="E5267A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35B9C"/>
    <w:multiLevelType w:val="multilevel"/>
    <w:tmpl w:val="749E3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F2844"/>
    <w:multiLevelType w:val="hybridMultilevel"/>
    <w:tmpl w:val="ED8CBEFC"/>
    <w:lvl w:ilvl="0" w:tplc="E83A8C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F131A59"/>
    <w:multiLevelType w:val="multilevel"/>
    <w:tmpl w:val="04462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034C7"/>
    <w:multiLevelType w:val="multilevel"/>
    <w:tmpl w:val="00003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8732CA9"/>
    <w:multiLevelType w:val="multilevel"/>
    <w:tmpl w:val="7E7E0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93477"/>
    <w:multiLevelType w:val="hybridMultilevel"/>
    <w:tmpl w:val="45AE8D20"/>
    <w:lvl w:ilvl="0" w:tplc="9094E7B2">
      <w:start w:val="1"/>
      <w:numFmt w:val="decimal"/>
      <w:lvlText w:val="%1."/>
      <w:lvlJc w:val="left"/>
      <w:pPr>
        <w:ind w:left="720" w:hanging="360"/>
      </w:pPr>
      <w:rPr>
        <w:rFonts w:eastAsiaTheme="minorHAnsi"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6A25E7C"/>
    <w:multiLevelType w:val="multilevel"/>
    <w:tmpl w:val="2CB44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C03CE"/>
    <w:multiLevelType w:val="multilevel"/>
    <w:tmpl w:val="385EE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9"/>
  </w:num>
  <w:num w:numId="8">
    <w:abstractNumId w:val="3"/>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43A14"/>
    <w:rsid w:val="00015ABB"/>
    <w:rsid w:val="00095B1D"/>
    <w:rsid w:val="001273B5"/>
    <w:rsid w:val="001B1CB6"/>
    <w:rsid w:val="001E356A"/>
    <w:rsid w:val="001E36D0"/>
    <w:rsid w:val="00224420"/>
    <w:rsid w:val="002D352F"/>
    <w:rsid w:val="002F0D55"/>
    <w:rsid w:val="00412BEF"/>
    <w:rsid w:val="00430416"/>
    <w:rsid w:val="00443B31"/>
    <w:rsid w:val="004E3AE0"/>
    <w:rsid w:val="005313F5"/>
    <w:rsid w:val="00576175"/>
    <w:rsid w:val="005B0529"/>
    <w:rsid w:val="006613B2"/>
    <w:rsid w:val="00681D92"/>
    <w:rsid w:val="00684A42"/>
    <w:rsid w:val="006962BD"/>
    <w:rsid w:val="0074028A"/>
    <w:rsid w:val="008133BC"/>
    <w:rsid w:val="00832E84"/>
    <w:rsid w:val="0084224A"/>
    <w:rsid w:val="008E4E31"/>
    <w:rsid w:val="0090108A"/>
    <w:rsid w:val="00941F0C"/>
    <w:rsid w:val="00951A52"/>
    <w:rsid w:val="00996650"/>
    <w:rsid w:val="00A57C25"/>
    <w:rsid w:val="00AA63E3"/>
    <w:rsid w:val="00AD1A72"/>
    <w:rsid w:val="00B024A7"/>
    <w:rsid w:val="00B53ACE"/>
    <w:rsid w:val="00BE761E"/>
    <w:rsid w:val="00CF7A73"/>
    <w:rsid w:val="00D41416"/>
    <w:rsid w:val="00D43A14"/>
    <w:rsid w:val="00DB594C"/>
    <w:rsid w:val="00EB72C7"/>
    <w:rsid w:val="00F0252A"/>
    <w:rsid w:val="00F0681C"/>
    <w:rsid w:val="00F545FD"/>
    <w:rsid w:val="00F82241"/>
    <w:rsid w:val="00F951E0"/>
    <w:rsid w:val="00FB3CF1"/>
    <w:rsid w:val="00FC0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41"/>
  </w:style>
  <w:style w:type="paragraph" w:styleId="Heading2">
    <w:name w:val="heading 2"/>
    <w:basedOn w:val="Normal"/>
    <w:link w:val="Heading2Char"/>
    <w:uiPriority w:val="9"/>
    <w:qFormat/>
    <w:rsid w:val="00D43A1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6613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A14"/>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1273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6613B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613B2"/>
    <w:rPr>
      <w:b/>
      <w:bCs/>
    </w:rPr>
  </w:style>
  <w:style w:type="paragraph" w:styleId="Header">
    <w:name w:val="header"/>
    <w:basedOn w:val="Normal"/>
    <w:link w:val="HeaderChar"/>
    <w:uiPriority w:val="99"/>
    <w:semiHidden/>
    <w:unhideWhenUsed/>
    <w:rsid w:val="00CF7A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7A73"/>
  </w:style>
  <w:style w:type="paragraph" w:styleId="Footer">
    <w:name w:val="footer"/>
    <w:basedOn w:val="Normal"/>
    <w:link w:val="FooterChar"/>
    <w:uiPriority w:val="99"/>
    <w:semiHidden/>
    <w:unhideWhenUsed/>
    <w:rsid w:val="00CF7A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7A73"/>
  </w:style>
  <w:style w:type="paragraph" w:styleId="ListParagraph">
    <w:name w:val="List Paragraph"/>
    <w:basedOn w:val="Normal"/>
    <w:uiPriority w:val="34"/>
    <w:qFormat/>
    <w:rsid w:val="00FB3CF1"/>
    <w:pPr>
      <w:ind w:left="720"/>
      <w:contextualSpacing/>
    </w:pPr>
  </w:style>
</w:styles>
</file>

<file path=word/webSettings.xml><?xml version="1.0" encoding="utf-8"?>
<w:webSettings xmlns:r="http://schemas.openxmlformats.org/officeDocument/2006/relationships" xmlns:w="http://schemas.openxmlformats.org/wordprocessingml/2006/main">
  <w:divs>
    <w:div w:id="310524081">
      <w:bodyDiv w:val="1"/>
      <w:marLeft w:val="0"/>
      <w:marRight w:val="0"/>
      <w:marTop w:val="0"/>
      <w:marBottom w:val="0"/>
      <w:divBdr>
        <w:top w:val="none" w:sz="0" w:space="0" w:color="auto"/>
        <w:left w:val="none" w:sz="0" w:space="0" w:color="auto"/>
        <w:bottom w:val="none" w:sz="0" w:space="0" w:color="auto"/>
        <w:right w:val="none" w:sz="0" w:space="0" w:color="auto"/>
      </w:divBdr>
    </w:div>
    <w:div w:id="1253978688">
      <w:bodyDiv w:val="1"/>
      <w:marLeft w:val="0"/>
      <w:marRight w:val="0"/>
      <w:marTop w:val="0"/>
      <w:marBottom w:val="0"/>
      <w:divBdr>
        <w:top w:val="none" w:sz="0" w:space="0" w:color="auto"/>
        <w:left w:val="none" w:sz="0" w:space="0" w:color="auto"/>
        <w:bottom w:val="none" w:sz="0" w:space="0" w:color="auto"/>
        <w:right w:val="none" w:sz="0" w:space="0" w:color="auto"/>
      </w:divBdr>
      <w:divsChild>
        <w:div w:id="636685262">
          <w:marLeft w:val="0"/>
          <w:marRight w:val="0"/>
          <w:marTop w:val="0"/>
          <w:marBottom w:val="346"/>
          <w:divBdr>
            <w:top w:val="single" w:sz="4" w:space="14" w:color="DEDEDE"/>
            <w:left w:val="single" w:sz="4" w:space="17" w:color="DEDEDE"/>
            <w:bottom w:val="single" w:sz="4" w:space="14" w:color="DEDEDE"/>
            <w:right w:val="single" w:sz="4" w:space="17" w:color="DEDEDE"/>
          </w:divBdr>
        </w:div>
        <w:div w:id="1798716231">
          <w:marLeft w:val="0"/>
          <w:marRight w:val="0"/>
          <w:marTop w:val="0"/>
          <w:marBottom w:val="346"/>
          <w:divBdr>
            <w:top w:val="single" w:sz="4" w:space="14" w:color="DEDEDE"/>
            <w:left w:val="single" w:sz="4" w:space="17" w:color="DEDEDE"/>
            <w:bottom w:val="single" w:sz="4" w:space="14" w:color="DEDEDE"/>
            <w:right w:val="single" w:sz="4" w:space="17" w:color="DEDEDE"/>
          </w:divBdr>
        </w:div>
      </w:divsChild>
    </w:div>
    <w:div w:id="1410882936">
      <w:bodyDiv w:val="1"/>
      <w:marLeft w:val="0"/>
      <w:marRight w:val="0"/>
      <w:marTop w:val="0"/>
      <w:marBottom w:val="0"/>
      <w:divBdr>
        <w:top w:val="none" w:sz="0" w:space="0" w:color="auto"/>
        <w:left w:val="none" w:sz="0" w:space="0" w:color="auto"/>
        <w:bottom w:val="none" w:sz="0" w:space="0" w:color="auto"/>
        <w:right w:val="none" w:sz="0" w:space="0" w:color="auto"/>
      </w:divBdr>
    </w:div>
    <w:div w:id="1435442663">
      <w:bodyDiv w:val="1"/>
      <w:marLeft w:val="0"/>
      <w:marRight w:val="0"/>
      <w:marTop w:val="0"/>
      <w:marBottom w:val="0"/>
      <w:divBdr>
        <w:top w:val="none" w:sz="0" w:space="0" w:color="auto"/>
        <w:left w:val="none" w:sz="0" w:space="0" w:color="auto"/>
        <w:bottom w:val="none" w:sz="0" w:space="0" w:color="auto"/>
        <w:right w:val="none" w:sz="0" w:space="0" w:color="auto"/>
      </w:divBdr>
    </w:div>
    <w:div w:id="14768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91C942-BC30-427A-BF8E-15AA22F36D9D}"/>
</file>

<file path=customXml/itemProps2.xml><?xml version="1.0" encoding="utf-8"?>
<ds:datastoreItem xmlns:ds="http://schemas.openxmlformats.org/officeDocument/2006/customXml" ds:itemID="{0590404A-8ADC-4EFB-908C-B6FE71001B8D}"/>
</file>

<file path=customXml/itemProps3.xml><?xml version="1.0" encoding="utf-8"?>
<ds:datastoreItem xmlns:ds="http://schemas.openxmlformats.org/officeDocument/2006/customXml" ds:itemID="{55B8B840-9907-4A61-BF6F-45AF4385FD68}"/>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Rimanshi Goel</dc:creator>
  <cp:lastModifiedBy>HP1</cp:lastModifiedBy>
  <cp:revision>2</cp:revision>
  <cp:lastPrinted>2019-12-13T09:17:00Z</cp:lastPrinted>
  <dcterms:created xsi:type="dcterms:W3CDTF">2019-12-26T05:29:00Z</dcterms:created>
  <dcterms:modified xsi:type="dcterms:W3CDTF">2019-12-26T05:29:00Z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