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before="12" w:line="220" w:lineRule="exact"/>
        <w:rPr>
          <w:sz w:val="22"/>
          <w:szCs w:val="22"/>
          <w:lang w:val="es-CL"/>
        </w:rPr>
      </w:pPr>
    </w:p>
    <w:p w:rsidR="004E6B2C" w:rsidRPr="000F72AC" w:rsidRDefault="000F72AC">
      <w:pPr>
        <w:ind w:left="635" w:right="593"/>
        <w:jc w:val="both"/>
        <w:rPr>
          <w:rFonts w:ascii="Calibri" w:eastAsia="Calibri" w:hAnsi="Calibri" w:cs="Calibri"/>
          <w:sz w:val="22"/>
          <w:szCs w:val="22"/>
          <w:lang w:val="es-CL"/>
        </w:rPr>
      </w:pPr>
      <w:r w:rsidRPr="000F72AC">
        <w:rPr>
          <w:rFonts w:ascii="Calibri" w:eastAsia="Calibri" w:hAnsi="Calibri" w:cs="Calibri"/>
          <w:b/>
          <w:sz w:val="22"/>
          <w:szCs w:val="22"/>
          <w:lang w:val="es-CL"/>
        </w:rPr>
        <w:t>Contribuciones desde el Ministerio de Salud de Chile, para Informe temático para 44° sesión del</w:t>
      </w:r>
    </w:p>
    <w:p w:rsidR="004E6B2C" w:rsidRPr="000F72AC" w:rsidRDefault="000F72AC">
      <w:pPr>
        <w:spacing w:before="22"/>
        <w:ind w:left="2602" w:right="2595"/>
        <w:jc w:val="center"/>
        <w:rPr>
          <w:rFonts w:ascii="Calibri" w:eastAsia="Calibri" w:hAnsi="Calibri" w:cs="Calibri"/>
          <w:sz w:val="22"/>
          <w:szCs w:val="22"/>
          <w:lang w:val="es-CL"/>
        </w:rPr>
      </w:pPr>
      <w:r w:rsidRPr="000F72AC">
        <w:rPr>
          <w:rFonts w:ascii="Calibri" w:eastAsia="Calibri" w:hAnsi="Calibri" w:cs="Calibri"/>
          <w:b/>
          <w:sz w:val="22"/>
          <w:szCs w:val="22"/>
          <w:lang w:val="es-CL"/>
        </w:rPr>
        <w:t>Consejo de Derechos Humanos de Naciones Unidas.</w:t>
      </w: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before="13" w:line="240" w:lineRule="exact"/>
        <w:rPr>
          <w:sz w:val="24"/>
          <w:szCs w:val="24"/>
          <w:lang w:val="es-CL"/>
        </w:rPr>
      </w:pPr>
    </w:p>
    <w:p w:rsidR="004E6B2C" w:rsidRPr="000F72AC" w:rsidRDefault="00E3773B">
      <w:pPr>
        <w:spacing w:line="258" w:lineRule="auto"/>
        <w:ind w:left="114" w:right="62"/>
        <w:jc w:val="both"/>
        <w:rPr>
          <w:rFonts w:ascii="Calibri" w:eastAsia="Calibri" w:hAnsi="Calibri" w:cs="Calibri"/>
          <w:sz w:val="24"/>
          <w:szCs w:val="24"/>
          <w:lang w:val="es-CL"/>
        </w:rPr>
      </w:pPr>
      <w:r>
        <w:rPr>
          <w:rFonts w:ascii="Calibri" w:eastAsia="Calibri" w:hAnsi="Calibri" w:cs="Calibri"/>
          <w:sz w:val="24"/>
          <w:szCs w:val="24"/>
          <w:lang w:val="es-CL"/>
        </w:rPr>
        <w:t>El Go</w:t>
      </w:r>
      <w:r w:rsidR="00721396">
        <w:rPr>
          <w:rFonts w:ascii="Calibri" w:eastAsia="Calibri" w:hAnsi="Calibri" w:cs="Calibri"/>
          <w:sz w:val="24"/>
          <w:szCs w:val="24"/>
          <w:lang w:val="es-CL"/>
        </w:rPr>
        <w:t>bierno de Chile, a través de su</w:t>
      </w:r>
      <w:r>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Ministerio</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de</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Salud</w:t>
      </w:r>
      <w:r w:rsidR="00721396">
        <w:rPr>
          <w:rFonts w:ascii="Calibri" w:eastAsia="Calibri" w:hAnsi="Calibri" w:cs="Calibri"/>
          <w:sz w:val="24"/>
          <w:szCs w:val="24"/>
          <w:lang w:val="es-CL"/>
        </w:rPr>
        <w:t>,</w:t>
      </w:r>
      <w:bookmarkStart w:id="0" w:name="_GoBack"/>
      <w:bookmarkEnd w:id="0"/>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entrega</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respuesta</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a</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cada</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una</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de</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las</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consultas</w:t>
      </w:r>
      <w:r w:rsidR="000F72AC">
        <w:rPr>
          <w:rFonts w:ascii="Calibri" w:eastAsia="Calibri" w:hAnsi="Calibri" w:cs="Calibri"/>
          <w:sz w:val="24"/>
          <w:szCs w:val="24"/>
          <w:lang w:val="es-CL"/>
        </w:rPr>
        <w:t xml:space="preserve"> </w:t>
      </w:r>
      <w:r w:rsidR="000F72AC" w:rsidRPr="000F72AC">
        <w:rPr>
          <w:rFonts w:ascii="Calibri" w:eastAsia="Calibri" w:hAnsi="Calibri" w:cs="Calibri"/>
          <w:sz w:val="24"/>
          <w:szCs w:val="24"/>
          <w:lang w:val="es-CL"/>
        </w:rPr>
        <w:t>planteadas mediante carta del Sr. Víctor Madrigal-</w:t>
      </w:r>
      <w:proofErr w:type="spellStart"/>
      <w:r w:rsidR="000F72AC" w:rsidRPr="000F72AC">
        <w:rPr>
          <w:rFonts w:ascii="Calibri" w:eastAsia="Calibri" w:hAnsi="Calibri" w:cs="Calibri"/>
          <w:sz w:val="24"/>
          <w:szCs w:val="24"/>
          <w:lang w:val="es-CL"/>
        </w:rPr>
        <w:t>Borloz</w:t>
      </w:r>
      <w:proofErr w:type="spellEnd"/>
      <w:r w:rsidR="000F72AC" w:rsidRPr="000F72AC">
        <w:rPr>
          <w:rFonts w:ascii="Calibri" w:eastAsia="Calibri" w:hAnsi="Calibri" w:cs="Calibri"/>
          <w:sz w:val="24"/>
          <w:szCs w:val="24"/>
          <w:lang w:val="es-CL"/>
        </w:rPr>
        <w:t>, Experto Independiente para la protección contra la violencia y la discriminación por orientación sexual e identidad de género.</w:t>
      </w:r>
    </w:p>
    <w:p w:rsidR="004E6B2C" w:rsidRPr="000F72AC" w:rsidRDefault="004E6B2C">
      <w:pPr>
        <w:spacing w:before="3" w:line="120" w:lineRule="exact"/>
        <w:rPr>
          <w:sz w:val="12"/>
          <w:szCs w:val="12"/>
          <w:lang w:val="es-CL"/>
        </w:rPr>
      </w:pPr>
    </w:p>
    <w:p w:rsidR="004E6B2C" w:rsidRPr="000F72AC" w:rsidRDefault="004E6B2C">
      <w:pPr>
        <w:spacing w:line="200" w:lineRule="exact"/>
        <w:rPr>
          <w:lang w:val="es-CL"/>
        </w:rPr>
      </w:pPr>
    </w:p>
    <w:p w:rsidR="004E6B2C" w:rsidRPr="000F72AC" w:rsidRDefault="000F72AC">
      <w:pPr>
        <w:spacing w:line="259" w:lineRule="auto"/>
        <w:ind w:left="474" w:right="68"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1.</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¿Cuáles son las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diferentes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prácticas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que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entran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el</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ámbito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llamadas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terapias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 conversión y cuál es el denominador común que permite agruparlas bajo este nombre?</w:t>
      </w:r>
    </w:p>
    <w:p w:rsidR="004E6B2C" w:rsidRPr="000F72AC" w:rsidRDefault="000F72AC">
      <w:pPr>
        <w:spacing w:before="2" w:line="259" w:lineRule="auto"/>
        <w:ind w:left="539" w:right="59"/>
        <w:jc w:val="both"/>
        <w:rPr>
          <w:rFonts w:ascii="Calibri" w:eastAsia="Calibri" w:hAnsi="Calibri" w:cs="Calibri"/>
          <w:sz w:val="24"/>
          <w:szCs w:val="24"/>
          <w:lang w:val="es-CL"/>
        </w:rPr>
      </w:pPr>
      <w:r w:rsidRPr="000F72AC">
        <w:rPr>
          <w:rFonts w:ascii="Calibri" w:eastAsia="Calibri" w:hAnsi="Calibri" w:cs="Calibri"/>
          <w:sz w:val="24"/>
          <w:szCs w:val="24"/>
          <w:lang w:val="es-CL"/>
        </w:rPr>
        <w:t>R: El Ministerio de Salud establece que las terapias que buscan modificar la orientación sexual o 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identidad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sexual,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especialmente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aquellas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denominadas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conversión”,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w:t>
      </w:r>
      <w:proofErr w:type="spellStart"/>
      <w:r w:rsidRPr="000F72AC">
        <w:rPr>
          <w:rFonts w:ascii="Calibri" w:eastAsia="Calibri" w:hAnsi="Calibri" w:cs="Calibri"/>
          <w:sz w:val="24"/>
          <w:szCs w:val="24"/>
          <w:lang w:val="es-CL"/>
        </w:rPr>
        <w:t>reparatorias</w:t>
      </w:r>
      <w:proofErr w:type="spellEnd"/>
      <w:r w:rsidRPr="000F72AC">
        <w:rPr>
          <w:rFonts w:ascii="Calibri" w:eastAsia="Calibri" w:hAnsi="Calibri" w:cs="Calibri"/>
          <w:sz w:val="24"/>
          <w:szCs w:val="24"/>
          <w:lang w:val="es-CL"/>
        </w:rPr>
        <w:t>”</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o “AMS (Atracción hacia el mismo sexo)”, constituyen procederes alejados de la evidencia científica (American </w:t>
      </w:r>
      <w:proofErr w:type="spellStart"/>
      <w:r w:rsidRPr="000F72AC">
        <w:rPr>
          <w:rFonts w:ascii="Calibri" w:eastAsia="Calibri" w:hAnsi="Calibri" w:cs="Calibri"/>
          <w:sz w:val="24"/>
          <w:szCs w:val="24"/>
          <w:lang w:val="es-CL"/>
        </w:rPr>
        <w:t>Psychological</w:t>
      </w:r>
      <w:proofErr w:type="spellEnd"/>
      <w:r w:rsidRPr="000F72AC">
        <w:rPr>
          <w:rFonts w:ascii="Calibri" w:eastAsia="Calibri" w:hAnsi="Calibri" w:cs="Calibri"/>
          <w:sz w:val="24"/>
          <w:szCs w:val="24"/>
          <w:lang w:val="es-CL"/>
        </w:rPr>
        <w:t xml:space="preserve"> </w:t>
      </w:r>
      <w:proofErr w:type="spellStart"/>
      <w:r w:rsidRPr="000F72AC">
        <w:rPr>
          <w:rFonts w:ascii="Calibri" w:eastAsia="Calibri" w:hAnsi="Calibri" w:cs="Calibri"/>
          <w:sz w:val="24"/>
          <w:szCs w:val="24"/>
          <w:lang w:val="es-CL"/>
        </w:rPr>
        <w:t>Association</w:t>
      </w:r>
      <w:proofErr w:type="spellEnd"/>
      <w:r w:rsidRPr="000F72AC">
        <w:rPr>
          <w:rFonts w:ascii="Calibri" w:eastAsia="Calibri" w:hAnsi="Calibri" w:cs="Calibri"/>
          <w:sz w:val="24"/>
          <w:szCs w:val="24"/>
          <w:lang w:val="es-CL"/>
        </w:rPr>
        <w:t xml:space="preserve">, 2009), que </w:t>
      </w:r>
      <w:proofErr w:type="spellStart"/>
      <w:r w:rsidRPr="000F72AC">
        <w:rPr>
          <w:rFonts w:ascii="Calibri" w:eastAsia="Calibri" w:hAnsi="Calibri" w:cs="Calibri"/>
          <w:sz w:val="24"/>
          <w:szCs w:val="24"/>
          <w:lang w:val="es-CL"/>
        </w:rPr>
        <w:t>patologizan</w:t>
      </w:r>
      <w:proofErr w:type="spellEnd"/>
      <w:r w:rsidRPr="000F72AC">
        <w:rPr>
          <w:rFonts w:ascii="Calibri" w:eastAsia="Calibri" w:hAnsi="Calibri" w:cs="Calibri"/>
          <w:sz w:val="24"/>
          <w:szCs w:val="24"/>
          <w:lang w:val="es-CL"/>
        </w:rPr>
        <w:t xml:space="preserve"> parte del continuum del desarrollo sexual, generando culpa y aumentando el riesgo de desarrollar problemas de salud mental en personas homosexuales o transexuales. Las intervenciones de carácter “</w:t>
      </w:r>
      <w:proofErr w:type="spellStart"/>
      <w:r w:rsidRPr="000F72AC">
        <w:rPr>
          <w:rFonts w:ascii="Calibri" w:eastAsia="Calibri" w:hAnsi="Calibri" w:cs="Calibri"/>
          <w:sz w:val="24"/>
          <w:szCs w:val="24"/>
          <w:lang w:val="es-CL"/>
        </w:rPr>
        <w:t>reparatorias</w:t>
      </w:r>
      <w:proofErr w:type="spellEnd"/>
      <w:r w:rsidRPr="000F72AC">
        <w:rPr>
          <w:rFonts w:ascii="Calibri" w:eastAsia="Calibri" w:hAnsi="Calibri" w:cs="Calibri"/>
          <w:sz w:val="24"/>
          <w:szCs w:val="24"/>
          <w:lang w:val="es-CL"/>
        </w:rPr>
        <w:t>” tienden a sostenerse</w:t>
      </w:r>
      <w:r>
        <w:rPr>
          <w:rFonts w:ascii="Calibri" w:eastAsia="Calibri" w:hAnsi="Calibri" w:cs="Calibri"/>
          <w:sz w:val="24"/>
          <w:szCs w:val="24"/>
          <w:lang w:val="es-CL"/>
        </w:rPr>
        <w:t xml:space="preserve"> e</w:t>
      </w:r>
      <w:r w:rsidRPr="000F72AC">
        <w:rPr>
          <w:rFonts w:ascii="Calibri" w:eastAsia="Calibri" w:hAnsi="Calibri" w:cs="Calibri"/>
          <w:sz w:val="24"/>
          <w:szCs w:val="24"/>
          <w:lang w:val="es-CL"/>
        </w:rPr>
        <w:t>n la angustia 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representa para la persona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homosexual o transexual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el manifestarse integralmente en un ambiente que evidencia como hostil o donde la orientación e identidad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sexual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divergente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son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castigadas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socialmente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y</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no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un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deseo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cambiar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 orientación sexual o la identidad de género. El Ministerio de Salud reconoce estas prácticas como vulneración de derechos de las personas y reconoce los riesgos que su aplicación presenta.</w:t>
      </w:r>
    </w:p>
    <w:p w:rsidR="004E6B2C" w:rsidRPr="000F72AC" w:rsidRDefault="004E6B2C">
      <w:pPr>
        <w:spacing w:line="200" w:lineRule="exact"/>
        <w:rPr>
          <w:lang w:val="es-CL"/>
        </w:rPr>
      </w:pPr>
    </w:p>
    <w:p w:rsidR="004E6B2C" w:rsidRPr="000F72AC" w:rsidRDefault="004E6B2C">
      <w:pPr>
        <w:spacing w:before="20" w:line="260" w:lineRule="exact"/>
        <w:rPr>
          <w:sz w:val="26"/>
          <w:szCs w:val="26"/>
          <w:lang w:val="es-CL"/>
        </w:rPr>
      </w:pPr>
    </w:p>
    <w:p w:rsidR="004E6B2C" w:rsidRPr="000F72AC" w:rsidRDefault="000F72AC">
      <w:pPr>
        <w:spacing w:line="258" w:lineRule="auto"/>
        <w:ind w:left="474" w:right="63"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2. ¿Existen definiciones adoptadas y utilizadas por los Estados sobre las prácticas de la llamada “terapia de conversión”? en caso afirmativo, ¿cuáles son esas definiciones y cuál fue el proceso mediante el cual se crearon o adoptaron?</w:t>
      </w:r>
    </w:p>
    <w:p w:rsidR="004E6B2C" w:rsidRPr="000F72AC" w:rsidRDefault="000F72AC">
      <w:pPr>
        <w:spacing w:before="5" w:line="259" w:lineRule="auto"/>
        <w:ind w:left="474" w:right="58"/>
        <w:jc w:val="both"/>
        <w:rPr>
          <w:rFonts w:ascii="Calibri" w:eastAsia="Calibri" w:hAnsi="Calibri" w:cs="Calibri"/>
          <w:sz w:val="24"/>
          <w:szCs w:val="24"/>
          <w:lang w:val="es-CL"/>
        </w:rPr>
      </w:pPr>
      <w:r w:rsidRPr="000F72AC">
        <w:rPr>
          <w:rFonts w:ascii="Calibri" w:eastAsia="Calibri" w:hAnsi="Calibri" w:cs="Calibri"/>
          <w:sz w:val="24"/>
          <w:szCs w:val="24"/>
          <w:lang w:val="es-CL"/>
        </w:rPr>
        <w:t>R: El Ministerio de Salud no cuenta con políticas, planes o programas que incluyan las “terapias de conversión”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como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parte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oferta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prestaciones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definidas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para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personas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usuarias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del sector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público.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Sí</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declarado,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concordancia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establecido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por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Organización Panamericana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Salud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(Organización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Panamericana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Salud,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2012)</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no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reconoce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 “terapias de conversión” como prácticas clínicas validadas para los prestadores de salud en el país, tanto públicos como privados.</w:t>
      </w:r>
    </w:p>
    <w:p w:rsidR="004E6B2C" w:rsidRPr="000F72AC" w:rsidRDefault="004E6B2C">
      <w:pPr>
        <w:spacing w:before="10" w:line="100" w:lineRule="exact"/>
        <w:rPr>
          <w:sz w:val="11"/>
          <w:szCs w:val="11"/>
          <w:lang w:val="es-CL"/>
        </w:rPr>
      </w:pPr>
    </w:p>
    <w:p w:rsidR="004E6B2C" w:rsidRPr="000F72AC" w:rsidRDefault="004E6B2C">
      <w:pPr>
        <w:spacing w:line="200" w:lineRule="exact"/>
        <w:rPr>
          <w:lang w:val="es-CL"/>
        </w:rPr>
      </w:pPr>
    </w:p>
    <w:p w:rsidR="004E6B2C" w:rsidRPr="000F72AC" w:rsidRDefault="000F72AC">
      <w:pPr>
        <w:spacing w:line="259" w:lineRule="auto"/>
        <w:ind w:left="474" w:right="68"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3.</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¿Cuáles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son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esfuerzos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actuales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Estados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para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aumentar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su</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conocimiento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las prácticas de la llamada “terapia de conversión”? ¿Existen esfuerzos para producir información y datos sobre estas prácticas?</w:t>
      </w:r>
    </w:p>
    <w:p w:rsidR="004E6B2C" w:rsidRPr="000F72AC" w:rsidRDefault="000F72AC">
      <w:pPr>
        <w:spacing w:before="2" w:line="259" w:lineRule="auto"/>
        <w:ind w:left="474" w:right="59"/>
        <w:jc w:val="both"/>
        <w:rPr>
          <w:rFonts w:ascii="Calibri" w:eastAsia="Calibri" w:hAnsi="Calibri" w:cs="Calibri"/>
          <w:sz w:val="24"/>
          <w:szCs w:val="24"/>
          <w:lang w:val="es-CL"/>
        </w:rPr>
      </w:pPr>
      <w:r w:rsidRPr="000F72AC">
        <w:rPr>
          <w:rFonts w:ascii="Calibri" w:eastAsia="Calibri" w:hAnsi="Calibri" w:cs="Calibri"/>
          <w:sz w:val="24"/>
          <w:szCs w:val="24"/>
          <w:lang w:val="es-CL"/>
        </w:rPr>
        <w:t>R: Desde el Ministerio de Salud no se ha levantado información sobre est</w:t>
      </w:r>
      <w:r>
        <w:rPr>
          <w:rFonts w:ascii="Calibri" w:eastAsia="Calibri" w:hAnsi="Calibri" w:cs="Calibri"/>
          <w:sz w:val="24"/>
          <w:szCs w:val="24"/>
          <w:lang w:val="es-CL"/>
        </w:rPr>
        <w:t>a</w:t>
      </w:r>
      <w:r w:rsidRPr="000F72AC">
        <w:rPr>
          <w:rFonts w:ascii="Calibri" w:eastAsia="Calibri" w:hAnsi="Calibri" w:cs="Calibri"/>
          <w:sz w:val="24"/>
          <w:szCs w:val="24"/>
          <w:lang w:val="es-CL"/>
        </w:rPr>
        <w:t>s prácticas, ya que no forman parte de la oferta programática ni son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promovidas para ser utilizadas.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Sí, en los casos donde se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han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hecho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denuncias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pertinentes,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han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investigado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los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casos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por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la Superintendencia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Salud,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institución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independiente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nuestro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país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cuya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misión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 proteger, promover, y velar por el cumplimiento igualitario de los derechos de las personas en salud, con relación a los aseguradores y prestadores.</w:t>
      </w:r>
    </w:p>
    <w:p w:rsidR="004E6B2C" w:rsidRPr="000F72AC" w:rsidRDefault="004E6B2C">
      <w:pPr>
        <w:spacing w:before="9" w:line="100" w:lineRule="exact"/>
        <w:rPr>
          <w:sz w:val="11"/>
          <w:szCs w:val="11"/>
          <w:lang w:val="es-CL"/>
        </w:rPr>
      </w:pPr>
    </w:p>
    <w:p w:rsidR="004E6B2C" w:rsidRPr="000F72AC" w:rsidRDefault="004E6B2C">
      <w:pPr>
        <w:spacing w:line="200" w:lineRule="exact"/>
        <w:rPr>
          <w:lang w:val="es-CL"/>
        </w:rPr>
      </w:pPr>
    </w:p>
    <w:p w:rsidR="004E6B2C" w:rsidRPr="000F72AC" w:rsidRDefault="000F72AC">
      <w:pPr>
        <w:spacing w:line="259" w:lineRule="auto"/>
        <w:ind w:left="474" w:right="61"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4. ¿Qué</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tipo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información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y</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datos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recopilan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Estados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para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comprender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naturaleza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y</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el alcance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llamadas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“terapias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conversión”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(por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ejemplo,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mediante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inspecciones, investigaciones, encuestas)?</w:t>
      </w:r>
    </w:p>
    <w:p w:rsidR="004E6B2C" w:rsidRPr="000F72AC" w:rsidRDefault="000F72AC">
      <w:pPr>
        <w:spacing w:before="4"/>
        <w:ind w:left="474" w:right="2407"/>
        <w:jc w:val="both"/>
        <w:rPr>
          <w:rFonts w:ascii="Calibri" w:eastAsia="Calibri" w:hAnsi="Calibri" w:cs="Calibri"/>
          <w:sz w:val="24"/>
          <w:szCs w:val="24"/>
          <w:lang w:val="es-CL"/>
        </w:rPr>
        <w:sectPr w:rsidR="004E6B2C" w:rsidRPr="000F72AC">
          <w:headerReference w:type="default" r:id="rId7"/>
          <w:pgSz w:w="12240" w:h="20160"/>
          <w:pgMar w:top="1000" w:right="1360" w:bottom="280" w:left="880" w:header="720" w:footer="720" w:gutter="0"/>
          <w:cols w:space="720"/>
        </w:sectPr>
      </w:pPr>
      <w:r w:rsidRPr="000F72AC">
        <w:rPr>
          <w:rFonts w:ascii="Calibri" w:eastAsia="Calibri" w:hAnsi="Calibri" w:cs="Calibri"/>
          <w:sz w:val="24"/>
          <w:szCs w:val="24"/>
          <w:lang w:val="es-CL"/>
        </w:rPr>
        <w:t>R: Desde el Ministerio de Salud no se han realizado tales investigaciones.</w:t>
      </w:r>
    </w:p>
    <w:p w:rsidR="004E6B2C" w:rsidRPr="000F72AC" w:rsidRDefault="000F72AC">
      <w:pPr>
        <w:spacing w:before="52"/>
        <w:ind w:left="114"/>
        <w:rPr>
          <w:rFonts w:ascii="Calibri" w:eastAsia="Calibri" w:hAnsi="Calibri" w:cs="Calibri"/>
          <w:sz w:val="24"/>
          <w:szCs w:val="24"/>
          <w:lang w:val="es-CL"/>
        </w:rPr>
      </w:pPr>
      <w:r w:rsidRPr="000F72AC">
        <w:rPr>
          <w:rFonts w:ascii="Calibri" w:eastAsia="Calibri" w:hAnsi="Calibri" w:cs="Calibri"/>
          <w:b/>
          <w:sz w:val="24"/>
          <w:szCs w:val="24"/>
          <w:lang w:val="es-CL"/>
        </w:rPr>
        <w:lastRenderedPageBreak/>
        <w:t>5.</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¿Se han identificados los riesgos asociados a las prácticas de la llamada “terapia de conversión”?</w:t>
      </w:r>
    </w:p>
    <w:p w:rsidR="004E6B2C" w:rsidRPr="000F72AC" w:rsidRDefault="000F72AC">
      <w:pPr>
        <w:spacing w:before="24" w:line="259" w:lineRule="auto"/>
        <w:ind w:left="474" w:right="60"/>
        <w:jc w:val="both"/>
        <w:rPr>
          <w:rFonts w:ascii="Calibri" w:eastAsia="Calibri" w:hAnsi="Calibri" w:cs="Calibri"/>
          <w:sz w:val="24"/>
          <w:szCs w:val="24"/>
          <w:lang w:val="es-CL"/>
        </w:rPr>
      </w:pPr>
      <w:r w:rsidRPr="000F72AC">
        <w:rPr>
          <w:rFonts w:ascii="Calibri" w:eastAsia="Calibri" w:hAnsi="Calibri" w:cs="Calibri"/>
          <w:sz w:val="24"/>
          <w:szCs w:val="24"/>
          <w:lang w:val="es-CL"/>
        </w:rPr>
        <w:t>R: Desde el Ministerio de Salud no se han realizado tales investigaciones.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Pero en virtud de la experiencia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y</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evidencia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internacional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ha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establecido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estas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prácticas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no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pueden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ser realizadas por actores sanitarios.</w:t>
      </w:r>
    </w:p>
    <w:p w:rsidR="004E6B2C" w:rsidRPr="000F72AC" w:rsidRDefault="004E6B2C">
      <w:pPr>
        <w:spacing w:before="9" w:line="100" w:lineRule="exact"/>
        <w:rPr>
          <w:sz w:val="11"/>
          <w:szCs w:val="11"/>
          <w:lang w:val="es-CL"/>
        </w:rPr>
      </w:pPr>
    </w:p>
    <w:p w:rsidR="004E6B2C" w:rsidRPr="000F72AC" w:rsidRDefault="004E6B2C">
      <w:pPr>
        <w:spacing w:line="200" w:lineRule="exact"/>
        <w:rPr>
          <w:lang w:val="es-CL"/>
        </w:rPr>
      </w:pPr>
    </w:p>
    <w:p w:rsidR="004E6B2C" w:rsidRPr="000F72AC" w:rsidRDefault="000F72AC">
      <w:pPr>
        <w:ind w:left="114"/>
        <w:rPr>
          <w:rFonts w:ascii="Calibri" w:eastAsia="Calibri" w:hAnsi="Calibri" w:cs="Calibri"/>
          <w:sz w:val="24"/>
          <w:szCs w:val="24"/>
          <w:lang w:val="es-CL"/>
        </w:rPr>
      </w:pPr>
      <w:r w:rsidRPr="000F72AC">
        <w:rPr>
          <w:rFonts w:ascii="Calibri" w:eastAsia="Calibri" w:hAnsi="Calibri" w:cs="Calibri"/>
          <w:b/>
          <w:sz w:val="24"/>
          <w:szCs w:val="24"/>
          <w:lang w:val="es-CL"/>
        </w:rPr>
        <w:t>6.</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¿Qué</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tipo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información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y</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datos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recopilan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Estados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para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comprender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naturaleza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y</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el</w:t>
      </w:r>
    </w:p>
    <w:p w:rsidR="004E6B2C" w:rsidRPr="000F72AC" w:rsidRDefault="000F72AC">
      <w:pPr>
        <w:spacing w:before="24"/>
        <w:ind w:left="474" w:right="1070"/>
        <w:jc w:val="both"/>
        <w:rPr>
          <w:rFonts w:ascii="Calibri" w:eastAsia="Calibri" w:hAnsi="Calibri" w:cs="Calibri"/>
          <w:sz w:val="24"/>
          <w:szCs w:val="24"/>
          <w:lang w:val="es-CL"/>
        </w:rPr>
      </w:pPr>
      <w:proofErr w:type="gramStart"/>
      <w:r w:rsidRPr="000F72AC">
        <w:rPr>
          <w:rFonts w:ascii="Calibri" w:eastAsia="Calibri" w:hAnsi="Calibri" w:cs="Calibri"/>
          <w:b/>
          <w:sz w:val="24"/>
          <w:szCs w:val="24"/>
          <w:lang w:val="es-CL"/>
        </w:rPr>
        <w:t>alcance</w:t>
      </w:r>
      <w:proofErr w:type="gramEnd"/>
      <w:r w:rsidRPr="000F72AC">
        <w:rPr>
          <w:rFonts w:ascii="Calibri" w:eastAsia="Calibri" w:hAnsi="Calibri" w:cs="Calibri"/>
          <w:b/>
          <w:sz w:val="24"/>
          <w:szCs w:val="24"/>
          <w:lang w:val="es-CL"/>
        </w:rPr>
        <w:t xml:space="preserve"> de las llamadas “terapias de conversión”? Esta pregunta incluye lo siguiente:</w:t>
      </w:r>
    </w:p>
    <w:p w:rsidR="004E6B2C" w:rsidRPr="000F72AC" w:rsidRDefault="000F72AC">
      <w:pPr>
        <w:spacing w:before="24" w:line="257" w:lineRule="auto"/>
        <w:ind w:left="834" w:right="68"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 xml:space="preserve"> Medidas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protección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para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evitar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que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personas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sean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sometidas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“terapias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 conversión”</w:t>
      </w:r>
    </w:p>
    <w:p w:rsidR="004E6B2C" w:rsidRPr="000F72AC" w:rsidRDefault="000F72AC">
      <w:pPr>
        <w:spacing w:before="6" w:line="259" w:lineRule="auto"/>
        <w:ind w:left="834" w:right="68"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b.</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 xml:space="preserve"> Extensión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normas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legales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políticas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administrativas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para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hacer</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responsables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los proveedores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atención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médica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y</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otras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personas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involucradas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dichas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“terapias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 conversión”.</w:t>
      </w:r>
    </w:p>
    <w:p w:rsidR="004E6B2C" w:rsidRPr="000F72AC" w:rsidRDefault="000F72AC">
      <w:pPr>
        <w:spacing w:before="2" w:line="259" w:lineRule="auto"/>
        <w:ind w:left="395" w:right="58"/>
        <w:jc w:val="both"/>
        <w:rPr>
          <w:rFonts w:ascii="Calibri" w:eastAsia="Calibri" w:hAnsi="Calibri" w:cs="Calibri"/>
          <w:sz w:val="24"/>
          <w:szCs w:val="24"/>
          <w:lang w:val="es-CL"/>
        </w:rPr>
      </w:pPr>
      <w:r w:rsidRPr="000F72AC">
        <w:rPr>
          <w:rFonts w:ascii="Calibri" w:eastAsia="Calibri" w:hAnsi="Calibri" w:cs="Calibri"/>
          <w:sz w:val="24"/>
          <w:szCs w:val="24"/>
          <w:lang w:val="es-CL"/>
        </w:rPr>
        <w:t>R: La legislación chilena contempla la Ley 20.609, que establece medidas contra la discriminación. Esta Ley entró en vigencia el año 2012 y tiene por objetivo instaurar un mecanismo judicial que permita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proteger el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derecho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 personas ante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actos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discriminación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arbitraria,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mediante medidas sancionatorias. También, la Ley 21.120 del año 2019, reconoce y da protección al derecho 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identidad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género.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ley</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20.584,</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vigente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desde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el</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año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2012, 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regula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los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derechos y deberes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tienen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personas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relación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acciones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vinculadas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su</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atención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salud, reconoce que toda persona tiene derecho, cualquiera que sea el prestador que ejecute las acciones de promoción, protección y recuperación de su salud y de su rehabilitación, a que ellas sean dadas oportunamente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y</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sin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discriminación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arbitraria,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formas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y</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condiciones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determinan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 Constitución y las leyes.</w:t>
      </w:r>
    </w:p>
    <w:p w:rsidR="004E6B2C" w:rsidRPr="000F72AC" w:rsidRDefault="000F72AC">
      <w:pPr>
        <w:spacing w:before="4" w:line="258" w:lineRule="auto"/>
        <w:ind w:left="395" w:right="66"/>
        <w:jc w:val="both"/>
        <w:rPr>
          <w:rFonts w:ascii="Calibri" w:eastAsia="Calibri" w:hAnsi="Calibri" w:cs="Calibri"/>
          <w:sz w:val="24"/>
          <w:szCs w:val="24"/>
          <w:lang w:val="es-CL"/>
        </w:rPr>
      </w:pPr>
      <w:r w:rsidRPr="000F72AC">
        <w:rPr>
          <w:rFonts w:ascii="Calibri" w:eastAsia="Calibri" w:hAnsi="Calibri" w:cs="Calibri"/>
          <w:sz w:val="24"/>
          <w:szCs w:val="24"/>
          <w:lang w:val="es-CL"/>
        </w:rPr>
        <w:t>Estas leyes reconocen el derecho de las personas a no ser discriminadas por su orientación sexual 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identidad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género,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por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que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personas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afectadas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por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aplicación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“terapias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 conversión”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podrían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demandar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o</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bien,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establecer</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reclamos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las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Oficinas</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de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Información</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y Reclamos en Salud (OIRS) y Superintendencia de Salud.</w:t>
      </w:r>
    </w:p>
    <w:p w:rsidR="004E6B2C" w:rsidRPr="000F72AC" w:rsidRDefault="004E6B2C">
      <w:pPr>
        <w:spacing w:before="10" w:line="100" w:lineRule="exact"/>
        <w:rPr>
          <w:sz w:val="11"/>
          <w:szCs w:val="11"/>
          <w:lang w:val="es-CL"/>
        </w:rPr>
      </w:pPr>
    </w:p>
    <w:p w:rsidR="004E6B2C" w:rsidRPr="000F72AC" w:rsidRDefault="004E6B2C">
      <w:pPr>
        <w:spacing w:line="200" w:lineRule="exact"/>
        <w:rPr>
          <w:lang w:val="es-CL"/>
        </w:rPr>
      </w:pPr>
    </w:p>
    <w:p w:rsidR="004E6B2C" w:rsidRPr="000F72AC" w:rsidRDefault="000F72AC">
      <w:pPr>
        <w:spacing w:line="259" w:lineRule="auto"/>
        <w:ind w:left="474" w:right="68" w:hanging="360"/>
        <w:jc w:val="both"/>
        <w:rPr>
          <w:rFonts w:ascii="Calibri" w:eastAsia="Calibri" w:hAnsi="Calibri" w:cs="Calibri"/>
          <w:sz w:val="24"/>
          <w:szCs w:val="24"/>
          <w:lang w:val="es-CL"/>
        </w:rPr>
      </w:pPr>
      <w:r w:rsidRPr="000F72AC">
        <w:rPr>
          <w:rFonts w:ascii="Calibri" w:eastAsia="Calibri" w:hAnsi="Calibri" w:cs="Calibri"/>
          <w:b/>
          <w:sz w:val="24"/>
          <w:szCs w:val="24"/>
          <w:lang w:val="es-CL"/>
        </w:rPr>
        <w:t>7.</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¿Existen instituciones, organizaciones o entidades estatales involucradas en la ejecución de las prácticas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llamada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“terapia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conversión”?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caso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afirmativo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¿qué</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criterios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se</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han seguido para considerarlos como una forma válida de acción estatal?</w:t>
      </w:r>
    </w:p>
    <w:p w:rsidR="004E6B2C" w:rsidRPr="000F72AC" w:rsidRDefault="000F72AC">
      <w:pPr>
        <w:spacing w:before="4" w:line="257" w:lineRule="auto"/>
        <w:ind w:left="474" w:right="68"/>
        <w:jc w:val="both"/>
        <w:rPr>
          <w:rFonts w:ascii="Calibri" w:eastAsia="Calibri" w:hAnsi="Calibri" w:cs="Calibri"/>
          <w:sz w:val="24"/>
          <w:szCs w:val="24"/>
          <w:lang w:val="es-CL"/>
        </w:rPr>
      </w:pPr>
      <w:r w:rsidRPr="000F72AC">
        <w:rPr>
          <w:rFonts w:ascii="Calibri" w:eastAsia="Calibri" w:hAnsi="Calibri" w:cs="Calibri"/>
          <w:sz w:val="24"/>
          <w:szCs w:val="24"/>
          <w:lang w:val="es-CL"/>
        </w:rPr>
        <w:t>R: En el Ministerio de Salud no se considera la oferta ni la promoción para la aplicación de estas terapias.</w:t>
      </w:r>
    </w:p>
    <w:p w:rsidR="004E6B2C" w:rsidRPr="000F72AC" w:rsidRDefault="004E6B2C">
      <w:pPr>
        <w:spacing w:before="3" w:line="120" w:lineRule="exact"/>
        <w:rPr>
          <w:sz w:val="12"/>
          <w:szCs w:val="12"/>
          <w:lang w:val="es-CL"/>
        </w:rPr>
      </w:pPr>
    </w:p>
    <w:p w:rsidR="004E6B2C" w:rsidRPr="000F72AC" w:rsidRDefault="004E6B2C">
      <w:pPr>
        <w:spacing w:line="200" w:lineRule="exact"/>
        <w:rPr>
          <w:lang w:val="es-CL"/>
        </w:rPr>
      </w:pPr>
    </w:p>
    <w:p w:rsidR="004E6B2C" w:rsidRPr="000F72AC" w:rsidRDefault="000F72AC">
      <w:pPr>
        <w:ind w:left="114"/>
        <w:rPr>
          <w:rFonts w:ascii="Calibri" w:eastAsia="Calibri" w:hAnsi="Calibri" w:cs="Calibri"/>
          <w:sz w:val="24"/>
          <w:szCs w:val="24"/>
          <w:lang w:val="es-CL"/>
        </w:rPr>
      </w:pPr>
      <w:r w:rsidRPr="000F72AC">
        <w:rPr>
          <w:rFonts w:ascii="Calibri" w:eastAsia="Calibri" w:hAnsi="Calibri" w:cs="Calibri"/>
          <w:b/>
          <w:sz w:val="24"/>
          <w:szCs w:val="24"/>
          <w:lang w:val="es-CL"/>
        </w:rPr>
        <w:t>8.</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¿Alguna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institución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del</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Estado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ha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adoptado</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una</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posición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en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relación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con</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las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prácticas</w:t>
      </w:r>
      <w:r>
        <w:rPr>
          <w:rFonts w:ascii="Calibri" w:eastAsia="Calibri" w:hAnsi="Calibri" w:cs="Calibri"/>
          <w:b/>
          <w:sz w:val="24"/>
          <w:szCs w:val="24"/>
          <w:lang w:val="es-CL"/>
        </w:rPr>
        <w:t xml:space="preserve"> </w:t>
      </w:r>
      <w:r w:rsidRPr="000F72AC">
        <w:rPr>
          <w:rFonts w:ascii="Calibri" w:eastAsia="Calibri" w:hAnsi="Calibri" w:cs="Calibri"/>
          <w:b/>
          <w:sz w:val="24"/>
          <w:szCs w:val="24"/>
          <w:lang w:val="es-CL"/>
        </w:rPr>
        <w:t>de la</w:t>
      </w:r>
    </w:p>
    <w:p w:rsidR="004E6B2C" w:rsidRPr="000F72AC" w:rsidRDefault="000F72AC">
      <w:pPr>
        <w:spacing w:before="21"/>
        <w:ind w:left="474" w:right="4876"/>
        <w:jc w:val="both"/>
        <w:rPr>
          <w:rFonts w:ascii="Calibri" w:eastAsia="Calibri" w:hAnsi="Calibri" w:cs="Calibri"/>
          <w:sz w:val="24"/>
          <w:szCs w:val="24"/>
          <w:lang w:val="es-CL"/>
        </w:rPr>
      </w:pPr>
      <w:proofErr w:type="gramStart"/>
      <w:r w:rsidRPr="000F72AC">
        <w:rPr>
          <w:rFonts w:ascii="Calibri" w:eastAsia="Calibri" w:hAnsi="Calibri" w:cs="Calibri"/>
          <w:b/>
          <w:sz w:val="24"/>
          <w:szCs w:val="24"/>
          <w:lang w:val="es-CL"/>
        </w:rPr>
        <w:t>llamada</w:t>
      </w:r>
      <w:proofErr w:type="gramEnd"/>
      <w:r w:rsidRPr="000F72AC">
        <w:rPr>
          <w:rFonts w:ascii="Calibri" w:eastAsia="Calibri" w:hAnsi="Calibri" w:cs="Calibri"/>
          <w:b/>
          <w:sz w:val="24"/>
          <w:szCs w:val="24"/>
          <w:lang w:val="es-CL"/>
        </w:rPr>
        <w:t xml:space="preserve"> “terapia de conversión”, por ejemplo:</w:t>
      </w:r>
    </w:p>
    <w:p w:rsidR="004E6B2C" w:rsidRPr="000F72AC" w:rsidRDefault="000F72AC">
      <w:pPr>
        <w:spacing w:before="24"/>
        <w:ind w:left="474" w:right="1947"/>
        <w:jc w:val="both"/>
        <w:rPr>
          <w:rFonts w:ascii="Calibri" w:eastAsia="Calibri" w:hAnsi="Calibri" w:cs="Calibri"/>
          <w:sz w:val="24"/>
          <w:szCs w:val="24"/>
          <w:lang w:val="es-CL"/>
        </w:rPr>
      </w:pPr>
      <w:r w:rsidRPr="000F72AC">
        <w:rPr>
          <w:rFonts w:ascii="Calibri" w:eastAsia="Calibri" w:hAnsi="Calibri" w:cs="Calibri"/>
          <w:sz w:val="24"/>
          <w:szCs w:val="24"/>
          <w:lang w:val="es-CL"/>
        </w:rPr>
        <w:t>a.</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Entidades o dependencias del Estado encargadas de las políticas públicas;</w:t>
      </w:r>
    </w:p>
    <w:p w:rsidR="004E6B2C" w:rsidRPr="000F72AC" w:rsidRDefault="000F72AC">
      <w:pPr>
        <w:spacing w:before="24"/>
        <w:ind w:left="474" w:right="6700"/>
        <w:jc w:val="both"/>
        <w:rPr>
          <w:rFonts w:ascii="Calibri" w:eastAsia="Calibri" w:hAnsi="Calibri" w:cs="Calibri"/>
          <w:sz w:val="24"/>
          <w:szCs w:val="24"/>
          <w:lang w:val="es-CL"/>
        </w:rPr>
      </w:pPr>
      <w:r w:rsidRPr="000F72AC">
        <w:rPr>
          <w:rFonts w:ascii="Calibri" w:eastAsia="Calibri" w:hAnsi="Calibri" w:cs="Calibri"/>
          <w:sz w:val="24"/>
          <w:szCs w:val="24"/>
          <w:lang w:val="es-CL"/>
        </w:rPr>
        <w:t>b.</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Órganos parlamentarios;</w:t>
      </w:r>
    </w:p>
    <w:p w:rsidR="004E6B2C" w:rsidRPr="000F72AC" w:rsidRDefault="000F72AC">
      <w:pPr>
        <w:spacing w:before="24"/>
        <w:ind w:left="474" w:right="7512"/>
        <w:jc w:val="both"/>
        <w:rPr>
          <w:rFonts w:ascii="Calibri" w:eastAsia="Calibri" w:hAnsi="Calibri" w:cs="Calibri"/>
          <w:sz w:val="24"/>
          <w:szCs w:val="24"/>
          <w:lang w:val="es-CL"/>
        </w:rPr>
      </w:pPr>
      <w:r w:rsidRPr="000F72AC">
        <w:rPr>
          <w:rFonts w:ascii="Calibri" w:eastAsia="Calibri" w:hAnsi="Calibri" w:cs="Calibri"/>
          <w:sz w:val="24"/>
          <w:szCs w:val="24"/>
          <w:lang w:val="es-CL"/>
        </w:rPr>
        <w:t>c.</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El poder judicial;</w:t>
      </w:r>
    </w:p>
    <w:p w:rsidR="004E6B2C" w:rsidRPr="000F72AC" w:rsidRDefault="000F72AC">
      <w:pPr>
        <w:spacing w:before="22"/>
        <w:ind w:left="474" w:right="1348"/>
        <w:jc w:val="both"/>
        <w:rPr>
          <w:rFonts w:ascii="Calibri" w:eastAsia="Calibri" w:hAnsi="Calibri" w:cs="Calibri"/>
          <w:sz w:val="24"/>
          <w:szCs w:val="24"/>
          <w:lang w:val="es-CL"/>
        </w:rPr>
      </w:pPr>
      <w:r w:rsidRPr="000F72AC">
        <w:rPr>
          <w:rFonts w:ascii="Calibri" w:eastAsia="Calibri" w:hAnsi="Calibri" w:cs="Calibri"/>
          <w:sz w:val="24"/>
          <w:szCs w:val="24"/>
          <w:lang w:val="es-CL"/>
        </w:rPr>
        <w:t>d.</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Instituciones Nacionales de Derechos Humanos u otras instituciones del Estado;</w:t>
      </w:r>
    </w:p>
    <w:p w:rsidR="004E6B2C" w:rsidRPr="000F72AC" w:rsidRDefault="000F72AC">
      <w:pPr>
        <w:spacing w:before="24"/>
        <w:ind w:left="474" w:right="5400"/>
        <w:jc w:val="both"/>
        <w:rPr>
          <w:rFonts w:ascii="Calibri" w:eastAsia="Calibri" w:hAnsi="Calibri" w:cs="Calibri"/>
          <w:sz w:val="24"/>
          <w:szCs w:val="24"/>
          <w:lang w:val="es-CL"/>
        </w:rPr>
      </w:pPr>
      <w:r w:rsidRPr="000F72AC">
        <w:rPr>
          <w:rFonts w:ascii="Calibri" w:eastAsia="Calibri" w:hAnsi="Calibri" w:cs="Calibri"/>
          <w:sz w:val="24"/>
          <w:szCs w:val="24"/>
          <w:lang w:val="es-CL"/>
        </w:rPr>
        <w:t>e.</w:t>
      </w:r>
      <w:r>
        <w:rPr>
          <w:rFonts w:ascii="Calibri" w:eastAsia="Calibri" w:hAnsi="Calibri" w:cs="Calibri"/>
          <w:sz w:val="24"/>
          <w:szCs w:val="24"/>
          <w:lang w:val="es-CL"/>
        </w:rPr>
        <w:t xml:space="preserve"> </w:t>
      </w:r>
      <w:r w:rsidRPr="000F72AC">
        <w:rPr>
          <w:rFonts w:ascii="Calibri" w:eastAsia="Calibri" w:hAnsi="Calibri" w:cs="Calibri"/>
          <w:sz w:val="24"/>
          <w:szCs w:val="24"/>
          <w:lang w:val="es-CL"/>
        </w:rPr>
        <w:t xml:space="preserve"> Cualquier otra entidad u organización.</w:t>
      </w:r>
    </w:p>
    <w:p w:rsidR="004E6B2C" w:rsidRPr="000F72AC" w:rsidRDefault="004E6B2C">
      <w:pPr>
        <w:spacing w:before="1" w:line="140" w:lineRule="exact"/>
        <w:rPr>
          <w:sz w:val="14"/>
          <w:szCs w:val="14"/>
          <w:lang w:val="es-CL"/>
        </w:rPr>
      </w:pPr>
    </w:p>
    <w:p w:rsidR="004E6B2C" w:rsidRPr="000F72AC" w:rsidRDefault="004E6B2C">
      <w:pPr>
        <w:spacing w:line="200" w:lineRule="exact"/>
        <w:rPr>
          <w:lang w:val="es-CL"/>
        </w:rPr>
      </w:pPr>
    </w:p>
    <w:p w:rsidR="004E6B2C" w:rsidRPr="000F72AC" w:rsidRDefault="000F72AC">
      <w:pPr>
        <w:spacing w:line="258" w:lineRule="auto"/>
        <w:ind w:left="539" w:right="59"/>
        <w:jc w:val="both"/>
        <w:rPr>
          <w:rFonts w:ascii="Calibri" w:eastAsia="Calibri" w:hAnsi="Calibri" w:cs="Calibri"/>
          <w:sz w:val="24"/>
          <w:szCs w:val="24"/>
          <w:lang w:val="es-CL"/>
        </w:rPr>
      </w:pPr>
      <w:r w:rsidRPr="000F72AC">
        <w:rPr>
          <w:rFonts w:ascii="Calibri" w:eastAsia="Calibri" w:hAnsi="Calibri" w:cs="Calibri"/>
          <w:sz w:val="24"/>
          <w:szCs w:val="24"/>
          <w:lang w:val="es-CL"/>
        </w:rPr>
        <w:t>R: El Ministerio de Salud, considera que las prácticas conocidas como “terapias de conversión” o “reparativas” que tienen por objetivo cambiar la orientación sexual o identidad de género de una persona, representan una grave amenaza para la salud y el bienestar, inclusive la vida, de las personas afectadas. Estas terapias no sólo carecen de evidencia de efectividad en su propósito, sino que además abundan testimonios de efectos traumáticos de personas que son sometidas a ellas contra su voluntad. Así lo avalan las declaraciones de la Organización Panamericana de la Salud</w:t>
      </w:r>
      <w:r w:rsidRPr="000F72AC">
        <w:rPr>
          <w:rFonts w:ascii="Calibri" w:eastAsia="Calibri" w:hAnsi="Calibri" w:cs="Calibri"/>
          <w:position w:val="8"/>
          <w:sz w:val="16"/>
          <w:szCs w:val="16"/>
          <w:lang w:val="es-CL"/>
        </w:rPr>
        <w:t>1</w:t>
      </w:r>
      <w:r>
        <w:rPr>
          <w:rFonts w:ascii="Calibri" w:eastAsia="Calibri" w:hAnsi="Calibri" w:cs="Calibri"/>
          <w:position w:val="8"/>
          <w:sz w:val="16"/>
          <w:szCs w:val="16"/>
          <w:lang w:val="es-CL"/>
        </w:rPr>
        <w:t xml:space="preserve"> </w:t>
      </w:r>
      <w:r w:rsidRPr="000F72AC">
        <w:rPr>
          <w:rFonts w:ascii="Calibri" w:eastAsia="Calibri" w:hAnsi="Calibri" w:cs="Calibri"/>
          <w:sz w:val="24"/>
          <w:szCs w:val="24"/>
          <w:lang w:val="es-CL"/>
        </w:rPr>
        <w:t>y de diversas instancias defensoras de Derechos Humanos, de las cuales el Ministerio de Salud es parte.</w:t>
      </w: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4E6B2C">
      <w:pPr>
        <w:spacing w:line="200" w:lineRule="exact"/>
        <w:rPr>
          <w:lang w:val="es-CL"/>
        </w:rPr>
      </w:pPr>
    </w:p>
    <w:p w:rsidR="004E6B2C" w:rsidRPr="000F72AC" w:rsidRDefault="00721396">
      <w:pPr>
        <w:spacing w:before="4" w:line="280" w:lineRule="exact"/>
        <w:rPr>
          <w:sz w:val="28"/>
          <w:szCs w:val="28"/>
          <w:lang w:val="es-CL"/>
        </w:rPr>
      </w:pPr>
      <w:r>
        <w:pict>
          <v:group id="_x0000_s1026" style="position:absolute;margin-left:75.9pt;margin-top:179pt;width:2in;height:0;z-index:-251658240;mso-position-horizontal-relative:page;mso-position-vertical-relative:page" coordorigin="1702,18394" coordsize="2880,0">
            <v:shape id="_x0000_s1027" style="position:absolute;left:1702;top:18394;width:2880;height:0" coordorigin="1702,18394" coordsize="2880,0" path="m1702,18394r2880,e" filled="f" strokeweight=".82pt">
              <v:path arrowok="t"/>
            </v:shape>
            <w10:wrap anchorx="page" anchory="page"/>
          </v:group>
        </w:pict>
      </w:r>
    </w:p>
    <w:p w:rsidR="004E6B2C" w:rsidRPr="000F72AC" w:rsidRDefault="000F72AC">
      <w:pPr>
        <w:spacing w:before="30"/>
        <w:ind w:left="822"/>
        <w:rPr>
          <w:rFonts w:ascii="Calibri" w:eastAsia="Calibri" w:hAnsi="Calibri" w:cs="Calibri"/>
          <w:lang w:val="es-CL"/>
        </w:rPr>
      </w:pPr>
      <w:r w:rsidRPr="000F72AC">
        <w:rPr>
          <w:rFonts w:ascii="Calibri" w:eastAsia="Calibri" w:hAnsi="Calibri" w:cs="Calibri"/>
          <w:w w:val="99"/>
          <w:position w:val="7"/>
          <w:sz w:val="13"/>
          <w:szCs w:val="13"/>
          <w:lang w:val="es-CL"/>
        </w:rPr>
        <w:t>1</w:t>
      </w:r>
      <w:r>
        <w:rPr>
          <w:rFonts w:ascii="Calibri" w:eastAsia="Calibri" w:hAnsi="Calibri" w:cs="Calibri"/>
          <w:position w:val="7"/>
          <w:sz w:val="13"/>
          <w:szCs w:val="13"/>
          <w:lang w:val="es-CL"/>
        </w:rPr>
        <w:t xml:space="preserve"> </w:t>
      </w:r>
      <w:hyperlink r:id="rId8">
        <w:r w:rsidRPr="000F72AC">
          <w:rPr>
            <w:rFonts w:ascii="Calibri" w:eastAsia="Calibri" w:hAnsi="Calibri" w:cs="Calibri"/>
            <w:color w:val="0462C1"/>
            <w:w w:val="99"/>
            <w:u w:val="single" w:color="0462C1"/>
            <w:lang w:val="es-CL"/>
          </w:rPr>
          <w:t>http://www.movilh.cl/documentacion/documentos/OPSCURAS.pdf</w:t>
        </w:r>
      </w:hyperlink>
    </w:p>
    <w:sectPr w:rsidR="004E6B2C" w:rsidRPr="000F72AC">
      <w:pgSz w:w="12240" w:h="20160"/>
      <w:pgMar w:top="1040" w:right="13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D91" w:rsidRDefault="00513D91" w:rsidP="00E3773B">
      <w:r>
        <w:separator/>
      </w:r>
    </w:p>
  </w:endnote>
  <w:endnote w:type="continuationSeparator" w:id="0">
    <w:p w:rsidR="00513D91" w:rsidRDefault="00513D91" w:rsidP="00E3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D91" w:rsidRDefault="00513D91" w:rsidP="00E3773B">
      <w:r>
        <w:separator/>
      </w:r>
    </w:p>
  </w:footnote>
  <w:footnote w:type="continuationSeparator" w:id="0">
    <w:p w:rsidR="00513D91" w:rsidRDefault="00513D91" w:rsidP="00E37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3B" w:rsidRDefault="00E3773B" w:rsidP="00E3773B">
    <w:pPr>
      <w:spacing w:before="98"/>
      <w:ind w:left="879"/>
      <w:jc w:val="right"/>
    </w:pPr>
    <w:r>
      <w:rPr>
        <w:noProof/>
        <w:lang w:val="es-CL" w:eastAsia="es-CL"/>
      </w:rPr>
      <w:drawing>
        <wp:inline distT="0" distB="0" distL="0" distR="0">
          <wp:extent cx="687705" cy="629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29285"/>
                  </a:xfrm>
                  <a:prstGeom prst="rect">
                    <a:avLst/>
                  </a:prstGeom>
                  <a:noFill/>
                  <a:ln>
                    <a:noFill/>
                  </a:ln>
                </pic:spPr>
              </pic:pic>
            </a:graphicData>
          </a:graphic>
        </wp:inline>
      </w:drawing>
    </w:r>
  </w:p>
  <w:p w:rsidR="00E3773B" w:rsidRDefault="00E3773B" w:rsidP="00E3773B">
    <w:pPr>
      <w:spacing w:before="32"/>
      <w:ind w:left="822"/>
      <w:jc w:val="right"/>
      <w:rPr>
        <w:rFonts w:ascii="Calibri" w:eastAsia="Calibri" w:hAnsi="Calibri" w:cs="Calibri"/>
        <w:b/>
        <w:w w:val="99"/>
        <w:lang w:val="es-CL"/>
      </w:rPr>
    </w:pPr>
    <w:r>
      <w:rPr>
        <w:rFonts w:ascii="Calibri" w:eastAsia="Calibri" w:hAnsi="Calibri" w:cs="Calibri"/>
        <w:b/>
        <w:w w:val="99"/>
        <w:lang w:val="es-CL"/>
      </w:rPr>
      <w:t>Documento elaborado por la</w:t>
    </w:r>
  </w:p>
  <w:p w:rsidR="00E3773B" w:rsidRDefault="00E3773B" w:rsidP="00E3773B">
    <w:pPr>
      <w:spacing w:before="32"/>
      <w:ind w:left="822"/>
      <w:jc w:val="right"/>
      <w:rPr>
        <w:rFonts w:ascii="Calibri" w:eastAsia="Calibri" w:hAnsi="Calibri" w:cs="Calibri"/>
        <w:b/>
        <w:w w:val="99"/>
        <w:lang w:val="es-CL"/>
      </w:rPr>
    </w:pPr>
    <w:r w:rsidRPr="000F72AC">
      <w:rPr>
        <w:rFonts w:ascii="Calibri" w:eastAsia="Calibri" w:hAnsi="Calibri" w:cs="Calibri"/>
        <w:b/>
        <w:w w:val="99"/>
        <w:lang w:val="es-CL"/>
      </w:rPr>
      <w:t>Subsecretaría</w:t>
    </w:r>
    <w:r w:rsidRPr="000F72AC">
      <w:rPr>
        <w:rFonts w:ascii="Calibri" w:eastAsia="Calibri" w:hAnsi="Calibri" w:cs="Calibri"/>
        <w:b/>
        <w:lang w:val="es-CL"/>
      </w:rPr>
      <w:t xml:space="preserve"> </w:t>
    </w:r>
    <w:r w:rsidRPr="000F72AC">
      <w:rPr>
        <w:rFonts w:ascii="Calibri" w:eastAsia="Calibri" w:hAnsi="Calibri" w:cs="Calibri"/>
        <w:b/>
        <w:w w:val="99"/>
        <w:lang w:val="es-CL"/>
      </w:rPr>
      <w:t>de</w:t>
    </w:r>
    <w:r w:rsidRPr="000F72AC">
      <w:rPr>
        <w:rFonts w:ascii="Calibri" w:eastAsia="Calibri" w:hAnsi="Calibri" w:cs="Calibri"/>
        <w:b/>
        <w:lang w:val="es-CL"/>
      </w:rPr>
      <w:t xml:space="preserve"> </w:t>
    </w:r>
    <w:r w:rsidRPr="000F72AC">
      <w:rPr>
        <w:rFonts w:ascii="Calibri" w:eastAsia="Calibri" w:hAnsi="Calibri" w:cs="Calibri"/>
        <w:b/>
        <w:w w:val="99"/>
        <w:lang w:val="es-CL"/>
      </w:rPr>
      <w:t>Salud</w:t>
    </w:r>
    <w:r w:rsidRPr="000F72AC">
      <w:rPr>
        <w:rFonts w:ascii="Calibri" w:eastAsia="Calibri" w:hAnsi="Calibri" w:cs="Calibri"/>
        <w:b/>
        <w:lang w:val="es-CL"/>
      </w:rPr>
      <w:t xml:space="preserve"> </w:t>
    </w:r>
    <w:r w:rsidRPr="000F72AC">
      <w:rPr>
        <w:rFonts w:ascii="Calibri" w:eastAsia="Calibri" w:hAnsi="Calibri" w:cs="Calibri"/>
        <w:b/>
        <w:w w:val="99"/>
        <w:lang w:val="es-CL"/>
      </w:rPr>
      <w:t>Pública</w:t>
    </w:r>
  </w:p>
  <w:p w:rsidR="00E3773B" w:rsidRPr="000F72AC" w:rsidRDefault="00E3773B" w:rsidP="00E3773B">
    <w:pPr>
      <w:spacing w:before="32"/>
      <w:ind w:left="822"/>
      <w:jc w:val="right"/>
      <w:rPr>
        <w:rFonts w:ascii="Calibri" w:eastAsia="Calibri" w:hAnsi="Calibri" w:cs="Calibri"/>
        <w:lang w:val="es-CL"/>
      </w:rPr>
    </w:pPr>
    <w:r>
      <w:rPr>
        <w:rFonts w:ascii="Calibri" w:eastAsia="Calibri" w:hAnsi="Calibri" w:cs="Calibri"/>
        <w:b/>
        <w:w w:val="99"/>
        <w:lang w:val="es-CL"/>
      </w:rPr>
      <w:t>Gobierno de Chile – Febrero 2020</w:t>
    </w:r>
  </w:p>
  <w:p w:rsidR="00E3773B" w:rsidRPr="00E3773B" w:rsidRDefault="00E3773B" w:rsidP="00E3773B">
    <w:pPr>
      <w:pStyle w:val="Encabezado"/>
      <w:jc w:val="right"/>
      <w:rPr>
        <w:lang w:val="es-CL"/>
      </w:rPr>
    </w:pPr>
  </w:p>
  <w:p w:rsidR="00E3773B" w:rsidRPr="00E3773B" w:rsidRDefault="00E3773B">
    <w:pPr>
      <w:pStyle w:val="Encabezado"/>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7EFA"/>
    <w:multiLevelType w:val="multilevel"/>
    <w:tmpl w:val="3B8E134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2C"/>
    <w:rsid w:val="000F72AC"/>
    <w:rsid w:val="004E6B2C"/>
    <w:rsid w:val="00513D91"/>
    <w:rsid w:val="00622367"/>
    <w:rsid w:val="00721396"/>
    <w:rsid w:val="00E377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46188A-C2C4-4FF6-8CC8-EB0C1D0D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E3773B"/>
    <w:pPr>
      <w:tabs>
        <w:tab w:val="center" w:pos="4419"/>
        <w:tab w:val="right" w:pos="8838"/>
      </w:tabs>
    </w:pPr>
  </w:style>
  <w:style w:type="character" w:customStyle="1" w:styleId="EncabezadoCar">
    <w:name w:val="Encabezado Car"/>
    <w:basedOn w:val="Fuentedeprrafopredeter"/>
    <w:link w:val="Encabezado"/>
    <w:uiPriority w:val="99"/>
    <w:rsid w:val="00E3773B"/>
  </w:style>
  <w:style w:type="paragraph" w:styleId="Piedepgina">
    <w:name w:val="footer"/>
    <w:basedOn w:val="Normal"/>
    <w:link w:val="PiedepginaCar"/>
    <w:uiPriority w:val="99"/>
    <w:unhideWhenUsed/>
    <w:rsid w:val="00E3773B"/>
    <w:pPr>
      <w:tabs>
        <w:tab w:val="center" w:pos="4419"/>
        <w:tab w:val="right" w:pos="8838"/>
      </w:tabs>
    </w:pPr>
  </w:style>
  <w:style w:type="character" w:customStyle="1" w:styleId="PiedepginaCar">
    <w:name w:val="Pie de página Car"/>
    <w:basedOn w:val="Fuentedeprrafopredeter"/>
    <w:link w:val="Piedepgina"/>
    <w:uiPriority w:val="99"/>
    <w:rsid w:val="00E3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ilh.cl/documentacion/documentos/OPSCURAS.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449EE7-7288-4921-9BB9-5FDD42837F3C}"/>
</file>

<file path=customXml/itemProps2.xml><?xml version="1.0" encoding="utf-8"?>
<ds:datastoreItem xmlns:ds="http://schemas.openxmlformats.org/officeDocument/2006/customXml" ds:itemID="{2F5F8EA2-3262-4D11-878E-F9ACAABE0FB7}"/>
</file>

<file path=customXml/itemProps3.xml><?xml version="1.0" encoding="utf-8"?>
<ds:datastoreItem xmlns:ds="http://schemas.openxmlformats.org/officeDocument/2006/customXml" ds:itemID="{9C0B9527-2537-46DD-982C-9830F0DD1B84}"/>
</file>

<file path=docProps/app.xml><?xml version="1.0" encoding="utf-8"?>
<Properties xmlns="http://schemas.openxmlformats.org/officeDocument/2006/extended-properties" xmlns:vt="http://schemas.openxmlformats.org/officeDocument/2006/docPropsVTypes">
  <Template>Normal</Template>
  <TotalTime>9</TotalTime>
  <Pages>3</Pages>
  <Words>1076</Words>
  <Characters>5924</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Nesvara Vidal</cp:lastModifiedBy>
  <cp:revision>6</cp:revision>
  <dcterms:created xsi:type="dcterms:W3CDTF">2020-02-10T14:12:00Z</dcterms:created>
  <dcterms:modified xsi:type="dcterms:W3CDTF">2020-02-10T14:39:00Z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