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B3347" w14:textId="381C6DBD" w:rsidR="00817EBB" w:rsidRDefault="00992DC4" w:rsidP="00992DC4">
      <w:pPr>
        <w:jc w:val="center"/>
        <w:rPr>
          <w:b/>
        </w:rPr>
      </w:pPr>
      <w:r>
        <w:rPr>
          <w:b/>
        </w:rPr>
        <w:t>Report of the Independent Expert on protection against violence and discrimination based on sexual orientation and gender identity with focus on practices of so-called “conversion therapy”</w:t>
      </w:r>
    </w:p>
    <w:p w14:paraId="35AAC9EC" w14:textId="7411298A" w:rsidR="00992DC4" w:rsidRDefault="00992DC4" w:rsidP="00992DC4">
      <w:pPr>
        <w:jc w:val="center"/>
        <w:rPr>
          <w:b/>
        </w:rPr>
      </w:pPr>
    </w:p>
    <w:p w14:paraId="517385EC" w14:textId="5C89698C" w:rsidR="00992DC4" w:rsidRDefault="00992DC4" w:rsidP="00992DC4">
      <w:pPr>
        <w:jc w:val="center"/>
        <w:rPr>
          <w:b/>
        </w:rPr>
      </w:pPr>
      <w:bookmarkStart w:id="0" w:name="_GoBack"/>
      <w:r>
        <w:rPr>
          <w:b/>
        </w:rPr>
        <w:t>Feedback of the Government of Malta</w:t>
      </w:r>
    </w:p>
    <w:bookmarkEnd w:id="0"/>
    <w:p w14:paraId="1EA2F61B" w14:textId="6CC81FE8" w:rsidR="00992DC4" w:rsidRDefault="00992DC4" w:rsidP="00992DC4">
      <w:pPr>
        <w:jc w:val="center"/>
        <w:rPr>
          <w:b/>
        </w:rPr>
      </w:pPr>
    </w:p>
    <w:p w14:paraId="7CA0C095" w14:textId="77777777" w:rsidR="00992DC4" w:rsidRPr="00BE189D" w:rsidRDefault="00992DC4" w:rsidP="00992DC4">
      <w:pPr>
        <w:pStyle w:val="ListParagraph"/>
        <w:numPr>
          <w:ilvl w:val="0"/>
          <w:numId w:val="8"/>
        </w:numPr>
        <w:spacing w:after="160" w:line="259" w:lineRule="auto"/>
        <w:jc w:val="both"/>
        <w:rPr>
          <w:rFonts w:eastAsia="TimesNewRoman" w:cstheme="minorHAnsi"/>
          <w:b/>
        </w:rPr>
      </w:pPr>
      <w:r w:rsidRPr="00BE189D">
        <w:rPr>
          <w:rFonts w:eastAsia="TimesNewRoman" w:cstheme="minorHAnsi"/>
          <w:b/>
        </w:rPr>
        <w:t>What different practices fall under the scope of so called “conversion therapy” and what is the common denominators that allow their grouping under this denomination?</w:t>
      </w:r>
    </w:p>
    <w:p w14:paraId="3E08FDEE" w14:textId="77777777" w:rsidR="00992DC4" w:rsidRPr="00BE189D" w:rsidRDefault="00992DC4" w:rsidP="00992DC4">
      <w:pPr>
        <w:rPr>
          <w:rFonts w:eastAsia="TimesNewRoman" w:cstheme="minorHAnsi"/>
        </w:rPr>
      </w:pPr>
    </w:p>
    <w:p w14:paraId="7A025937" w14:textId="77777777" w:rsidR="00992DC4" w:rsidRPr="00BE189D" w:rsidRDefault="00992DC4" w:rsidP="00992DC4">
      <w:pPr>
        <w:autoSpaceDE w:val="0"/>
        <w:autoSpaceDN w:val="0"/>
        <w:adjustRightInd w:val="0"/>
        <w:rPr>
          <w:rFonts w:eastAsia="TimesNewRomanPSMT" w:cstheme="minorHAnsi"/>
        </w:rPr>
      </w:pPr>
      <w:r w:rsidRPr="00BE189D">
        <w:rPr>
          <w:rFonts w:eastAsia="TimesNewRoman" w:cstheme="minorHAnsi"/>
        </w:rPr>
        <w:t xml:space="preserve">Malta introduced legislation banning conversion practices in 2016 through the Affirmation of Sexual Orientation, Gender Identity and Gender Expression Act. This does not specify any one practice. It is the intention of such practices which is the common denominator.  </w:t>
      </w:r>
    </w:p>
    <w:p w14:paraId="4725974E" w14:textId="77777777" w:rsidR="00992DC4" w:rsidRPr="00BE189D" w:rsidRDefault="00992DC4" w:rsidP="00992DC4">
      <w:pPr>
        <w:autoSpaceDE w:val="0"/>
        <w:autoSpaceDN w:val="0"/>
        <w:adjustRightInd w:val="0"/>
        <w:rPr>
          <w:rFonts w:eastAsia="TimesNewRomanPSMT" w:cstheme="minorHAnsi"/>
        </w:rPr>
      </w:pPr>
    </w:p>
    <w:p w14:paraId="082A5CC9" w14:textId="77777777" w:rsidR="00992DC4" w:rsidRPr="00BE189D" w:rsidRDefault="00992DC4" w:rsidP="00992DC4">
      <w:pPr>
        <w:autoSpaceDE w:val="0"/>
        <w:autoSpaceDN w:val="0"/>
        <w:adjustRightInd w:val="0"/>
        <w:rPr>
          <w:rFonts w:eastAsia="TimesNewRomanPSMT" w:cstheme="minorHAnsi"/>
        </w:rPr>
      </w:pPr>
      <w:r w:rsidRPr="00BE189D">
        <w:rPr>
          <w:rFonts w:eastAsia="TimesNewRomanPSMT" w:cstheme="minorHAnsi"/>
        </w:rPr>
        <w:t>These practices could therefore include counselling, psychotherapeutic services and or similar services but also religious practices such as prayer meetings; personal testimonies; bible studies; retreats; exorcisms; etc.</w:t>
      </w:r>
    </w:p>
    <w:p w14:paraId="5C364F81" w14:textId="77777777" w:rsidR="00992DC4" w:rsidRPr="00BE189D" w:rsidRDefault="00992DC4" w:rsidP="00992DC4">
      <w:pPr>
        <w:autoSpaceDE w:val="0"/>
        <w:autoSpaceDN w:val="0"/>
        <w:adjustRightInd w:val="0"/>
        <w:rPr>
          <w:rFonts w:eastAsia="TimesNewRomanPSMT" w:cstheme="minorHAnsi"/>
        </w:rPr>
      </w:pPr>
    </w:p>
    <w:p w14:paraId="2A94E274" w14:textId="77777777" w:rsidR="00992DC4" w:rsidRPr="00BE189D" w:rsidRDefault="00992DC4" w:rsidP="00992DC4">
      <w:pPr>
        <w:pStyle w:val="ListParagraph"/>
        <w:numPr>
          <w:ilvl w:val="0"/>
          <w:numId w:val="8"/>
        </w:numPr>
        <w:autoSpaceDE w:val="0"/>
        <w:autoSpaceDN w:val="0"/>
        <w:adjustRightInd w:val="0"/>
        <w:jc w:val="both"/>
        <w:rPr>
          <w:rFonts w:eastAsia="TimesNewRoman" w:cstheme="minorHAnsi"/>
          <w:b/>
        </w:rPr>
      </w:pPr>
      <w:r w:rsidRPr="00BE189D">
        <w:rPr>
          <w:rFonts w:eastAsia="TimesNewRoman" w:cstheme="minorHAnsi"/>
          <w:b/>
        </w:rPr>
        <w:t>Are there definitions adopted and used by States on practices of so-called “conversion therapy”? If so, what are those definitions and what was the process through which they were created or adopted?</w:t>
      </w:r>
    </w:p>
    <w:p w14:paraId="2CC046C5" w14:textId="77777777" w:rsidR="00992DC4" w:rsidRPr="00BE189D" w:rsidRDefault="00992DC4" w:rsidP="00992DC4">
      <w:pPr>
        <w:autoSpaceDE w:val="0"/>
        <w:autoSpaceDN w:val="0"/>
        <w:adjustRightInd w:val="0"/>
        <w:rPr>
          <w:rFonts w:eastAsia="TimesNewRoman" w:cstheme="minorHAnsi"/>
        </w:rPr>
      </w:pPr>
    </w:p>
    <w:p w14:paraId="6767CA1B" w14:textId="77777777" w:rsidR="00992DC4" w:rsidRPr="00BE189D" w:rsidRDefault="00992DC4" w:rsidP="00992DC4">
      <w:pPr>
        <w:autoSpaceDE w:val="0"/>
        <w:autoSpaceDN w:val="0"/>
        <w:adjustRightInd w:val="0"/>
        <w:rPr>
          <w:rFonts w:eastAsia="TimesNewRomanPSMT" w:cstheme="minorHAnsi"/>
        </w:rPr>
      </w:pPr>
      <w:r w:rsidRPr="00BE189D">
        <w:rPr>
          <w:rFonts w:eastAsia="TimesNewRoman" w:cstheme="minorHAnsi"/>
        </w:rPr>
        <w:t xml:space="preserve">The legislation defines conversion practices as: </w:t>
      </w:r>
      <w:r w:rsidRPr="00BE189D">
        <w:rPr>
          <w:rFonts w:eastAsia="TimesNewRomanPSMT" w:cstheme="minorHAnsi"/>
        </w:rPr>
        <w:t>any treatment, practice or sustained effort that aims to change, repress and, or eliminate a person’s sexual orientation, gender identity and, or gender expression; such practices do not include</w:t>
      </w:r>
    </w:p>
    <w:p w14:paraId="13C16625" w14:textId="77777777" w:rsidR="00992DC4" w:rsidRPr="00BE189D" w:rsidRDefault="00992DC4" w:rsidP="00992DC4">
      <w:pPr>
        <w:autoSpaceDE w:val="0"/>
        <w:autoSpaceDN w:val="0"/>
        <w:adjustRightInd w:val="0"/>
        <w:rPr>
          <w:rFonts w:eastAsia="TimesNewRomanPSMT" w:cstheme="minorHAnsi"/>
        </w:rPr>
      </w:pPr>
    </w:p>
    <w:p w14:paraId="7D786856" w14:textId="77777777" w:rsidR="00992DC4" w:rsidRPr="00BE189D" w:rsidRDefault="00992DC4" w:rsidP="00992DC4">
      <w:pPr>
        <w:autoSpaceDE w:val="0"/>
        <w:autoSpaceDN w:val="0"/>
        <w:adjustRightInd w:val="0"/>
        <w:rPr>
          <w:rFonts w:eastAsia="TimesNewRomanPSMT" w:cstheme="minorHAnsi"/>
        </w:rPr>
      </w:pPr>
      <w:r w:rsidRPr="00BE189D">
        <w:rPr>
          <w:rFonts w:eastAsia="TimesNewRomanPSMT" w:cstheme="minorHAnsi"/>
        </w:rPr>
        <w:t xml:space="preserve">(a) any services related to the exploration, free development and, or affirmation of one’s identity </w:t>
      </w:r>
      <w:proofErr w:type="gramStart"/>
      <w:r w:rsidRPr="00BE189D">
        <w:rPr>
          <w:rFonts w:eastAsia="TimesNewRomanPSMT" w:cstheme="minorHAnsi"/>
        </w:rPr>
        <w:t>with regard to</w:t>
      </w:r>
      <w:proofErr w:type="gramEnd"/>
      <w:r w:rsidRPr="00BE189D">
        <w:rPr>
          <w:rFonts w:eastAsia="TimesNewRomanPSMT" w:cstheme="minorHAnsi"/>
        </w:rPr>
        <w:t xml:space="preserve"> one or more of the characteristics being affirmed by this Act, through counselling, psychotherapeutic services and, or similar</w:t>
      </w:r>
    </w:p>
    <w:p w14:paraId="0F47B5B7" w14:textId="77777777" w:rsidR="00992DC4" w:rsidRPr="00BE189D" w:rsidRDefault="00992DC4" w:rsidP="00992DC4">
      <w:pPr>
        <w:autoSpaceDE w:val="0"/>
        <w:autoSpaceDN w:val="0"/>
        <w:adjustRightInd w:val="0"/>
        <w:rPr>
          <w:rFonts w:eastAsia="TimesNewRomanPSMT" w:cstheme="minorHAnsi"/>
        </w:rPr>
      </w:pPr>
      <w:r w:rsidRPr="00BE189D">
        <w:rPr>
          <w:rFonts w:eastAsia="TimesNewRomanPSMT" w:cstheme="minorHAnsi"/>
        </w:rPr>
        <w:t>services, and, or;</w:t>
      </w:r>
    </w:p>
    <w:p w14:paraId="4D12D45E" w14:textId="77777777" w:rsidR="00992DC4" w:rsidRPr="00BE189D" w:rsidRDefault="00992DC4" w:rsidP="00992DC4">
      <w:pPr>
        <w:autoSpaceDE w:val="0"/>
        <w:autoSpaceDN w:val="0"/>
        <w:adjustRightInd w:val="0"/>
        <w:rPr>
          <w:rFonts w:eastAsia="TimesNewRomanPSMT" w:cstheme="minorHAnsi"/>
        </w:rPr>
      </w:pPr>
    </w:p>
    <w:p w14:paraId="6669FE67" w14:textId="77777777" w:rsidR="00992DC4" w:rsidRPr="00BE189D" w:rsidRDefault="00992DC4" w:rsidP="00992DC4">
      <w:pPr>
        <w:autoSpaceDE w:val="0"/>
        <w:autoSpaceDN w:val="0"/>
        <w:adjustRightInd w:val="0"/>
        <w:rPr>
          <w:rFonts w:eastAsia="TimesNewRomanPSMT" w:cstheme="minorHAnsi"/>
        </w:rPr>
      </w:pPr>
      <w:r w:rsidRPr="00BE189D">
        <w:rPr>
          <w:rFonts w:eastAsia="TimesNewRomanPSMT" w:cstheme="minorHAnsi"/>
        </w:rPr>
        <w:t>(b) any healthcare service related to the free development and, or affirmation of one’s gender identity and, or gender expression;</w:t>
      </w:r>
    </w:p>
    <w:p w14:paraId="0B51909C" w14:textId="77777777" w:rsidR="00992DC4" w:rsidRPr="00BE189D" w:rsidRDefault="00992DC4" w:rsidP="00992DC4">
      <w:pPr>
        <w:autoSpaceDE w:val="0"/>
        <w:autoSpaceDN w:val="0"/>
        <w:adjustRightInd w:val="0"/>
        <w:rPr>
          <w:rFonts w:eastAsia="TimesNewRomanPSMT" w:cstheme="minorHAnsi"/>
        </w:rPr>
      </w:pPr>
    </w:p>
    <w:p w14:paraId="53256652" w14:textId="77777777" w:rsidR="00992DC4" w:rsidRPr="00BE189D" w:rsidRDefault="00992DC4" w:rsidP="00992DC4">
      <w:pPr>
        <w:autoSpaceDE w:val="0"/>
        <w:autoSpaceDN w:val="0"/>
        <w:adjustRightInd w:val="0"/>
        <w:rPr>
          <w:rFonts w:eastAsia="TimesNewRoman" w:cstheme="minorHAnsi"/>
        </w:rPr>
      </w:pPr>
      <w:r w:rsidRPr="00BE189D">
        <w:rPr>
          <w:rFonts w:eastAsia="TimesNewRoman" w:cstheme="minorHAnsi"/>
        </w:rPr>
        <w:t xml:space="preserve">In coming to this </w:t>
      </w:r>
      <w:proofErr w:type="gramStart"/>
      <w:r w:rsidRPr="00BE189D">
        <w:rPr>
          <w:rFonts w:eastAsia="TimesNewRoman" w:cstheme="minorHAnsi"/>
        </w:rPr>
        <w:t>definition</w:t>
      </w:r>
      <w:proofErr w:type="gramEnd"/>
      <w:r w:rsidRPr="00BE189D">
        <w:rPr>
          <w:rFonts w:eastAsia="TimesNewRoman" w:cstheme="minorHAnsi"/>
        </w:rPr>
        <w:t xml:space="preserve"> we looked at legislation adopted by other States and also consulted with the relevant professional bodies.</w:t>
      </w:r>
    </w:p>
    <w:p w14:paraId="5CD333BA" w14:textId="77777777" w:rsidR="00992DC4" w:rsidRPr="00BE189D" w:rsidRDefault="00992DC4" w:rsidP="00992DC4">
      <w:pPr>
        <w:autoSpaceDE w:val="0"/>
        <w:autoSpaceDN w:val="0"/>
        <w:adjustRightInd w:val="0"/>
        <w:rPr>
          <w:rFonts w:eastAsia="TimesNewRoman" w:cstheme="minorHAnsi"/>
        </w:rPr>
      </w:pPr>
    </w:p>
    <w:p w14:paraId="2D743B8A" w14:textId="77777777" w:rsidR="00992DC4" w:rsidRPr="00BE189D" w:rsidRDefault="00992DC4" w:rsidP="00992DC4">
      <w:pPr>
        <w:pStyle w:val="ListParagraph"/>
        <w:numPr>
          <w:ilvl w:val="0"/>
          <w:numId w:val="8"/>
        </w:numPr>
        <w:autoSpaceDE w:val="0"/>
        <w:autoSpaceDN w:val="0"/>
        <w:adjustRightInd w:val="0"/>
        <w:jc w:val="both"/>
        <w:rPr>
          <w:rFonts w:eastAsia="TimesNewRoman" w:cstheme="minorHAnsi"/>
          <w:b/>
        </w:rPr>
      </w:pPr>
      <w:r w:rsidRPr="00BE189D">
        <w:rPr>
          <w:rFonts w:eastAsia="TimesNewRoman" w:cstheme="minorHAnsi"/>
          <w:b/>
        </w:rPr>
        <w:t>What are the current efforts by States to increase their knowledge of practices of so-called “conversion therapy”? Are there efforts to produce information and data on these practices?</w:t>
      </w:r>
    </w:p>
    <w:p w14:paraId="5F1CF639" w14:textId="77777777" w:rsidR="00992DC4" w:rsidRPr="00BE189D" w:rsidRDefault="00992DC4" w:rsidP="00992DC4">
      <w:pPr>
        <w:autoSpaceDE w:val="0"/>
        <w:autoSpaceDN w:val="0"/>
        <w:adjustRightInd w:val="0"/>
        <w:rPr>
          <w:rFonts w:eastAsia="TimesNewRoman" w:cstheme="minorHAnsi"/>
        </w:rPr>
      </w:pPr>
    </w:p>
    <w:p w14:paraId="751EC16B" w14:textId="77777777" w:rsidR="00992DC4" w:rsidRPr="00BE189D" w:rsidRDefault="00992DC4" w:rsidP="00992DC4">
      <w:pPr>
        <w:autoSpaceDE w:val="0"/>
        <w:autoSpaceDN w:val="0"/>
        <w:adjustRightInd w:val="0"/>
        <w:rPr>
          <w:rFonts w:eastAsia="TimesNewRoman" w:cstheme="minorHAnsi"/>
        </w:rPr>
      </w:pPr>
      <w:r w:rsidRPr="00BE189D">
        <w:rPr>
          <w:rFonts w:eastAsia="TimesNewRoman" w:cstheme="minorHAnsi"/>
        </w:rPr>
        <w:t xml:space="preserve">In 2018 Malta established a Sexual Orientation, Gender Identity, Gender Expression and Sex Characteristics Unit within the Human Rights and Integration Directorate falling under the Ministry for Education. This team reviews relevant literature and initiatives being taken in this field in other States. It also shares Malta’s experience in </w:t>
      </w:r>
      <w:r w:rsidRPr="00BE189D">
        <w:rPr>
          <w:rFonts w:eastAsia="TimesNewRoman" w:cstheme="minorHAnsi"/>
        </w:rPr>
        <w:lastRenderedPageBreak/>
        <w:t>legislating in this field. It also monitors the national situation and engages with civil society organisations through the LGBTIQ Consultative Council where it becomes aware of such practices in order to determine any action that might need to be taken. No formal research has so far been undertaken to collect data on conversion practices.</w:t>
      </w:r>
    </w:p>
    <w:p w14:paraId="37EF2879" w14:textId="77777777" w:rsidR="00992DC4" w:rsidRPr="00BE189D" w:rsidRDefault="00992DC4" w:rsidP="00992DC4">
      <w:pPr>
        <w:autoSpaceDE w:val="0"/>
        <w:autoSpaceDN w:val="0"/>
        <w:adjustRightInd w:val="0"/>
        <w:rPr>
          <w:rFonts w:eastAsia="TimesNewRoman" w:cstheme="minorHAnsi"/>
        </w:rPr>
      </w:pPr>
    </w:p>
    <w:p w14:paraId="6CF07482" w14:textId="77777777" w:rsidR="00992DC4" w:rsidRPr="00BE189D" w:rsidRDefault="00992DC4" w:rsidP="00992DC4">
      <w:pPr>
        <w:pStyle w:val="ListParagraph"/>
        <w:numPr>
          <w:ilvl w:val="0"/>
          <w:numId w:val="8"/>
        </w:numPr>
        <w:autoSpaceDE w:val="0"/>
        <w:autoSpaceDN w:val="0"/>
        <w:adjustRightInd w:val="0"/>
        <w:jc w:val="both"/>
        <w:rPr>
          <w:rFonts w:eastAsia="TimesNewRoman" w:cstheme="minorHAnsi"/>
          <w:b/>
        </w:rPr>
      </w:pPr>
      <w:r w:rsidRPr="00BE189D">
        <w:rPr>
          <w:rFonts w:eastAsia="TimesNewRoman" w:cstheme="minorHAnsi"/>
          <w:b/>
        </w:rPr>
        <w:t>What kind of information and data are collected by States to understand the nature and extent of so-called “conversion therapies” (</w:t>
      </w:r>
      <w:proofErr w:type="spellStart"/>
      <w:proofErr w:type="gramStart"/>
      <w:r w:rsidRPr="00BE189D">
        <w:rPr>
          <w:rFonts w:eastAsia="TimesNewRoman" w:cstheme="minorHAnsi"/>
          <w:b/>
        </w:rPr>
        <w:t>eg.</w:t>
      </w:r>
      <w:proofErr w:type="spellEnd"/>
      <w:proofErr w:type="gramEnd"/>
      <w:r w:rsidRPr="00BE189D">
        <w:rPr>
          <w:rFonts w:eastAsia="TimesNewRoman" w:cstheme="minorHAnsi"/>
          <w:b/>
        </w:rPr>
        <w:t xml:space="preserve"> through inspections; inquiries; surveys)?</w:t>
      </w:r>
    </w:p>
    <w:p w14:paraId="5FB29529" w14:textId="77777777" w:rsidR="00992DC4" w:rsidRPr="00BE189D" w:rsidRDefault="00992DC4" w:rsidP="00992DC4">
      <w:pPr>
        <w:autoSpaceDE w:val="0"/>
        <w:autoSpaceDN w:val="0"/>
        <w:adjustRightInd w:val="0"/>
        <w:rPr>
          <w:rFonts w:eastAsia="TimesNewRoman" w:cstheme="minorHAnsi"/>
        </w:rPr>
      </w:pPr>
    </w:p>
    <w:p w14:paraId="61114280" w14:textId="77777777" w:rsidR="00992DC4" w:rsidRPr="00BE189D" w:rsidRDefault="00992DC4" w:rsidP="00992DC4">
      <w:pPr>
        <w:autoSpaceDE w:val="0"/>
        <w:autoSpaceDN w:val="0"/>
        <w:adjustRightInd w:val="0"/>
        <w:rPr>
          <w:rFonts w:eastAsia="TimesNewRoman" w:cstheme="minorHAnsi"/>
        </w:rPr>
      </w:pPr>
      <w:r w:rsidRPr="00BE189D">
        <w:rPr>
          <w:rFonts w:eastAsia="TimesNewRoman" w:cstheme="minorHAnsi"/>
        </w:rPr>
        <w:t>No such national data has so far been collected. The information available is generally through monitoring of national media and through first person accounts.</w:t>
      </w:r>
    </w:p>
    <w:p w14:paraId="6E3104F6" w14:textId="77777777" w:rsidR="00992DC4" w:rsidRPr="00BE189D" w:rsidRDefault="00992DC4" w:rsidP="00992DC4">
      <w:pPr>
        <w:autoSpaceDE w:val="0"/>
        <w:autoSpaceDN w:val="0"/>
        <w:adjustRightInd w:val="0"/>
        <w:rPr>
          <w:rFonts w:eastAsia="TimesNewRoman" w:cstheme="minorHAnsi"/>
        </w:rPr>
      </w:pPr>
    </w:p>
    <w:p w14:paraId="699830C0" w14:textId="77777777" w:rsidR="00992DC4" w:rsidRPr="00BE189D" w:rsidRDefault="00992DC4" w:rsidP="00992DC4">
      <w:pPr>
        <w:pStyle w:val="ListParagraph"/>
        <w:numPr>
          <w:ilvl w:val="0"/>
          <w:numId w:val="8"/>
        </w:numPr>
        <w:autoSpaceDE w:val="0"/>
        <w:autoSpaceDN w:val="0"/>
        <w:adjustRightInd w:val="0"/>
        <w:jc w:val="both"/>
        <w:rPr>
          <w:rFonts w:eastAsia="TimesNewRoman" w:cstheme="minorHAnsi"/>
          <w:b/>
        </w:rPr>
      </w:pPr>
      <w:r w:rsidRPr="00BE189D">
        <w:rPr>
          <w:rFonts w:eastAsia="TimesNewRoman" w:cstheme="minorHAnsi"/>
          <w:b/>
        </w:rPr>
        <w:t>Has there been an identification of risks associated with practices of so-called “conversion therapy”?</w:t>
      </w:r>
    </w:p>
    <w:p w14:paraId="0E93186F" w14:textId="77777777" w:rsidR="00992DC4" w:rsidRPr="00BE189D" w:rsidRDefault="00992DC4" w:rsidP="00992DC4">
      <w:pPr>
        <w:autoSpaceDE w:val="0"/>
        <w:autoSpaceDN w:val="0"/>
        <w:adjustRightInd w:val="0"/>
        <w:rPr>
          <w:rFonts w:eastAsia="TimesNewRoman" w:cstheme="minorHAnsi"/>
        </w:rPr>
      </w:pPr>
    </w:p>
    <w:p w14:paraId="3C1D1644" w14:textId="77777777" w:rsidR="00992DC4" w:rsidRPr="00BE189D" w:rsidRDefault="00992DC4" w:rsidP="00992DC4">
      <w:pPr>
        <w:autoSpaceDE w:val="0"/>
        <w:autoSpaceDN w:val="0"/>
        <w:adjustRightInd w:val="0"/>
        <w:rPr>
          <w:rFonts w:eastAsia="TimesNewRoman" w:cstheme="minorHAnsi"/>
        </w:rPr>
      </w:pPr>
      <w:r w:rsidRPr="00BE189D">
        <w:rPr>
          <w:rFonts w:eastAsia="TimesNewRoman" w:cstheme="minorHAnsi"/>
        </w:rPr>
        <w:t>The risks associated with conversion practices are generally those that emerge from relevant international research and relevant professional bodies that in general indicate that conversion practices are not effective and may in fact cause harm.</w:t>
      </w:r>
    </w:p>
    <w:p w14:paraId="42EC1488" w14:textId="77777777" w:rsidR="00992DC4" w:rsidRPr="00BE189D" w:rsidRDefault="00992DC4" w:rsidP="00992DC4">
      <w:pPr>
        <w:autoSpaceDE w:val="0"/>
        <w:autoSpaceDN w:val="0"/>
        <w:adjustRightInd w:val="0"/>
        <w:rPr>
          <w:rFonts w:eastAsia="TimesNewRoman" w:cstheme="minorHAnsi"/>
        </w:rPr>
      </w:pPr>
    </w:p>
    <w:p w14:paraId="75DC7979" w14:textId="77777777" w:rsidR="00992DC4" w:rsidRPr="00BE189D" w:rsidRDefault="00992DC4" w:rsidP="00992DC4">
      <w:pPr>
        <w:pStyle w:val="ListParagraph"/>
        <w:numPr>
          <w:ilvl w:val="0"/>
          <w:numId w:val="8"/>
        </w:numPr>
        <w:autoSpaceDE w:val="0"/>
        <w:autoSpaceDN w:val="0"/>
        <w:adjustRightInd w:val="0"/>
        <w:jc w:val="both"/>
        <w:rPr>
          <w:rFonts w:eastAsia="TimesNewRoman" w:cstheme="minorHAnsi"/>
          <w:b/>
        </w:rPr>
      </w:pPr>
      <w:r w:rsidRPr="00BE189D">
        <w:rPr>
          <w:rFonts w:eastAsia="TimesNewRoman" w:cstheme="minorHAnsi"/>
          <w:b/>
        </w:rPr>
        <w:t>Is there a State position on what safeguards are needed, and what safeguards are in place to protect the human rights of individuals in relation to practices of so-called “conversion therapy”? This question includes the following:</w:t>
      </w:r>
    </w:p>
    <w:p w14:paraId="262D0F85" w14:textId="77777777" w:rsidR="00992DC4" w:rsidRPr="00BE189D" w:rsidRDefault="00992DC4" w:rsidP="00992DC4">
      <w:pPr>
        <w:pStyle w:val="ListParagraph"/>
        <w:numPr>
          <w:ilvl w:val="0"/>
          <w:numId w:val="9"/>
        </w:numPr>
        <w:autoSpaceDE w:val="0"/>
        <w:autoSpaceDN w:val="0"/>
        <w:adjustRightInd w:val="0"/>
        <w:jc w:val="both"/>
        <w:rPr>
          <w:rFonts w:eastAsia="TimesNewRoman" w:cstheme="minorHAnsi"/>
          <w:b/>
        </w:rPr>
      </w:pPr>
      <w:r w:rsidRPr="00BE189D">
        <w:rPr>
          <w:rFonts w:eastAsia="TimesNewRoman" w:cstheme="minorHAnsi"/>
          <w:b/>
        </w:rPr>
        <w:t>Safeguards to protect individuals from being subjected to “conversion therapies”,</w:t>
      </w:r>
    </w:p>
    <w:p w14:paraId="29B91ED6" w14:textId="77777777" w:rsidR="00992DC4" w:rsidRPr="00BE189D" w:rsidRDefault="00992DC4" w:rsidP="00992DC4">
      <w:pPr>
        <w:pStyle w:val="ListParagraph"/>
        <w:numPr>
          <w:ilvl w:val="0"/>
          <w:numId w:val="9"/>
        </w:numPr>
        <w:autoSpaceDE w:val="0"/>
        <w:autoSpaceDN w:val="0"/>
        <w:adjustRightInd w:val="0"/>
        <w:jc w:val="both"/>
        <w:rPr>
          <w:rFonts w:eastAsia="TimesNewRoman" w:cstheme="minorHAnsi"/>
        </w:rPr>
      </w:pPr>
      <w:r w:rsidRPr="00BE189D">
        <w:rPr>
          <w:rFonts w:eastAsia="TimesNewRoman" w:cstheme="minorHAnsi"/>
          <w:b/>
        </w:rPr>
        <w:t>Broader statutory rules or administrative policies to ensure accountability of health care and other providers</w:t>
      </w:r>
      <w:r w:rsidRPr="00BE189D">
        <w:rPr>
          <w:rFonts w:eastAsia="TimesNewRoman" w:cstheme="minorHAnsi"/>
        </w:rPr>
        <w:t xml:space="preserve">. </w:t>
      </w:r>
    </w:p>
    <w:p w14:paraId="3DE0B017" w14:textId="77777777" w:rsidR="00992DC4" w:rsidRPr="00BE189D" w:rsidRDefault="00992DC4" w:rsidP="00992DC4">
      <w:pPr>
        <w:autoSpaceDE w:val="0"/>
        <w:autoSpaceDN w:val="0"/>
        <w:adjustRightInd w:val="0"/>
        <w:rPr>
          <w:rFonts w:eastAsia="TimesNewRoman" w:cstheme="minorHAnsi"/>
        </w:rPr>
      </w:pPr>
    </w:p>
    <w:p w14:paraId="6FD02C9B" w14:textId="77777777" w:rsidR="00992DC4" w:rsidRPr="00BE189D" w:rsidRDefault="00992DC4" w:rsidP="00992DC4">
      <w:pPr>
        <w:autoSpaceDE w:val="0"/>
        <w:autoSpaceDN w:val="0"/>
        <w:adjustRightInd w:val="0"/>
        <w:rPr>
          <w:rFonts w:eastAsia="TimesNewRomanPSMT" w:cstheme="minorHAnsi"/>
        </w:rPr>
      </w:pPr>
      <w:r w:rsidRPr="00BE189D">
        <w:rPr>
          <w:rFonts w:eastAsia="TimesNewRoman" w:cstheme="minorHAnsi"/>
        </w:rPr>
        <w:t xml:space="preserve">The primary measure is the Affirmation of Sexual Orientation, Gender Identity and Gender Expression Act which criminalises conversion practices on vulnerable persons including minors by any actor and also bans conversion practices entirely by any person </w:t>
      </w:r>
      <w:r w:rsidRPr="00BE189D">
        <w:rPr>
          <w:rFonts w:eastAsia="TimesNewRomanPSMT" w:cstheme="minorHAnsi"/>
        </w:rPr>
        <w:t>who is in possession of an official qualification and/or a warrant to practice as a counsellor, educator, family therapist, medical practitioner, nurse, pathologist, psychiatrist, psychologist, psychotherapist, social worker, and, or youth worker.</w:t>
      </w:r>
    </w:p>
    <w:p w14:paraId="204C36BD" w14:textId="77777777" w:rsidR="00992DC4" w:rsidRPr="00BE189D" w:rsidRDefault="00992DC4" w:rsidP="00992DC4">
      <w:pPr>
        <w:autoSpaceDE w:val="0"/>
        <w:autoSpaceDN w:val="0"/>
        <w:adjustRightInd w:val="0"/>
        <w:rPr>
          <w:rFonts w:eastAsia="TimesNewRomanPSMT" w:cstheme="minorHAnsi"/>
        </w:rPr>
      </w:pPr>
    </w:p>
    <w:p w14:paraId="26DCB107" w14:textId="77777777" w:rsidR="00992DC4" w:rsidRPr="00BE189D" w:rsidRDefault="00992DC4" w:rsidP="00992DC4">
      <w:pPr>
        <w:autoSpaceDE w:val="0"/>
        <w:autoSpaceDN w:val="0"/>
        <w:adjustRightInd w:val="0"/>
        <w:rPr>
          <w:rFonts w:eastAsia="TimesNewRomanPSMT" w:cstheme="minorHAnsi"/>
        </w:rPr>
      </w:pPr>
      <w:r w:rsidRPr="00BE189D">
        <w:rPr>
          <w:rFonts w:eastAsia="TimesNewRomanPSMT" w:cstheme="minorHAnsi"/>
        </w:rPr>
        <w:t>This is complemented by other mainstreaming measures such as those aiming to provide training on LGBTIQ issues to a range of professionals covered by this Act and to mainstream LGBTIQ issues across the school curriculum.</w:t>
      </w:r>
    </w:p>
    <w:p w14:paraId="7B800E24" w14:textId="77777777" w:rsidR="00992DC4" w:rsidRPr="00BE189D" w:rsidRDefault="00992DC4" w:rsidP="00992DC4">
      <w:pPr>
        <w:autoSpaceDE w:val="0"/>
        <w:autoSpaceDN w:val="0"/>
        <w:adjustRightInd w:val="0"/>
        <w:rPr>
          <w:rFonts w:eastAsia="TimesNewRomanPSMT" w:cstheme="minorHAnsi"/>
        </w:rPr>
      </w:pPr>
    </w:p>
    <w:p w14:paraId="7AAB688C" w14:textId="77777777" w:rsidR="00992DC4" w:rsidRPr="00BE189D" w:rsidRDefault="00992DC4" w:rsidP="00992DC4">
      <w:pPr>
        <w:autoSpaceDE w:val="0"/>
        <w:autoSpaceDN w:val="0"/>
        <w:adjustRightInd w:val="0"/>
        <w:rPr>
          <w:rFonts w:eastAsia="TimesNewRoman" w:cstheme="minorHAnsi"/>
        </w:rPr>
      </w:pPr>
      <w:r w:rsidRPr="00BE189D">
        <w:rPr>
          <w:rFonts w:eastAsia="TimesNewRoman" w:cstheme="minorHAnsi"/>
        </w:rPr>
        <w:t xml:space="preserve"> </w:t>
      </w:r>
    </w:p>
    <w:p w14:paraId="547CE6AA" w14:textId="77777777" w:rsidR="00992DC4" w:rsidRPr="00992DC4" w:rsidRDefault="00992DC4" w:rsidP="00992DC4">
      <w:pPr>
        <w:jc w:val="both"/>
      </w:pPr>
    </w:p>
    <w:sectPr w:rsidR="00992DC4" w:rsidRPr="00992DC4" w:rsidSect="00472BC9">
      <w:headerReference w:type="default" r:id="rId8"/>
      <w:footerReference w:type="default" r:id="rId9"/>
      <w:pgSz w:w="11906" w:h="16838" w:code="9"/>
      <w:pgMar w:top="425" w:right="1797" w:bottom="1134" w:left="1797" w:header="567"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FAD5B" w14:textId="77777777" w:rsidR="00752844" w:rsidRDefault="00752844">
      <w:r>
        <w:separator/>
      </w:r>
    </w:p>
  </w:endnote>
  <w:endnote w:type="continuationSeparator" w:id="0">
    <w:p w14:paraId="344804D0" w14:textId="77777777" w:rsidR="00752844" w:rsidRDefault="00752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923319"/>
      <w:docPartObj>
        <w:docPartGallery w:val="Page Numbers (Bottom of Page)"/>
        <w:docPartUnique/>
      </w:docPartObj>
    </w:sdtPr>
    <w:sdtEndPr>
      <w:rPr>
        <w:noProof/>
      </w:rPr>
    </w:sdtEndPr>
    <w:sdtContent>
      <w:p w14:paraId="17603D04" w14:textId="51C68A11" w:rsidR="00992DC4" w:rsidRDefault="00992D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EA642B" w14:textId="77777777" w:rsidR="00897AC1" w:rsidRDefault="00897AC1" w:rsidP="0048155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06605" w14:textId="77777777" w:rsidR="00752844" w:rsidRDefault="00752844">
      <w:r>
        <w:separator/>
      </w:r>
    </w:p>
  </w:footnote>
  <w:footnote w:type="continuationSeparator" w:id="0">
    <w:p w14:paraId="724B30A2" w14:textId="77777777" w:rsidR="00752844" w:rsidRDefault="00752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71" w:type="dxa"/>
      <w:tblInd w:w="-432" w:type="dxa"/>
      <w:tblLayout w:type="fixed"/>
      <w:tblLook w:val="0000" w:firstRow="0" w:lastRow="0" w:firstColumn="0" w:lastColumn="0" w:noHBand="0" w:noVBand="0"/>
    </w:tblPr>
    <w:tblGrid>
      <w:gridCol w:w="3927"/>
      <w:gridCol w:w="1773"/>
      <w:gridCol w:w="3671"/>
    </w:tblGrid>
    <w:tr w:rsidR="00897AC1" w:rsidRPr="00B01582" w14:paraId="2CEA6427" w14:textId="77777777">
      <w:trPr>
        <w:trHeight w:val="1895"/>
      </w:trPr>
      <w:tc>
        <w:tcPr>
          <w:tcW w:w="3927" w:type="dxa"/>
        </w:tcPr>
        <w:p w14:paraId="2CEA641E" w14:textId="77777777" w:rsidR="00897AC1" w:rsidRPr="0065420F" w:rsidRDefault="00897AC1" w:rsidP="00472BC9">
          <w:pPr>
            <w:pStyle w:val="Header"/>
            <w:rPr>
              <w:sz w:val="18"/>
              <w:szCs w:val="18"/>
              <w:lang w:val="fr-FR"/>
            </w:rPr>
          </w:pPr>
          <w:r w:rsidRPr="0065420F">
            <w:rPr>
              <w:sz w:val="18"/>
              <w:szCs w:val="18"/>
              <w:lang w:val="fr-FR"/>
            </w:rPr>
            <w:t xml:space="preserve">  </w:t>
          </w:r>
        </w:p>
        <w:p w14:paraId="2CEA641F" w14:textId="77777777" w:rsidR="00897AC1" w:rsidRPr="0065420F" w:rsidRDefault="00897AC1" w:rsidP="00472BC9">
          <w:pPr>
            <w:pStyle w:val="Header"/>
            <w:rPr>
              <w:sz w:val="18"/>
              <w:szCs w:val="18"/>
              <w:lang w:val="fr-FR"/>
            </w:rPr>
          </w:pPr>
        </w:p>
        <w:p w14:paraId="2CEA6420" w14:textId="77777777" w:rsidR="00897AC1" w:rsidRPr="0065420F" w:rsidRDefault="00897AC1" w:rsidP="00472BC9">
          <w:pPr>
            <w:pStyle w:val="Header"/>
            <w:rPr>
              <w:sz w:val="18"/>
              <w:szCs w:val="18"/>
              <w:lang w:val="fr-FR"/>
            </w:rPr>
          </w:pPr>
        </w:p>
        <w:p w14:paraId="2CEA6421" w14:textId="7026795E" w:rsidR="00897AC1" w:rsidRPr="0065420F" w:rsidRDefault="00897AC1" w:rsidP="00732FF5">
          <w:pPr>
            <w:pStyle w:val="Header"/>
            <w:jc w:val="center"/>
            <w:rPr>
              <w:lang w:val="fr-FR"/>
            </w:rPr>
          </w:pPr>
          <w:r w:rsidRPr="0065420F">
            <w:rPr>
              <w:lang w:val="fr-FR"/>
            </w:rPr>
            <w:t>MISSJONI PERMANENTI TAR-REPUB</w:t>
          </w:r>
          <w:r w:rsidR="00775D85">
            <w:rPr>
              <w:lang w:val="fr-FR"/>
            </w:rPr>
            <w:t>B</w:t>
          </w:r>
          <w:r w:rsidRPr="0065420F">
            <w:rPr>
              <w:lang w:val="fr-FR"/>
            </w:rPr>
            <w:t>LIKA TA’ MALTA</w:t>
          </w:r>
        </w:p>
      </w:tc>
      <w:tc>
        <w:tcPr>
          <w:tcW w:w="1773" w:type="dxa"/>
        </w:tcPr>
        <w:p w14:paraId="2CEA6422" w14:textId="77777777" w:rsidR="00897AC1" w:rsidRPr="0038492A" w:rsidRDefault="00897AC1" w:rsidP="00472BC9">
          <w:pPr>
            <w:pStyle w:val="Header"/>
            <w:rPr>
              <w:sz w:val="18"/>
              <w:szCs w:val="18"/>
            </w:rPr>
          </w:pPr>
          <w:r>
            <w:rPr>
              <w:noProof/>
              <w:sz w:val="18"/>
              <w:szCs w:val="18"/>
              <w:lang w:eastAsia="en-GB"/>
            </w:rPr>
            <w:drawing>
              <wp:inline distT="0" distB="0" distL="0" distR="0" wp14:anchorId="2CEA642C" wp14:editId="2CEA642D">
                <wp:extent cx="942975" cy="11715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42975" cy="1171575"/>
                        </a:xfrm>
                        <a:prstGeom prst="rect">
                          <a:avLst/>
                        </a:prstGeom>
                        <a:noFill/>
                        <a:ln w="9525">
                          <a:noFill/>
                          <a:miter lim="800000"/>
                          <a:headEnd/>
                          <a:tailEnd/>
                        </a:ln>
                      </pic:spPr>
                    </pic:pic>
                  </a:graphicData>
                </a:graphic>
              </wp:inline>
            </w:drawing>
          </w:r>
        </w:p>
      </w:tc>
      <w:tc>
        <w:tcPr>
          <w:tcW w:w="3671" w:type="dxa"/>
        </w:tcPr>
        <w:p w14:paraId="2CEA6423" w14:textId="77777777" w:rsidR="00897AC1" w:rsidRPr="0038492A" w:rsidRDefault="00897AC1" w:rsidP="00472BC9">
          <w:pPr>
            <w:pStyle w:val="Header"/>
            <w:rPr>
              <w:sz w:val="18"/>
              <w:szCs w:val="18"/>
            </w:rPr>
          </w:pPr>
        </w:p>
        <w:p w14:paraId="2CEA6424" w14:textId="77777777" w:rsidR="00897AC1" w:rsidRPr="0038492A" w:rsidRDefault="00897AC1" w:rsidP="00472BC9">
          <w:pPr>
            <w:pStyle w:val="Header"/>
            <w:rPr>
              <w:sz w:val="18"/>
              <w:szCs w:val="18"/>
            </w:rPr>
          </w:pPr>
        </w:p>
        <w:p w14:paraId="2CEA6425" w14:textId="77777777" w:rsidR="00897AC1" w:rsidRDefault="00897AC1" w:rsidP="00472BC9">
          <w:pPr>
            <w:pStyle w:val="Header"/>
            <w:rPr>
              <w:sz w:val="18"/>
              <w:szCs w:val="18"/>
            </w:rPr>
          </w:pPr>
        </w:p>
        <w:p w14:paraId="2CEA6426" w14:textId="77777777" w:rsidR="00897AC1" w:rsidRPr="0038492A" w:rsidRDefault="00897AC1" w:rsidP="00732FF5">
          <w:pPr>
            <w:pStyle w:val="Header"/>
            <w:jc w:val="center"/>
          </w:pPr>
          <w:r w:rsidRPr="0038492A">
            <w:t xml:space="preserve">PERMANENT </w:t>
          </w:r>
          <w:smartTag w:uri="urn:schemas-microsoft-com:office:smarttags" w:element="City">
            <w:r w:rsidRPr="0038492A">
              <w:t>MISSION</w:t>
            </w:r>
          </w:smartTag>
          <w:r w:rsidRPr="0038492A">
            <w:t xml:space="preserve"> OF</w:t>
          </w:r>
          <w:r>
            <w:t xml:space="preserve"> THE   </w:t>
          </w:r>
          <w:smartTag w:uri="urn:schemas-microsoft-com:office:smarttags" w:element="place">
            <w:smartTag w:uri="urn:schemas-microsoft-com:office:smarttags" w:element="PlaceType">
              <w:r>
                <w:t>REPUBLIC</w:t>
              </w:r>
            </w:smartTag>
            <w:r>
              <w:t xml:space="preserve"> OF</w:t>
            </w:r>
            <w:r w:rsidRPr="0038492A">
              <w:t xml:space="preserve"> </w:t>
            </w:r>
            <w:smartTag w:uri="urn:schemas-microsoft-com:office:smarttags" w:element="PlaceName">
              <w:r w:rsidRPr="0038492A">
                <w:t>MALTA</w:t>
              </w:r>
            </w:smartTag>
          </w:smartTag>
        </w:p>
      </w:tc>
    </w:tr>
  </w:tbl>
  <w:p w14:paraId="2CEA6428" w14:textId="77777777" w:rsidR="00897AC1" w:rsidRDefault="00897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B4185"/>
    <w:multiLevelType w:val="hybridMultilevel"/>
    <w:tmpl w:val="9940CF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660F07"/>
    <w:multiLevelType w:val="hybridMultilevel"/>
    <w:tmpl w:val="8C3409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38736D6"/>
    <w:multiLevelType w:val="hybridMultilevel"/>
    <w:tmpl w:val="B7D6389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2C3EE4"/>
    <w:multiLevelType w:val="hybridMultilevel"/>
    <w:tmpl w:val="D28E1C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EE61B0"/>
    <w:multiLevelType w:val="multilevel"/>
    <w:tmpl w:val="DF321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020382"/>
    <w:multiLevelType w:val="hybridMultilevel"/>
    <w:tmpl w:val="9934E97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0147C5"/>
    <w:multiLevelType w:val="hybridMultilevel"/>
    <w:tmpl w:val="6DCC8CBC"/>
    <w:lvl w:ilvl="0" w:tplc="9F68E7E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67A21B5"/>
    <w:multiLevelType w:val="hybridMultilevel"/>
    <w:tmpl w:val="0A165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EB7BDC"/>
    <w:multiLevelType w:val="hybridMultilevel"/>
    <w:tmpl w:val="564E56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3"/>
  </w:num>
  <w:num w:numId="5">
    <w:abstractNumId w:val="6"/>
  </w:num>
  <w:num w:numId="6">
    <w:abstractNumId w:val="7"/>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fr-CH"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B3"/>
    <w:rsid w:val="0000069A"/>
    <w:rsid w:val="00001B51"/>
    <w:rsid w:val="00004D0D"/>
    <w:rsid w:val="00010487"/>
    <w:rsid w:val="000149FB"/>
    <w:rsid w:val="00024771"/>
    <w:rsid w:val="0003099F"/>
    <w:rsid w:val="00030C80"/>
    <w:rsid w:val="00031F8A"/>
    <w:rsid w:val="0003292B"/>
    <w:rsid w:val="00034561"/>
    <w:rsid w:val="000459F2"/>
    <w:rsid w:val="000539AF"/>
    <w:rsid w:val="000555B3"/>
    <w:rsid w:val="00056886"/>
    <w:rsid w:val="0005776F"/>
    <w:rsid w:val="0006469F"/>
    <w:rsid w:val="000701A7"/>
    <w:rsid w:val="000725B7"/>
    <w:rsid w:val="00073714"/>
    <w:rsid w:val="00082345"/>
    <w:rsid w:val="00083701"/>
    <w:rsid w:val="00086E05"/>
    <w:rsid w:val="00093B0B"/>
    <w:rsid w:val="00094EB7"/>
    <w:rsid w:val="000A22EB"/>
    <w:rsid w:val="000B0A59"/>
    <w:rsid w:val="000B0FCB"/>
    <w:rsid w:val="000C1E24"/>
    <w:rsid w:val="000C7952"/>
    <w:rsid w:val="000D07F8"/>
    <w:rsid w:val="000D1B72"/>
    <w:rsid w:val="000E7828"/>
    <w:rsid w:val="000F2965"/>
    <w:rsid w:val="000F4E62"/>
    <w:rsid w:val="000F618B"/>
    <w:rsid w:val="00101385"/>
    <w:rsid w:val="00105CCB"/>
    <w:rsid w:val="0011359D"/>
    <w:rsid w:val="001150E4"/>
    <w:rsid w:val="00115412"/>
    <w:rsid w:val="00117E36"/>
    <w:rsid w:val="00126D31"/>
    <w:rsid w:val="001279CF"/>
    <w:rsid w:val="00135482"/>
    <w:rsid w:val="001519A4"/>
    <w:rsid w:val="00152D79"/>
    <w:rsid w:val="00153150"/>
    <w:rsid w:val="001531B0"/>
    <w:rsid w:val="001606D4"/>
    <w:rsid w:val="00163FB8"/>
    <w:rsid w:val="00167458"/>
    <w:rsid w:val="00173650"/>
    <w:rsid w:val="0018458D"/>
    <w:rsid w:val="00185195"/>
    <w:rsid w:val="0018532B"/>
    <w:rsid w:val="00187A57"/>
    <w:rsid w:val="00193F80"/>
    <w:rsid w:val="00193FB6"/>
    <w:rsid w:val="001B156C"/>
    <w:rsid w:val="001B5B29"/>
    <w:rsid w:val="001C11CC"/>
    <w:rsid w:val="001C2572"/>
    <w:rsid w:val="001C484F"/>
    <w:rsid w:val="001C7F7E"/>
    <w:rsid w:val="001D389E"/>
    <w:rsid w:val="001D609A"/>
    <w:rsid w:val="001E5212"/>
    <w:rsid w:val="00200A04"/>
    <w:rsid w:val="002035DF"/>
    <w:rsid w:val="00207C8C"/>
    <w:rsid w:val="00217F4C"/>
    <w:rsid w:val="00224634"/>
    <w:rsid w:val="00231C7B"/>
    <w:rsid w:val="0023410E"/>
    <w:rsid w:val="00236246"/>
    <w:rsid w:val="002425BC"/>
    <w:rsid w:val="002445F7"/>
    <w:rsid w:val="00265E4F"/>
    <w:rsid w:val="00274C20"/>
    <w:rsid w:val="00274D2C"/>
    <w:rsid w:val="0028187B"/>
    <w:rsid w:val="00284D69"/>
    <w:rsid w:val="002A0D00"/>
    <w:rsid w:val="002A1C73"/>
    <w:rsid w:val="002B093A"/>
    <w:rsid w:val="002C195D"/>
    <w:rsid w:val="002C5492"/>
    <w:rsid w:val="002C549A"/>
    <w:rsid w:val="002D1B5E"/>
    <w:rsid w:val="002D78C7"/>
    <w:rsid w:val="002E0721"/>
    <w:rsid w:val="002E2B06"/>
    <w:rsid w:val="002E3440"/>
    <w:rsid w:val="002E7D45"/>
    <w:rsid w:val="002F73B3"/>
    <w:rsid w:val="002F789F"/>
    <w:rsid w:val="00300946"/>
    <w:rsid w:val="00315AA1"/>
    <w:rsid w:val="00331C80"/>
    <w:rsid w:val="003342FF"/>
    <w:rsid w:val="00343007"/>
    <w:rsid w:val="00346C45"/>
    <w:rsid w:val="00353E58"/>
    <w:rsid w:val="00355124"/>
    <w:rsid w:val="00364DC0"/>
    <w:rsid w:val="00365785"/>
    <w:rsid w:val="00375F29"/>
    <w:rsid w:val="0038492A"/>
    <w:rsid w:val="00392E5C"/>
    <w:rsid w:val="00393C01"/>
    <w:rsid w:val="003A5342"/>
    <w:rsid w:val="003B7C57"/>
    <w:rsid w:val="003C4C35"/>
    <w:rsid w:val="003E05DD"/>
    <w:rsid w:val="003E3CA8"/>
    <w:rsid w:val="003E5CBB"/>
    <w:rsid w:val="003E6CD6"/>
    <w:rsid w:val="003F01A6"/>
    <w:rsid w:val="003F0DF2"/>
    <w:rsid w:val="003F4ED1"/>
    <w:rsid w:val="0040089D"/>
    <w:rsid w:val="00411E19"/>
    <w:rsid w:val="00413FAD"/>
    <w:rsid w:val="00422F69"/>
    <w:rsid w:val="00424EAE"/>
    <w:rsid w:val="00425016"/>
    <w:rsid w:val="00435E43"/>
    <w:rsid w:val="004462DB"/>
    <w:rsid w:val="00446870"/>
    <w:rsid w:val="00451EEC"/>
    <w:rsid w:val="00454089"/>
    <w:rsid w:val="0045567B"/>
    <w:rsid w:val="00461DB3"/>
    <w:rsid w:val="004620A1"/>
    <w:rsid w:val="00462586"/>
    <w:rsid w:val="0046344D"/>
    <w:rsid w:val="00463701"/>
    <w:rsid w:val="00467A8E"/>
    <w:rsid w:val="004713DE"/>
    <w:rsid w:val="00472555"/>
    <w:rsid w:val="00472BC9"/>
    <w:rsid w:val="00481558"/>
    <w:rsid w:val="00481C71"/>
    <w:rsid w:val="004944CF"/>
    <w:rsid w:val="004B49BF"/>
    <w:rsid w:val="004B4CC2"/>
    <w:rsid w:val="004C59B3"/>
    <w:rsid w:val="004D2398"/>
    <w:rsid w:val="004D31AF"/>
    <w:rsid w:val="004D3932"/>
    <w:rsid w:val="004D58B5"/>
    <w:rsid w:val="004E1592"/>
    <w:rsid w:val="004E4B98"/>
    <w:rsid w:val="004F02B8"/>
    <w:rsid w:val="00510195"/>
    <w:rsid w:val="0051758C"/>
    <w:rsid w:val="00522690"/>
    <w:rsid w:val="00540F34"/>
    <w:rsid w:val="00547772"/>
    <w:rsid w:val="005576BC"/>
    <w:rsid w:val="00557923"/>
    <w:rsid w:val="00564806"/>
    <w:rsid w:val="005709CB"/>
    <w:rsid w:val="00574B1A"/>
    <w:rsid w:val="00585B76"/>
    <w:rsid w:val="00587F41"/>
    <w:rsid w:val="005947AB"/>
    <w:rsid w:val="005A1591"/>
    <w:rsid w:val="005A3BD1"/>
    <w:rsid w:val="005B0ECF"/>
    <w:rsid w:val="005C443D"/>
    <w:rsid w:val="005C73E5"/>
    <w:rsid w:val="005C7F28"/>
    <w:rsid w:val="005D0858"/>
    <w:rsid w:val="005D311D"/>
    <w:rsid w:val="005D4212"/>
    <w:rsid w:val="005D4645"/>
    <w:rsid w:val="005D5044"/>
    <w:rsid w:val="005D64A8"/>
    <w:rsid w:val="005E14C9"/>
    <w:rsid w:val="005E430B"/>
    <w:rsid w:val="005F0F4C"/>
    <w:rsid w:val="005F2F34"/>
    <w:rsid w:val="00606394"/>
    <w:rsid w:val="00615820"/>
    <w:rsid w:val="00624F65"/>
    <w:rsid w:val="00631824"/>
    <w:rsid w:val="00631AF9"/>
    <w:rsid w:val="00631E4F"/>
    <w:rsid w:val="0063766C"/>
    <w:rsid w:val="00643B90"/>
    <w:rsid w:val="00643F19"/>
    <w:rsid w:val="00650C65"/>
    <w:rsid w:val="0065420F"/>
    <w:rsid w:val="00660C5A"/>
    <w:rsid w:val="0066695D"/>
    <w:rsid w:val="00667FA1"/>
    <w:rsid w:val="00674630"/>
    <w:rsid w:val="00680598"/>
    <w:rsid w:val="006822D3"/>
    <w:rsid w:val="00682AC8"/>
    <w:rsid w:val="00682DC5"/>
    <w:rsid w:val="006868F9"/>
    <w:rsid w:val="006931AE"/>
    <w:rsid w:val="0069327B"/>
    <w:rsid w:val="00694879"/>
    <w:rsid w:val="00694C32"/>
    <w:rsid w:val="00695B14"/>
    <w:rsid w:val="006A1A7E"/>
    <w:rsid w:val="006A7C7C"/>
    <w:rsid w:val="006B0607"/>
    <w:rsid w:val="006C76B8"/>
    <w:rsid w:val="006D057E"/>
    <w:rsid w:val="006D2DFB"/>
    <w:rsid w:val="006E6FE7"/>
    <w:rsid w:val="006F35F6"/>
    <w:rsid w:val="006F3A1F"/>
    <w:rsid w:val="006F3E2A"/>
    <w:rsid w:val="007021AC"/>
    <w:rsid w:val="00710A3C"/>
    <w:rsid w:val="00713B96"/>
    <w:rsid w:val="0073017F"/>
    <w:rsid w:val="007319CF"/>
    <w:rsid w:val="00732FF5"/>
    <w:rsid w:val="007470F9"/>
    <w:rsid w:val="007527D6"/>
    <w:rsid w:val="00752844"/>
    <w:rsid w:val="00752A4E"/>
    <w:rsid w:val="007651C0"/>
    <w:rsid w:val="00765F02"/>
    <w:rsid w:val="00770726"/>
    <w:rsid w:val="0077169B"/>
    <w:rsid w:val="00773047"/>
    <w:rsid w:val="0077415A"/>
    <w:rsid w:val="00775D85"/>
    <w:rsid w:val="00794591"/>
    <w:rsid w:val="007A4689"/>
    <w:rsid w:val="007A4802"/>
    <w:rsid w:val="007B1497"/>
    <w:rsid w:val="007B4D50"/>
    <w:rsid w:val="007B4E1B"/>
    <w:rsid w:val="007B5C15"/>
    <w:rsid w:val="007B6E3A"/>
    <w:rsid w:val="007C4A51"/>
    <w:rsid w:val="007C5AB8"/>
    <w:rsid w:val="007C6375"/>
    <w:rsid w:val="007D3414"/>
    <w:rsid w:val="007D5121"/>
    <w:rsid w:val="007E5D3A"/>
    <w:rsid w:val="00812A7B"/>
    <w:rsid w:val="00817EBB"/>
    <w:rsid w:val="0082200D"/>
    <w:rsid w:val="008267D7"/>
    <w:rsid w:val="0083591F"/>
    <w:rsid w:val="00835B76"/>
    <w:rsid w:val="008371FE"/>
    <w:rsid w:val="008533CB"/>
    <w:rsid w:val="00854CE2"/>
    <w:rsid w:val="008579C4"/>
    <w:rsid w:val="00861608"/>
    <w:rsid w:val="008650E8"/>
    <w:rsid w:val="0087171A"/>
    <w:rsid w:val="00873F7D"/>
    <w:rsid w:val="00876D6E"/>
    <w:rsid w:val="008828E3"/>
    <w:rsid w:val="008834C6"/>
    <w:rsid w:val="00891605"/>
    <w:rsid w:val="00891ADA"/>
    <w:rsid w:val="00893E7A"/>
    <w:rsid w:val="00897AC1"/>
    <w:rsid w:val="00897EEF"/>
    <w:rsid w:val="008C632F"/>
    <w:rsid w:val="008D1D38"/>
    <w:rsid w:val="008D389F"/>
    <w:rsid w:val="008D393C"/>
    <w:rsid w:val="008D6F29"/>
    <w:rsid w:val="008E7C57"/>
    <w:rsid w:val="008F2D83"/>
    <w:rsid w:val="00902CF6"/>
    <w:rsid w:val="009044F9"/>
    <w:rsid w:val="00912F96"/>
    <w:rsid w:val="00913BD9"/>
    <w:rsid w:val="00922D6B"/>
    <w:rsid w:val="00931543"/>
    <w:rsid w:val="00931DC1"/>
    <w:rsid w:val="00934202"/>
    <w:rsid w:val="00940AA6"/>
    <w:rsid w:val="009670A4"/>
    <w:rsid w:val="00967726"/>
    <w:rsid w:val="00972FF1"/>
    <w:rsid w:val="009838F8"/>
    <w:rsid w:val="009929C7"/>
    <w:rsid w:val="00992DC4"/>
    <w:rsid w:val="009A56D7"/>
    <w:rsid w:val="009B3752"/>
    <w:rsid w:val="009B3900"/>
    <w:rsid w:val="009B4CCD"/>
    <w:rsid w:val="009B5392"/>
    <w:rsid w:val="009B7DDE"/>
    <w:rsid w:val="009C05E9"/>
    <w:rsid w:val="009C0B12"/>
    <w:rsid w:val="009C1302"/>
    <w:rsid w:val="009C6508"/>
    <w:rsid w:val="009C78FE"/>
    <w:rsid w:val="009D5EDE"/>
    <w:rsid w:val="009D634C"/>
    <w:rsid w:val="009E21FE"/>
    <w:rsid w:val="009F43D7"/>
    <w:rsid w:val="009F6EF1"/>
    <w:rsid w:val="00A0255F"/>
    <w:rsid w:val="00A027C2"/>
    <w:rsid w:val="00A03601"/>
    <w:rsid w:val="00A05375"/>
    <w:rsid w:val="00A220CB"/>
    <w:rsid w:val="00A34B75"/>
    <w:rsid w:val="00A3779F"/>
    <w:rsid w:val="00A46628"/>
    <w:rsid w:val="00A55BC2"/>
    <w:rsid w:val="00A67039"/>
    <w:rsid w:val="00A67B15"/>
    <w:rsid w:val="00A73F2E"/>
    <w:rsid w:val="00A752A0"/>
    <w:rsid w:val="00A81217"/>
    <w:rsid w:val="00A82991"/>
    <w:rsid w:val="00AA666F"/>
    <w:rsid w:val="00AB3493"/>
    <w:rsid w:val="00AC0F4C"/>
    <w:rsid w:val="00AC4DDE"/>
    <w:rsid w:val="00AD4BAF"/>
    <w:rsid w:val="00AE202F"/>
    <w:rsid w:val="00AF3678"/>
    <w:rsid w:val="00B00899"/>
    <w:rsid w:val="00B0107F"/>
    <w:rsid w:val="00B01582"/>
    <w:rsid w:val="00B022CB"/>
    <w:rsid w:val="00B06F3A"/>
    <w:rsid w:val="00B07F86"/>
    <w:rsid w:val="00B11F7E"/>
    <w:rsid w:val="00B13257"/>
    <w:rsid w:val="00B32906"/>
    <w:rsid w:val="00B342B3"/>
    <w:rsid w:val="00B41A4A"/>
    <w:rsid w:val="00B44F9C"/>
    <w:rsid w:val="00B5168B"/>
    <w:rsid w:val="00B5273D"/>
    <w:rsid w:val="00B64ECC"/>
    <w:rsid w:val="00B650C5"/>
    <w:rsid w:val="00B65115"/>
    <w:rsid w:val="00B70FDA"/>
    <w:rsid w:val="00B74702"/>
    <w:rsid w:val="00B80DCA"/>
    <w:rsid w:val="00B94716"/>
    <w:rsid w:val="00B95BFD"/>
    <w:rsid w:val="00B96505"/>
    <w:rsid w:val="00BA2A64"/>
    <w:rsid w:val="00BA5908"/>
    <w:rsid w:val="00BB64D8"/>
    <w:rsid w:val="00BC1324"/>
    <w:rsid w:val="00BC6FA2"/>
    <w:rsid w:val="00BD217B"/>
    <w:rsid w:val="00BE036C"/>
    <w:rsid w:val="00BE548F"/>
    <w:rsid w:val="00BE7601"/>
    <w:rsid w:val="00C006F5"/>
    <w:rsid w:val="00C02AD2"/>
    <w:rsid w:val="00C03C1F"/>
    <w:rsid w:val="00C04569"/>
    <w:rsid w:val="00C07D58"/>
    <w:rsid w:val="00C10AA7"/>
    <w:rsid w:val="00C22802"/>
    <w:rsid w:val="00C23871"/>
    <w:rsid w:val="00C26F3D"/>
    <w:rsid w:val="00C35E12"/>
    <w:rsid w:val="00C37D62"/>
    <w:rsid w:val="00C52DDF"/>
    <w:rsid w:val="00C62BBF"/>
    <w:rsid w:val="00C64ABB"/>
    <w:rsid w:val="00C65B68"/>
    <w:rsid w:val="00C7404A"/>
    <w:rsid w:val="00C76DD5"/>
    <w:rsid w:val="00C86EAE"/>
    <w:rsid w:val="00C94240"/>
    <w:rsid w:val="00C97F22"/>
    <w:rsid w:val="00CA12A6"/>
    <w:rsid w:val="00CA29FA"/>
    <w:rsid w:val="00CA71BC"/>
    <w:rsid w:val="00CB3E9B"/>
    <w:rsid w:val="00CC284C"/>
    <w:rsid w:val="00CD1E6B"/>
    <w:rsid w:val="00CD7443"/>
    <w:rsid w:val="00D03906"/>
    <w:rsid w:val="00D11537"/>
    <w:rsid w:val="00D23B3B"/>
    <w:rsid w:val="00D250AC"/>
    <w:rsid w:val="00D25902"/>
    <w:rsid w:val="00D2624F"/>
    <w:rsid w:val="00D30EA4"/>
    <w:rsid w:val="00D32E24"/>
    <w:rsid w:val="00D3349B"/>
    <w:rsid w:val="00D33530"/>
    <w:rsid w:val="00D401C1"/>
    <w:rsid w:val="00D43A36"/>
    <w:rsid w:val="00D44DC3"/>
    <w:rsid w:val="00D45950"/>
    <w:rsid w:val="00D507A5"/>
    <w:rsid w:val="00D532DD"/>
    <w:rsid w:val="00D53AE2"/>
    <w:rsid w:val="00D56227"/>
    <w:rsid w:val="00D568CF"/>
    <w:rsid w:val="00D57302"/>
    <w:rsid w:val="00D608F5"/>
    <w:rsid w:val="00D60EF6"/>
    <w:rsid w:val="00D7798A"/>
    <w:rsid w:val="00D82B72"/>
    <w:rsid w:val="00D851E7"/>
    <w:rsid w:val="00D916E9"/>
    <w:rsid w:val="00D94A20"/>
    <w:rsid w:val="00D971CA"/>
    <w:rsid w:val="00DA2D40"/>
    <w:rsid w:val="00DA3138"/>
    <w:rsid w:val="00DA633E"/>
    <w:rsid w:val="00DA6564"/>
    <w:rsid w:val="00DB03AB"/>
    <w:rsid w:val="00DB605F"/>
    <w:rsid w:val="00DC46CD"/>
    <w:rsid w:val="00DC4D8F"/>
    <w:rsid w:val="00DC51B7"/>
    <w:rsid w:val="00DC5491"/>
    <w:rsid w:val="00DD173F"/>
    <w:rsid w:val="00DD2415"/>
    <w:rsid w:val="00DD285C"/>
    <w:rsid w:val="00DD40B4"/>
    <w:rsid w:val="00DE4307"/>
    <w:rsid w:val="00DF2915"/>
    <w:rsid w:val="00DF716E"/>
    <w:rsid w:val="00DF7F72"/>
    <w:rsid w:val="00E07CE7"/>
    <w:rsid w:val="00E1174C"/>
    <w:rsid w:val="00E14769"/>
    <w:rsid w:val="00E1705A"/>
    <w:rsid w:val="00E37231"/>
    <w:rsid w:val="00E507BD"/>
    <w:rsid w:val="00E523B5"/>
    <w:rsid w:val="00E67084"/>
    <w:rsid w:val="00E74F99"/>
    <w:rsid w:val="00E83F7B"/>
    <w:rsid w:val="00EA7DD3"/>
    <w:rsid w:val="00EB0F67"/>
    <w:rsid w:val="00EB19AA"/>
    <w:rsid w:val="00EB3B9A"/>
    <w:rsid w:val="00EC2A76"/>
    <w:rsid w:val="00EC799B"/>
    <w:rsid w:val="00ED0C69"/>
    <w:rsid w:val="00ED5338"/>
    <w:rsid w:val="00ED75FF"/>
    <w:rsid w:val="00EE075F"/>
    <w:rsid w:val="00EE51B0"/>
    <w:rsid w:val="00EE5C28"/>
    <w:rsid w:val="00F0196E"/>
    <w:rsid w:val="00F06801"/>
    <w:rsid w:val="00F06F74"/>
    <w:rsid w:val="00F35DAF"/>
    <w:rsid w:val="00F3705A"/>
    <w:rsid w:val="00F370FE"/>
    <w:rsid w:val="00F4236E"/>
    <w:rsid w:val="00F45DEB"/>
    <w:rsid w:val="00F45F83"/>
    <w:rsid w:val="00F53814"/>
    <w:rsid w:val="00F57385"/>
    <w:rsid w:val="00F80785"/>
    <w:rsid w:val="00F81481"/>
    <w:rsid w:val="00F919D0"/>
    <w:rsid w:val="00F95DEA"/>
    <w:rsid w:val="00F979D4"/>
    <w:rsid w:val="00FA5BF5"/>
    <w:rsid w:val="00FA66E7"/>
    <w:rsid w:val="00FC0E4D"/>
    <w:rsid w:val="00FC1B96"/>
    <w:rsid w:val="00FC27DA"/>
    <w:rsid w:val="00FC4F3E"/>
    <w:rsid w:val="00FE378B"/>
    <w:rsid w:val="00FE431F"/>
    <w:rsid w:val="00FE4812"/>
    <w:rsid w:val="00FE4A74"/>
    <w:rsid w:val="00FE54DA"/>
    <w:rsid w:val="00FE7595"/>
    <w:rsid w:val="00FF42DF"/>
    <w:rsid w:val="00FF6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2049"/>
    <o:shapelayout v:ext="edit">
      <o:idmap v:ext="edit" data="1"/>
    </o:shapelayout>
  </w:shapeDefaults>
  <w:decimalSymbol w:val="."/>
  <w:listSeparator w:val=","/>
  <w14:docId w14:val="2CEA63E5"/>
  <w15:docId w15:val="{6D42112A-2D28-4EAE-B08E-464C5F541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D285C"/>
    <w:rPr>
      <w:sz w:val="24"/>
      <w:szCs w:val="24"/>
      <w:lang w:val="en-GB" w:eastAsia="en-US"/>
    </w:rPr>
  </w:style>
  <w:style w:type="paragraph" w:styleId="Heading1">
    <w:name w:val="heading 1"/>
    <w:basedOn w:val="Normal"/>
    <w:next w:val="Normal"/>
    <w:qFormat/>
    <w:rsid w:val="00794591"/>
    <w:pPr>
      <w:keepNext/>
      <w:spacing w:before="120"/>
      <w:outlineLvl w:val="0"/>
    </w:pPr>
    <w:rPr>
      <w:b/>
      <w:sz w:val="20"/>
      <w:szCs w:val="20"/>
    </w:rPr>
  </w:style>
  <w:style w:type="paragraph" w:styleId="Heading2">
    <w:name w:val="heading 2"/>
    <w:basedOn w:val="Normal"/>
    <w:next w:val="Normal"/>
    <w:qFormat/>
    <w:rsid w:val="00794591"/>
    <w:pPr>
      <w:keepNext/>
      <w:jc w:val="center"/>
      <w:outlineLvl w:val="1"/>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94591"/>
    <w:pPr>
      <w:tabs>
        <w:tab w:val="center" w:pos="4320"/>
        <w:tab w:val="right" w:pos="8640"/>
      </w:tabs>
    </w:pPr>
    <w:rPr>
      <w:sz w:val="20"/>
      <w:szCs w:val="20"/>
    </w:rPr>
  </w:style>
  <w:style w:type="character" w:styleId="Hyperlink">
    <w:name w:val="Hyperlink"/>
    <w:basedOn w:val="DefaultParagraphFont"/>
    <w:rsid w:val="00481558"/>
    <w:rPr>
      <w:color w:val="0000FF"/>
      <w:u w:val="single"/>
    </w:rPr>
  </w:style>
  <w:style w:type="paragraph" w:styleId="Footer">
    <w:name w:val="footer"/>
    <w:basedOn w:val="Normal"/>
    <w:link w:val="FooterChar"/>
    <w:uiPriority w:val="99"/>
    <w:rsid w:val="00481558"/>
    <w:pPr>
      <w:tabs>
        <w:tab w:val="center" w:pos="4320"/>
        <w:tab w:val="right" w:pos="8640"/>
      </w:tabs>
    </w:pPr>
  </w:style>
  <w:style w:type="character" w:styleId="Strong">
    <w:name w:val="Strong"/>
    <w:basedOn w:val="DefaultParagraphFont"/>
    <w:qFormat/>
    <w:rsid w:val="00650C65"/>
    <w:rPr>
      <w:b/>
      <w:bCs/>
    </w:rPr>
  </w:style>
  <w:style w:type="paragraph" w:styleId="BalloonText">
    <w:name w:val="Balloon Text"/>
    <w:basedOn w:val="Normal"/>
    <w:semiHidden/>
    <w:rsid w:val="003F4ED1"/>
    <w:rPr>
      <w:rFonts w:ascii="Tahoma" w:hAnsi="Tahoma" w:cs="Tahoma"/>
      <w:sz w:val="16"/>
      <w:szCs w:val="16"/>
    </w:rPr>
  </w:style>
  <w:style w:type="character" w:customStyle="1" w:styleId="HeaderChar">
    <w:name w:val="Header Char"/>
    <w:basedOn w:val="DefaultParagraphFont"/>
    <w:link w:val="Header"/>
    <w:rsid w:val="00101385"/>
    <w:rPr>
      <w:lang w:val="en-US" w:eastAsia="en-US"/>
    </w:rPr>
  </w:style>
  <w:style w:type="paragraph" w:styleId="FootnoteText">
    <w:name w:val="footnote text"/>
    <w:basedOn w:val="Normal"/>
    <w:link w:val="FootnoteTextChar"/>
    <w:rsid w:val="00B74702"/>
    <w:rPr>
      <w:sz w:val="20"/>
      <w:szCs w:val="20"/>
    </w:rPr>
  </w:style>
  <w:style w:type="character" w:customStyle="1" w:styleId="FootnoteTextChar">
    <w:name w:val="Footnote Text Char"/>
    <w:basedOn w:val="DefaultParagraphFont"/>
    <w:link w:val="FootnoteText"/>
    <w:rsid w:val="00B74702"/>
    <w:rPr>
      <w:lang w:val="en-US" w:eastAsia="en-US"/>
    </w:rPr>
  </w:style>
  <w:style w:type="character" w:styleId="FootnoteReference">
    <w:name w:val="footnote reference"/>
    <w:basedOn w:val="DefaultParagraphFont"/>
    <w:rsid w:val="00B74702"/>
    <w:rPr>
      <w:vertAlign w:val="superscript"/>
    </w:rPr>
  </w:style>
  <w:style w:type="paragraph" w:styleId="ListParagraph">
    <w:name w:val="List Paragraph"/>
    <w:basedOn w:val="Normal"/>
    <w:uiPriority w:val="34"/>
    <w:qFormat/>
    <w:rsid w:val="000701A7"/>
    <w:pPr>
      <w:ind w:left="720"/>
      <w:contextualSpacing/>
    </w:pPr>
  </w:style>
  <w:style w:type="character" w:styleId="FollowedHyperlink">
    <w:name w:val="FollowedHyperlink"/>
    <w:basedOn w:val="DefaultParagraphFont"/>
    <w:rsid w:val="000A22EB"/>
    <w:rPr>
      <w:color w:val="800080" w:themeColor="followedHyperlink"/>
      <w:u w:val="single"/>
    </w:rPr>
  </w:style>
  <w:style w:type="paragraph" w:styleId="NormalWeb">
    <w:name w:val="Normal (Web)"/>
    <w:basedOn w:val="Normal"/>
    <w:uiPriority w:val="99"/>
    <w:unhideWhenUsed/>
    <w:rsid w:val="00C86EAE"/>
    <w:pPr>
      <w:spacing w:before="100" w:beforeAutospacing="1" w:after="100" w:afterAutospacing="1"/>
    </w:pPr>
    <w:rPr>
      <w:rFonts w:eastAsiaTheme="minorHAnsi"/>
      <w:lang w:eastAsia="en-GB"/>
    </w:rPr>
  </w:style>
  <w:style w:type="character" w:styleId="UnresolvedMention">
    <w:name w:val="Unresolved Mention"/>
    <w:basedOn w:val="DefaultParagraphFont"/>
    <w:uiPriority w:val="99"/>
    <w:semiHidden/>
    <w:unhideWhenUsed/>
    <w:rsid w:val="00C86EAE"/>
    <w:rPr>
      <w:color w:val="808080"/>
      <w:shd w:val="clear" w:color="auto" w:fill="E6E6E6"/>
    </w:rPr>
  </w:style>
  <w:style w:type="character" w:customStyle="1" w:styleId="FooterChar">
    <w:name w:val="Footer Char"/>
    <w:basedOn w:val="DefaultParagraphFont"/>
    <w:link w:val="Footer"/>
    <w:uiPriority w:val="99"/>
    <w:rsid w:val="00585B76"/>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583852">
      <w:bodyDiv w:val="1"/>
      <w:marLeft w:val="0"/>
      <w:marRight w:val="0"/>
      <w:marTop w:val="0"/>
      <w:marBottom w:val="0"/>
      <w:divBdr>
        <w:top w:val="none" w:sz="0" w:space="0" w:color="auto"/>
        <w:left w:val="none" w:sz="0" w:space="0" w:color="auto"/>
        <w:bottom w:val="none" w:sz="0" w:space="0" w:color="auto"/>
        <w:right w:val="none" w:sz="0" w:space="0" w:color="auto"/>
      </w:divBdr>
      <w:divsChild>
        <w:div w:id="556476493">
          <w:marLeft w:val="0"/>
          <w:marRight w:val="0"/>
          <w:marTop w:val="0"/>
          <w:marBottom w:val="0"/>
          <w:divBdr>
            <w:top w:val="none" w:sz="0" w:space="0" w:color="auto"/>
            <w:left w:val="none" w:sz="0" w:space="0" w:color="auto"/>
            <w:bottom w:val="none" w:sz="0" w:space="0" w:color="auto"/>
            <w:right w:val="none" w:sz="0" w:space="0" w:color="auto"/>
          </w:divBdr>
          <w:divsChild>
            <w:div w:id="1888057143">
              <w:marLeft w:val="0"/>
              <w:marRight w:val="0"/>
              <w:marTop w:val="0"/>
              <w:marBottom w:val="0"/>
              <w:divBdr>
                <w:top w:val="none" w:sz="0" w:space="0" w:color="auto"/>
                <w:left w:val="none" w:sz="0" w:space="0" w:color="auto"/>
                <w:bottom w:val="none" w:sz="0" w:space="0" w:color="auto"/>
                <w:right w:val="none" w:sz="0" w:space="0" w:color="auto"/>
              </w:divBdr>
            </w:div>
            <w:div w:id="207554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93986">
      <w:bodyDiv w:val="1"/>
      <w:marLeft w:val="0"/>
      <w:marRight w:val="0"/>
      <w:marTop w:val="0"/>
      <w:marBottom w:val="0"/>
      <w:divBdr>
        <w:top w:val="none" w:sz="0" w:space="0" w:color="auto"/>
        <w:left w:val="none" w:sz="0" w:space="0" w:color="auto"/>
        <w:bottom w:val="none" w:sz="0" w:space="0" w:color="auto"/>
        <w:right w:val="none" w:sz="0" w:space="0" w:color="auto"/>
      </w:divBdr>
    </w:div>
    <w:div w:id="1539778410">
      <w:bodyDiv w:val="1"/>
      <w:marLeft w:val="0"/>
      <w:marRight w:val="0"/>
      <w:marTop w:val="0"/>
      <w:marBottom w:val="0"/>
      <w:divBdr>
        <w:top w:val="none" w:sz="0" w:space="0" w:color="auto"/>
        <w:left w:val="none" w:sz="0" w:space="0" w:color="auto"/>
        <w:bottom w:val="none" w:sz="0" w:space="0" w:color="auto"/>
        <w:right w:val="none" w:sz="0" w:space="0" w:color="auto"/>
      </w:divBdr>
    </w:div>
    <w:div w:id="1544370880">
      <w:bodyDiv w:val="1"/>
      <w:marLeft w:val="0"/>
      <w:marRight w:val="0"/>
      <w:marTop w:val="0"/>
      <w:marBottom w:val="0"/>
      <w:divBdr>
        <w:top w:val="none" w:sz="0" w:space="0" w:color="auto"/>
        <w:left w:val="none" w:sz="0" w:space="0" w:color="auto"/>
        <w:bottom w:val="none" w:sz="0" w:space="0" w:color="auto"/>
        <w:right w:val="none" w:sz="0" w:space="0" w:color="auto"/>
      </w:divBdr>
    </w:div>
    <w:div w:id="1700158198">
      <w:bodyDiv w:val="1"/>
      <w:marLeft w:val="0"/>
      <w:marRight w:val="0"/>
      <w:marTop w:val="0"/>
      <w:marBottom w:val="0"/>
      <w:divBdr>
        <w:top w:val="none" w:sz="0" w:space="0" w:color="auto"/>
        <w:left w:val="none" w:sz="0" w:space="0" w:color="auto"/>
        <w:bottom w:val="none" w:sz="0" w:space="0" w:color="auto"/>
        <w:right w:val="none" w:sz="0" w:space="0" w:color="auto"/>
      </w:divBdr>
    </w:div>
    <w:div w:id="1782408500">
      <w:bodyDiv w:val="1"/>
      <w:marLeft w:val="0"/>
      <w:marRight w:val="0"/>
      <w:marTop w:val="0"/>
      <w:marBottom w:val="0"/>
      <w:divBdr>
        <w:top w:val="none" w:sz="0" w:space="0" w:color="auto"/>
        <w:left w:val="none" w:sz="0" w:space="0" w:color="auto"/>
        <w:bottom w:val="none" w:sz="0" w:space="0" w:color="auto"/>
        <w:right w:val="none" w:sz="0" w:space="0" w:color="auto"/>
      </w:divBdr>
    </w:div>
    <w:div w:id="1895509479">
      <w:bodyDiv w:val="1"/>
      <w:marLeft w:val="0"/>
      <w:marRight w:val="0"/>
      <w:marTop w:val="0"/>
      <w:marBottom w:val="0"/>
      <w:divBdr>
        <w:top w:val="none" w:sz="0" w:space="0" w:color="auto"/>
        <w:left w:val="none" w:sz="0" w:space="0" w:color="auto"/>
        <w:bottom w:val="none" w:sz="0" w:space="0" w:color="auto"/>
        <w:right w:val="none" w:sz="0" w:space="0" w:color="auto"/>
      </w:divBdr>
    </w:div>
    <w:div w:id="2071533345">
      <w:bodyDiv w:val="1"/>
      <w:marLeft w:val="0"/>
      <w:marRight w:val="0"/>
      <w:marTop w:val="0"/>
      <w:marBottom w:val="0"/>
      <w:divBdr>
        <w:top w:val="none" w:sz="0" w:space="0" w:color="auto"/>
        <w:left w:val="none" w:sz="0" w:space="0" w:color="auto"/>
        <w:bottom w:val="none" w:sz="0" w:space="0" w:color="auto"/>
        <w:right w:val="none" w:sz="0" w:space="0" w:color="auto"/>
      </w:divBdr>
    </w:div>
    <w:div w:id="212915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brz001.EMBASSIES\Application%20Data\Microsoft\Template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0CD55D8-CC33-4EF6-BACD-028D63E075F1}">
  <ds:schemaRefs>
    <ds:schemaRef ds:uri="http://schemas.openxmlformats.org/officeDocument/2006/bibliography"/>
  </ds:schemaRefs>
</ds:datastoreItem>
</file>

<file path=customXml/itemProps2.xml><?xml version="1.0" encoding="utf-8"?>
<ds:datastoreItem xmlns:ds="http://schemas.openxmlformats.org/officeDocument/2006/customXml" ds:itemID="{5C752AE6-212E-4713-8FB1-B71E6F6FDDF8}"/>
</file>

<file path=customXml/itemProps3.xml><?xml version="1.0" encoding="utf-8"?>
<ds:datastoreItem xmlns:ds="http://schemas.openxmlformats.org/officeDocument/2006/customXml" ds:itemID="{906D9A40-2B1A-450A-BF1C-FB6D899B82F4}"/>
</file>

<file path=customXml/itemProps4.xml><?xml version="1.0" encoding="utf-8"?>
<ds:datastoreItem xmlns:ds="http://schemas.openxmlformats.org/officeDocument/2006/customXml" ds:itemID="{E162CCDB-9342-4412-907F-E7227CE9AF18}"/>
</file>

<file path=docProps/app.xml><?xml version="1.0" encoding="utf-8"?>
<Properties xmlns="http://schemas.openxmlformats.org/officeDocument/2006/extended-properties" xmlns:vt="http://schemas.openxmlformats.org/officeDocument/2006/docPropsVTypes">
  <Template>letter.dot</Template>
  <TotalTime>5</TotalTime>
  <Pages>2</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gabrz001</dc:creator>
  <cp:lastModifiedBy>Pace Roberto at MFTP Geneva</cp:lastModifiedBy>
  <cp:revision>2</cp:revision>
  <cp:lastPrinted>2014-01-23T09:07:00Z</cp:lastPrinted>
  <dcterms:created xsi:type="dcterms:W3CDTF">2019-12-09T13:57:00Z</dcterms:created>
  <dcterms:modified xsi:type="dcterms:W3CDTF">2019-12-09T13:57:00Z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