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CFD98" w14:textId="3011006C" w:rsidR="003C465E" w:rsidRDefault="003C465E" w:rsidP="00C3422D">
      <w:pPr>
        <w:rPr>
          <w:rFonts w:ascii="Times New Roman" w:hAnsi="Times New Roman" w:cs="Times New Roman"/>
          <w:sz w:val="22"/>
          <w:szCs w:val="22"/>
        </w:rPr>
      </w:pPr>
      <w:r>
        <w:rPr>
          <w:rFonts w:ascii="Times New Roman" w:hAnsi="Times New Roman" w:cs="Times New Roman"/>
          <w:sz w:val="22"/>
          <w:szCs w:val="22"/>
        </w:rPr>
        <w:t>ANNEX</w:t>
      </w:r>
      <w:r w:rsidR="00BE1383">
        <w:rPr>
          <w:rFonts w:ascii="Times New Roman" w:hAnsi="Times New Roman" w:cs="Times New Roman"/>
          <w:sz w:val="22"/>
          <w:szCs w:val="22"/>
        </w:rPr>
        <w:t xml:space="preserve">: A/HRC/36/43 </w:t>
      </w:r>
    </w:p>
    <w:p w14:paraId="312969E3" w14:textId="77777777" w:rsidR="0095295E" w:rsidRPr="002A511D" w:rsidRDefault="0095295E" w:rsidP="00C3422D">
      <w:pPr>
        <w:rPr>
          <w:rFonts w:ascii="Times New Roman" w:hAnsi="Times New Roman" w:cs="Times New Roman"/>
          <w:b/>
          <w:sz w:val="22"/>
          <w:szCs w:val="22"/>
        </w:rPr>
      </w:pPr>
    </w:p>
    <w:p w14:paraId="2955EBBB" w14:textId="3A1570A8" w:rsidR="001778F4" w:rsidRPr="002A511D" w:rsidRDefault="002A511D" w:rsidP="002A511D">
      <w:pPr>
        <w:rPr>
          <w:rFonts w:ascii="Times New Roman" w:hAnsi="Times New Roman" w:cs="Times New Roman"/>
          <w:b/>
          <w:sz w:val="22"/>
          <w:szCs w:val="22"/>
        </w:rPr>
      </w:pPr>
      <w:r w:rsidRPr="002A511D">
        <w:rPr>
          <w:rFonts w:ascii="Times New Roman" w:hAnsi="Times New Roman" w:cs="Times New Roman"/>
          <w:b/>
          <w:sz w:val="22"/>
          <w:szCs w:val="22"/>
        </w:rPr>
        <w:t xml:space="preserve">Annex 1: </w:t>
      </w:r>
      <w:r w:rsidR="0095295E" w:rsidRPr="002A511D">
        <w:rPr>
          <w:rFonts w:ascii="Times New Roman" w:hAnsi="Times New Roman" w:cs="Times New Roman"/>
          <w:b/>
          <w:sz w:val="22"/>
          <w:szCs w:val="22"/>
        </w:rPr>
        <w:t>International l</w:t>
      </w:r>
      <w:r w:rsidR="00C3422D" w:rsidRPr="002A511D">
        <w:rPr>
          <w:rFonts w:ascii="Times New Roman" w:hAnsi="Times New Roman" w:cs="Times New Roman"/>
          <w:b/>
          <w:sz w:val="22"/>
          <w:szCs w:val="22"/>
        </w:rPr>
        <w:t>egal framework</w:t>
      </w:r>
      <w:r w:rsidRPr="002A511D">
        <w:rPr>
          <w:rFonts w:ascii="Times New Roman" w:hAnsi="Times New Roman" w:cs="Times New Roman"/>
          <w:b/>
          <w:sz w:val="22"/>
          <w:szCs w:val="22"/>
        </w:rPr>
        <w:t xml:space="preserve"> relating to access to justice and remedy for victims of contemporary forms of slavery </w:t>
      </w:r>
    </w:p>
    <w:p w14:paraId="40DF93A9" w14:textId="186D0A72"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Convention to Suppress the Slave Trade and Slavery of 1926 (Slavery Convention), defines slavery in article 1.1 as “the status or condition of a person over whom any or all of the powers attaching to the right of ownership are exercised”. Article 2, imposes on State</w:t>
      </w:r>
      <w:r w:rsidR="00974AAA">
        <w:rPr>
          <w:rFonts w:ascii="Times New Roman" w:hAnsi="Times New Roman" w:cs="Times New Roman"/>
          <w:sz w:val="22"/>
          <w:szCs w:val="22"/>
        </w:rPr>
        <w:t>s</w:t>
      </w:r>
      <w:r>
        <w:rPr>
          <w:rFonts w:ascii="Times New Roman" w:hAnsi="Times New Roman" w:cs="Times New Roman"/>
          <w:sz w:val="22"/>
          <w:szCs w:val="22"/>
        </w:rPr>
        <w:t xml:space="preserve"> Parties the obligation to undertake</w:t>
      </w:r>
      <w:r w:rsidR="00974AAA">
        <w:rPr>
          <w:rFonts w:ascii="Times New Roman" w:hAnsi="Times New Roman" w:cs="Times New Roman"/>
          <w:sz w:val="22"/>
          <w:szCs w:val="22"/>
        </w:rPr>
        <w:t xml:space="preserve"> the necessary</w:t>
      </w:r>
      <w:r>
        <w:rPr>
          <w:rFonts w:ascii="Times New Roman" w:hAnsi="Times New Roman" w:cs="Times New Roman"/>
          <w:sz w:val="22"/>
          <w:szCs w:val="22"/>
        </w:rPr>
        <w:t xml:space="preserve"> steps to: “a) prevent and suppress the slave trade; b) to bring about, progressively and as s</w:t>
      </w:r>
      <w:bookmarkStart w:id="0" w:name="_GoBack"/>
      <w:bookmarkEnd w:id="0"/>
      <w:r>
        <w:rPr>
          <w:rFonts w:ascii="Times New Roman" w:hAnsi="Times New Roman" w:cs="Times New Roman"/>
          <w:sz w:val="22"/>
          <w:szCs w:val="22"/>
        </w:rPr>
        <w:t xml:space="preserve">oon as possible, the complete abolition of slavery in all its forms”. The 1926 Slavery Convention differentiates between slavery and forced labour, article 5 requires States Parties “to take all necessary measures to prevent compulsory or forced labour from developing into conditions analogous to slavery”. Furthermore, article 6 refers to States’ </w:t>
      </w:r>
      <w:r w:rsidRPr="00F31EA9">
        <w:rPr>
          <w:rFonts w:ascii="Times New Roman" w:hAnsi="Times New Roman" w:cs="Times New Roman"/>
          <w:sz w:val="22"/>
          <w:szCs w:val="22"/>
        </w:rPr>
        <w:t>obligation to adopt the necessary measures in order that severe penalties may be imposed in respect of infractions of laws and regulations giving effect to the purposes of the Convention.</w:t>
      </w:r>
      <w:r>
        <w:rPr>
          <w:rFonts w:ascii="Times New Roman" w:hAnsi="Times New Roman" w:cs="Times New Roman"/>
          <w:sz w:val="22"/>
          <w:szCs w:val="22"/>
        </w:rPr>
        <w:t xml:space="preserve"> </w:t>
      </w:r>
    </w:p>
    <w:p w14:paraId="5C309D73" w14:textId="7D4E46CE" w:rsidR="003C465E" w:rsidRPr="00487313"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Supplementary Convention on the Abolition of Slavery, the Slave Trade, and Institutions and Practices Similar to Slavery of 1956 (Supplementary Convention), requires in article 1 that State</w:t>
      </w:r>
      <w:r w:rsidR="003A2525">
        <w:rPr>
          <w:rFonts w:ascii="Times New Roman" w:hAnsi="Times New Roman" w:cs="Times New Roman"/>
          <w:sz w:val="22"/>
          <w:szCs w:val="22"/>
        </w:rPr>
        <w:t>s</w:t>
      </w:r>
      <w:r>
        <w:rPr>
          <w:rFonts w:ascii="Times New Roman" w:hAnsi="Times New Roman" w:cs="Times New Roman"/>
          <w:sz w:val="22"/>
          <w:szCs w:val="22"/>
        </w:rPr>
        <w:t xml:space="preserve"> Parties completely abolish or abandon the four institutions and practices similar to slavery enumerated in the same article “where they still exist and whether or not they are covered by the definition of slavery contained in article 1 of the Slavery Convention</w:t>
      </w:r>
      <w:r w:rsidR="003A2525">
        <w:rPr>
          <w:rFonts w:ascii="Times New Roman" w:hAnsi="Times New Roman" w:cs="Times New Roman"/>
          <w:sz w:val="22"/>
          <w:szCs w:val="22"/>
        </w:rPr>
        <w:t xml:space="preserve"> […</w:t>
      </w:r>
      <w:r w:rsidR="001C5EFA">
        <w:rPr>
          <w:rFonts w:ascii="Times New Roman" w:hAnsi="Times New Roman" w:cs="Times New Roman"/>
          <w:sz w:val="22"/>
          <w:szCs w:val="22"/>
        </w:rPr>
        <w:t>]</w:t>
      </w:r>
      <w:r>
        <w:rPr>
          <w:rFonts w:ascii="Times New Roman" w:hAnsi="Times New Roman" w:cs="Times New Roman"/>
          <w:sz w:val="22"/>
          <w:szCs w:val="22"/>
        </w:rPr>
        <w:t>”. The four institutions, also referred to as “servile status” are: debt bondage, serfdom, three categories of forced marriage and a category that has been subsequently known as ‘the sale of c</w:t>
      </w:r>
      <w:r w:rsidR="001C5EFA">
        <w:rPr>
          <w:rFonts w:ascii="Times New Roman" w:hAnsi="Times New Roman" w:cs="Times New Roman"/>
          <w:sz w:val="22"/>
          <w:szCs w:val="22"/>
        </w:rPr>
        <w:t>hildren’. Moreover, article 6 (2</w:t>
      </w:r>
      <w:r>
        <w:rPr>
          <w:rFonts w:ascii="Times New Roman" w:hAnsi="Times New Roman" w:cs="Times New Roman"/>
          <w:sz w:val="22"/>
          <w:szCs w:val="22"/>
        </w:rPr>
        <w:t xml:space="preserve">) imposes on States Parties </w:t>
      </w:r>
      <w:r w:rsidRPr="00F31EA9">
        <w:rPr>
          <w:rFonts w:ascii="Times New Roman" w:hAnsi="Times New Roman" w:cs="Times New Roman"/>
          <w:sz w:val="22"/>
          <w:szCs w:val="22"/>
        </w:rPr>
        <w:t>the obligation to criminalize</w:t>
      </w:r>
      <w:r>
        <w:rPr>
          <w:rFonts w:ascii="Times New Roman" w:hAnsi="Times New Roman" w:cs="Times New Roman"/>
          <w:sz w:val="22"/>
          <w:szCs w:val="22"/>
        </w:rPr>
        <w:t xml:space="preserve"> “the act of inducing another person to place himself or a person dependent upon him into the servile status resulting from any of the institutions or practices mentioned in article 1</w:t>
      </w:r>
      <w:r w:rsidR="001C5EFA">
        <w:rPr>
          <w:rFonts w:ascii="Times New Roman" w:hAnsi="Times New Roman" w:cs="Times New Roman"/>
          <w:sz w:val="22"/>
          <w:szCs w:val="22"/>
        </w:rPr>
        <w:t xml:space="preserve">, to </w:t>
      </w:r>
      <w:r>
        <w:rPr>
          <w:rFonts w:ascii="Times New Roman" w:hAnsi="Times New Roman" w:cs="Times New Roman"/>
          <w:sz w:val="22"/>
          <w:szCs w:val="22"/>
        </w:rPr>
        <w:t xml:space="preserve">any attempt to perform such acts, to being accessory </w:t>
      </w:r>
      <w:r w:rsidRPr="00487313">
        <w:rPr>
          <w:rFonts w:ascii="Times New Roman" w:hAnsi="Times New Roman" w:cs="Times New Roman"/>
          <w:sz w:val="22"/>
          <w:szCs w:val="22"/>
        </w:rPr>
        <w:t xml:space="preserve">thereto, and to being a party to a conspiracy to accomplish any such acts”. </w:t>
      </w:r>
    </w:p>
    <w:p w14:paraId="50152390" w14:textId="36625DCF" w:rsidR="003C465E" w:rsidRPr="00487313" w:rsidRDefault="003C465E" w:rsidP="003C465E">
      <w:pPr>
        <w:jc w:val="both"/>
        <w:rPr>
          <w:rFonts w:ascii="Times New Roman" w:hAnsi="Times New Roman" w:cs="Times New Roman"/>
          <w:sz w:val="22"/>
          <w:szCs w:val="22"/>
        </w:rPr>
      </w:pPr>
      <w:r>
        <w:rPr>
          <w:rFonts w:ascii="Times New Roman" w:hAnsi="Times New Roman" w:cs="Times New Roman"/>
          <w:sz w:val="22"/>
          <w:szCs w:val="22"/>
        </w:rPr>
        <w:t xml:space="preserve">The </w:t>
      </w:r>
      <w:r w:rsidRPr="004800D9">
        <w:rPr>
          <w:rFonts w:ascii="Times New Roman" w:hAnsi="Times New Roman" w:cs="Times New Roman"/>
          <w:sz w:val="22"/>
          <w:szCs w:val="22"/>
        </w:rPr>
        <w:t>Universal Declaration of Human Rights</w:t>
      </w:r>
      <w:r w:rsidRPr="00487313">
        <w:rPr>
          <w:rFonts w:ascii="Times New Roman" w:hAnsi="Times New Roman" w:cs="Times New Roman"/>
          <w:sz w:val="22"/>
          <w:szCs w:val="22"/>
        </w:rPr>
        <w:t xml:space="preserve"> </w:t>
      </w:r>
      <w:r w:rsidR="0008732E">
        <w:rPr>
          <w:rFonts w:ascii="Times New Roman" w:hAnsi="Times New Roman" w:cs="Times New Roman"/>
          <w:sz w:val="22"/>
          <w:szCs w:val="22"/>
        </w:rPr>
        <w:t xml:space="preserve">adopted by the United Nations General Assembly in 1948, </w:t>
      </w:r>
      <w:r w:rsidRPr="00487313">
        <w:rPr>
          <w:rFonts w:ascii="Times New Roman" w:hAnsi="Times New Roman" w:cs="Times New Roman"/>
          <w:sz w:val="22"/>
          <w:szCs w:val="22"/>
        </w:rPr>
        <w:t xml:space="preserve">provides in article 4 that “no one shall be held in slavery or servitude; slavery and the slave trade shall be prohibited in all their forms”. </w:t>
      </w:r>
      <w:r w:rsidR="00755271">
        <w:rPr>
          <w:rFonts w:ascii="Times New Roman" w:hAnsi="Times New Roman" w:cs="Times New Roman"/>
          <w:sz w:val="22"/>
          <w:szCs w:val="22"/>
        </w:rPr>
        <w:t>Article 7 states</w:t>
      </w:r>
      <w:r w:rsidR="00755271" w:rsidRPr="00487313">
        <w:rPr>
          <w:rFonts w:ascii="Times New Roman" w:hAnsi="Times New Roman" w:cs="Times New Roman"/>
          <w:sz w:val="22"/>
          <w:szCs w:val="22"/>
        </w:rPr>
        <w:t xml:space="preserve"> that “</w:t>
      </w:r>
      <w:r w:rsidR="009231F0">
        <w:rPr>
          <w:rFonts w:ascii="Times New Roman" w:hAnsi="Times New Roman" w:cs="Times New Roman"/>
          <w:color w:val="262626"/>
          <w:sz w:val="22"/>
          <w:szCs w:val="22"/>
        </w:rPr>
        <w:t>a</w:t>
      </w:r>
      <w:r w:rsidR="00755271" w:rsidRPr="00F31EA9">
        <w:rPr>
          <w:rFonts w:ascii="Times New Roman" w:hAnsi="Times New Roman" w:cs="Times New Roman"/>
          <w:color w:val="262626"/>
          <w:sz w:val="22"/>
          <w:szCs w:val="22"/>
        </w:rPr>
        <w:t>ll are equal before the law and are entitled without any discrimination to equal protection of the law</w:t>
      </w:r>
      <w:r w:rsidR="00755271">
        <w:rPr>
          <w:rFonts w:ascii="Times New Roman" w:hAnsi="Times New Roman" w:cs="Times New Roman"/>
          <w:color w:val="262626"/>
          <w:sz w:val="22"/>
          <w:szCs w:val="22"/>
        </w:rPr>
        <w:t xml:space="preserve"> […]</w:t>
      </w:r>
      <w:r w:rsidR="00755271" w:rsidRPr="00487313">
        <w:rPr>
          <w:rFonts w:ascii="Times New Roman" w:hAnsi="Times New Roman" w:cs="Times New Roman"/>
          <w:color w:val="262626"/>
          <w:sz w:val="22"/>
          <w:szCs w:val="22"/>
        </w:rPr>
        <w:t xml:space="preserve">”. </w:t>
      </w:r>
      <w:r w:rsidRPr="00487313">
        <w:rPr>
          <w:rFonts w:ascii="Times New Roman" w:hAnsi="Times New Roman" w:cs="Times New Roman"/>
          <w:sz w:val="22"/>
          <w:szCs w:val="22"/>
        </w:rPr>
        <w:t>Article 8 states that “</w:t>
      </w:r>
      <w:r w:rsidRPr="00F31EA9">
        <w:rPr>
          <w:rFonts w:ascii="Times New Roman" w:hAnsi="Times New Roman" w:cs="Times New Roman"/>
          <w:sz w:val="22"/>
          <w:szCs w:val="22"/>
        </w:rPr>
        <w:t>everyone has the right to an effective remedy by the competent natio</w:t>
      </w:r>
      <w:r w:rsidR="009231F0">
        <w:rPr>
          <w:rFonts w:ascii="Times New Roman" w:hAnsi="Times New Roman" w:cs="Times New Roman"/>
          <w:sz w:val="22"/>
          <w:szCs w:val="22"/>
        </w:rPr>
        <w:t>nal tribunals for acts violating</w:t>
      </w:r>
      <w:r w:rsidRPr="00F31EA9">
        <w:rPr>
          <w:rFonts w:ascii="Times New Roman" w:hAnsi="Times New Roman" w:cs="Times New Roman"/>
          <w:sz w:val="22"/>
          <w:szCs w:val="22"/>
        </w:rPr>
        <w:t xml:space="preserve"> the fundamental rights granted him by the constitution or by law</w:t>
      </w:r>
      <w:r w:rsidR="00755271">
        <w:rPr>
          <w:rFonts w:ascii="Times New Roman" w:hAnsi="Times New Roman" w:cs="Times New Roman"/>
          <w:sz w:val="22"/>
          <w:szCs w:val="22"/>
        </w:rPr>
        <w:t xml:space="preserve">”. </w:t>
      </w:r>
      <w:r w:rsidRPr="00487313">
        <w:rPr>
          <w:rFonts w:ascii="Times New Roman" w:hAnsi="Times New Roman" w:cs="Times New Roman"/>
          <w:color w:val="262626"/>
          <w:sz w:val="22"/>
          <w:szCs w:val="22"/>
        </w:rPr>
        <w:t xml:space="preserve">Furthermore, article 10 provides that “everyone is entitled in full equality to a fair and public hearing by an independent and impartial tribunal, in the determination of his rights and obligations and of any criminal charge against him”. </w:t>
      </w:r>
    </w:p>
    <w:p w14:paraId="56021C89" w14:textId="7009C022" w:rsidR="003C465E" w:rsidRPr="00147B17" w:rsidRDefault="0008732E" w:rsidP="003C465E">
      <w:pPr>
        <w:jc w:val="both"/>
        <w:rPr>
          <w:rFonts w:ascii="Times New Roman" w:hAnsi="Times New Roman" w:cs="Times New Roman"/>
          <w:sz w:val="22"/>
          <w:szCs w:val="22"/>
        </w:rPr>
      </w:pPr>
      <w:r>
        <w:rPr>
          <w:rFonts w:ascii="Times New Roman" w:hAnsi="Times New Roman" w:cs="Times New Roman"/>
          <w:sz w:val="22"/>
          <w:szCs w:val="22"/>
        </w:rPr>
        <w:t>The United Nations</w:t>
      </w:r>
      <w:r w:rsidR="003C465E">
        <w:rPr>
          <w:rFonts w:ascii="Times New Roman" w:hAnsi="Times New Roman" w:cs="Times New Roman"/>
          <w:sz w:val="22"/>
          <w:szCs w:val="22"/>
        </w:rPr>
        <w:t xml:space="preserve"> Declaration of Basic Principles of Justice for Victims of Crime and Abuse of Power adopted by the General Assembly in 1985, recognizes that victims are “</w:t>
      </w:r>
      <w:r w:rsidR="00D00B35">
        <w:rPr>
          <w:rFonts w:ascii="Times New Roman" w:hAnsi="Times New Roman" w:cs="Times New Roman"/>
          <w:sz w:val="22"/>
          <w:szCs w:val="22"/>
        </w:rPr>
        <w:t xml:space="preserve">[…] </w:t>
      </w:r>
      <w:r w:rsidR="003C465E">
        <w:rPr>
          <w:rFonts w:ascii="Times New Roman" w:hAnsi="Times New Roman" w:cs="Times New Roman"/>
          <w:sz w:val="22"/>
          <w:szCs w:val="22"/>
        </w:rPr>
        <w:t>entitled to access to the mechanisms of justice and to prompt redress, as provided for by national legislation, for the harm they have suffered”</w:t>
      </w:r>
      <w:r w:rsidR="00D00B35">
        <w:rPr>
          <w:rFonts w:ascii="Times New Roman" w:hAnsi="Times New Roman" w:cs="Times New Roman"/>
          <w:sz w:val="22"/>
          <w:szCs w:val="22"/>
        </w:rPr>
        <w:t xml:space="preserve"> (para. 4)</w:t>
      </w:r>
      <w:r w:rsidR="003C465E">
        <w:rPr>
          <w:rFonts w:ascii="Times New Roman" w:hAnsi="Times New Roman" w:cs="Times New Roman"/>
          <w:sz w:val="22"/>
          <w:szCs w:val="22"/>
        </w:rPr>
        <w:t>.</w:t>
      </w:r>
      <w:r w:rsidR="003C465E">
        <w:rPr>
          <w:rStyle w:val="FootnoteReference"/>
          <w:rFonts w:ascii="Times New Roman" w:hAnsi="Times New Roman" w:cs="Times New Roman"/>
          <w:sz w:val="22"/>
          <w:szCs w:val="22"/>
        </w:rPr>
        <w:footnoteReference w:id="1"/>
      </w:r>
    </w:p>
    <w:p w14:paraId="2A0D89B7" w14:textId="0161D368"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lastRenderedPageBreak/>
        <w:t xml:space="preserve">The </w:t>
      </w:r>
      <w:r w:rsidRPr="00E01A7E">
        <w:rPr>
          <w:rFonts w:ascii="Times New Roman" w:hAnsi="Times New Roman" w:cs="Times New Roman"/>
          <w:sz w:val="22"/>
          <w:szCs w:val="22"/>
        </w:rPr>
        <w:t>International Covenant on Civil and Political Rights</w:t>
      </w:r>
      <w:r w:rsidR="005F5562">
        <w:rPr>
          <w:rFonts w:ascii="Times New Roman" w:hAnsi="Times New Roman" w:cs="Times New Roman"/>
          <w:sz w:val="22"/>
          <w:szCs w:val="22"/>
        </w:rPr>
        <w:t xml:space="preserve"> of</w:t>
      </w:r>
      <w:r w:rsidR="00E01A7E">
        <w:rPr>
          <w:rFonts w:ascii="Times New Roman" w:hAnsi="Times New Roman" w:cs="Times New Roman"/>
          <w:sz w:val="22"/>
          <w:szCs w:val="22"/>
        </w:rPr>
        <w:t xml:space="preserve"> 1966,</w:t>
      </w:r>
      <w:r>
        <w:rPr>
          <w:rFonts w:ascii="Times New Roman" w:hAnsi="Times New Roman" w:cs="Times New Roman"/>
          <w:sz w:val="22"/>
          <w:szCs w:val="22"/>
        </w:rPr>
        <w:t xml:space="preserve"> </w:t>
      </w:r>
      <w:r w:rsidR="002A3F06">
        <w:rPr>
          <w:rFonts w:ascii="Times New Roman" w:hAnsi="Times New Roman" w:cs="Times New Roman"/>
          <w:sz w:val="22"/>
          <w:szCs w:val="22"/>
        </w:rPr>
        <w:t xml:space="preserve">imposes on States Parties the obligation </w:t>
      </w:r>
      <w:r w:rsidR="007E1186">
        <w:rPr>
          <w:rFonts w:ascii="Times New Roman" w:hAnsi="Times New Roman" w:cs="Times New Roman"/>
          <w:sz w:val="22"/>
          <w:szCs w:val="22"/>
        </w:rPr>
        <w:t>“</w:t>
      </w:r>
      <w:r w:rsidR="002A3F06">
        <w:rPr>
          <w:rFonts w:ascii="Times New Roman" w:hAnsi="Times New Roman" w:cs="Times New Roman"/>
          <w:sz w:val="22"/>
          <w:szCs w:val="22"/>
        </w:rPr>
        <w:t>to ensure that any person whose rights or freedoms as recognized in the Convention</w:t>
      </w:r>
      <w:r w:rsidR="007E1186">
        <w:rPr>
          <w:rFonts w:ascii="Times New Roman" w:hAnsi="Times New Roman" w:cs="Times New Roman"/>
          <w:sz w:val="22"/>
          <w:szCs w:val="22"/>
        </w:rPr>
        <w:t xml:space="preserve"> are violated </w:t>
      </w:r>
      <w:r w:rsidR="002A3F06">
        <w:rPr>
          <w:rFonts w:ascii="Times New Roman" w:hAnsi="Times New Roman" w:cs="Times New Roman"/>
          <w:sz w:val="22"/>
          <w:szCs w:val="22"/>
        </w:rPr>
        <w:t xml:space="preserve">shall have an effective remedy, notwithstanding that the violation has been committed by persons acting in an official capacity”; and to ensure </w:t>
      </w:r>
      <w:r w:rsidR="007D5CD7">
        <w:rPr>
          <w:rFonts w:ascii="Times New Roman" w:hAnsi="Times New Roman" w:cs="Times New Roman"/>
          <w:sz w:val="22"/>
          <w:szCs w:val="22"/>
        </w:rPr>
        <w:t>“</w:t>
      </w:r>
      <w:r w:rsidR="002A3F06">
        <w:rPr>
          <w:rFonts w:ascii="Times New Roman" w:hAnsi="Times New Roman" w:cs="Times New Roman"/>
          <w:sz w:val="22"/>
          <w:szCs w:val="22"/>
        </w:rPr>
        <w:t xml:space="preserve">that </w:t>
      </w:r>
      <w:r w:rsidR="007D5CD7">
        <w:rPr>
          <w:rFonts w:ascii="Times New Roman" w:hAnsi="Times New Roman" w:cs="Times New Roman"/>
          <w:sz w:val="22"/>
          <w:szCs w:val="22"/>
        </w:rPr>
        <w:t xml:space="preserve">any person claiming such a remedy shall have his right thereto determined by competent judicial, </w:t>
      </w:r>
      <w:r>
        <w:rPr>
          <w:rFonts w:ascii="Times New Roman" w:hAnsi="Times New Roman" w:cs="Times New Roman"/>
          <w:sz w:val="22"/>
          <w:szCs w:val="22"/>
        </w:rPr>
        <w:t>administrative or legislative authorities, or by any other competent authority provided for by the legal system of the State</w:t>
      </w:r>
      <w:r w:rsidR="007D5CD7">
        <w:rPr>
          <w:rFonts w:ascii="Times New Roman" w:hAnsi="Times New Roman" w:cs="Times New Roman"/>
          <w:sz w:val="22"/>
          <w:szCs w:val="22"/>
        </w:rPr>
        <w:t>, and to develop the possibilities of judicial remedy</w:t>
      </w:r>
      <w:r>
        <w:rPr>
          <w:rFonts w:ascii="Times New Roman" w:hAnsi="Times New Roman" w:cs="Times New Roman"/>
          <w:sz w:val="22"/>
          <w:szCs w:val="22"/>
        </w:rPr>
        <w:t>”</w:t>
      </w:r>
      <w:r w:rsidR="009B66D3">
        <w:rPr>
          <w:rFonts w:ascii="Times New Roman" w:hAnsi="Times New Roman" w:cs="Times New Roman"/>
          <w:sz w:val="22"/>
          <w:szCs w:val="22"/>
        </w:rPr>
        <w:t xml:space="preserve"> (article 2 (3))</w:t>
      </w:r>
      <w:r>
        <w:rPr>
          <w:rFonts w:ascii="Times New Roman" w:hAnsi="Times New Roman" w:cs="Times New Roman"/>
          <w:sz w:val="22"/>
          <w:szCs w:val="22"/>
        </w:rPr>
        <w:t>.</w:t>
      </w:r>
      <w:r>
        <w:rPr>
          <w:rStyle w:val="FootnoteReference"/>
          <w:rFonts w:ascii="Times New Roman" w:hAnsi="Times New Roman" w:cs="Times New Roman"/>
          <w:sz w:val="22"/>
          <w:szCs w:val="22"/>
        </w:rPr>
        <w:footnoteReference w:id="2"/>
      </w:r>
      <w:r>
        <w:rPr>
          <w:rFonts w:ascii="Times New Roman" w:hAnsi="Times New Roman" w:cs="Times New Roman"/>
          <w:sz w:val="22"/>
          <w:szCs w:val="22"/>
        </w:rPr>
        <w:t xml:space="preserve"> Article 8 provides that “1. </w:t>
      </w:r>
      <w:r w:rsidR="00793043">
        <w:rPr>
          <w:rFonts w:ascii="Times New Roman" w:hAnsi="Times New Roman" w:cs="Times New Roman"/>
          <w:sz w:val="22"/>
          <w:szCs w:val="22"/>
        </w:rPr>
        <w:t>No one shall be held in slavery;</w:t>
      </w:r>
      <w:r>
        <w:rPr>
          <w:rFonts w:ascii="Times New Roman" w:hAnsi="Times New Roman" w:cs="Times New Roman"/>
          <w:sz w:val="22"/>
          <w:szCs w:val="22"/>
        </w:rPr>
        <w:t xml:space="preserve"> slavery and the slave-trade in all their forms shall be prohibited; 2. No one shall be held in servitude; 3. (a) No one shall be required to perform forced or compulsory labour”. Furthermore, article 26 provides that “all persons are equal before the law and are entitled without any discrimination to the equal protection of the law”. </w:t>
      </w:r>
    </w:p>
    <w:p w14:paraId="6468F211" w14:textId="77777777"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 xml:space="preserve">The International Labour Organization (ILO) Forced Labour Convention, 1930 (Forced Labour Convention, No. 29), defines forced labour in article 2.1 as “all work or service which is exacted from any person under the menace of any penalty and for which the said person has not offered himself voluntarily”. Moreover, article 25 provides that “the illegal exaction of forced or compulsory labour </w:t>
      </w:r>
      <w:r w:rsidRPr="00F31EA9">
        <w:rPr>
          <w:rFonts w:ascii="Times New Roman" w:hAnsi="Times New Roman" w:cs="Times New Roman"/>
          <w:sz w:val="22"/>
          <w:szCs w:val="22"/>
        </w:rPr>
        <w:t>shall be punishable as a penal offence</w:t>
      </w:r>
      <w:r>
        <w:rPr>
          <w:rFonts w:ascii="Times New Roman" w:hAnsi="Times New Roman" w:cs="Times New Roman"/>
          <w:sz w:val="22"/>
          <w:szCs w:val="22"/>
        </w:rPr>
        <w:t>”, and imposes on States Parties the obligation to ensure that the penalties imposed by law are really adequate and strictly enforced.</w:t>
      </w:r>
      <w:r>
        <w:rPr>
          <w:rStyle w:val="FootnoteReference"/>
          <w:rFonts w:ascii="Times New Roman" w:hAnsi="Times New Roman" w:cs="Times New Roman"/>
          <w:sz w:val="22"/>
          <w:szCs w:val="22"/>
        </w:rPr>
        <w:footnoteReference w:id="3"/>
      </w:r>
      <w:r>
        <w:rPr>
          <w:rFonts w:ascii="Times New Roman" w:hAnsi="Times New Roman" w:cs="Times New Roman"/>
          <w:sz w:val="22"/>
          <w:szCs w:val="22"/>
        </w:rPr>
        <w:t xml:space="preserve"> </w:t>
      </w:r>
    </w:p>
    <w:p w14:paraId="291B660C" w14:textId="74AB9A20"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Protocol of 2014 t</w:t>
      </w:r>
      <w:r w:rsidR="005238EB">
        <w:rPr>
          <w:rFonts w:ascii="Times New Roman" w:hAnsi="Times New Roman" w:cs="Times New Roman"/>
          <w:sz w:val="22"/>
          <w:szCs w:val="22"/>
        </w:rPr>
        <w:t xml:space="preserve">o the Forced Labour Convention No. 29, </w:t>
      </w:r>
      <w:r>
        <w:rPr>
          <w:rFonts w:ascii="Times New Roman" w:hAnsi="Times New Roman" w:cs="Times New Roman"/>
          <w:sz w:val="22"/>
          <w:szCs w:val="22"/>
        </w:rPr>
        <w:t>provides in article 1 that State Parties shall take effective measures to prevent and eliminate the use of forced or compulsory labour and provide victims protection and access to appropriate and effective remedies, such as compensation, and to punish perpetrators. Article 2 of the Protocol of 2014 specifies six measures to be taken for the prevention of forced or compulsory labour.</w:t>
      </w:r>
      <w:r>
        <w:rPr>
          <w:rStyle w:val="FootnoteReference"/>
          <w:rFonts w:ascii="Times New Roman" w:hAnsi="Times New Roman" w:cs="Times New Roman"/>
          <w:sz w:val="22"/>
          <w:szCs w:val="22"/>
        </w:rPr>
        <w:footnoteReference w:id="4"/>
      </w:r>
      <w:r>
        <w:rPr>
          <w:rFonts w:ascii="Times New Roman" w:hAnsi="Times New Roman" w:cs="Times New Roman"/>
          <w:sz w:val="22"/>
          <w:szCs w:val="22"/>
        </w:rPr>
        <w:t xml:space="preserve"> Moreover, article 4 (1) provides </w:t>
      </w:r>
      <w:r>
        <w:rPr>
          <w:rFonts w:ascii="Times New Roman" w:hAnsi="Times New Roman" w:cs="Times New Roman"/>
          <w:sz w:val="22"/>
          <w:szCs w:val="22"/>
        </w:rPr>
        <w:lastRenderedPageBreak/>
        <w:t>that States Parties shall ensure “that all victims of forced or compulsory labour, irrespective of their presence or legal status in the national territory, have access to appropriate and effective remedies, such as compensation; article 4 (2) refers to States Parties’ obligation to ensure that competent authorities do not prosecute or impose penalties on victims of forced labour for their involvement in unlawful activities which they have been compelled to commit as a direct consequence of being subjected to forced labour.</w:t>
      </w:r>
      <w:r>
        <w:rPr>
          <w:rStyle w:val="FootnoteReference"/>
          <w:rFonts w:ascii="Times New Roman" w:hAnsi="Times New Roman" w:cs="Times New Roman"/>
          <w:sz w:val="22"/>
          <w:szCs w:val="22"/>
        </w:rPr>
        <w:footnoteReference w:id="5"/>
      </w:r>
      <w:r>
        <w:rPr>
          <w:rFonts w:ascii="Times New Roman" w:hAnsi="Times New Roman" w:cs="Times New Roman"/>
          <w:sz w:val="22"/>
          <w:szCs w:val="22"/>
        </w:rPr>
        <w:t xml:space="preserve"> </w:t>
      </w:r>
    </w:p>
    <w:p w14:paraId="1B26951B" w14:textId="258B8543"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ILO Domestic Workers Convention, 2011 (No.189), imposes to State</w:t>
      </w:r>
      <w:r w:rsidR="009226EE">
        <w:rPr>
          <w:rFonts w:ascii="Times New Roman" w:hAnsi="Times New Roman" w:cs="Times New Roman"/>
          <w:sz w:val="22"/>
          <w:szCs w:val="22"/>
        </w:rPr>
        <w:t>s</w:t>
      </w:r>
      <w:r>
        <w:rPr>
          <w:rFonts w:ascii="Times New Roman" w:hAnsi="Times New Roman" w:cs="Times New Roman"/>
          <w:sz w:val="22"/>
          <w:szCs w:val="22"/>
        </w:rPr>
        <w:t xml:space="preserve"> Parties the obligation to respect, promote and realize the fundamental principles and rights at work, including the elimination of all forms of forced labour, the effective abolition of child labour and the elimination of discrimination in respect of employment and occupation (article 3(2)). Article 16 provides that States Parties shall take measures to ensure that all domestic workers “have effective access to courts tribunals or other dispute resolution mechanisms under conditions that are not less favourable than those available to workers generally”.</w:t>
      </w:r>
      <w:r>
        <w:rPr>
          <w:rStyle w:val="FootnoteReference"/>
          <w:rFonts w:ascii="Times New Roman" w:hAnsi="Times New Roman" w:cs="Times New Roman"/>
          <w:sz w:val="22"/>
          <w:szCs w:val="22"/>
        </w:rPr>
        <w:footnoteReference w:id="6"/>
      </w:r>
      <w:r>
        <w:rPr>
          <w:rFonts w:ascii="Times New Roman" w:hAnsi="Times New Roman" w:cs="Times New Roman"/>
          <w:sz w:val="22"/>
          <w:szCs w:val="22"/>
        </w:rPr>
        <w:t xml:space="preserve"> </w:t>
      </w:r>
    </w:p>
    <w:p w14:paraId="3232EFDF" w14:textId="0F6DD734"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lastRenderedPageBreak/>
        <w:t>The ILO Convention on Worst Forms of Child Labour, 1999 (No. 182), provides in article 3 (a) that the term worst forms of child labour comprises among other practices “all forms of slavery or practices similar to slavery […]”. Moreover, article 7 imposes on States Parties the obligation to take all necessary measures to ensure the effective implementation and enforcement of the provisions giving effect to the Convention “including the provision and application of penal sanctions or, as appropriate, other sanctions”. Article 7 obliges State</w:t>
      </w:r>
      <w:r w:rsidR="007414FE">
        <w:rPr>
          <w:rFonts w:ascii="Times New Roman" w:hAnsi="Times New Roman" w:cs="Times New Roman"/>
          <w:sz w:val="22"/>
          <w:szCs w:val="22"/>
        </w:rPr>
        <w:t>s</w:t>
      </w:r>
      <w:r>
        <w:rPr>
          <w:rFonts w:ascii="Times New Roman" w:hAnsi="Times New Roman" w:cs="Times New Roman"/>
          <w:sz w:val="22"/>
          <w:szCs w:val="22"/>
        </w:rPr>
        <w:t xml:space="preserve"> Parties to take effective and time-bounded measures to “provide the necessary and appropriate direct assistance for the removal of children from the worst forms of child labour and for their rehabilitation and social reintegration; ensure access to free basic education, and, wherever possible and appropriate, vocation training, for all children removed from the worst forms of child labour; and identify and reach out to children at special risk”.  </w:t>
      </w:r>
    </w:p>
    <w:p w14:paraId="6729074A" w14:textId="2D03E032"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Convention on the Rights of the Child (1989) establishes in article 3(1) that “in all actions concerning children, whether undertaken by public or private social welfare institutions, courts of law, administrative authorities or legislative bodies, the best interests of the child shall be a primary consideration”. Article 12 provides that the child shall be provided the opportunity “to be heard in any judicial and administrative proceedings affecting the child, either directly, or through a representative or an appropriate body, in a manner consistent with the procedural rules of national law”. Article 32(1) refers to “the right of the child to be protected from economic exploitation and from performing any work that is likely to be hazardous or to interfere with the child’s education, or to be harmful to child’s health or physical, mental spiritual, moral or social development”; paragraph (2) provides that States Parties shall take legislative, administrative, social and educational measures to ensure this, noting that one of the measures that States Parties shall particularly adopt is to provide for appropriate penalties or other sanction to ensure the effective enforcement of article 32. Moreover, article 39 refers to State</w:t>
      </w:r>
      <w:r w:rsidR="0066459F">
        <w:rPr>
          <w:rFonts w:ascii="Times New Roman" w:hAnsi="Times New Roman" w:cs="Times New Roman"/>
          <w:sz w:val="22"/>
          <w:szCs w:val="22"/>
        </w:rPr>
        <w:t>s</w:t>
      </w:r>
      <w:r>
        <w:rPr>
          <w:rFonts w:ascii="Times New Roman" w:hAnsi="Times New Roman" w:cs="Times New Roman"/>
          <w:sz w:val="22"/>
          <w:szCs w:val="22"/>
        </w:rPr>
        <w:t xml:space="preserve"> Parties obligation to take all appropriate measures to promote physical and psychological recovery and social reintegration of a child victim of exploitation among other types of abuse.</w:t>
      </w:r>
      <w:r>
        <w:rPr>
          <w:rStyle w:val="FootnoteReference"/>
          <w:rFonts w:ascii="Times New Roman" w:hAnsi="Times New Roman" w:cs="Times New Roman"/>
          <w:sz w:val="22"/>
          <w:szCs w:val="22"/>
        </w:rPr>
        <w:footnoteReference w:id="7"/>
      </w:r>
      <w:r>
        <w:rPr>
          <w:rFonts w:ascii="Times New Roman" w:hAnsi="Times New Roman" w:cs="Times New Roman"/>
          <w:sz w:val="22"/>
          <w:szCs w:val="22"/>
        </w:rPr>
        <w:t xml:space="preserve"> </w:t>
      </w:r>
    </w:p>
    <w:p w14:paraId="2C099473" w14:textId="77777777"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 xml:space="preserve">The International Convention on the Protection of the Rights of All Migrant Workers and Members of their Families, 1990,  provides in article 83 (a) that State Parties are obliged to ensure that any person whose rights or freedoms recognized in the Convention are violated “have an effective remedy, notwithstanding that the violation has been committed by persons acting in an official capacity”. </w:t>
      </w:r>
    </w:p>
    <w:p w14:paraId="0690CF35" w14:textId="47E9A8A8"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International Convention on the Elimination of All Forms of Racial Discrimination (ICERD)</w:t>
      </w:r>
      <w:r w:rsidR="00A91C8F">
        <w:rPr>
          <w:rFonts w:ascii="Times New Roman" w:hAnsi="Times New Roman" w:cs="Times New Roman"/>
          <w:sz w:val="22"/>
          <w:szCs w:val="22"/>
        </w:rPr>
        <w:t>, 1965,</w:t>
      </w:r>
      <w:r>
        <w:rPr>
          <w:rFonts w:ascii="Times New Roman" w:hAnsi="Times New Roman" w:cs="Times New Roman"/>
          <w:sz w:val="22"/>
          <w:szCs w:val="22"/>
        </w:rPr>
        <w:t xml:space="preserve"> elaborates on States</w:t>
      </w:r>
      <w:r w:rsidR="00735D6A">
        <w:rPr>
          <w:rFonts w:ascii="Times New Roman" w:hAnsi="Times New Roman" w:cs="Times New Roman"/>
          <w:sz w:val="22"/>
          <w:szCs w:val="22"/>
        </w:rPr>
        <w:t xml:space="preserve"> Parties</w:t>
      </w:r>
      <w:r>
        <w:rPr>
          <w:rFonts w:ascii="Times New Roman" w:hAnsi="Times New Roman" w:cs="Times New Roman"/>
          <w:sz w:val="22"/>
          <w:szCs w:val="22"/>
        </w:rPr>
        <w:t>’ obligation pursuant to the principle of non-discrimination and prohibits “any distinction, exclusion, restriction or preference based on race, color, descent, or national or ethnic origin” (article 1). Moreover, article 6 requires States</w:t>
      </w:r>
      <w:r w:rsidR="00735D6A">
        <w:rPr>
          <w:rFonts w:ascii="Times New Roman" w:hAnsi="Times New Roman" w:cs="Times New Roman"/>
          <w:sz w:val="22"/>
          <w:szCs w:val="22"/>
        </w:rPr>
        <w:t xml:space="preserve"> Parties</w:t>
      </w:r>
      <w:r>
        <w:rPr>
          <w:rFonts w:ascii="Times New Roman" w:hAnsi="Times New Roman" w:cs="Times New Roman"/>
          <w:sz w:val="22"/>
          <w:szCs w:val="22"/>
        </w:rPr>
        <w:t xml:space="preserve"> to provide effective remedies and upholds the right of all persons to seek from national tribunals just and adequate reparation or satisfaction for any damage suffered as a result of discrimination.</w:t>
      </w:r>
    </w:p>
    <w:p w14:paraId="7C69C60B" w14:textId="0B747CF6"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The European Convention on Human Rights prohibits slavery, servitude and forced labour in article 4 and refers to the right to an effective</w:t>
      </w:r>
      <w:r w:rsidR="00C82321">
        <w:rPr>
          <w:rFonts w:ascii="Times New Roman" w:hAnsi="Times New Roman" w:cs="Times New Roman"/>
          <w:sz w:val="22"/>
          <w:szCs w:val="22"/>
        </w:rPr>
        <w:t xml:space="preserve"> remedy</w:t>
      </w:r>
      <w:r>
        <w:rPr>
          <w:rFonts w:ascii="Times New Roman" w:hAnsi="Times New Roman" w:cs="Times New Roman"/>
          <w:sz w:val="22"/>
          <w:szCs w:val="22"/>
        </w:rPr>
        <w:t xml:space="preserve"> in article 13. The American Convention on Human Rights provides in article 6 that “1. no one shall be subject to slavery or to involuntary servitude, which are prohibited in all their forms, as the slave trade and traffic in women. 2. No </w:t>
      </w:r>
      <w:r>
        <w:rPr>
          <w:rFonts w:ascii="Times New Roman" w:hAnsi="Times New Roman" w:cs="Times New Roman"/>
          <w:sz w:val="22"/>
          <w:szCs w:val="22"/>
        </w:rPr>
        <w:lastRenderedPageBreak/>
        <w:t>one shall be required to perfo</w:t>
      </w:r>
      <w:r w:rsidR="00FF54C8">
        <w:rPr>
          <w:rFonts w:ascii="Times New Roman" w:hAnsi="Times New Roman" w:cs="Times New Roman"/>
          <w:sz w:val="22"/>
          <w:szCs w:val="22"/>
        </w:rPr>
        <w:t>rm forced or compulsory labour”; a</w:t>
      </w:r>
      <w:r>
        <w:rPr>
          <w:rFonts w:ascii="Times New Roman" w:hAnsi="Times New Roman" w:cs="Times New Roman"/>
          <w:sz w:val="22"/>
          <w:szCs w:val="22"/>
        </w:rPr>
        <w:t>rticle 25 refers to the right of judicial protection. The African Charter on Human and Peoples’ Rights contemplates in article 3 a general principle of equal protection, and in article 7 the right of every individual “to have his cause heard”. Article 7(1)(a) provides every individual with “the right to appeal to competent national organs against acts violating his fundamental rights</w:t>
      </w:r>
      <w:r w:rsidR="001E33DF">
        <w:rPr>
          <w:rFonts w:ascii="Times New Roman" w:hAnsi="Times New Roman" w:cs="Times New Roman"/>
          <w:sz w:val="22"/>
          <w:szCs w:val="22"/>
        </w:rPr>
        <w:t xml:space="preserve"> as recognized and guaranteed by conventions, laws, regulations and customs in force</w:t>
      </w:r>
      <w:r>
        <w:rPr>
          <w:rFonts w:ascii="Times New Roman" w:hAnsi="Times New Roman" w:cs="Times New Roman"/>
          <w:sz w:val="22"/>
          <w:szCs w:val="22"/>
        </w:rPr>
        <w:t xml:space="preserve">”.  </w:t>
      </w:r>
    </w:p>
    <w:p w14:paraId="00DF9121" w14:textId="35A0E89D" w:rsidR="003C465E" w:rsidRDefault="003C465E" w:rsidP="003C465E">
      <w:pPr>
        <w:jc w:val="both"/>
        <w:rPr>
          <w:rFonts w:ascii="Times New Roman" w:hAnsi="Times New Roman" w:cs="Times New Roman"/>
          <w:sz w:val="22"/>
          <w:szCs w:val="22"/>
        </w:rPr>
      </w:pPr>
      <w:r>
        <w:rPr>
          <w:rFonts w:ascii="Times New Roman" w:hAnsi="Times New Roman" w:cs="Times New Roman"/>
          <w:sz w:val="22"/>
          <w:szCs w:val="22"/>
        </w:rPr>
        <w:t xml:space="preserve">The </w:t>
      </w:r>
      <w:r w:rsidR="00B05293">
        <w:rPr>
          <w:rFonts w:ascii="Times New Roman" w:hAnsi="Times New Roman" w:cs="Times New Roman"/>
          <w:sz w:val="22"/>
          <w:szCs w:val="22"/>
        </w:rPr>
        <w:t xml:space="preserve">UN </w:t>
      </w:r>
      <w:r>
        <w:rPr>
          <w:rFonts w:ascii="Times New Roman" w:hAnsi="Times New Roman" w:cs="Times New Roman"/>
          <w:sz w:val="22"/>
          <w:szCs w:val="22"/>
        </w:rPr>
        <w:t>Guiding principles on Business and Human Rights: Implementing the United Nations ‘Protect, Respect and Remedy’ Framework,</w:t>
      </w:r>
      <w:r w:rsidR="00B05293">
        <w:rPr>
          <w:rFonts w:ascii="Times New Roman" w:hAnsi="Times New Roman" w:cs="Times New Roman"/>
          <w:sz w:val="22"/>
          <w:szCs w:val="22"/>
        </w:rPr>
        <w:t xml:space="preserve"> 2011,</w:t>
      </w:r>
      <w:r>
        <w:rPr>
          <w:rFonts w:ascii="Times New Roman" w:hAnsi="Times New Roman" w:cs="Times New Roman"/>
          <w:sz w:val="22"/>
          <w:szCs w:val="22"/>
        </w:rPr>
        <w:t xml:space="preserve"> refer in Principle 25 to States</w:t>
      </w:r>
      <w:r w:rsidR="00222326">
        <w:rPr>
          <w:rFonts w:ascii="Times New Roman" w:hAnsi="Times New Roman" w:cs="Times New Roman"/>
          <w:sz w:val="22"/>
          <w:szCs w:val="22"/>
        </w:rPr>
        <w:t>’</w:t>
      </w:r>
      <w:r>
        <w:rPr>
          <w:rFonts w:ascii="Times New Roman" w:hAnsi="Times New Roman" w:cs="Times New Roman"/>
          <w:sz w:val="22"/>
          <w:szCs w:val="22"/>
        </w:rPr>
        <w:t xml:space="preserve"> obligation to “take appropriate steps to ensure, through judicial, administrative, legislative or other appropriate means, that when such abuses [business related human rights abuses] occur within their territory and/or jurisdiction those affected have access to effective remedy”. Principle 26 provides that “States should take appropriate steps to ensure the effectiveness of domestic judicial mechanisms when addressing business-related  human rights abuses, including considering ways to reduce legal, practical and other relevant barriers that could lead to a denial of access to remedy”. </w:t>
      </w:r>
    </w:p>
    <w:p w14:paraId="1BCF5FA7" w14:textId="157CA254" w:rsidR="003C465E" w:rsidRDefault="003C465E" w:rsidP="003C465E">
      <w:pPr>
        <w:jc w:val="both"/>
        <w:rPr>
          <w:rFonts w:ascii="Times New Roman" w:hAnsi="Times New Roman" w:cs="Times New Roman"/>
          <w:sz w:val="22"/>
          <w:szCs w:val="22"/>
        </w:rPr>
      </w:pPr>
      <w:r w:rsidRPr="00147B17">
        <w:rPr>
          <w:rFonts w:ascii="Times New Roman" w:hAnsi="Times New Roman" w:cs="Times New Roman"/>
          <w:sz w:val="22"/>
          <w:szCs w:val="22"/>
        </w:rPr>
        <w:t xml:space="preserve">The draft </w:t>
      </w:r>
      <w:r w:rsidR="00580E6D">
        <w:rPr>
          <w:rFonts w:ascii="Times New Roman" w:hAnsi="Times New Roman" w:cs="Times New Roman"/>
          <w:sz w:val="22"/>
          <w:szCs w:val="22"/>
        </w:rPr>
        <w:t xml:space="preserve">UN </w:t>
      </w:r>
      <w:r w:rsidRPr="00147B17">
        <w:rPr>
          <w:rFonts w:ascii="Times New Roman" w:hAnsi="Times New Roman" w:cs="Times New Roman"/>
          <w:sz w:val="22"/>
          <w:szCs w:val="22"/>
        </w:rPr>
        <w:t xml:space="preserve">Principles and Guidelines for the Effective Elimination of Discrimination Based on Work and Descent </w:t>
      </w:r>
      <w:r w:rsidR="00547D1F">
        <w:rPr>
          <w:rFonts w:ascii="Times New Roman" w:hAnsi="Times New Roman" w:cs="Times New Roman"/>
          <w:sz w:val="22"/>
          <w:szCs w:val="22"/>
        </w:rPr>
        <w:t>presented</w:t>
      </w:r>
      <w:r w:rsidR="00BA0666">
        <w:rPr>
          <w:rFonts w:ascii="Times New Roman" w:hAnsi="Times New Roman" w:cs="Times New Roman"/>
          <w:sz w:val="22"/>
          <w:szCs w:val="22"/>
        </w:rPr>
        <w:t xml:space="preserve"> by the Special Rapporteurs on the topic of discrimination based on work and descent</w:t>
      </w:r>
      <w:r w:rsidR="00547D1F">
        <w:rPr>
          <w:rFonts w:ascii="Times New Roman" w:hAnsi="Times New Roman" w:cs="Times New Roman"/>
          <w:sz w:val="22"/>
          <w:szCs w:val="22"/>
        </w:rPr>
        <w:t xml:space="preserve"> in 2009 (A/HRC/11/CRP.3)</w:t>
      </w:r>
      <w:r w:rsidR="004B6F1F">
        <w:rPr>
          <w:rFonts w:ascii="Times New Roman" w:hAnsi="Times New Roman" w:cs="Times New Roman"/>
          <w:sz w:val="22"/>
          <w:szCs w:val="22"/>
        </w:rPr>
        <w:t>,</w:t>
      </w:r>
      <w:r w:rsidRPr="00147B17">
        <w:rPr>
          <w:rFonts w:ascii="Times New Roman" w:hAnsi="Times New Roman" w:cs="Times New Roman"/>
          <w:sz w:val="22"/>
          <w:szCs w:val="22"/>
        </w:rPr>
        <w:t xml:space="preserve"> </w:t>
      </w:r>
      <w:r>
        <w:rPr>
          <w:rFonts w:ascii="Times New Roman" w:hAnsi="Times New Roman" w:cs="Times New Roman"/>
          <w:sz w:val="22"/>
          <w:szCs w:val="22"/>
        </w:rPr>
        <w:t xml:space="preserve">provide that </w:t>
      </w:r>
      <w:r w:rsidR="00580E6D">
        <w:rPr>
          <w:rFonts w:ascii="Times New Roman" w:hAnsi="Times New Roman" w:cs="Times New Roman"/>
          <w:sz w:val="22"/>
          <w:szCs w:val="22"/>
        </w:rPr>
        <w:t xml:space="preserve">“national and local governments </w:t>
      </w:r>
      <w:r>
        <w:rPr>
          <w:rFonts w:ascii="Times New Roman" w:hAnsi="Times New Roman" w:cs="Times New Roman"/>
          <w:sz w:val="22"/>
          <w:szCs w:val="22"/>
        </w:rPr>
        <w:t xml:space="preserve">should take all necessary steps to ensure equal access to judicial remedies for affected communities including the provision of legal aid […]” (para. 29). It also states that “[…] national and local governments should encourage the recruitment of members of affected communities into law enforcement agencies” (para.30). </w:t>
      </w:r>
    </w:p>
    <w:p w14:paraId="7D955A24" w14:textId="034C8E57" w:rsidR="003C465E" w:rsidRPr="00FA2CDC" w:rsidRDefault="003C465E" w:rsidP="003C465E">
      <w:pPr>
        <w:jc w:val="both"/>
        <w:rPr>
          <w:rFonts w:ascii="Times New Roman" w:hAnsi="Times New Roman" w:cs="Times New Roman"/>
          <w:sz w:val="22"/>
          <w:szCs w:val="22"/>
        </w:rPr>
      </w:pPr>
      <w:r>
        <w:rPr>
          <w:rFonts w:ascii="Times New Roman" w:hAnsi="Times New Roman" w:cs="Times New Roman"/>
          <w:sz w:val="22"/>
          <w:szCs w:val="22"/>
        </w:rPr>
        <w:t>T</w:t>
      </w:r>
      <w:r w:rsidRPr="005F0115">
        <w:rPr>
          <w:rFonts w:ascii="Times New Roman" w:hAnsi="Times New Roman" w:cs="Times New Roman"/>
          <w:sz w:val="22"/>
          <w:szCs w:val="22"/>
        </w:rPr>
        <w:t>he Recommended Principles and Guidelines on Huma</w:t>
      </w:r>
      <w:r w:rsidR="000759B6">
        <w:rPr>
          <w:rFonts w:ascii="Times New Roman" w:hAnsi="Times New Roman" w:cs="Times New Roman"/>
          <w:sz w:val="22"/>
          <w:szCs w:val="22"/>
        </w:rPr>
        <w:t xml:space="preserve">n Rights and Human Trafficking </w:t>
      </w:r>
      <w:r w:rsidRPr="005F0115">
        <w:rPr>
          <w:rFonts w:ascii="Times New Roman" w:hAnsi="Times New Roman" w:cs="Times New Roman"/>
          <w:sz w:val="22"/>
          <w:szCs w:val="22"/>
        </w:rPr>
        <w:t>issued in 2002 by the UN Hig</w:t>
      </w:r>
      <w:r>
        <w:rPr>
          <w:rFonts w:ascii="Times New Roman" w:hAnsi="Times New Roman" w:cs="Times New Roman"/>
          <w:sz w:val="22"/>
          <w:szCs w:val="22"/>
        </w:rPr>
        <w:t>h Commissioner for Human Rights</w:t>
      </w:r>
      <w:r w:rsidR="00B05293">
        <w:rPr>
          <w:rFonts w:ascii="Times New Roman" w:hAnsi="Times New Roman" w:cs="Times New Roman"/>
          <w:sz w:val="22"/>
          <w:szCs w:val="22"/>
        </w:rPr>
        <w:t xml:space="preserve"> (E/2002/68/Add.1);</w:t>
      </w:r>
      <w:r>
        <w:rPr>
          <w:rFonts w:ascii="Times New Roman" w:hAnsi="Times New Roman" w:cs="Times New Roman"/>
          <w:sz w:val="22"/>
          <w:szCs w:val="22"/>
        </w:rPr>
        <w:t xml:space="preserve"> and t</w:t>
      </w:r>
      <w:r w:rsidRPr="005F0115">
        <w:rPr>
          <w:rFonts w:ascii="Times New Roman" w:hAnsi="Times New Roman" w:cs="Times New Roman"/>
          <w:sz w:val="22"/>
          <w:szCs w:val="22"/>
        </w:rPr>
        <w:t xml:space="preserve">he </w:t>
      </w:r>
      <w:r w:rsidR="00C4330C">
        <w:rPr>
          <w:rFonts w:ascii="Times New Roman" w:hAnsi="Times New Roman" w:cs="Times New Roman"/>
          <w:sz w:val="22"/>
          <w:szCs w:val="22"/>
        </w:rPr>
        <w:t xml:space="preserve">draft </w:t>
      </w:r>
      <w:r w:rsidRPr="005F0115">
        <w:rPr>
          <w:rFonts w:ascii="Times New Roman" w:hAnsi="Times New Roman" w:cs="Times New Roman"/>
          <w:sz w:val="22"/>
          <w:szCs w:val="22"/>
        </w:rPr>
        <w:t>Basic Principles on the Right to an Effective Remedy for Victims of Trafficking (A/HRC/26/18)</w:t>
      </w:r>
      <w:r>
        <w:rPr>
          <w:rFonts w:ascii="Times New Roman" w:hAnsi="Times New Roman" w:cs="Times New Roman"/>
          <w:sz w:val="22"/>
          <w:szCs w:val="22"/>
        </w:rPr>
        <w:t xml:space="preserve">, presented by the Special Rapporteur on trafficking in persons, especially women and children in 2014; provide key guidance on access to justice and remedy for victims of forced labour, slavery, practices similar to slavery and servitude in the context of trafficking. </w:t>
      </w:r>
    </w:p>
    <w:p w14:paraId="2DFD1F67" w14:textId="400BBF4F" w:rsidR="003C465E" w:rsidRPr="002A511D" w:rsidRDefault="002A511D" w:rsidP="002A511D">
      <w:pPr>
        <w:rPr>
          <w:rFonts w:ascii="Times New Roman" w:hAnsi="Times New Roman" w:cs="Times New Roman"/>
          <w:b/>
          <w:sz w:val="22"/>
          <w:szCs w:val="22"/>
        </w:rPr>
      </w:pPr>
      <w:r w:rsidRPr="002A511D">
        <w:rPr>
          <w:rFonts w:ascii="Times New Roman" w:hAnsi="Times New Roman" w:cs="Times New Roman"/>
          <w:b/>
          <w:sz w:val="22"/>
          <w:szCs w:val="22"/>
        </w:rPr>
        <w:t>Annex 2: Relevant r</w:t>
      </w:r>
      <w:r w:rsidR="003C465E" w:rsidRPr="002A511D">
        <w:rPr>
          <w:rFonts w:ascii="Times New Roman" w:hAnsi="Times New Roman" w:cs="Times New Roman"/>
          <w:b/>
          <w:sz w:val="22"/>
          <w:szCs w:val="22"/>
        </w:rPr>
        <w:t>egional and national jurisprudence</w:t>
      </w:r>
    </w:p>
    <w:p w14:paraId="4EDE57A0" w14:textId="39ECCE12" w:rsidR="00580411" w:rsidRDefault="00580411" w:rsidP="003C465E">
      <w:pPr>
        <w:rPr>
          <w:rFonts w:ascii="Times New Roman" w:hAnsi="Times New Roman" w:cs="Times New Roman"/>
          <w:sz w:val="22"/>
          <w:szCs w:val="22"/>
        </w:rPr>
      </w:pPr>
      <w:r w:rsidRPr="00BF1297">
        <w:rPr>
          <w:rFonts w:ascii="Times New Roman" w:hAnsi="Times New Roman" w:cs="Times New Roman"/>
          <w:b/>
          <w:sz w:val="22"/>
          <w:szCs w:val="22"/>
        </w:rPr>
        <w:t xml:space="preserve">A. </w:t>
      </w:r>
      <w:r w:rsidR="00CE6E5D">
        <w:rPr>
          <w:rFonts w:ascii="Times New Roman" w:hAnsi="Times New Roman" w:cs="Times New Roman"/>
          <w:sz w:val="22"/>
          <w:szCs w:val="22"/>
        </w:rPr>
        <w:t xml:space="preserve">The European Court of Human Rights </w:t>
      </w:r>
    </w:p>
    <w:p w14:paraId="42D475DC" w14:textId="0D0F576D" w:rsidR="00580411" w:rsidRPr="00022549" w:rsidRDefault="00CE6E5D" w:rsidP="003C465E">
      <w:pPr>
        <w:rPr>
          <w:rFonts w:ascii="Times New Roman" w:hAnsi="Times New Roman" w:cs="Times New Roman"/>
          <w:sz w:val="22"/>
          <w:szCs w:val="22"/>
        </w:rPr>
      </w:pPr>
      <w:r w:rsidRPr="00CE6E5D">
        <w:rPr>
          <w:rFonts w:ascii="Times New Roman" w:hAnsi="Times New Roman" w:cs="Times New Roman"/>
          <w:i/>
          <w:sz w:val="22"/>
          <w:szCs w:val="22"/>
        </w:rPr>
        <w:t xml:space="preserve">Siliadin v France </w:t>
      </w:r>
    </w:p>
    <w:p w14:paraId="7382C42F" w14:textId="0539D352" w:rsidR="00F51BCE" w:rsidRDefault="00E91B9D" w:rsidP="00620F29">
      <w:pPr>
        <w:jc w:val="both"/>
        <w:rPr>
          <w:rFonts w:ascii="Times New Roman" w:hAnsi="Times New Roman" w:cs="Times New Roman"/>
          <w:sz w:val="22"/>
          <w:szCs w:val="22"/>
        </w:rPr>
      </w:pPr>
      <w:r>
        <w:rPr>
          <w:rFonts w:ascii="Times New Roman" w:hAnsi="Times New Roman" w:cs="Times New Roman"/>
          <w:sz w:val="22"/>
          <w:szCs w:val="22"/>
        </w:rPr>
        <w:t>In 2005, the European Court of Human Rights issued a judgment concerning a Togolese woman who had been held in servitude as a domestic worker in France (</w:t>
      </w:r>
      <w:r w:rsidRPr="00E91B9D">
        <w:rPr>
          <w:rFonts w:ascii="Times New Roman" w:hAnsi="Times New Roman" w:cs="Times New Roman"/>
          <w:i/>
          <w:sz w:val="22"/>
          <w:szCs w:val="22"/>
        </w:rPr>
        <w:t>Siliadin v France</w:t>
      </w:r>
      <w:r w:rsidR="00FA77EC">
        <w:rPr>
          <w:rFonts w:ascii="Times New Roman" w:hAnsi="Times New Roman" w:cs="Times New Roman"/>
          <w:sz w:val="22"/>
          <w:szCs w:val="22"/>
        </w:rPr>
        <w:t>, Application No. 73</w:t>
      </w:r>
      <w:r>
        <w:rPr>
          <w:rFonts w:ascii="Times New Roman" w:hAnsi="Times New Roman" w:cs="Times New Roman"/>
          <w:sz w:val="22"/>
          <w:szCs w:val="22"/>
        </w:rPr>
        <w:t>316/01)</w:t>
      </w:r>
      <w:r w:rsidR="00746634" w:rsidRPr="00746634">
        <w:rPr>
          <w:rStyle w:val="FootnoteReference"/>
          <w:rFonts w:ascii="Times New Roman" w:hAnsi="Times New Roman" w:cs="Times New Roman"/>
          <w:sz w:val="22"/>
          <w:szCs w:val="22"/>
        </w:rPr>
        <w:t xml:space="preserve"> </w:t>
      </w:r>
      <w:r w:rsidR="00746634">
        <w:rPr>
          <w:rStyle w:val="FootnoteReference"/>
          <w:rFonts w:ascii="Times New Roman" w:hAnsi="Times New Roman" w:cs="Times New Roman"/>
          <w:sz w:val="22"/>
          <w:szCs w:val="22"/>
        </w:rPr>
        <w:footnoteReference w:id="8"/>
      </w:r>
      <w:r>
        <w:rPr>
          <w:rFonts w:ascii="Times New Roman" w:hAnsi="Times New Roman" w:cs="Times New Roman"/>
          <w:sz w:val="22"/>
          <w:szCs w:val="22"/>
        </w:rPr>
        <w:t xml:space="preserve">. </w:t>
      </w:r>
      <w:r w:rsidR="009C305B">
        <w:rPr>
          <w:rFonts w:ascii="Times New Roman" w:hAnsi="Times New Roman" w:cs="Times New Roman"/>
          <w:sz w:val="22"/>
          <w:szCs w:val="22"/>
        </w:rPr>
        <w:t xml:space="preserve">The Court observed that France’s laws on servitude were too vague and the penalties imposed to those who had exploited the woman were inappropriately lenient. </w:t>
      </w:r>
      <w:r w:rsidR="00F51BCE">
        <w:rPr>
          <w:rFonts w:ascii="Times New Roman" w:hAnsi="Times New Roman" w:cs="Times New Roman"/>
          <w:sz w:val="22"/>
          <w:szCs w:val="22"/>
        </w:rPr>
        <w:t>Referring to State</w:t>
      </w:r>
      <w:r w:rsidR="00112FAD">
        <w:rPr>
          <w:rFonts w:ascii="Times New Roman" w:hAnsi="Times New Roman" w:cs="Times New Roman"/>
          <w:sz w:val="22"/>
          <w:szCs w:val="22"/>
        </w:rPr>
        <w:t>s</w:t>
      </w:r>
      <w:r w:rsidR="00F51BCE">
        <w:rPr>
          <w:rFonts w:ascii="Times New Roman" w:hAnsi="Times New Roman" w:cs="Times New Roman"/>
          <w:sz w:val="22"/>
          <w:szCs w:val="22"/>
        </w:rPr>
        <w:t>’ positive obligations under the European Convention</w:t>
      </w:r>
      <w:r w:rsidR="002D1275">
        <w:rPr>
          <w:rFonts w:ascii="Times New Roman" w:hAnsi="Times New Roman" w:cs="Times New Roman"/>
          <w:sz w:val="22"/>
          <w:szCs w:val="22"/>
        </w:rPr>
        <w:t xml:space="preserve"> on Human Rights</w:t>
      </w:r>
      <w:r w:rsidR="00F51BCE">
        <w:rPr>
          <w:rFonts w:ascii="Times New Roman" w:hAnsi="Times New Roman" w:cs="Times New Roman"/>
          <w:sz w:val="22"/>
          <w:szCs w:val="22"/>
        </w:rPr>
        <w:t>, the Court considered that “</w:t>
      </w:r>
      <w:r w:rsidR="00073A37">
        <w:rPr>
          <w:rFonts w:ascii="Times New Roman" w:hAnsi="Times New Roman" w:cs="Times New Roman"/>
          <w:sz w:val="22"/>
          <w:szCs w:val="22"/>
        </w:rPr>
        <w:t xml:space="preserve">[…] </w:t>
      </w:r>
      <w:r w:rsidR="00F51BCE">
        <w:rPr>
          <w:rFonts w:ascii="Times New Roman" w:hAnsi="Times New Roman" w:cs="Times New Roman"/>
          <w:sz w:val="22"/>
          <w:szCs w:val="22"/>
        </w:rPr>
        <w:t xml:space="preserve">in accordance with contemporary norms and trends in this field, the member States’ positive obligations under Article 4 of the Convention must </w:t>
      </w:r>
      <w:r w:rsidR="00073A37">
        <w:rPr>
          <w:rFonts w:ascii="Times New Roman" w:hAnsi="Times New Roman" w:cs="Times New Roman"/>
          <w:sz w:val="22"/>
          <w:szCs w:val="22"/>
        </w:rPr>
        <w:t>be seen as requiring the penalis</w:t>
      </w:r>
      <w:r w:rsidR="00F51BCE">
        <w:rPr>
          <w:rFonts w:ascii="Times New Roman" w:hAnsi="Times New Roman" w:cs="Times New Roman"/>
          <w:sz w:val="22"/>
          <w:szCs w:val="22"/>
        </w:rPr>
        <w:t>ation and effective prosecution of any act aimed at maintaining a person in such situation</w:t>
      </w:r>
      <w:r w:rsidR="00BD38D3">
        <w:rPr>
          <w:rFonts w:ascii="Times New Roman" w:hAnsi="Times New Roman" w:cs="Times New Roman"/>
          <w:sz w:val="22"/>
          <w:szCs w:val="22"/>
        </w:rPr>
        <w:t xml:space="preserve"> […]</w:t>
      </w:r>
      <w:r w:rsidR="00F51BCE">
        <w:rPr>
          <w:rFonts w:ascii="Times New Roman" w:hAnsi="Times New Roman" w:cs="Times New Roman"/>
          <w:sz w:val="22"/>
          <w:szCs w:val="22"/>
        </w:rPr>
        <w:t>”</w:t>
      </w:r>
      <w:r w:rsidR="00883B97">
        <w:rPr>
          <w:rFonts w:ascii="Times New Roman" w:hAnsi="Times New Roman" w:cs="Times New Roman"/>
          <w:sz w:val="22"/>
          <w:szCs w:val="22"/>
        </w:rPr>
        <w:t xml:space="preserve"> (para. 112)</w:t>
      </w:r>
      <w:r w:rsidR="00F51BCE">
        <w:rPr>
          <w:rFonts w:ascii="Times New Roman" w:hAnsi="Times New Roman" w:cs="Times New Roman"/>
          <w:sz w:val="22"/>
          <w:szCs w:val="22"/>
        </w:rPr>
        <w:t xml:space="preserve">. </w:t>
      </w:r>
    </w:p>
    <w:p w14:paraId="223C1487" w14:textId="76E83365" w:rsidR="007008D6" w:rsidRPr="007008D6" w:rsidRDefault="00862E9F" w:rsidP="00620F29">
      <w:pPr>
        <w:jc w:val="both"/>
        <w:rPr>
          <w:rFonts w:ascii="Times New Roman" w:hAnsi="Times New Roman" w:cs="Times New Roman"/>
          <w:sz w:val="22"/>
          <w:szCs w:val="22"/>
        </w:rPr>
      </w:pPr>
      <w:r>
        <w:rPr>
          <w:rFonts w:ascii="Times New Roman" w:hAnsi="Times New Roman" w:cs="Times New Roman"/>
          <w:sz w:val="22"/>
          <w:szCs w:val="22"/>
        </w:rPr>
        <w:t>The Court concluded that the applicant had been held in forced labour (as defined by the ILO Convention No. 29 of 1930)</w:t>
      </w:r>
      <w:r w:rsidR="00736BED">
        <w:rPr>
          <w:rFonts w:ascii="Times New Roman" w:hAnsi="Times New Roman" w:cs="Times New Roman"/>
          <w:sz w:val="22"/>
          <w:szCs w:val="22"/>
        </w:rPr>
        <w:t xml:space="preserve"> </w:t>
      </w:r>
      <w:r w:rsidR="003B0F53">
        <w:rPr>
          <w:rFonts w:ascii="Times New Roman" w:hAnsi="Times New Roman" w:cs="Times New Roman"/>
          <w:sz w:val="22"/>
          <w:szCs w:val="22"/>
        </w:rPr>
        <w:t>and</w:t>
      </w:r>
      <w:r w:rsidR="00112FAD">
        <w:rPr>
          <w:rFonts w:ascii="Times New Roman" w:hAnsi="Times New Roman" w:cs="Times New Roman"/>
          <w:sz w:val="22"/>
          <w:szCs w:val="22"/>
        </w:rPr>
        <w:t xml:space="preserve"> servitude</w:t>
      </w:r>
      <w:r>
        <w:rPr>
          <w:rFonts w:ascii="Times New Roman" w:hAnsi="Times New Roman" w:cs="Times New Roman"/>
          <w:sz w:val="22"/>
          <w:szCs w:val="22"/>
        </w:rPr>
        <w:t>.</w:t>
      </w:r>
      <w:r w:rsidR="006B0D1F">
        <w:rPr>
          <w:rFonts w:ascii="Times New Roman" w:hAnsi="Times New Roman" w:cs="Times New Roman"/>
          <w:sz w:val="22"/>
          <w:szCs w:val="22"/>
        </w:rPr>
        <w:t xml:space="preserve"> In considering whether she had been held in servitude, the Court noted that servitude is </w:t>
      </w:r>
      <w:r w:rsidR="00620F29">
        <w:rPr>
          <w:rFonts w:ascii="Times New Roman" w:hAnsi="Times New Roman" w:cs="Times New Roman"/>
          <w:sz w:val="22"/>
          <w:szCs w:val="22"/>
        </w:rPr>
        <w:t xml:space="preserve"> “a particularly serious form of denial of freedom”</w:t>
      </w:r>
      <w:r w:rsidR="006B0D1F">
        <w:rPr>
          <w:rFonts w:ascii="Times New Roman" w:hAnsi="Times New Roman" w:cs="Times New Roman"/>
          <w:sz w:val="22"/>
          <w:szCs w:val="22"/>
        </w:rPr>
        <w:t xml:space="preserve"> and that, </w:t>
      </w:r>
      <w:r w:rsidR="00DE25D6">
        <w:rPr>
          <w:rFonts w:ascii="Times New Roman" w:hAnsi="Times New Roman" w:cs="Times New Roman"/>
          <w:sz w:val="22"/>
          <w:szCs w:val="22"/>
        </w:rPr>
        <w:t>it</w:t>
      </w:r>
      <w:r w:rsidR="00620F29">
        <w:rPr>
          <w:rFonts w:ascii="Times New Roman" w:hAnsi="Times New Roman" w:cs="Times New Roman"/>
          <w:sz w:val="22"/>
          <w:szCs w:val="22"/>
        </w:rPr>
        <w:t xml:space="preserve"> </w:t>
      </w:r>
      <w:r w:rsidR="00620F29">
        <w:rPr>
          <w:rFonts w:ascii="Times New Roman" w:hAnsi="Times New Roman" w:cs="Times New Roman"/>
          <w:sz w:val="22"/>
          <w:szCs w:val="22"/>
        </w:rPr>
        <w:lastRenderedPageBreak/>
        <w:t>include</w:t>
      </w:r>
      <w:r w:rsidR="00B226AE">
        <w:rPr>
          <w:rFonts w:ascii="Times New Roman" w:hAnsi="Times New Roman" w:cs="Times New Roman"/>
          <w:sz w:val="22"/>
          <w:szCs w:val="22"/>
        </w:rPr>
        <w:t>s</w:t>
      </w:r>
      <w:r w:rsidR="00620F29">
        <w:rPr>
          <w:rFonts w:ascii="Times New Roman" w:hAnsi="Times New Roman" w:cs="Times New Roman"/>
          <w:sz w:val="22"/>
          <w:szCs w:val="22"/>
        </w:rPr>
        <w:t xml:space="preserve"> “in addit</w:t>
      </w:r>
      <w:r w:rsidR="00B226AE">
        <w:rPr>
          <w:rFonts w:ascii="Times New Roman" w:hAnsi="Times New Roman" w:cs="Times New Roman"/>
          <w:sz w:val="22"/>
          <w:szCs w:val="22"/>
        </w:rPr>
        <w:t>ion to the obligation to perform certain services for others</w:t>
      </w:r>
      <w:r w:rsidR="00620F29">
        <w:rPr>
          <w:rFonts w:ascii="Times New Roman" w:hAnsi="Times New Roman" w:cs="Times New Roman"/>
          <w:sz w:val="22"/>
          <w:szCs w:val="22"/>
        </w:rPr>
        <w:t xml:space="preserve"> </w:t>
      </w:r>
      <w:r w:rsidR="00B226AE">
        <w:rPr>
          <w:rFonts w:ascii="Times New Roman" w:hAnsi="Times New Roman" w:cs="Times New Roman"/>
          <w:sz w:val="22"/>
          <w:szCs w:val="22"/>
        </w:rPr>
        <w:t>… the obligation for</w:t>
      </w:r>
      <w:r w:rsidR="00620F29">
        <w:rPr>
          <w:rFonts w:ascii="Times New Roman" w:hAnsi="Times New Roman" w:cs="Times New Roman"/>
          <w:sz w:val="22"/>
          <w:szCs w:val="22"/>
        </w:rPr>
        <w:t xml:space="preserve"> t</w:t>
      </w:r>
      <w:r w:rsidR="00B226AE">
        <w:rPr>
          <w:rFonts w:ascii="Times New Roman" w:hAnsi="Times New Roman" w:cs="Times New Roman"/>
          <w:sz w:val="22"/>
          <w:szCs w:val="22"/>
        </w:rPr>
        <w:t>he ‘serf’ to live on another person’s</w:t>
      </w:r>
      <w:r w:rsidR="00620F29">
        <w:rPr>
          <w:rFonts w:ascii="Times New Roman" w:hAnsi="Times New Roman" w:cs="Times New Roman"/>
          <w:sz w:val="22"/>
          <w:szCs w:val="22"/>
        </w:rPr>
        <w:t xml:space="preserve"> property and the impossibility of </w:t>
      </w:r>
      <w:r w:rsidR="00B226AE">
        <w:rPr>
          <w:rFonts w:ascii="Times New Roman" w:hAnsi="Times New Roman" w:cs="Times New Roman"/>
          <w:sz w:val="22"/>
          <w:szCs w:val="22"/>
        </w:rPr>
        <w:t>altering his condition</w:t>
      </w:r>
      <w:r w:rsidR="00DE25D6">
        <w:rPr>
          <w:rFonts w:ascii="Times New Roman" w:hAnsi="Times New Roman" w:cs="Times New Roman"/>
          <w:sz w:val="22"/>
          <w:szCs w:val="22"/>
        </w:rPr>
        <w:t>”</w:t>
      </w:r>
      <w:r w:rsidR="00265238">
        <w:rPr>
          <w:rFonts w:ascii="Times New Roman" w:hAnsi="Times New Roman" w:cs="Times New Roman"/>
          <w:sz w:val="22"/>
          <w:szCs w:val="22"/>
        </w:rPr>
        <w:t xml:space="preserve"> (para. 123)</w:t>
      </w:r>
      <w:r w:rsidR="00DE25D6">
        <w:rPr>
          <w:rFonts w:ascii="Times New Roman" w:hAnsi="Times New Roman" w:cs="Times New Roman"/>
          <w:sz w:val="22"/>
          <w:szCs w:val="22"/>
        </w:rPr>
        <w:t xml:space="preserve">. The Court also noted that </w:t>
      </w:r>
      <w:r w:rsidR="00620F29">
        <w:rPr>
          <w:rFonts w:ascii="Times New Roman" w:hAnsi="Times New Roman" w:cs="Times New Roman"/>
          <w:sz w:val="22"/>
          <w:szCs w:val="22"/>
        </w:rPr>
        <w:t xml:space="preserve">for </w:t>
      </w:r>
      <w:r w:rsidR="00DE25D6">
        <w:rPr>
          <w:rFonts w:ascii="Times New Roman" w:hAnsi="Times New Roman" w:cs="Times New Roman"/>
          <w:sz w:val="22"/>
          <w:szCs w:val="22"/>
        </w:rPr>
        <w:t xml:space="preserve">the purposes of the European </w:t>
      </w:r>
      <w:r w:rsidR="00620F29">
        <w:rPr>
          <w:rFonts w:ascii="Times New Roman" w:hAnsi="Times New Roman" w:cs="Times New Roman"/>
          <w:sz w:val="22"/>
          <w:szCs w:val="22"/>
        </w:rPr>
        <w:t xml:space="preserve">Convention </w:t>
      </w:r>
      <w:r w:rsidR="00DE25D6">
        <w:rPr>
          <w:rFonts w:ascii="Times New Roman" w:hAnsi="Times New Roman" w:cs="Times New Roman"/>
          <w:sz w:val="22"/>
          <w:szCs w:val="22"/>
        </w:rPr>
        <w:t>“</w:t>
      </w:r>
      <w:r w:rsidR="00620F29">
        <w:rPr>
          <w:rFonts w:ascii="Times New Roman" w:hAnsi="Times New Roman" w:cs="Times New Roman"/>
          <w:sz w:val="22"/>
          <w:szCs w:val="22"/>
        </w:rPr>
        <w:t>‘servitude’ means an obligation to provide one’s services that is imposed by the use of coercion, and is to be linked with the concept of ‘slavery’”</w:t>
      </w:r>
      <w:r w:rsidR="00B25FC4">
        <w:rPr>
          <w:rFonts w:ascii="Times New Roman" w:hAnsi="Times New Roman" w:cs="Times New Roman"/>
          <w:sz w:val="22"/>
          <w:szCs w:val="22"/>
        </w:rPr>
        <w:t xml:space="preserve"> (para.</w:t>
      </w:r>
      <w:r w:rsidR="00AB2F18">
        <w:rPr>
          <w:rFonts w:ascii="Times New Roman" w:hAnsi="Times New Roman" w:cs="Times New Roman"/>
          <w:sz w:val="22"/>
          <w:szCs w:val="22"/>
        </w:rPr>
        <w:t xml:space="preserve"> 124)</w:t>
      </w:r>
      <w:r w:rsidR="00620F29">
        <w:rPr>
          <w:rFonts w:ascii="Times New Roman" w:hAnsi="Times New Roman" w:cs="Times New Roman"/>
          <w:sz w:val="22"/>
          <w:szCs w:val="22"/>
        </w:rPr>
        <w:t>.</w:t>
      </w:r>
      <w:r w:rsidR="00DE25D6">
        <w:rPr>
          <w:rFonts w:ascii="Times New Roman" w:hAnsi="Times New Roman" w:cs="Times New Roman"/>
          <w:sz w:val="22"/>
          <w:szCs w:val="22"/>
        </w:rPr>
        <w:t xml:space="preserve"> </w:t>
      </w:r>
      <w:r w:rsidR="00257E89">
        <w:rPr>
          <w:rFonts w:ascii="Times New Roman" w:hAnsi="Times New Roman" w:cs="Times New Roman"/>
          <w:sz w:val="22"/>
          <w:szCs w:val="22"/>
        </w:rPr>
        <w:t xml:space="preserve">After reaching its conclusions that the applicant had been in forced labour and servitude, the Court reviewed the positive obligations of the </w:t>
      </w:r>
      <w:r w:rsidR="00CB7585">
        <w:rPr>
          <w:rFonts w:ascii="Times New Roman" w:hAnsi="Times New Roman" w:cs="Times New Roman"/>
          <w:sz w:val="22"/>
          <w:szCs w:val="22"/>
        </w:rPr>
        <w:t xml:space="preserve">State (France) under article 4 </w:t>
      </w:r>
      <w:r w:rsidR="00257E89">
        <w:rPr>
          <w:rFonts w:ascii="Times New Roman" w:hAnsi="Times New Roman" w:cs="Times New Roman"/>
          <w:sz w:val="22"/>
          <w:szCs w:val="22"/>
        </w:rPr>
        <w:t xml:space="preserve">of the European Convention. </w:t>
      </w:r>
      <w:r w:rsidR="00010DAF">
        <w:rPr>
          <w:rFonts w:ascii="Times New Roman" w:hAnsi="Times New Roman" w:cs="Times New Roman"/>
          <w:sz w:val="22"/>
          <w:szCs w:val="22"/>
        </w:rPr>
        <w:t>The Court observed</w:t>
      </w:r>
      <w:r w:rsidR="003A104C">
        <w:rPr>
          <w:rFonts w:ascii="Times New Roman" w:hAnsi="Times New Roman" w:cs="Times New Roman"/>
          <w:sz w:val="22"/>
          <w:szCs w:val="22"/>
        </w:rPr>
        <w:t xml:space="preserve"> that, although the applicant </w:t>
      </w:r>
      <w:r w:rsidR="005D2D12">
        <w:rPr>
          <w:rFonts w:ascii="Times New Roman" w:hAnsi="Times New Roman" w:cs="Times New Roman"/>
          <w:sz w:val="22"/>
          <w:szCs w:val="22"/>
        </w:rPr>
        <w:t>“</w:t>
      </w:r>
      <w:r w:rsidR="003A104C">
        <w:rPr>
          <w:rFonts w:ascii="Times New Roman" w:hAnsi="Times New Roman" w:cs="Times New Roman"/>
          <w:sz w:val="22"/>
          <w:szCs w:val="22"/>
        </w:rPr>
        <w:t xml:space="preserve">was subjected to treatment contrary to Article 4 </w:t>
      </w:r>
      <w:r w:rsidR="005D2D12">
        <w:rPr>
          <w:rFonts w:ascii="Times New Roman" w:hAnsi="Times New Roman" w:cs="Times New Roman"/>
          <w:sz w:val="22"/>
          <w:szCs w:val="22"/>
        </w:rPr>
        <w:t xml:space="preserve">and held in servitude, was not able to see those responsible for the wrongdoing convicted under </w:t>
      </w:r>
      <w:r w:rsidR="00354AB7">
        <w:rPr>
          <w:rFonts w:ascii="Times New Roman" w:hAnsi="Times New Roman" w:cs="Times New Roman"/>
          <w:sz w:val="22"/>
          <w:szCs w:val="22"/>
        </w:rPr>
        <w:t>the criminal law”</w:t>
      </w:r>
      <w:r w:rsidR="00053D3E">
        <w:rPr>
          <w:rFonts w:ascii="Times New Roman" w:hAnsi="Times New Roman" w:cs="Times New Roman"/>
          <w:sz w:val="22"/>
          <w:szCs w:val="22"/>
        </w:rPr>
        <w:t xml:space="preserve"> (para. 145)</w:t>
      </w:r>
      <w:r w:rsidR="00010DAF">
        <w:rPr>
          <w:rFonts w:ascii="Times New Roman" w:hAnsi="Times New Roman" w:cs="Times New Roman"/>
          <w:sz w:val="22"/>
          <w:szCs w:val="22"/>
        </w:rPr>
        <w:t>. It also noted</w:t>
      </w:r>
      <w:r w:rsidR="00354AB7">
        <w:rPr>
          <w:rFonts w:ascii="Times New Roman" w:hAnsi="Times New Roman" w:cs="Times New Roman"/>
          <w:sz w:val="22"/>
          <w:szCs w:val="22"/>
        </w:rPr>
        <w:t xml:space="preserve"> that according to a 2001 report by the French National Assembly’s joint taskforce on the various forms of modern slavery, the relevant articles of the Criminal Code criminalizing these practices “</w:t>
      </w:r>
      <w:r w:rsidR="006C021D">
        <w:rPr>
          <w:rFonts w:ascii="Times New Roman" w:hAnsi="Times New Roman" w:cs="Times New Roman"/>
          <w:sz w:val="22"/>
          <w:szCs w:val="22"/>
        </w:rPr>
        <w:t xml:space="preserve">[…] </w:t>
      </w:r>
      <w:r w:rsidR="00354AB7">
        <w:rPr>
          <w:rFonts w:ascii="Times New Roman" w:hAnsi="Times New Roman" w:cs="Times New Roman"/>
          <w:sz w:val="22"/>
          <w:szCs w:val="22"/>
        </w:rPr>
        <w:t>as worded at the material time, were open to very differing interpretations from one court to the next</w:t>
      </w:r>
      <w:r w:rsidR="002A5ACB">
        <w:rPr>
          <w:rFonts w:ascii="Times New Roman" w:hAnsi="Times New Roman" w:cs="Times New Roman"/>
          <w:sz w:val="22"/>
          <w:szCs w:val="22"/>
        </w:rPr>
        <w:t>, as demonstrated by this case […]</w:t>
      </w:r>
      <w:r w:rsidR="00354AB7">
        <w:rPr>
          <w:rFonts w:ascii="Times New Roman" w:hAnsi="Times New Roman" w:cs="Times New Roman"/>
          <w:sz w:val="22"/>
          <w:szCs w:val="22"/>
        </w:rPr>
        <w:t>”</w:t>
      </w:r>
      <w:r w:rsidR="007372CC">
        <w:rPr>
          <w:rFonts w:ascii="Times New Roman" w:hAnsi="Times New Roman" w:cs="Times New Roman"/>
          <w:sz w:val="22"/>
          <w:szCs w:val="22"/>
        </w:rPr>
        <w:t xml:space="preserve"> (para. 147)</w:t>
      </w:r>
      <w:r w:rsidR="00354AB7">
        <w:rPr>
          <w:rFonts w:ascii="Times New Roman" w:hAnsi="Times New Roman" w:cs="Times New Roman"/>
          <w:sz w:val="22"/>
          <w:szCs w:val="22"/>
        </w:rPr>
        <w:t>.</w:t>
      </w:r>
      <w:r w:rsidR="002A5ACB">
        <w:rPr>
          <w:rFonts w:ascii="Times New Roman" w:hAnsi="Times New Roman" w:cs="Times New Roman"/>
          <w:sz w:val="22"/>
          <w:szCs w:val="22"/>
        </w:rPr>
        <w:t xml:space="preserve"> The Court considered that “the criminal-law legislation in force at the material time did not afford the applicant, a minor, practical and effective protection against the actions of </w:t>
      </w:r>
      <w:r w:rsidR="00040605">
        <w:rPr>
          <w:rFonts w:ascii="Times New Roman" w:hAnsi="Times New Roman" w:cs="Times New Roman"/>
          <w:sz w:val="22"/>
          <w:szCs w:val="22"/>
        </w:rPr>
        <w:t>which she was a victim” and thus found</w:t>
      </w:r>
      <w:r w:rsidR="002A5ACB">
        <w:rPr>
          <w:rFonts w:ascii="Times New Roman" w:hAnsi="Times New Roman" w:cs="Times New Roman"/>
          <w:sz w:val="22"/>
          <w:szCs w:val="22"/>
        </w:rPr>
        <w:t xml:space="preserve"> there had been “a violation of the respondent State’s positive obligations under Article 4 of the Convention”</w:t>
      </w:r>
      <w:r w:rsidR="009A189D">
        <w:rPr>
          <w:rFonts w:ascii="Times New Roman" w:hAnsi="Times New Roman" w:cs="Times New Roman"/>
          <w:sz w:val="22"/>
          <w:szCs w:val="22"/>
        </w:rPr>
        <w:t xml:space="preserve"> </w:t>
      </w:r>
      <w:r w:rsidR="007372CC">
        <w:rPr>
          <w:rFonts w:ascii="Times New Roman" w:hAnsi="Times New Roman" w:cs="Times New Roman"/>
          <w:sz w:val="22"/>
          <w:szCs w:val="22"/>
        </w:rPr>
        <w:t>(paras. 148, 149)</w:t>
      </w:r>
      <w:r w:rsidR="002A5ACB">
        <w:rPr>
          <w:rFonts w:ascii="Times New Roman" w:hAnsi="Times New Roman" w:cs="Times New Roman"/>
          <w:sz w:val="22"/>
          <w:szCs w:val="22"/>
        </w:rPr>
        <w:t xml:space="preserve">. </w:t>
      </w:r>
    </w:p>
    <w:p w14:paraId="4CAA672C" w14:textId="00228061" w:rsidR="00CE6E5D" w:rsidRPr="00CB473C" w:rsidRDefault="00981908" w:rsidP="003C465E">
      <w:pPr>
        <w:rPr>
          <w:rFonts w:ascii="Times New Roman" w:hAnsi="Times New Roman" w:cs="Times New Roman"/>
          <w:sz w:val="22"/>
          <w:szCs w:val="22"/>
        </w:rPr>
      </w:pPr>
      <w:r w:rsidRPr="00981908">
        <w:rPr>
          <w:rFonts w:ascii="Times New Roman" w:hAnsi="Times New Roman" w:cs="Times New Roman"/>
          <w:i/>
          <w:sz w:val="22"/>
          <w:szCs w:val="22"/>
        </w:rPr>
        <w:t xml:space="preserve">Rantsev v. Cyprus and Russia </w:t>
      </w:r>
    </w:p>
    <w:p w14:paraId="5B6120DD" w14:textId="67822A0A" w:rsidR="00484EE1" w:rsidRDefault="00E33DC5" w:rsidP="00AC5627">
      <w:pPr>
        <w:jc w:val="both"/>
        <w:rPr>
          <w:rFonts w:ascii="Times New Roman" w:hAnsi="Times New Roman" w:cs="Times New Roman"/>
          <w:sz w:val="22"/>
          <w:szCs w:val="22"/>
        </w:rPr>
      </w:pPr>
      <w:r>
        <w:rPr>
          <w:rFonts w:ascii="Times New Roman" w:hAnsi="Times New Roman" w:cs="Times New Roman"/>
          <w:sz w:val="22"/>
          <w:szCs w:val="22"/>
        </w:rPr>
        <w:t>In 2010</w:t>
      </w:r>
      <w:r w:rsidR="00AC5627">
        <w:rPr>
          <w:rFonts w:ascii="Times New Roman" w:hAnsi="Times New Roman" w:cs="Times New Roman"/>
          <w:sz w:val="22"/>
          <w:szCs w:val="22"/>
        </w:rPr>
        <w:t>, t</w:t>
      </w:r>
      <w:r w:rsidR="00AC5627" w:rsidRPr="00B053D4">
        <w:rPr>
          <w:rFonts w:ascii="Times New Roman" w:hAnsi="Times New Roman" w:cs="Times New Roman"/>
          <w:sz w:val="22"/>
          <w:szCs w:val="22"/>
        </w:rPr>
        <w:t xml:space="preserve">he </w:t>
      </w:r>
      <w:r w:rsidR="00E160DB">
        <w:rPr>
          <w:rFonts w:ascii="Times New Roman" w:hAnsi="Times New Roman" w:cs="Times New Roman"/>
          <w:sz w:val="22"/>
          <w:szCs w:val="22"/>
        </w:rPr>
        <w:t>European Court of Human Rights</w:t>
      </w:r>
      <w:r w:rsidR="000B7584">
        <w:rPr>
          <w:rFonts w:ascii="Times New Roman" w:hAnsi="Times New Roman" w:cs="Times New Roman"/>
          <w:sz w:val="22"/>
          <w:szCs w:val="22"/>
        </w:rPr>
        <w:t xml:space="preserve"> </w:t>
      </w:r>
      <w:r w:rsidR="002E592C">
        <w:rPr>
          <w:rFonts w:ascii="Times New Roman" w:hAnsi="Times New Roman" w:cs="Times New Roman"/>
          <w:sz w:val="22"/>
          <w:szCs w:val="22"/>
        </w:rPr>
        <w:t>issued a judgment concerning trafficking</w:t>
      </w:r>
      <w:r w:rsidR="001F288E">
        <w:rPr>
          <w:rFonts w:ascii="Times New Roman" w:hAnsi="Times New Roman" w:cs="Times New Roman"/>
          <w:sz w:val="22"/>
          <w:szCs w:val="22"/>
        </w:rPr>
        <w:t xml:space="preserve"> in persons for the purpose of </w:t>
      </w:r>
      <w:r w:rsidR="002E592C">
        <w:rPr>
          <w:rFonts w:ascii="Times New Roman" w:hAnsi="Times New Roman" w:cs="Times New Roman"/>
          <w:sz w:val="22"/>
          <w:szCs w:val="22"/>
        </w:rPr>
        <w:t xml:space="preserve">the exploitation of the prostitution of others  </w:t>
      </w:r>
      <w:r w:rsidR="007E2EFD">
        <w:rPr>
          <w:rFonts w:ascii="Times New Roman" w:hAnsi="Times New Roman" w:cs="Times New Roman"/>
          <w:sz w:val="22"/>
          <w:szCs w:val="22"/>
        </w:rPr>
        <w:t>(</w:t>
      </w:r>
      <w:r w:rsidR="007E2EFD" w:rsidRPr="0085642D">
        <w:rPr>
          <w:rFonts w:ascii="Times New Roman" w:hAnsi="Times New Roman" w:cs="Times New Roman"/>
          <w:i/>
          <w:sz w:val="22"/>
          <w:szCs w:val="22"/>
        </w:rPr>
        <w:t xml:space="preserve">Rantsev v. </w:t>
      </w:r>
      <w:r w:rsidR="007E2EFD" w:rsidRPr="00A959FC">
        <w:rPr>
          <w:rFonts w:ascii="Times New Roman" w:hAnsi="Times New Roman" w:cs="Times New Roman"/>
          <w:i/>
          <w:sz w:val="22"/>
          <w:szCs w:val="22"/>
        </w:rPr>
        <w:t>Cyprus and Russia</w:t>
      </w:r>
      <w:r w:rsidR="007E2EFD">
        <w:rPr>
          <w:rFonts w:ascii="Times New Roman" w:hAnsi="Times New Roman" w:cs="Times New Roman"/>
          <w:sz w:val="22"/>
          <w:szCs w:val="22"/>
        </w:rPr>
        <w:t xml:space="preserve">, Application No. </w:t>
      </w:r>
      <w:r w:rsidR="00E35675">
        <w:rPr>
          <w:rFonts w:ascii="Times New Roman" w:hAnsi="Times New Roman" w:cs="Times New Roman"/>
          <w:sz w:val="22"/>
          <w:szCs w:val="22"/>
        </w:rPr>
        <w:t>25965/04)</w:t>
      </w:r>
      <w:r w:rsidR="00544B80">
        <w:rPr>
          <w:rFonts w:ascii="Times New Roman" w:hAnsi="Times New Roman" w:cs="Times New Roman"/>
          <w:sz w:val="22"/>
          <w:szCs w:val="22"/>
        </w:rPr>
        <w:t>.</w:t>
      </w:r>
      <w:r w:rsidR="00BF37D9" w:rsidRPr="00BF37D9">
        <w:rPr>
          <w:rStyle w:val="FootnoteReference"/>
          <w:rFonts w:ascii="Times New Roman" w:hAnsi="Times New Roman" w:cs="Times New Roman"/>
          <w:sz w:val="22"/>
          <w:szCs w:val="22"/>
        </w:rPr>
        <w:t xml:space="preserve"> </w:t>
      </w:r>
      <w:r w:rsidR="00BF37D9">
        <w:rPr>
          <w:rStyle w:val="FootnoteReference"/>
          <w:rFonts w:ascii="Times New Roman" w:hAnsi="Times New Roman" w:cs="Times New Roman"/>
          <w:sz w:val="22"/>
          <w:szCs w:val="22"/>
        </w:rPr>
        <w:footnoteReference w:id="9"/>
      </w:r>
      <w:r w:rsidR="00BF37D9">
        <w:rPr>
          <w:rFonts w:ascii="Times New Roman" w:hAnsi="Times New Roman" w:cs="Times New Roman"/>
          <w:sz w:val="22"/>
          <w:szCs w:val="22"/>
        </w:rPr>
        <w:t xml:space="preserve"> </w:t>
      </w:r>
      <w:r w:rsidR="00AC5627" w:rsidRPr="00B053D4">
        <w:rPr>
          <w:rFonts w:ascii="Times New Roman" w:hAnsi="Times New Roman" w:cs="Times New Roman"/>
          <w:sz w:val="22"/>
          <w:szCs w:val="22"/>
        </w:rPr>
        <w:t xml:space="preserve">The case </w:t>
      </w:r>
      <w:r w:rsidR="00AC5627">
        <w:rPr>
          <w:rFonts w:ascii="Times New Roman" w:hAnsi="Times New Roman" w:cs="Times New Roman"/>
          <w:sz w:val="22"/>
          <w:szCs w:val="22"/>
        </w:rPr>
        <w:t xml:space="preserve">concerned a Russian woman who had been recruited in Russia and brought to Cyprus, where she had been employed as a prostitute and subsequently died in ambiguous circumstances. </w:t>
      </w:r>
      <w:r w:rsidR="00484EE1">
        <w:rPr>
          <w:rFonts w:ascii="Times New Roman" w:hAnsi="Times New Roman" w:cs="Times New Roman"/>
          <w:sz w:val="22"/>
          <w:szCs w:val="22"/>
        </w:rPr>
        <w:t>Referring to Sta</w:t>
      </w:r>
      <w:r w:rsidR="007B6B9A">
        <w:rPr>
          <w:rFonts w:ascii="Times New Roman" w:hAnsi="Times New Roman" w:cs="Times New Roman"/>
          <w:sz w:val="22"/>
          <w:szCs w:val="22"/>
        </w:rPr>
        <w:t xml:space="preserve">tes’ positive obligations under the European Convention, the Court noted that “[…] </w:t>
      </w:r>
      <w:r w:rsidR="009938F1">
        <w:rPr>
          <w:rFonts w:ascii="Times New Roman" w:hAnsi="Times New Roman" w:cs="Times New Roman"/>
          <w:sz w:val="22"/>
          <w:szCs w:val="22"/>
        </w:rPr>
        <w:t>Article 4 may, in certain circumstances, require a State to take operational measures to protect victims, or potential victims, of trafficking […]. In order for a positive obligation to take operational measures to arise in the circumstances of a particular case, it must be demonstrated that the State authorities were aware, or ought to have been aware, of circumstances giving rise to a credible suspicion that an identified individual had bee</w:t>
      </w:r>
      <w:r w:rsidR="002A6771">
        <w:rPr>
          <w:rFonts w:ascii="Times New Roman" w:hAnsi="Times New Roman" w:cs="Times New Roman"/>
          <w:sz w:val="22"/>
          <w:szCs w:val="22"/>
        </w:rPr>
        <w:t>n</w:t>
      </w:r>
      <w:r w:rsidR="009938F1">
        <w:rPr>
          <w:rFonts w:ascii="Times New Roman" w:hAnsi="Times New Roman" w:cs="Times New Roman"/>
          <w:sz w:val="22"/>
          <w:szCs w:val="22"/>
        </w:rPr>
        <w:t xml:space="preserve">, or was at real and immediate risk of being, trafficked or exploited […]” </w:t>
      </w:r>
      <w:r w:rsidR="002A6771">
        <w:rPr>
          <w:rFonts w:ascii="Times New Roman" w:hAnsi="Times New Roman" w:cs="Times New Roman"/>
          <w:sz w:val="22"/>
          <w:szCs w:val="22"/>
        </w:rPr>
        <w:t xml:space="preserve">(para 286). </w:t>
      </w:r>
    </w:p>
    <w:p w14:paraId="1201D471" w14:textId="4B670979" w:rsidR="00AC5627" w:rsidRDefault="00C7623F" w:rsidP="00AC5627">
      <w:pPr>
        <w:jc w:val="both"/>
        <w:rPr>
          <w:rFonts w:ascii="Times New Roman" w:hAnsi="Times New Roman" w:cs="Times New Roman"/>
          <w:sz w:val="22"/>
          <w:szCs w:val="22"/>
        </w:rPr>
      </w:pPr>
      <w:r>
        <w:rPr>
          <w:rFonts w:ascii="Times New Roman" w:hAnsi="Times New Roman" w:cs="Times New Roman"/>
          <w:sz w:val="22"/>
          <w:szCs w:val="22"/>
        </w:rPr>
        <w:t>The Court observed</w:t>
      </w:r>
      <w:r w:rsidR="00AD652A">
        <w:rPr>
          <w:rFonts w:ascii="Times New Roman" w:hAnsi="Times New Roman" w:cs="Times New Roman"/>
          <w:sz w:val="22"/>
          <w:szCs w:val="22"/>
        </w:rPr>
        <w:t xml:space="preserve"> that States have an obligation to investigate whether or not a victim (of trafficking in persons or by implication of exploitation who has not necessarily been trafficked) or his/her relatives or representatives lodges a complaint. In this regard</w:t>
      </w:r>
      <w:r w:rsidR="0048361D">
        <w:rPr>
          <w:rFonts w:ascii="Times New Roman" w:hAnsi="Times New Roman" w:cs="Times New Roman"/>
          <w:sz w:val="22"/>
          <w:szCs w:val="22"/>
        </w:rPr>
        <w:t>,</w:t>
      </w:r>
      <w:r w:rsidR="00AD652A">
        <w:rPr>
          <w:rFonts w:ascii="Times New Roman" w:hAnsi="Times New Roman" w:cs="Times New Roman"/>
          <w:sz w:val="22"/>
          <w:szCs w:val="22"/>
        </w:rPr>
        <w:t xml:space="preserve"> the Court considered that</w:t>
      </w:r>
      <w:r w:rsidR="00AC5627">
        <w:rPr>
          <w:rFonts w:ascii="Times New Roman" w:hAnsi="Times New Roman" w:cs="Times New Roman"/>
          <w:sz w:val="22"/>
          <w:szCs w:val="22"/>
        </w:rPr>
        <w:t xml:space="preserve"> “</w:t>
      </w:r>
      <w:r>
        <w:rPr>
          <w:rFonts w:ascii="Times New Roman" w:hAnsi="Times New Roman" w:cs="Times New Roman"/>
          <w:sz w:val="22"/>
          <w:szCs w:val="22"/>
        </w:rPr>
        <w:t>[…] Article 4 also entails a procedural obligation to investigate situations of potential trafficking. T</w:t>
      </w:r>
      <w:r w:rsidR="00AC5627">
        <w:rPr>
          <w:rFonts w:ascii="Times New Roman" w:hAnsi="Times New Roman" w:cs="Times New Roman"/>
          <w:sz w:val="22"/>
          <w:szCs w:val="22"/>
        </w:rPr>
        <w:t>he requirement to investigate does not depend on a complaint from the victim or next-of-kin: once the matter has come to the attention of the authorities they must act of their own motion […]</w:t>
      </w:r>
      <w:r>
        <w:rPr>
          <w:rFonts w:ascii="Times New Roman" w:hAnsi="Times New Roman" w:cs="Times New Roman"/>
          <w:sz w:val="22"/>
          <w:szCs w:val="22"/>
        </w:rPr>
        <w:t>.</w:t>
      </w:r>
      <w:r w:rsidR="00BF37D9">
        <w:rPr>
          <w:rFonts w:ascii="Times New Roman" w:hAnsi="Times New Roman" w:cs="Times New Roman"/>
          <w:sz w:val="22"/>
          <w:szCs w:val="22"/>
        </w:rPr>
        <w:t xml:space="preserve"> For an investigation to be effective, it must be independent from those implicated in the events. It must also be capable of leading to the identification and punishment of individuals responsible, an obligation not of result but of means.</w:t>
      </w:r>
      <w:r w:rsidR="00AC5627">
        <w:rPr>
          <w:rFonts w:ascii="Times New Roman" w:hAnsi="Times New Roman" w:cs="Times New Roman"/>
          <w:sz w:val="22"/>
          <w:szCs w:val="22"/>
        </w:rPr>
        <w:t xml:space="preserve"> A requirement of promptness and reasonable expedition is implicit in all cases but where the possibility of removing the individual from the harmful situation is available, the investigation must be undertaken as a matter of urgency</w:t>
      </w:r>
      <w:r>
        <w:rPr>
          <w:rFonts w:ascii="Times New Roman" w:hAnsi="Times New Roman" w:cs="Times New Roman"/>
          <w:sz w:val="22"/>
          <w:szCs w:val="22"/>
        </w:rPr>
        <w:t>. […]</w:t>
      </w:r>
      <w:r w:rsidR="00AC5627">
        <w:rPr>
          <w:rFonts w:ascii="Times New Roman" w:hAnsi="Times New Roman" w:cs="Times New Roman"/>
          <w:sz w:val="22"/>
          <w:szCs w:val="22"/>
        </w:rPr>
        <w:t>”</w:t>
      </w:r>
      <w:r w:rsidR="00140B22">
        <w:rPr>
          <w:rFonts w:ascii="Times New Roman" w:hAnsi="Times New Roman" w:cs="Times New Roman"/>
          <w:sz w:val="22"/>
          <w:szCs w:val="22"/>
        </w:rPr>
        <w:t xml:space="preserve"> (para. 288)</w:t>
      </w:r>
      <w:r w:rsidR="00AC5627">
        <w:rPr>
          <w:rFonts w:ascii="Times New Roman" w:hAnsi="Times New Roman" w:cs="Times New Roman"/>
          <w:sz w:val="22"/>
          <w:szCs w:val="22"/>
        </w:rPr>
        <w:t>. The Court held Russia and Cyprus responsible for failing to conduct an effective investigation of what had happened.</w:t>
      </w:r>
    </w:p>
    <w:p w14:paraId="38992DE3" w14:textId="77777777" w:rsidR="00B50A1E" w:rsidRDefault="00B50A1E" w:rsidP="00AC5627">
      <w:pPr>
        <w:jc w:val="both"/>
        <w:rPr>
          <w:rFonts w:ascii="Times New Roman" w:hAnsi="Times New Roman" w:cs="Times New Roman"/>
          <w:sz w:val="22"/>
          <w:szCs w:val="22"/>
        </w:rPr>
      </w:pPr>
    </w:p>
    <w:p w14:paraId="27D62DC7" w14:textId="77777777" w:rsidR="0073516E" w:rsidRPr="00B053D4" w:rsidRDefault="0073516E" w:rsidP="00AC5627">
      <w:pPr>
        <w:jc w:val="both"/>
        <w:rPr>
          <w:rFonts w:ascii="Times New Roman" w:hAnsi="Times New Roman" w:cs="Times New Roman"/>
          <w:sz w:val="22"/>
          <w:szCs w:val="22"/>
        </w:rPr>
      </w:pPr>
    </w:p>
    <w:p w14:paraId="11D59844" w14:textId="774AD842" w:rsidR="004367E5" w:rsidRDefault="003E7305" w:rsidP="003C465E">
      <w:pPr>
        <w:rPr>
          <w:rFonts w:ascii="Times New Roman" w:hAnsi="Times New Roman" w:cs="Times New Roman"/>
          <w:i/>
          <w:sz w:val="22"/>
          <w:szCs w:val="22"/>
        </w:rPr>
      </w:pPr>
      <w:r>
        <w:rPr>
          <w:rFonts w:ascii="Times New Roman" w:hAnsi="Times New Roman" w:cs="Times New Roman"/>
          <w:i/>
          <w:sz w:val="22"/>
          <w:szCs w:val="22"/>
        </w:rPr>
        <w:t>C.N &amp; V. v. France</w:t>
      </w:r>
    </w:p>
    <w:p w14:paraId="1F7DB6AD" w14:textId="2A9BE18E" w:rsidR="00084D59" w:rsidRDefault="00A45D54" w:rsidP="005C2D2E">
      <w:pPr>
        <w:jc w:val="both"/>
        <w:rPr>
          <w:rFonts w:ascii="Times New Roman" w:hAnsi="Times New Roman" w:cs="Times New Roman"/>
          <w:sz w:val="22"/>
          <w:szCs w:val="22"/>
        </w:rPr>
      </w:pPr>
      <w:r>
        <w:rPr>
          <w:rFonts w:ascii="Times New Roman" w:hAnsi="Times New Roman" w:cs="Times New Roman"/>
          <w:sz w:val="22"/>
          <w:szCs w:val="22"/>
        </w:rPr>
        <w:t xml:space="preserve">In 2012, </w:t>
      </w:r>
      <w:r w:rsidR="00384D8B">
        <w:rPr>
          <w:rFonts w:ascii="Times New Roman" w:hAnsi="Times New Roman" w:cs="Times New Roman"/>
          <w:sz w:val="22"/>
          <w:szCs w:val="22"/>
        </w:rPr>
        <w:t xml:space="preserve">the </w:t>
      </w:r>
      <w:r w:rsidR="007C776A">
        <w:rPr>
          <w:rFonts w:ascii="Times New Roman" w:hAnsi="Times New Roman" w:cs="Times New Roman"/>
          <w:sz w:val="22"/>
          <w:szCs w:val="22"/>
        </w:rPr>
        <w:t>European Court of Human Rights</w:t>
      </w:r>
      <w:r w:rsidR="00657A24">
        <w:rPr>
          <w:rFonts w:ascii="Times New Roman" w:hAnsi="Times New Roman" w:cs="Times New Roman"/>
          <w:sz w:val="22"/>
          <w:szCs w:val="22"/>
        </w:rPr>
        <w:t xml:space="preserve"> </w:t>
      </w:r>
      <w:r w:rsidR="000B07AA">
        <w:rPr>
          <w:rFonts w:ascii="Times New Roman" w:hAnsi="Times New Roman" w:cs="Times New Roman"/>
          <w:sz w:val="22"/>
          <w:szCs w:val="22"/>
        </w:rPr>
        <w:t xml:space="preserve">issued a judgment concerning two orphaned Burundi sisters </w:t>
      </w:r>
      <w:r w:rsidR="003F7532">
        <w:rPr>
          <w:rFonts w:ascii="Times New Roman" w:hAnsi="Times New Roman" w:cs="Times New Roman"/>
          <w:sz w:val="22"/>
          <w:szCs w:val="22"/>
        </w:rPr>
        <w:t>who</w:t>
      </w:r>
      <w:r w:rsidR="00863965">
        <w:rPr>
          <w:rFonts w:ascii="Times New Roman" w:hAnsi="Times New Roman" w:cs="Times New Roman"/>
          <w:sz w:val="22"/>
          <w:szCs w:val="22"/>
        </w:rPr>
        <w:t xml:space="preserve"> alleged that they </w:t>
      </w:r>
      <w:r w:rsidR="00CE0242">
        <w:rPr>
          <w:rFonts w:ascii="Times New Roman" w:hAnsi="Times New Roman" w:cs="Times New Roman"/>
          <w:sz w:val="22"/>
          <w:szCs w:val="22"/>
        </w:rPr>
        <w:t>were</w:t>
      </w:r>
      <w:r w:rsidR="00863965">
        <w:rPr>
          <w:rFonts w:ascii="Times New Roman" w:hAnsi="Times New Roman" w:cs="Times New Roman"/>
          <w:sz w:val="22"/>
          <w:szCs w:val="22"/>
        </w:rPr>
        <w:t xml:space="preserve"> </w:t>
      </w:r>
      <w:r w:rsidR="009351F1">
        <w:rPr>
          <w:rFonts w:ascii="Times New Roman" w:hAnsi="Times New Roman" w:cs="Times New Roman"/>
          <w:sz w:val="22"/>
          <w:szCs w:val="22"/>
        </w:rPr>
        <w:t>held in servitude or</w:t>
      </w:r>
      <w:r w:rsidR="00863965">
        <w:rPr>
          <w:rFonts w:ascii="Times New Roman" w:hAnsi="Times New Roman" w:cs="Times New Roman"/>
          <w:sz w:val="22"/>
          <w:szCs w:val="22"/>
        </w:rPr>
        <w:t xml:space="preserve"> forced labour at their aunt and uncle’s home </w:t>
      </w:r>
      <w:r w:rsidR="00CE0242">
        <w:rPr>
          <w:rFonts w:ascii="Times New Roman" w:hAnsi="Times New Roman" w:cs="Times New Roman"/>
          <w:sz w:val="22"/>
          <w:szCs w:val="22"/>
        </w:rPr>
        <w:t>by being forced to engage in un</w:t>
      </w:r>
      <w:r w:rsidR="00863965">
        <w:rPr>
          <w:rFonts w:ascii="Times New Roman" w:hAnsi="Times New Roman" w:cs="Times New Roman"/>
          <w:sz w:val="22"/>
          <w:szCs w:val="22"/>
        </w:rPr>
        <w:t xml:space="preserve">remunerated </w:t>
      </w:r>
      <w:r w:rsidR="006B04D8">
        <w:rPr>
          <w:rFonts w:ascii="Times New Roman" w:hAnsi="Times New Roman" w:cs="Times New Roman"/>
          <w:sz w:val="22"/>
          <w:szCs w:val="22"/>
        </w:rPr>
        <w:t xml:space="preserve">housework and </w:t>
      </w:r>
      <w:r w:rsidR="00863965">
        <w:rPr>
          <w:rFonts w:ascii="Times New Roman" w:hAnsi="Times New Roman" w:cs="Times New Roman"/>
          <w:sz w:val="22"/>
          <w:szCs w:val="22"/>
        </w:rPr>
        <w:t>domestic chores</w:t>
      </w:r>
      <w:r w:rsidR="003F7532">
        <w:rPr>
          <w:rFonts w:ascii="Times New Roman" w:hAnsi="Times New Roman" w:cs="Times New Roman"/>
          <w:sz w:val="22"/>
          <w:szCs w:val="22"/>
        </w:rPr>
        <w:t xml:space="preserve">; the applicants were </w:t>
      </w:r>
      <w:r w:rsidR="002E59E3">
        <w:rPr>
          <w:rFonts w:ascii="Times New Roman" w:hAnsi="Times New Roman" w:cs="Times New Roman"/>
          <w:sz w:val="22"/>
          <w:szCs w:val="22"/>
        </w:rPr>
        <w:t>16 and 10</w:t>
      </w:r>
      <w:r w:rsidR="009351F1">
        <w:rPr>
          <w:rFonts w:ascii="Times New Roman" w:hAnsi="Times New Roman" w:cs="Times New Roman"/>
          <w:sz w:val="22"/>
          <w:szCs w:val="22"/>
        </w:rPr>
        <w:t xml:space="preserve"> years old when they arrived in</w:t>
      </w:r>
      <w:r w:rsidR="003F7532">
        <w:rPr>
          <w:rFonts w:ascii="Times New Roman" w:hAnsi="Times New Roman" w:cs="Times New Roman"/>
          <w:sz w:val="22"/>
          <w:szCs w:val="22"/>
        </w:rPr>
        <w:t xml:space="preserve"> France</w:t>
      </w:r>
      <w:r w:rsidR="00CE0242">
        <w:rPr>
          <w:rFonts w:ascii="Times New Roman" w:hAnsi="Times New Roman" w:cs="Times New Roman"/>
          <w:sz w:val="22"/>
          <w:szCs w:val="22"/>
        </w:rPr>
        <w:t xml:space="preserve"> (</w:t>
      </w:r>
      <w:r w:rsidR="00CE0242" w:rsidRPr="009757FC">
        <w:rPr>
          <w:rFonts w:ascii="Times New Roman" w:hAnsi="Times New Roman" w:cs="Times New Roman"/>
          <w:i/>
          <w:sz w:val="22"/>
          <w:szCs w:val="22"/>
        </w:rPr>
        <w:t>C.N &amp; V. v. France</w:t>
      </w:r>
      <w:r w:rsidR="00CE0242">
        <w:rPr>
          <w:rFonts w:ascii="Times New Roman" w:hAnsi="Times New Roman" w:cs="Times New Roman"/>
          <w:sz w:val="22"/>
          <w:szCs w:val="22"/>
        </w:rPr>
        <w:t>, Application No. 67724/09)</w:t>
      </w:r>
      <w:r w:rsidR="00863965">
        <w:rPr>
          <w:rFonts w:ascii="Times New Roman" w:hAnsi="Times New Roman" w:cs="Times New Roman"/>
          <w:sz w:val="22"/>
          <w:szCs w:val="22"/>
        </w:rPr>
        <w:t>.</w:t>
      </w:r>
      <w:r w:rsidR="00F349E8">
        <w:rPr>
          <w:rStyle w:val="FootnoteReference"/>
          <w:rFonts w:ascii="Times New Roman" w:hAnsi="Times New Roman" w:cs="Times New Roman"/>
          <w:sz w:val="22"/>
          <w:szCs w:val="22"/>
        </w:rPr>
        <w:footnoteReference w:id="10"/>
      </w:r>
      <w:r w:rsidR="00863965">
        <w:rPr>
          <w:rFonts w:ascii="Times New Roman" w:hAnsi="Times New Roman" w:cs="Times New Roman"/>
          <w:sz w:val="22"/>
          <w:szCs w:val="22"/>
        </w:rPr>
        <w:t xml:space="preserve"> </w:t>
      </w:r>
      <w:r w:rsidR="00AE0B50">
        <w:rPr>
          <w:rFonts w:ascii="Times New Roman" w:hAnsi="Times New Roman" w:cs="Times New Roman"/>
          <w:sz w:val="22"/>
          <w:szCs w:val="22"/>
        </w:rPr>
        <w:t xml:space="preserve">As regards forced labour, the Court </w:t>
      </w:r>
      <w:r w:rsidR="00240ADB">
        <w:rPr>
          <w:rFonts w:ascii="Times New Roman" w:hAnsi="Times New Roman" w:cs="Times New Roman"/>
          <w:sz w:val="22"/>
          <w:szCs w:val="22"/>
        </w:rPr>
        <w:t>commented</w:t>
      </w:r>
      <w:r w:rsidR="00145E48">
        <w:rPr>
          <w:rFonts w:ascii="Times New Roman" w:hAnsi="Times New Roman" w:cs="Times New Roman"/>
          <w:sz w:val="22"/>
          <w:szCs w:val="22"/>
        </w:rPr>
        <w:t xml:space="preserve"> on the notion of “labour” within the meaning of Article </w:t>
      </w:r>
      <w:r w:rsidR="00F540C1">
        <w:rPr>
          <w:rFonts w:ascii="Times New Roman" w:hAnsi="Times New Roman" w:cs="Times New Roman"/>
          <w:sz w:val="22"/>
          <w:szCs w:val="22"/>
        </w:rPr>
        <w:t>4(2) of the European Convention</w:t>
      </w:r>
      <w:r w:rsidR="00145E48">
        <w:rPr>
          <w:rFonts w:ascii="Times New Roman" w:hAnsi="Times New Roman" w:cs="Times New Roman"/>
          <w:sz w:val="22"/>
          <w:szCs w:val="22"/>
        </w:rPr>
        <w:t xml:space="preserve"> </w:t>
      </w:r>
      <w:r w:rsidR="00240ADB">
        <w:rPr>
          <w:rFonts w:ascii="Times New Roman" w:hAnsi="Times New Roman" w:cs="Times New Roman"/>
          <w:sz w:val="22"/>
          <w:szCs w:val="22"/>
        </w:rPr>
        <w:t>and</w:t>
      </w:r>
      <w:r w:rsidR="00BC5526">
        <w:rPr>
          <w:rFonts w:ascii="Times New Roman" w:hAnsi="Times New Roman" w:cs="Times New Roman"/>
          <w:sz w:val="22"/>
          <w:szCs w:val="22"/>
        </w:rPr>
        <w:t xml:space="preserve"> specified</w:t>
      </w:r>
      <w:r w:rsidR="00145E48">
        <w:rPr>
          <w:rFonts w:ascii="Times New Roman" w:hAnsi="Times New Roman" w:cs="Times New Roman"/>
          <w:sz w:val="22"/>
          <w:szCs w:val="22"/>
        </w:rPr>
        <w:t xml:space="preserve"> that </w:t>
      </w:r>
      <w:r w:rsidR="00C530CB">
        <w:rPr>
          <w:rFonts w:ascii="Times New Roman" w:hAnsi="Times New Roman" w:cs="Times New Roman"/>
          <w:sz w:val="22"/>
          <w:szCs w:val="22"/>
        </w:rPr>
        <w:t>“</w:t>
      </w:r>
      <w:r w:rsidR="00BC5526">
        <w:rPr>
          <w:rFonts w:ascii="Times New Roman" w:hAnsi="Times New Roman" w:cs="Times New Roman"/>
          <w:sz w:val="22"/>
          <w:szCs w:val="22"/>
        </w:rPr>
        <w:t xml:space="preserve">[…] </w:t>
      </w:r>
      <w:r w:rsidR="00C530CB">
        <w:rPr>
          <w:rFonts w:ascii="Times New Roman" w:hAnsi="Times New Roman" w:cs="Times New Roman"/>
          <w:sz w:val="22"/>
          <w:szCs w:val="22"/>
        </w:rPr>
        <w:t xml:space="preserve">not all work exacted from an individual under the threat of a “penalty” is necessarily “forced or compulsory labour” prohibited by this provision” (para. 74). It suggested </w:t>
      </w:r>
      <w:r w:rsidR="00336C86">
        <w:rPr>
          <w:rFonts w:ascii="Times New Roman" w:hAnsi="Times New Roman" w:cs="Times New Roman"/>
          <w:sz w:val="22"/>
          <w:szCs w:val="22"/>
        </w:rPr>
        <w:t>the type and amount of work involved are relevant factors which distinguish ‘forced labour’ from effort that can reasonably be expected of other family members or people sharing accommodation.</w:t>
      </w:r>
      <w:r w:rsidR="009C4E45">
        <w:rPr>
          <w:rFonts w:ascii="Times New Roman" w:hAnsi="Times New Roman" w:cs="Times New Roman"/>
          <w:sz w:val="22"/>
          <w:szCs w:val="22"/>
        </w:rPr>
        <w:t xml:space="preserve"> </w:t>
      </w:r>
      <w:r w:rsidR="006A4493">
        <w:rPr>
          <w:rFonts w:ascii="Times New Roman" w:hAnsi="Times New Roman" w:cs="Times New Roman"/>
          <w:sz w:val="22"/>
          <w:szCs w:val="22"/>
        </w:rPr>
        <w:t>In relation to</w:t>
      </w:r>
      <w:r w:rsidR="009C4E45">
        <w:rPr>
          <w:rFonts w:ascii="Times New Roman" w:hAnsi="Times New Roman" w:cs="Times New Roman"/>
          <w:sz w:val="22"/>
          <w:szCs w:val="22"/>
        </w:rPr>
        <w:t xml:space="preserve"> the ‘penalty’ requirement, the Court observed that it can manifest through physical violence or restraint, but it can also take subtler forms of psychological nature such as threats to denounce victims to the police or immigration authorities when their employment status is illegal (para. 77).</w:t>
      </w:r>
      <w:r w:rsidR="00D35101">
        <w:rPr>
          <w:rFonts w:ascii="Times New Roman" w:hAnsi="Times New Roman" w:cs="Times New Roman"/>
          <w:sz w:val="22"/>
          <w:szCs w:val="22"/>
        </w:rPr>
        <w:t xml:space="preserve"> </w:t>
      </w:r>
      <w:r w:rsidR="002D7A3B">
        <w:rPr>
          <w:rFonts w:ascii="Times New Roman" w:hAnsi="Times New Roman" w:cs="Times New Roman"/>
          <w:sz w:val="22"/>
          <w:szCs w:val="22"/>
        </w:rPr>
        <w:t>As regards</w:t>
      </w:r>
      <w:r w:rsidR="00354DF5">
        <w:rPr>
          <w:rFonts w:ascii="Times New Roman" w:hAnsi="Times New Roman" w:cs="Times New Roman"/>
          <w:sz w:val="22"/>
          <w:szCs w:val="22"/>
        </w:rPr>
        <w:t xml:space="preserve"> servitude, the Court </w:t>
      </w:r>
      <w:r w:rsidR="002D7A3B">
        <w:rPr>
          <w:rFonts w:ascii="Times New Roman" w:hAnsi="Times New Roman" w:cs="Times New Roman"/>
          <w:sz w:val="22"/>
          <w:szCs w:val="22"/>
        </w:rPr>
        <w:t xml:space="preserve">observed </w:t>
      </w:r>
      <w:r w:rsidR="0003398B">
        <w:rPr>
          <w:rFonts w:ascii="Times New Roman" w:hAnsi="Times New Roman" w:cs="Times New Roman"/>
          <w:sz w:val="22"/>
          <w:szCs w:val="22"/>
        </w:rPr>
        <w:t xml:space="preserve">that </w:t>
      </w:r>
      <w:r w:rsidR="002D7A3B">
        <w:rPr>
          <w:rFonts w:ascii="Times New Roman" w:hAnsi="Times New Roman" w:cs="Times New Roman"/>
          <w:sz w:val="22"/>
          <w:szCs w:val="22"/>
        </w:rPr>
        <w:t xml:space="preserve">it “[…] </w:t>
      </w:r>
      <w:r w:rsidR="0003398B">
        <w:rPr>
          <w:rFonts w:ascii="Times New Roman" w:hAnsi="Times New Roman" w:cs="Times New Roman"/>
          <w:sz w:val="22"/>
          <w:szCs w:val="22"/>
        </w:rPr>
        <w:t xml:space="preserve">corresponds to a special type of forced or compulsory labour or, in other words, “aggravated” forced or compulsory labour” (para. 91). </w:t>
      </w:r>
      <w:r w:rsidR="002F4607">
        <w:rPr>
          <w:rFonts w:ascii="Times New Roman" w:hAnsi="Times New Roman" w:cs="Times New Roman"/>
          <w:sz w:val="22"/>
          <w:szCs w:val="22"/>
        </w:rPr>
        <w:t xml:space="preserve">It noted that a fundamental distinguishing feature between servitude and forced labour within the meaning of Article 4 of the Convention “lies in the victim’s feeling that their condition is permanent and that the situation is unlikely to change”. </w:t>
      </w:r>
      <w:r w:rsidR="00D26DA2">
        <w:rPr>
          <w:rFonts w:ascii="Times New Roman" w:hAnsi="Times New Roman" w:cs="Times New Roman"/>
          <w:sz w:val="22"/>
          <w:szCs w:val="22"/>
        </w:rPr>
        <w:t>The Court concluded that the first but not the sec</w:t>
      </w:r>
      <w:r w:rsidR="00074343">
        <w:rPr>
          <w:rFonts w:ascii="Times New Roman" w:hAnsi="Times New Roman" w:cs="Times New Roman"/>
          <w:sz w:val="22"/>
          <w:szCs w:val="22"/>
        </w:rPr>
        <w:t xml:space="preserve">ond applicant was subjected to </w:t>
      </w:r>
      <w:r w:rsidR="00D26DA2">
        <w:rPr>
          <w:rFonts w:ascii="Times New Roman" w:hAnsi="Times New Roman" w:cs="Times New Roman"/>
          <w:sz w:val="22"/>
          <w:szCs w:val="22"/>
        </w:rPr>
        <w:t xml:space="preserve">forced </w:t>
      </w:r>
      <w:r w:rsidR="00074343">
        <w:rPr>
          <w:rFonts w:ascii="Times New Roman" w:hAnsi="Times New Roman" w:cs="Times New Roman"/>
          <w:sz w:val="22"/>
          <w:szCs w:val="22"/>
        </w:rPr>
        <w:t>labour</w:t>
      </w:r>
      <w:r w:rsidR="00D26DA2">
        <w:rPr>
          <w:rFonts w:ascii="Times New Roman" w:hAnsi="Times New Roman" w:cs="Times New Roman"/>
          <w:sz w:val="22"/>
          <w:szCs w:val="22"/>
        </w:rPr>
        <w:t xml:space="preserve"> and servitude within the meaning of Article 4 of the Convention.</w:t>
      </w:r>
    </w:p>
    <w:p w14:paraId="064E5FE8" w14:textId="4A339C0A" w:rsidR="00297ADB" w:rsidRDefault="00AE1BB5" w:rsidP="005C2D2E">
      <w:pPr>
        <w:jc w:val="both"/>
        <w:rPr>
          <w:rFonts w:ascii="Times New Roman" w:hAnsi="Times New Roman" w:cs="Times New Roman"/>
          <w:sz w:val="22"/>
          <w:szCs w:val="22"/>
        </w:rPr>
      </w:pPr>
      <w:r>
        <w:rPr>
          <w:rFonts w:ascii="Times New Roman" w:hAnsi="Times New Roman" w:cs="Times New Roman"/>
          <w:sz w:val="22"/>
          <w:szCs w:val="22"/>
        </w:rPr>
        <w:t xml:space="preserve">The Court referred to States’ positive obligation to penalize and effectively prosecute actions in breach of Article 4 of the Convention and the procedural obligation to investigate </w:t>
      </w:r>
      <w:r w:rsidR="000D2846">
        <w:rPr>
          <w:rFonts w:ascii="Times New Roman" w:hAnsi="Times New Roman" w:cs="Times New Roman"/>
          <w:sz w:val="22"/>
          <w:szCs w:val="22"/>
        </w:rPr>
        <w:t xml:space="preserve">situations of potential exploitation when the matter comes to the attention of the authorities (para. 104). The Court considered that in this case the State had not violated Article 4 as regards </w:t>
      </w:r>
      <w:r w:rsidR="009A6AC2">
        <w:rPr>
          <w:rFonts w:ascii="Times New Roman" w:hAnsi="Times New Roman" w:cs="Times New Roman"/>
          <w:sz w:val="22"/>
          <w:szCs w:val="22"/>
        </w:rPr>
        <w:t>to its</w:t>
      </w:r>
      <w:r w:rsidR="000D2846">
        <w:rPr>
          <w:rFonts w:ascii="Times New Roman" w:hAnsi="Times New Roman" w:cs="Times New Roman"/>
          <w:sz w:val="22"/>
          <w:szCs w:val="22"/>
        </w:rPr>
        <w:t xml:space="preserve"> procedural obligation to conduct an effective investigation into cases of servitude and forced labour</w:t>
      </w:r>
      <w:r w:rsidR="009A6AC2">
        <w:rPr>
          <w:rFonts w:ascii="Times New Roman" w:hAnsi="Times New Roman" w:cs="Times New Roman"/>
          <w:sz w:val="22"/>
          <w:szCs w:val="22"/>
        </w:rPr>
        <w:t xml:space="preserve"> (para. 111)</w:t>
      </w:r>
      <w:r w:rsidR="000D2846">
        <w:rPr>
          <w:rFonts w:ascii="Times New Roman" w:hAnsi="Times New Roman" w:cs="Times New Roman"/>
          <w:sz w:val="22"/>
          <w:szCs w:val="22"/>
        </w:rPr>
        <w:t>.</w:t>
      </w:r>
      <w:r w:rsidR="009A6AC2">
        <w:rPr>
          <w:rFonts w:ascii="Times New Roman" w:hAnsi="Times New Roman" w:cs="Times New Roman"/>
          <w:sz w:val="22"/>
          <w:szCs w:val="22"/>
        </w:rPr>
        <w:t xml:space="preserve"> However,</w:t>
      </w:r>
      <w:r w:rsidR="00EF0FDE">
        <w:rPr>
          <w:rFonts w:ascii="Times New Roman" w:hAnsi="Times New Roman" w:cs="Times New Roman"/>
          <w:sz w:val="22"/>
          <w:szCs w:val="22"/>
        </w:rPr>
        <w:t xml:space="preserve"> </w:t>
      </w:r>
      <w:r w:rsidR="00267F80">
        <w:rPr>
          <w:rFonts w:ascii="Times New Roman" w:hAnsi="Times New Roman" w:cs="Times New Roman"/>
          <w:sz w:val="22"/>
          <w:szCs w:val="22"/>
        </w:rPr>
        <w:t>the Court noted that the domest</w:t>
      </w:r>
      <w:r w:rsidR="00071900">
        <w:rPr>
          <w:rFonts w:ascii="Times New Roman" w:hAnsi="Times New Roman" w:cs="Times New Roman"/>
          <w:sz w:val="22"/>
          <w:szCs w:val="22"/>
        </w:rPr>
        <w:t xml:space="preserve">ic law situation was the same as in the </w:t>
      </w:r>
      <w:r w:rsidR="00071900" w:rsidRPr="00071900">
        <w:rPr>
          <w:rFonts w:ascii="Times New Roman" w:hAnsi="Times New Roman" w:cs="Times New Roman"/>
          <w:i/>
          <w:sz w:val="22"/>
          <w:szCs w:val="22"/>
        </w:rPr>
        <w:t>Siliadin</w:t>
      </w:r>
      <w:r w:rsidR="00071900">
        <w:rPr>
          <w:rFonts w:ascii="Times New Roman" w:hAnsi="Times New Roman" w:cs="Times New Roman"/>
          <w:sz w:val="22"/>
          <w:szCs w:val="22"/>
        </w:rPr>
        <w:t xml:space="preserve"> case</w:t>
      </w:r>
      <w:r w:rsidR="00D967CF">
        <w:rPr>
          <w:rFonts w:ascii="Times New Roman" w:hAnsi="Times New Roman" w:cs="Times New Roman"/>
          <w:sz w:val="22"/>
          <w:szCs w:val="22"/>
        </w:rPr>
        <w:t>; it found France in violation of Article 4 of the Convention “in respect of the first applicant as regards the State’s positive obligation to set in place a legislative and administrative framework to effectively combat servitude and forced labour”</w:t>
      </w:r>
      <w:r w:rsidR="00D66288">
        <w:rPr>
          <w:rFonts w:ascii="Times New Roman" w:hAnsi="Times New Roman" w:cs="Times New Roman"/>
          <w:sz w:val="22"/>
          <w:szCs w:val="22"/>
        </w:rPr>
        <w:t xml:space="preserve"> (para. 108)</w:t>
      </w:r>
      <w:r w:rsidR="00D967CF">
        <w:rPr>
          <w:rFonts w:ascii="Times New Roman" w:hAnsi="Times New Roman" w:cs="Times New Roman"/>
          <w:sz w:val="22"/>
          <w:szCs w:val="22"/>
        </w:rPr>
        <w:t xml:space="preserve">. </w:t>
      </w:r>
      <w:r w:rsidR="009A6AC2">
        <w:rPr>
          <w:rFonts w:ascii="Times New Roman" w:hAnsi="Times New Roman" w:cs="Times New Roman"/>
          <w:sz w:val="22"/>
          <w:szCs w:val="22"/>
        </w:rPr>
        <w:t xml:space="preserve"> </w:t>
      </w:r>
      <w:r w:rsidR="000D2846">
        <w:rPr>
          <w:rFonts w:ascii="Times New Roman" w:hAnsi="Times New Roman" w:cs="Times New Roman"/>
          <w:sz w:val="22"/>
          <w:szCs w:val="22"/>
        </w:rPr>
        <w:t xml:space="preserve">  </w:t>
      </w:r>
    </w:p>
    <w:p w14:paraId="77150C79" w14:textId="73732631" w:rsidR="00DE47F6" w:rsidRPr="000B7584" w:rsidRDefault="000B7584" w:rsidP="003C465E">
      <w:pPr>
        <w:rPr>
          <w:rFonts w:ascii="Times New Roman" w:hAnsi="Times New Roman" w:cs="Times New Roman"/>
          <w:i/>
          <w:sz w:val="22"/>
          <w:szCs w:val="22"/>
        </w:rPr>
      </w:pPr>
      <w:r w:rsidRPr="000B7584">
        <w:rPr>
          <w:rFonts w:ascii="Times New Roman" w:hAnsi="Times New Roman" w:cs="Times New Roman"/>
          <w:i/>
          <w:sz w:val="22"/>
          <w:szCs w:val="22"/>
        </w:rPr>
        <w:t>Chowdury and Others v. Greece</w:t>
      </w:r>
    </w:p>
    <w:p w14:paraId="5156424E" w14:textId="55893552" w:rsidR="00C82AA6" w:rsidRDefault="000B7584" w:rsidP="00CE4B80">
      <w:pPr>
        <w:jc w:val="both"/>
        <w:rPr>
          <w:rFonts w:ascii="Times New Roman" w:hAnsi="Times New Roman" w:cs="Times New Roman"/>
          <w:sz w:val="22"/>
          <w:szCs w:val="22"/>
        </w:rPr>
      </w:pPr>
      <w:r>
        <w:rPr>
          <w:rFonts w:ascii="Times New Roman" w:hAnsi="Times New Roman" w:cs="Times New Roman"/>
          <w:sz w:val="22"/>
          <w:szCs w:val="22"/>
        </w:rPr>
        <w:t xml:space="preserve">In 2017, the </w:t>
      </w:r>
      <w:r w:rsidR="00A77AAC">
        <w:rPr>
          <w:rFonts w:ascii="Times New Roman" w:hAnsi="Times New Roman" w:cs="Times New Roman"/>
          <w:sz w:val="22"/>
          <w:szCs w:val="22"/>
        </w:rPr>
        <w:t>European Court of Human Rights</w:t>
      </w:r>
      <w:r>
        <w:rPr>
          <w:rFonts w:ascii="Times New Roman" w:hAnsi="Times New Roman" w:cs="Times New Roman"/>
          <w:sz w:val="22"/>
          <w:szCs w:val="22"/>
        </w:rPr>
        <w:t xml:space="preserve"> delivered a judgment </w:t>
      </w:r>
      <w:r w:rsidR="00955CCA">
        <w:rPr>
          <w:rFonts w:ascii="Times New Roman" w:hAnsi="Times New Roman" w:cs="Times New Roman"/>
          <w:sz w:val="22"/>
          <w:szCs w:val="22"/>
        </w:rPr>
        <w:t xml:space="preserve">in relation to </w:t>
      </w:r>
      <w:r w:rsidR="002F6C65">
        <w:rPr>
          <w:rFonts w:ascii="Times New Roman" w:hAnsi="Times New Roman" w:cs="Times New Roman"/>
          <w:sz w:val="22"/>
          <w:szCs w:val="22"/>
        </w:rPr>
        <w:t>a group</w:t>
      </w:r>
      <w:r w:rsidR="008B6343">
        <w:rPr>
          <w:rFonts w:ascii="Times New Roman" w:hAnsi="Times New Roman" w:cs="Times New Roman"/>
          <w:sz w:val="22"/>
          <w:szCs w:val="22"/>
        </w:rPr>
        <w:t xml:space="preserve"> of</w:t>
      </w:r>
      <w:r w:rsidR="00955CCA">
        <w:rPr>
          <w:rFonts w:ascii="Times New Roman" w:hAnsi="Times New Roman" w:cs="Times New Roman"/>
          <w:sz w:val="22"/>
          <w:szCs w:val="22"/>
        </w:rPr>
        <w:t xml:space="preserve"> undocumented migrant workers from Bangladesh who worked on a strawberry farm in Manolada, Greece, and</w:t>
      </w:r>
      <w:r w:rsidR="00A50DF7">
        <w:rPr>
          <w:rFonts w:ascii="Times New Roman" w:hAnsi="Times New Roman" w:cs="Times New Roman"/>
          <w:sz w:val="22"/>
          <w:szCs w:val="22"/>
        </w:rPr>
        <w:t xml:space="preserve"> who</w:t>
      </w:r>
      <w:r w:rsidR="00955CCA">
        <w:rPr>
          <w:rFonts w:ascii="Times New Roman" w:hAnsi="Times New Roman" w:cs="Times New Roman"/>
          <w:sz w:val="22"/>
          <w:szCs w:val="22"/>
        </w:rPr>
        <w:t xml:space="preserve"> </w:t>
      </w:r>
      <w:r w:rsidR="0054551A">
        <w:rPr>
          <w:rFonts w:ascii="Times New Roman" w:hAnsi="Times New Roman" w:cs="Times New Roman"/>
          <w:sz w:val="22"/>
          <w:szCs w:val="22"/>
        </w:rPr>
        <w:t>were</w:t>
      </w:r>
      <w:r w:rsidR="00955CCA">
        <w:rPr>
          <w:rFonts w:ascii="Times New Roman" w:hAnsi="Times New Roman" w:cs="Times New Roman"/>
          <w:sz w:val="22"/>
          <w:szCs w:val="22"/>
        </w:rPr>
        <w:t xml:space="preserve"> subjected to labour exploitation (</w:t>
      </w:r>
      <w:r w:rsidR="00955CCA" w:rsidRPr="00955CCA">
        <w:rPr>
          <w:rFonts w:ascii="Times New Roman" w:hAnsi="Times New Roman" w:cs="Times New Roman"/>
          <w:i/>
          <w:sz w:val="22"/>
          <w:szCs w:val="22"/>
        </w:rPr>
        <w:t>Chowdury and Others v. Greece</w:t>
      </w:r>
      <w:r w:rsidR="00955CCA">
        <w:rPr>
          <w:rFonts w:ascii="Times New Roman" w:hAnsi="Times New Roman" w:cs="Times New Roman"/>
          <w:sz w:val="22"/>
          <w:szCs w:val="22"/>
        </w:rPr>
        <w:t>, Application No. 21884/15)</w:t>
      </w:r>
      <w:r w:rsidR="00A024E7">
        <w:rPr>
          <w:rFonts w:ascii="Times New Roman" w:hAnsi="Times New Roman" w:cs="Times New Roman"/>
          <w:sz w:val="22"/>
          <w:szCs w:val="22"/>
        </w:rPr>
        <w:t>.</w:t>
      </w:r>
      <w:r w:rsidR="00A77AAC">
        <w:rPr>
          <w:rStyle w:val="FootnoteReference"/>
          <w:rFonts w:ascii="Times New Roman" w:hAnsi="Times New Roman" w:cs="Times New Roman"/>
          <w:sz w:val="22"/>
          <w:szCs w:val="22"/>
        </w:rPr>
        <w:footnoteReference w:id="11"/>
      </w:r>
      <w:r w:rsidR="00A024E7">
        <w:rPr>
          <w:rFonts w:ascii="Times New Roman" w:hAnsi="Times New Roman" w:cs="Times New Roman"/>
          <w:sz w:val="22"/>
          <w:szCs w:val="22"/>
        </w:rPr>
        <w:t xml:space="preserve"> </w:t>
      </w:r>
      <w:r w:rsidR="00DB12A8">
        <w:rPr>
          <w:rFonts w:ascii="Times New Roman" w:hAnsi="Times New Roman" w:cs="Times New Roman"/>
          <w:sz w:val="22"/>
          <w:szCs w:val="22"/>
        </w:rPr>
        <w:t xml:space="preserve">The </w:t>
      </w:r>
      <w:r w:rsidR="00437757">
        <w:rPr>
          <w:rFonts w:ascii="Times New Roman" w:hAnsi="Times New Roman" w:cs="Times New Roman"/>
          <w:sz w:val="22"/>
          <w:szCs w:val="22"/>
        </w:rPr>
        <w:t>Court</w:t>
      </w:r>
      <w:r w:rsidR="00DB12A8">
        <w:rPr>
          <w:rFonts w:ascii="Times New Roman" w:hAnsi="Times New Roman" w:cs="Times New Roman"/>
          <w:sz w:val="22"/>
          <w:szCs w:val="22"/>
        </w:rPr>
        <w:t xml:space="preserve"> </w:t>
      </w:r>
      <w:r w:rsidR="00453CEA">
        <w:rPr>
          <w:rFonts w:ascii="Times New Roman" w:hAnsi="Times New Roman" w:cs="Times New Roman"/>
          <w:sz w:val="22"/>
          <w:szCs w:val="22"/>
        </w:rPr>
        <w:t>found</w:t>
      </w:r>
      <w:r w:rsidR="00A50DF7">
        <w:rPr>
          <w:rFonts w:ascii="Times New Roman" w:hAnsi="Times New Roman" w:cs="Times New Roman"/>
          <w:sz w:val="22"/>
          <w:szCs w:val="22"/>
        </w:rPr>
        <w:t xml:space="preserve"> </w:t>
      </w:r>
      <w:r w:rsidR="00DB12A8">
        <w:rPr>
          <w:rFonts w:ascii="Times New Roman" w:hAnsi="Times New Roman" w:cs="Times New Roman"/>
          <w:sz w:val="22"/>
          <w:szCs w:val="22"/>
        </w:rPr>
        <w:t>that the</w:t>
      </w:r>
      <w:r w:rsidR="00453CEA">
        <w:rPr>
          <w:rFonts w:ascii="Times New Roman" w:hAnsi="Times New Roman" w:cs="Times New Roman"/>
          <w:sz w:val="22"/>
          <w:szCs w:val="22"/>
        </w:rPr>
        <w:t xml:space="preserve"> migrant workers</w:t>
      </w:r>
      <w:r w:rsidR="004015A5">
        <w:rPr>
          <w:rFonts w:ascii="Times New Roman" w:hAnsi="Times New Roman" w:cs="Times New Roman"/>
          <w:sz w:val="22"/>
          <w:szCs w:val="22"/>
        </w:rPr>
        <w:t>’</w:t>
      </w:r>
      <w:r w:rsidR="00453CEA">
        <w:rPr>
          <w:rFonts w:ascii="Times New Roman" w:hAnsi="Times New Roman" w:cs="Times New Roman"/>
          <w:sz w:val="22"/>
          <w:szCs w:val="22"/>
        </w:rPr>
        <w:t xml:space="preserve"> situation amounted </w:t>
      </w:r>
      <w:r w:rsidR="00DB12A8">
        <w:rPr>
          <w:rFonts w:ascii="Times New Roman" w:hAnsi="Times New Roman" w:cs="Times New Roman"/>
          <w:sz w:val="22"/>
          <w:szCs w:val="22"/>
        </w:rPr>
        <w:t xml:space="preserve">to forced labour and trafficking in persons and that Greece </w:t>
      </w:r>
      <w:r w:rsidR="00CE4B80">
        <w:rPr>
          <w:rFonts w:ascii="Times New Roman" w:hAnsi="Times New Roman" w:cs="Times New Roman"/>
          <w:sz w:val="22"/>
          <w:szCs w:val="22"/>
        </w:rPr>
        <w:t>was in violation of its positi</w:t>
      </w:r>
      <w:r w:rsidR="00A50DF7">
        <w:rPr>
          <w:rFonts w:ascii="Times New Roman" w:hAnsi="Times New Roman" w:cs="Times New Roman"/>
          <w:sz w:val="22"/>
          <w:szCs w:val="22"/>
        </w:rPr>
        <w:t>ve obligations under Article 4 of the European Convention.</w:t>
      </w:r>
      <w:r w:rsidR="00453CEA">
        <w:rPr>
          <w:rFonts w:ascii="Times New Roman" w:hAnsi="Times New Roman" w:cs="Times New Roman"/>
          <w:sz w:val="22"/>
          <w:szCs w:val="22"/>
        </w:rPr>
        <w:t xml:space="preserve"> </w:t>
      </w:r>
      <w:r w:rsidR="00CB091E">
        <w:rPr>
          <w:rFonts w:ascii="Times New Roman" w:hAnsi="Times New Roman" w:cs="Times New Roman"/>
          <w:sz w:val="22"/>
          <w:szCs w:val="22"/>
        </w:rPr>
        <w:t>T</w:t>
      </w:r>
      <w:r w:rsidR="00466A6A">
        <w:rPr>
          <w:rFonts w:ascii="Times New Roman" w:hAnsi="Times New Roman" w:cs="Times New Roman"/>
          <w:sz w:val="22"/>
          <w:szCs w:val="22"/>
        </w:rPr>
        <w:t>he Court observed</w:t>
      </w:r>
      <w:r w:rsidR="00D55711">
        <w:rPr>
          <w:rFonts w:ascii="Times New Roman" w:hAnsi="Times New Roman" w:cs="Times New Roman"/>
          <w:sz w:val="22"/>
          <w:szCs w:val="22"/>
        </w:rPr>
        <w:t xml:space="preserve"> that</w:t>
      </w:r>
      <w:r w:rsidR="00E1341A">
        <w:rPr>
          <w:rFonts w:ascii="Times New Roman" w:hAnsi="Times New Roman" w:cs="Times New Roman"/>
          <w:sz w:val="22"/>
          <w:szCs w:val="22"/>
        </w:rPr>
        <w:t xml:space="preserve"> States’ positive obligations under article 4 should be interpreted in light of the Council of Europe Convention</w:t>
      </w:r>
      <w:r w:rsidR="008B6343">
        <w:rPr>
          <w:rFonts w:ascii="Times New Roman" w:hAnsi="Times New Roman" w:cs="Times New Roman"/>
          <w:sz w:val="22"/>
          <w:szCs w:val="22"/>
        </w:rPr>
        <w:t xml:space="preserve"> on Action against Trafficking in Human Beings</w:t>
      </w:r>
      <w:r w:rsidR="00E1341A">
        <w:rPr>
          <w:rFonts w:ascii="Times New Roman" w:hAnsi="Times New Roman" w:cs="Times New Roman"/>
          <w:sz w:val="22"/>
          <w:szCs w:val="22"/>
        </w:rPr>
        <w:t xml:space="preserve"> and entail the adoption of preventive measures, the </w:t>
      </w:r>
      <w:r w:rsidR="00E1341A">
        <w:rPr>
          <w:rFonts w:ascii="Times New Roman" w:hAnsi="Times New Roman" w:cs="Times New Roman"/>
          <w:sz w:val="22"/>
          <w:szCs w:val="22"/>
        </w:rPr>
        <w:lastRenderedPageBreak/>
        <w:t>protection of victims</w:t>
      </w:r>
      <w:r w:rsidR="00191937">
        <w:rPr>
          <w:rFonts w:ascii="Times New Roman" w:hAnsi="Times New Roman" w:cs="Times New Roman"/>
          <w:sz w:val="22"/>
          <w:szCs w:val="22"/>
        </w:rPr>
        <w:t>,</w:t>
      </w:r>
      <w:r w:rsidR="00E1341A">
        <w:rPr>
          <w:rFonts w:ascii="Times New Roman" w:hAnsi="Times New Roman" w:cs="Times New Roman"/>
          <w:sz w:val="22"/>
          <w:szCs w:val="22"/>
        </w:rPr>
        <w:t xml:space="preserve"> and the investigation, criminalization and effective suppression of any act intended to sub</w:t>
      </w:r>
      <w:r w:rsidR="00EA6D62">
        <w:rPr>
          <w:rFonts w:ascii="Times New Roman" w:hAnsi="Times New Roman" w:cs="Times New Roman"/>
          <w:sz w:val="22"/>
          <w:szCs w:val="22"/>
        </w:rPr>
        <w:t xml:space="preserve">ject a person to </w:t>
      </w:r>
      <w:r w:rsidR="001A0921">
        <w:rPr>
          <w:rFonts w:ascii="Times New Roman" w:hAnsi="Times New Roman" w:cs="Times New Roman"/>
          <w:sz w:val="22"/>
          <w:szCs w:val="22"/>
        </w:rPr>
        <w:t>exploitation</w:t>
      </w:r>
      <w:r w:rsidR="00EA6D62">
        <w:rPr>
          <w:rFonts w:ascii="Times New Roman" w:hAnsi="Times New Roman" w:cs="Times New Roman"/>
          <w:sz w:val="22"/>
          <w:szCs w:val="22"/>
        </w:rPr>
        <w:t xml:space="preserve"> (para. 104).</w:t>
      </w:r>
      <w:r w:rsidR="008B6343">
        <w:rPr>
          <w:rFonts w:ascii="Times New Roman" w:hAnsi="Times New Roman" w:cs="Times New Roman"/>
          <w:sz w:val="22"/>
          <w:szCs w:val="22"/>
        </w:rPr>
        <w:t xml:space="preserve"> The Court recalled that the Council of Europe Convention draws attention to a number of measures to prevent trafficking and protect victims. It noted that measures to protect victims include those aimed at facilitating the identification of victims by trained persons and assisting them in their physical, psychological and social recovery (para. 110). </w:t>
      </w:r>
      <w:r w:rsidR="00EA6D62">
        <w:rPr>
          <w:rFonts w:ascii="Times New Roman" w:hAnsi="Times New Roman" w:cs="Times New Roman"/>
          <w:sz w:val="22"/>
          <w:szCs w:val="22"/>
        </w:rPr>
        <w:t xml:space="preserve"> </w:t>
      </w:r>
    </w:p>
    <w:p w14:paraId="6AF5658C" w14:textId="011E3F53" w:rsidR="00015E43" w:rsidRPr="000B7584" w:rsidRDefault="00191937" w:rsidP="00CE4B80">
      <w:pPr>
        <w:jc w:val="both"/>
        <w:rPr>
          <w:rFonts w:ascii="Times New Roman" w:hAnsi="Times New Roman" w:cs="Times New Roman"/>
          <w:sz w:val="22"/>
          <w:szCs w:val="22"/>
        </w:rPr>
      </w:pPr>
      <w:r>
        <w:rPr>
          <w:rFonts w:ascii="Times New Roman" w:hAnsi="Times New Roman" w:cs="Times New Roman"/>
          <w:sz w:val="22"/>
          <w:szCs w:val="22"/>
        </w:rPr>
        <w:t xml:space="preserve">The Court considered that the State (Greece) </w:t>
      </w:r>
      <w:r w:rsidR="00AC598A">
        <w:rPr>
          <w:rFonts w:ascii="Times New Roman" w:hAnsi="Times New Roman" w:cs="Times New Roman"/>
          <w:sz w:val="22"/>
          <w:szCs w:val="22"/>
        </w:rPr>
        <w:t xml:space="preserve">authorities had general knowledge of </w:t>
      </w:r>
      <w:r w:rsidR="00466A6A">
        <w:rPr>
          <w:rFonts w:ascii="Times New Roman" w:hAnsi="Times New Roman" w:cs="Times New Roman"/>
          <w:sz w:val="22"/>
          <w:szCs w:val="22"/>
        </w:rPr>
        <w:t>the abuses suffered by the migrant workers in the strawberry fields of Manolada</w:t>
      </w:r>
      <w:r w:rsidR="008D02E0">
        <w:rPr>
          <w:rFonts w:ascii="Times New Roman" w:hAnsi="Times New Roman" w:cs="Times New Roman"/>
          <w:sz w:val="22"/>
          <w:szCs w:val="22"/>
        </w:rPr>
        <w:t xml:space="preserve"> (para. 1</w:t>
      </w:r>
      <w:r w:rsidR="00F7420C">
        <w:rPr>
          <w:rFonts w:ascii="Times New Roman" w:hAnsi="Times New Roman" w:cs="Times New Roman"/>
          <w:sz w:val="22"/>
          <w:szCs w:val="22"/>
        </w:rPr>
        <w:t>11-112)</w:t>
      </w:r>
      <w:r w:rsidR="00AC598A">
        <w:rPr>
          <w:rFonts w:ascii="Times New Roman" w:hAnsi="Times New Roman" w:cs="Times New Roman"/>
          <w:sz w:val="22"/>
          <w:szCs w:val="22"/>
        </w:rPr>
        <w:t>.</w:t>
      </w:r>
      <w:r w:rsidR="00E72220">
        <w:rPr>
          <w:rFonts w:ascii="Times New Roman" w:hAnsi="Times New Roman" w:cs="Times New Roman"/>
          <w:sz w:val="22"/>
          <w:szCs w:val="22"/>
        </w:rPr>
        <w:t xml:space="preserve"> </w:t>
      </w:r>
      <w:r w:rsidR="000C6C56">
        <w:rPr>
          <w:rFonts w:ascii="Times New Roman" w:hAnsi="Times New Roman" w:cs="Times New Roman"/>
          <w:sz w:val="22"/>
          <w:szCs w:val="22"/>
        </w:rPr>
        <w:t>I</w:t>
      </w:r>
      <w:r w:rsidR="00E72220">
        <w:rPr>
          <w:rFonts w:ascii="Times New Roman" w:hAnsi="Times New Roman" w:cs="Times New Roman"/>
          <w:sz w:val="22"/>
          <w:szCs w:val="22"/>
        </w:rPr>
        <w:t>t</w:t>
      </w:r>
      <w:r w:rsidR="00AC598A">
        <w:rPr>
          <w:rFonts w:ascii="Times New Roman" w:hAnsi="Times New Roman" w:cs="Times New Roman"/>
          <w:sz w:val="22"/>
          <w:szCs w:val="22"/>
        </w:rPr>
        <w:t xml:space="preserve"> </w:t>
      </w:r>
      <w:r w:rsidR="000C6C56">
        <w:rPr>
          <w:rFonts w:ascii="Times New Roman" w:hAnsi="Times New Roman" w:cs="Times New Roman"/>
          <w:sz w:val="22"/>
          <w:szCs w:val="22"/>
        </w:rPr>
        <w:t>observed</w:t>
      </w:r>
      <w:r w:rsidR="00AC598A">
        <w:rPr>
          <w:rFonts w:ascii="Times New Roman" w:hAnsi="Times New Roman" w:cs="Times New Roman"/>
          <w:sz w:val="22"/>
          <w:szCs w:val="22"/>
        </w:rPr>
        <w:t xml:space="preserve"> that the operational measures undertaken by the authorities were not sufficient to prevent the abuses suffered by the workers and protect the</w:t>
      </w:r>
      <w:r w:rsidR="00467DF5">
        <w:rPr>
          <w:rFonts w:ascii="Times New Roman" w:hAnsi="Times New Roman" w:cs="Times New Roman"/>
          <w:sz w:val="22"/>
          <w:szCs w:val="22"/>
        </w:rPr>
        <w:t>m</w:t>
      </w:r>
      <w:r w:rsidR="00AC598A">
        <w:rPr>
          <w:rFonts w:ascii="Times New Roman" w:hAnsi="Times New Roman" w:cs="Times New Roman"/>
          <w:sz w:val="22"/>
          <w:szCs w:val="22"/>
        </w:rPr>
        <w:t xml:space="preserve"> </w:t>
      </w:r>
      <w:r w:rsidR="00467DF5">
        <w:rPr>
          <w:rFonts w:ascii="Times New Roman" w:hAnsi="Times New Roman" w:cs="Times New Roman"/>
          <w:sz w:val="22"/>
          <w:szCs w:val="22"/>
        </w:rPr>
        <w:t>from</w:t>
      </w:r>
      <w:r w:rsidR="00AC598A">
        <w:rPr>
          <w:rFonts w:ascii="Times New Roman" w:hAnsi="Times New Roman" w:cs="Times New Roman"/>
          <w:sz w:val="22"/>
          <w:szCs w:val="22"/>
        </w:rPr>
        <w:t xml:space="preserve"> the treatment to which t</w:t>
      </w:r>
      <w:r w:rsidR="00CE443E">
        <w:rPr>
          <w:rFonts w:ascii="Times New Roman" w:hAnsi="Times New Roman" w:cs="Times New Roman"/>
          <w:sz w:val="22"/>
          <w:szCs w:val="22"/>
        </w:rPr>
        <w:t xml:space="preserve">hey were subjected (para. 115). </w:t>
      </w:r>
      <w:r w:rsidR="000C6C56">
        <w:rPr>
          <w:rFonts w:ascii="Times New Roman" w:hAnsi="Times New Roman" w:cs="Times New Roman"/>
          <w:sz w:val="22"/>
          <w:szCs w:val="22"/>
        </w:rPr>
        <w:t xml:space="preserve">Commenting on the effectiveness of the investigation and judicial procedure, the Court noted that the prosecution and judicial authorities have an obligation to effectively investigate, and when they determine that an employer has perpetrated trafficking in human beings and forced </w:t>
      </w:r>
      <w:r w:rsidR="0040285B">
        <w:rPr>
          <w:rFonts w:ascii="Times New Roman" w:hAnsi="Times New Roman" w:cs="Times New Roman"/>
          <w:sz w:val="22"/>
          <w:szCs w:val="22"/>
        </w:rPr>
        <w:t>draw the necessary conclusions arising from the implementation of the relevant legislation</w:t>
      </w:r>
      <w:r w:rsidR="000C6C56">
        <w:rPr>
          <w:rFonts w:ascii="Times New Roman" w:hAnsi="Times New Roman" w:cs="Times New Roman"/>
          <w:sz w:val="22"/>
          <w:szCs w:val="22"/>
        </w:rPr>
        <w:t xml:space="preserve"> (para 116). </w:t>
      </w:r>
      <w:r w:rsidR="009E4501">
        <w:rPr>
          <w:rFonts w:ascii="Times New Roman" w:hAnsi="Times New Roman" w:cs="Times New Roman"/>
          <w:sz w:val="22"/>
          <w:szCs w:val="22"/>
        </w:rPr>
        <w:t>R</w:t>
      </w:r>
      <w:r w:rsidR="00016C13">
        <w:rPr>
          <w:rFonts w:ascii="Times New Roman" w:hAnsi="Times New Roman" w:cs="Times New Roman"/>
          <w:sz w:val="22"/>
          <w:szCs w:val="22"/>
        </w:rPr>
        <w:t xml:space="preserve">egarding the definitional scope of </w:t>
      </w:r>
      <w:r w:rsidR="00E77BF4">
        <w:rPr>
          <w:rFonts w:ascii="Times New Roman" w:hAnsi="Times New Roman" w:cs="Times New Roman"/>
          <w:sz w:val="22"/>
          <w:szCs w:val="22"/>
        </w:rPr>
        <w:t>Article 4 of the European Convention</w:t>
      </w:r>
      <w:r w:rsidR="009E4501">
        <w:rPr>
          <w:rFonts w:ascii="Times New Roman" w:hAnsi="Times New Roman" w:cs="Times New Roman"/>
          <w:sz w:val="22"/>
          <w:szCs w:val="22"/>
        </w:rPr>
        <w:t xml:space="preserve">, the Court noted that restriction </w:t>
      </w:r>
      <w:r w:rsidR="00D60FA9">
        <w:rPr>
          <w:rFonts w:ascii="Times New Roman" w:hAnsi="Times New Roman" w:cs="Times New Roman"/>
          <w:sz w:val="22"/>
          <w:szCs w:val="22"/>
        </w:rPr>
        <w:t>on the</w:t>
      </w:r>
      <w:r w:rsidR="007777EA">
        <w:rPr>
          <w:rFonts w:ascii="Times New Roman" w:hAnsi="Times New Roman" w:cs="Times New Roman"/>
          <w:sz w:val="22"/>
          <w:szCs w:val="22"/>
        </w:rPr>
        <w:t xml:space="preserve"> freedom </w:t>
      </w:r>
      <w:r w:rsidR="009E4501">
        <w:rPr>
          <w:rFonts w:ascii="Times New Roman" w:hAnsi="Times New Roman" w:cs="Times New Roman"/>
          <w:sz w:val="22"/>
          <w:szCs w:val="22"/>
        </w:rPr>
        <w:t>of movement</w:t>
      </w:r>
      <w:r w:rsidR="00134218">
        <w:rPr>
          <w:rFonts w:ascii="Times New Roman" w:hAnsi="Times New Roman" w:cs="Times New Roman"/>
          <w:sz w:val="22"/>
          <w:szCs w:val="22"/>
        </w:rPr>
        <w:t xml:space="preserve"> </w:t>
      </w:r>
      <w:r w:rsidR="002D695A">
        <w:rPr>
          <w:rFonts w:ascii="Times New Roman" w:hAnsi="Times New Roman" w:cs="Times New Roman"/>
          <w:sz w:val="22"/>
          <w:szCs w:val="22"/>
        </w:rPr>
        <w:t>i</w:t>
      </w:r>
      <w:r w:rsidR="009E4501">
        <w:rPr>
          <w:rFonts w:ascii="Times New Roman" w:hAnsi="Times New Roman" w:cs="Times New Roman"/>
          <w:sz w:val="22"/>
          <w:szCs w:val="22"/>
        </w:rPr>
        <w:t xml:space="preserve">s not a </w:t>
      </w:r>
      <w:r w:rsidR="009E4501" w:rsidRPr="009E4501">
        <w:rPr>
          <w:rFonts w:ascii="Times New Roman" w:hAnsi="Times New Roman" w:cs="Times New Roman"/>
          <w:i/>
          <w:sz w:val="22"/>
          <w:szCs w:val="22"/>
        </w:rPr>
        <w:t>sine qua non</w:t>
      </w:r>
      <w:r w:rsidR="009E4501">
        <w:rPr>
          <w:rFonts w:ascii="Times New Roman" w:hAnsi="Times New Roman" w:cs="Times New Roman"/>
          <w:sz w:val="22"/>
          <w:szCs w:val="22"/>
        </w:rPr>
        <w:t xml:space="preserve"> </w:t>
      </w:r>
      <w:r w:rsidR="00164EF9">
        <w:rPr>
          <w:rFonts w:ascii="Times New Roman" w:hAnsi="Times New Roman" w:cs="Times New Roman"/>
          <w:sz w:val="22"/>
          <w:szCs w:val="22"/>
        </w:rPr>
        <w:t>condition to consider a situation a</w:t>
      </w:r>
      <w:r w:rsidR="00134218">
        <w:rPr>
          <w:rFonts w:ascii="Times New Roman" w:hAnsi="Times New Roman" w:cs="Times New Roman"/>
          <w:sz w:val="22"/>
          <w:szCs w:val="22"/>
        </w:rPr>
        <w:t xml:space="preserve">s forced labour or trafficking </w:t>
      </w:r>
      <w:r w:rsidR="008E0680">
        <w:rPr>
          <w:rFonts w:ascii="Times New Roman" w:hAnsi="Times New Roman" w:cs="Times New Roman"/>
          <w:sz w:val="22"/>
          <w:szCs w:val="22"/>
        </w:rPr>
        <w:t xml:space="preserve">(para. 123). </w:t>
      </w:r>
      <w:r w:rsidR="00154F55">
        <w:rPr>
          <w:rFonts w:ascii="Times New Roman" w:hAnsi="Times New Roman" w:cs="Times New Roman"/>
          <w:sz w:val="22"/>
          <w:szCs w:val="22"/>
        </w:rPr>
        <w:t xml:space="preserve">The Court concluded that the State (Greece) had failed to comply with the </w:t>
      </w:r>
      <w:r w:rsidR="003C22B9">
        <w:rPr>
          <w:rFonts w:ascii="Times New Roman" w:hAnsi="Times New Roman" w:cs="Times New Roman"/>
          <w:sz w:val="22"/>
          <w:szCs w:val="22"/>
        </w:rPr>
        <w:t xml:space="preserve">positive </w:t>
      </w:r>
      <w:r w:rsidR="00154F55">
        <w:rPr>
          <w:rFonts w:ascii="Times New Roman" w:hAnsi="Times New Roman" w:cs="Times New Roman"/>
          <w:sz w:val="22"/>
          <w:szCs w:val="22"/>
        </w:rPr>
        <w:t>obligations imposed by Article 4(2) of the European Convention</w:t>
      </w:r>
      <w:r w:rsidR="003C22B9">
        <w:rPr>
          <w:rFonts w:ascii="Times New Roman" w:hAnsi="Times New Roman" w:cs="Times New Roman"/>
          <w:sz w:val="22"/>
          <w:szCs w:val="22"/>
        </w:rPr>
        <w:t xml:space="preserve">, </w:t>
      </w:r>
      <w:r w:rsidR="00B479FC">
        <w:rPr>
          <w:rFonts w:ascii="Times New Roman" w:hAnsi="Times New Roman" w:cs="Times New Roman"/>
          <w:sz w:val="22"/>
          <w:szCs w:val="22"/>
        </w:rPr>
        <w:t>namely</w:t>
      </w:r>
      <w:r w:rsidR="003C22B9">
        <w:rPr>
          <w:rFonts w:ascii="Times New Roman" w:hAnsi="Times New Roman" w:cs="Times New Roman"/>
          <w:sz w:val="22"/>
          <w:szCs w:val="22"/>
        </w:rPr>
        <w:t xml:space="preserve"> obligations to prevent the situation of trafficking in human beings, protect the victims, effectively investigate the offences committed and sanction those responsible (para. 128). </w:t>
      </w:r>
    </w:p>
    <w:p w14:paraId="0BDA2658" w14:textId="167CD464" w:rsidR="00981908" w:rsidRDefault="00140B22" w:rsidP="003C465E">
      <w:pPr>
        <w:rPr>
          <w:rFonts w:ascii="Times New Roman" w:hAnsi="Times New Roman" w:cs="Times New Roman"/>
          <w:sz w:val="22"/>
          <w:szCs w:val="22"/>
        </w:rPr>
      </w:pPr>
      <w:r w:rsidRPr="00DE47F6">
        <w:rPr>
          <w:rFonts w:ascii="Times New Roman" w:hAnsi="Times New Roman" w:cs="Times New Roman"/>
          <w:b/>
          <w:sz w:val="22"/>
          <w:szCs w:val="22"/>
        </w:rPr>
        <w:t>B.</w:t>
      </w:r>
      <w:r>
        <w:rPr>
          <w:rFonts w:ascii="Times New Roman" w:hAnsi="Times New Roman" w:cs="Times New Roman"/>
          <w:sz w:val="22"/>
          <w:szCs w:val="22"/>
        </w:rPr>
        <w:t xml:space="preserve"> The Inter-American Court of Human Rights </w:t>
      </w:r>
    </w:p>
    <w:p w14:paraId="5074FF5C" w14:textId="01A2F558" w:rsidR="0084531A" w:rsidRPr="00BE1383" w:rsidRDefault="000402A0" w:rsidP="003C465E">
      <w:pPr>
        <w:rPr>
          <w:rFonts w:ascii="Times New Roman" w:hAnsi="Times New Roman" w:cs="Times New Roman"/>
          <w:i/>
          <w:sz w:val="22"/>
          <w:szCs w:val="22"/>
          <w:lang w:val="es-ES"/>
        </w:rPr>
      </w:pPr>
      <w:r w:rsidRPr="00BE1383">
        <w:rPr>
          <w:rFonts w:ascii="Times New Roman" w:hAnsi="Times New Roman" w:cs="Times New Roman"/>
          <w:i/>
          <w:sz w:val="22"/>
          <w:szCs w:val="22"/>
          <w:lang w:val="es-ES"/>
        </w:rPr>
        <w:t>Trabajadores de la Haci</w:t>
      </w:r>
      <w:r w:rsidR="00EC04C9" w:rsidRPr="00BE1383">
        <w:rPr>
          <w:rFonts w:ascii="Times New Roman" w:hAnsi="Times New Roman" w:cs="Times New Roman"/>
          <w:i/>
          <w:sz w:val="22"/>
          <w:szCs w:val="22"/>
          <w:lang w:val="es-ES"/>
        </w:rPr>
        <w:t>enda Brasil Verde v</w:t>
      </w:r>
      <w:r w:rsidRPr="00BE1383">
        <w:rPr>
          <w:rFonts w:ascii="Times New Roman" w:hAnsi="Times New Roman" w:cs="Times New Roman"/>
          <w:i/>
          <w:sz w:val="22"/>
          <w:szCs w:val="22"/>
          <w:lang w:val="es-ES"/>
        </w:rPr>
        <w:t xml:space="preserve"> Brasil</w:t>
      </w:r>
    </w:p>
    <w:p w14:paraId="717D2430" w14:textId="38691FDD" w:rsidR="004B2191" w:rsidRDefault="00822624" w:rsidP="00204375">
      <w:pPr>
        <w:jc w:val="both"/>
        <w:rPr>
          <w:rFonts w:ascii="Times New Roman" w:hAnsi="Times New Roman" w:cs="Times New Roman"/>
          <w:sz w:val="22"/>
          <w:szCs w:val="22"/>
        </w:rPr>
      </w:pPr>
      <w:r>
        <w:rPr>
          <w:rFonts w:ascii="Times New Roman" w:hAnsi="Times New Roman" w:cs="Times New Roman"/>
          <w:sz w:val="22"/>
          <w:szCs w:val="22"/>
        </w:rPr>
        <w:t>In 2016, the Inter-American Court of Human Rights issued a judgment concerning</w:t>
      </w:r>
      <w:r w:rsidR="00585A86">
        <w:rPr>
          <w:rFonts w:ascii="Times New Roman" w:hAnsi="Times New Roman" w:cs="Times New Roman"/>
          <w:sz w:val="22"/>
          <w:szCs w:val="22"/>
        </w:rPr>
        <w:t xml:space="preserve"> a group of</w:t>
      </w:r>
      <w:r>
        <w:rPr>
          <w:rFonts w:ascii="Times New Roman" w:hAnsi="Times New Roman" w:cs="Times New Roman"/>
          <w:sz w:val="22"/>
          <w:szCs w:val="22"/>
        </w:rPr>
        <w:t xml:space="preserve"> </w:t>
      </w:r>
      <w:r w:rsidR="00204375">
        <w:rPr>
          <w:rFonts w:ascii="Times New Roman" w:hAnsi="Times New Roman" w:cs="Times New Roman"/>
          <w:sz w:val="22"/>
          <w:szCs w:val="22"/>
        </w:rPr>
        <w:t>workers who had been</w:t>
      </w:r>
      <w:r w:rsidR="00FF4C4A">
        <w:rPr>
          <w:rFonts w:ascii="Times New Roman" w:hAnsi="Times New Roman" w:cs="Times New Roman"/>
          <w:sz w:val="22"/>
          <w:szCs w:val="22"/>
        </w:rPr>
        <w:t xml:space="preserve"> allegedly</w:t>
      </w:r>
      <w:r w:rsidR="00204375">
        <w:rPr>
          <w:rFonts w:ascii="Times New Roman" w:hAnsi="Times New Roman" w:cs="Times New Roman"/>
          <w:sz w:val="22"/>
          <w:szCs w:val="22"/>
        </w:rPr>
        <w:t xml:space="preserve"> subjected to trafficking in </w:t>
      </w:r>
      <w:r w:rsidR="00AA6F69">
        <w:rPr>
          <w:rFonts w:ascii="Times New Roman" w:hAnsi="Times New Roman" w:cs="Times New Roman"/>
          <w:sz w:val="22"/>
          <w:szCs w:val="22"/>
        </w:rPr>
        <w:t>human beings, forced labour,</w:t>
      </w:r>
      <w:r w:rsidR="00020B14">
        <w:rPr>
          <w:rFonts w:ascii="Times New Roman" w:hAnsi="Times New Roman" w:cs="Times New Roman"/>
          <w:sz w:val="22"/>
          <w:szCs w:val="22"/>
        </w:rPr>
        <w:t xml:space="preserve"> </w:t>
      </w:r>
      <w:r w:rsidR="00FF4C4A">
        <w:rPr>
          <w:rFonts w:ascii="Times New Roman" w:hAnsi="Times New Roman" w:cs="Times New Roman"/>
          <w:sz w:val="22"/>
          <w:szCs w:val="22"/>
        </w:rPr>
        <w:t>debt bondage</w:t>
      </w:r>
      <w:r w:rsidR="005C1F01">
        <w:rPr>
          <w:rFonts w:ascii="Times New Roman" w:hAnsi="Times New Roman" w:cs="Times New Roman"/>
          <w:sz w:val="22"/>
          <w:szCs w:val="22"/>
        </w:rPr>
        <w:t xml:space="preserve"> and slavery</w:t>
      </w:r>
      <w:r w:rsidR="00204375">
        <w:rPr>
          <w:rFonts w:ascii="Times New Roman" w:hAnsi="Times New Roman" w:cs="Times New Roman"/>
          <w:sz w:val="22"/>
          <w:szCs w:val="22"/>
        </w:rPr>
        <w:t xml:space="preserve"> in a estate located in t</w:t>
      </w:r>
      <w:r w:rsidR="00C31134">
        <w:rPr>
          <w:rFonts w:ascii="Times New Roman" w:hAnsi="Times New Roman" w:cs="Times New Roman"/>
          <w:sz w:val="22"/>
          <w:szCs w:val="22"/>
        </w:rPr>
        <w:t>he northeast of Brasil (</w:t>
      </w:r>
      <w:r w:rsidR="00C31134" w:rsidRPr="002F12F1">
        <w:rPr>
          <w:rFonts w:ascii="Times New Roman" w:hAnsi="Times New Roman" w:cs="Times New Roman"/>
          <w:i/>
          <w:sz w:val="22"/>
          <w:szCs w:val="22"/>
        </w:rPr>
        <w:t>Trabajadores de la Haciend</w:t>
      </w:r>
      <w:r w:rsidR="0061035A" w:rsidRPr="002F12F1">
        <w:rPr>
          <w:rFonts w:ascii="Times New Roman" w:hAnsi="Times New Roman" w:cs="Times New Roman"/>
          <w:i/>
          <w:sz w:val="22"/>
          <w:szCs w:val="22"/>
        </w:rPr>
        <w:t>a Brasil Verde vs. Brasil</w:t>
      </w:r>
      <w:r w:rsidR="0061035A">
        <w:rPr>
          <w:rFonts w:ascii="Times New Roman" w:hAnsi="Times New Roman" w:cs="Times New Roman"/>
          <w:sz w:val="22"/>
          <w:szCs w:val="22"/>
        </w:rPr>
        <w:t xml:space="preserve">. </w:t>
      </w:r>
      <w:r w:rsidR="00AD2465">
        <w:rPr>
          <w:rFonts w:ascii="Times New Roman" w:hAnsi="Times New Roman" w:cs="Times New Roman"/>
          <w:sz w:val="22"/>
          <w:szCs w:val="22"/>
        </w:rPr>
        <w:t>Sentencia de O</w:t>
      </w:r>
      <w:r w:rsidR="002F12F1">
        <w:rPr>
          <w:rFonts w:ascii="Times New Roman" w:hAnsi="Times New Roman" w:cs="Times New Roman"/>
          <w:sz w:val="22"/>
          <w:szCs w:val="22"/>
        </w:rPr>
        <w:t>ctubre de 2016).</w:t>
      </w:r>
      <w:r w:rsidR="00F37E33">
        <w:rPr>
          <w:rStyle w:val="FootnoteReference"/>
          <w:rFonts w:ascii="Times New Roman" w:hAnsi="Times New Roman" w:cs="Times New Roman"/>
          <w:sz w:val="22"/>
          <w:szCs w:val="22"/>
        </w:rPr>
        <w:footnoteReference w:id="12"/>
      </w:r>
      <w:r w:rsidR="00FB4842">
        <w:rPr>
          <w:rFonts w:ascii="Times New Roman" w:hAnsi="Times New Roman" w:cs="Times New Roman"/>
          <w:sz w:val="22"/>
          <w:szCs w:val="22"/>
        </w:rPr>
        <w:t xml:space="preserve"> </w:t>
      </w:r>
      <w:r w:rsidR="00141713">
        <w:rPr>
          <w:rFonts w:ascii="Times New Roman" w:hAnsi="Times New Roman" w:cs="Times New Roman"/>
          <w:sz w:val="22"/>
          <w:szCs w:val="22"/>
        </w:rPr>
        <w:t>T</w:t>
      </w:r>
      <w:r w:rsidR="004D570A">
        <w:rPr>
          <w:rFonts w:ascii="Times New Roman" w:hAnsi="Times New Roman" w:cs="Times New Roman"/>
          <w:sz w:val="22"/>
          <w:szCs w:val="22"/>
        </w:rPr>
        <w:t>he Court noted that Article 6 of the American Convention</w:t>
      </w:r>
      <w:r w:rsidR="006F5E41">
        <w:rPr>
          <w:rFonts w:ascii="Times New Roman" w:hAnsi="Times New Roman" w:cs="Times New Roman"/>
          <w:sz w:val="22"/>
          <w:szCs w:val="22"/>
        </w:rPr>
        <w:t xml:space="preserve"> on</w:t>
      </w:r>
      <w:r w:rsidR="006219BA">
        <w:rPr>
          <w:rFonts w:ascii="Times New Roman" w:hAnsi="Times New Roman" w:cs="Times New Roman"/>
          <w:sz w:val="22"/>
          <w:szCs w:val="22"/>
        </w:rPr>
        <w:t xml:space="preserve"> Human Rights</w:t>
      </w:r>
      <w:r w:rsidR="004D570A">
        <w:rPr>
          <w:rFonts w:ascii="Times New Roman" w:hAnsi="Times New Roman" w:cs="Times New Roman"/>
          <w:sz w:val="22"/>
          <w:szCs w:val="22"/>
        </w:rPr>
        <w:t xml:space="preserve"> </w:t>
      </w:r>
      <w:r w:rsidR="00135878">
        <w:rPr>
          <w:rFonts w:ascii="Times New Roman" w:hAnsi="Times New Roman" w:cs="Times New Roman"/>
          <w:sz w:val="22"/>
          <w:szCs w:val="22"/>
        </w:rPr>
        <w:t xml:space="preserve">imposes on States the obligation to </w:t>
      </w:r>
      <w:r w:rsidR="004D570A">
        <w:rPr>
          <w:rFonts w:ascii="Times New Roman" w:hAnsi="Times New Roman" w:cs="Times New Roman"/>
          <w:sz w:val="22"/>
          <w:szCs w:val="22"/>
        </w:rPr>
        <w:t xml:space="preserve">adopt all adequate measures to eradicate slavery, servitude, forced labour and trafficking </w:t>
      </w:r>
      <w:r w:rsidR="008C6161">
        <w:rPr>
          <w:rFonts w:ascii="Times New Roman" w:hAnsi="Times New Roman" w:cs="Times New Roman"/>
          <w:sz w:val="22"/>
          <w:szCs w:val="22"/>
        </w:rPr>
        <w:t xml:space="preserve">in persons and prevent </w:t>
      </w:r>
      <w:r w:rsidR="0080489D">
        <w:rPr>
          <w:rFonts w:ascii="Times New Roman" w:hAnsi="Times New Roman" w:cs="Times New Roman"/>
          <w:sz w:val="22"/>
          <w:szCs w:val="22"/>
        </w:rPr>
        <w:t xml:space="preserve">the violation of </w:t>
      </w:r>
      <w:r w:rsidR="008C6161">
        <w:rPr>
          <w:rFonts w:ascii="Times New Roman" w:hAnsi="Times New Roman" w:cs="Times New Roman"/>
          <w:sz w:val="22"/>
          <w:szCs w:val="22"/>
        </w:rPr>
        <w:t>the</w:t>
      </w:r>
      <w:r w:rsidR="000E7A78">
        <w:rPr>
          <w:rFonts w:ascii="Times New Roman" w:hAnsi="Times New Roman" w:cs="Times New Roman"/>
          <w:sz w:val="22"/>
          <w:szCs w:val="22"/>
        </w:rPr>
        <w:t xml:space="preserve"> right</w:t>
      </w:r>
      <w:r w:rsidR="004D570A">
        <w:rPr>
          <w:rFonts w:ascii="Times New Roman" w:hAnsi="Times New Roman" w:cs="Times New Roman"/>
          <w:sz w:val="22"/>
          <w:szCs w:val="22"/>
        </w:rPr>
        <w:t xml:space="preserve"> </w:t>
      </w:r>
      <w:r w:rsidR="0080489D">
        <w:rPr>
          <w:rFonts w:ascii="Times New Roman" w:hAnsi="Times New Roman" w:cs="Times New Roman"/>
          <w:sz w:val="22"/>
          <w:szCs w:val="22"/>
        </w:rPr>
        <w:t>not</w:t>
      </w:r>
      <w:r w:rsidR="000E7A78">
        <w:rPr>
          <w:rFonts w:ascii="Times New Roman" w:hAnsi="Times New Roman" w:cs="Times New Roman"/>
          <w:sz w:val="22"/>
          <w:szCs w:val="22"/>
        </w:rPr>
        <w:t xml:space="preserve"> </w:t>
      </w:r>
      <w:r w:rsidR="00D007A2">
        <w:rPr>
          <w:rFonts w:ascii="Times New Roman" w:hAnsi="Times New Roman" w:cs="Times New Roman"/>
          <w:sz w:val="22"/>
          <w:szCs w:val="22"/>
        </w:rPr>
        <w:t xml:space="preserve">to </w:t>
      </w:r>
      <w:r w:rsidR="004D570A">
        <w:rPr>
          <w:rFonts w:ascii="Times New Roman" w:hAnsi="Times New Roman" w:cs="Times New Roman"/>
          <w:sz w:val="22"/>
          <w:szCs w:val="22"/>
        </w:rPr>
        <w:t xml:space="preserve">be subjected to such practices (para. 317). </w:t>
      </w:r>
      <w:r w:rsidR="008C6161">
        <w:rPr>
          <w:rFonts w:ascii="Times New Roman" w:hAnsi="Times New Roman" w:cs="Times New Roman"/>
          <w:sz w:val="22"/>
          <w:szCs w:val="22"/>
        </w:rPr>
        <w:t>The Court observed that “</w:t>
      </w:r>
      <w:r w:rsidR="00A25222">
        <w:rPr>
          <w:rFonts w:ascii="Times New Roman" w:hAnsi="Times New Roman" w:cs="Times New Roman"/>
          <w:sz w:val="22"/>
          <w:szCs w:val="22"/>
        </w:rPr>
        <w:t xml:space="preserve">[…] </w:t>
      </w:r>
      <w:r w:rsidR="008C6161">
        <w:rPr>
          <w:rFonts w:ascii="Times New Roman" w:hAnsi="Times New Roman" w:cs="Times New Roman"/>
          <w:sz w:val="22"/>
          <w:szCs w:val="22"/>
        </w:rPr>
        <w:t xml:space="preserve">States should adopt comprehensive measures </w:t>
      </w:r>
      <w:r w:rsidR="00733BA9">
        <w:rPr>
          <w:rFonts w:ascii="Times New Roman" w:hAnsi="Times New Roman" w:cs="Times New Roman"/>
          <w:sz w:val="22"/>
          <w:szCs w:val="22"/>
        </w:rPr>
        <w:t xml:space="preserve">in order to comply with the due diligence in cases of servitude, slavery, trafficking in persons and forced labour. Particularly, States should have in place an adequate legal framework that is applied effectively and prevention policies and practices that allow an efficient response to complaints […].” (para. 320). </w:t>
      </w:r>
    </w:p>
    <w:p w14:paraId="1C299BD4" w14:textId="65144655" w:rsidR="00530817" w:rsidRDefault="00377E68" w:rsidP="00204375">
      <w:pPr>
        <w:jc w:val="both"/>
        <w:rPr>
          <w:rFonts w:ascii="Times New Roman" w:hAnsi="Times New Roman" w:cs="Times New Roman"/>
          <w:sz w:val="22"/>
          <w:szCs w:val="22"/>
        </w:rPr>
      </w:pPr>
      <w:r>
        <w:rPr>
          <w:rFonts w:ascii="Times New Roman" w:hAnsi="Times New Roman" w:cs="Times New Roman"/>
          <w:sz w:val="22"/>
          <w:szCs w:val="22"/>
        </w:rPr>
        <w:t>As regards to States’ duty to investigate, t</w:t>
      </w:r>
      <w:r w:rsidR="00FC7776">
        <w:rPr>
          <w:rFonts w:ascii="Times New Roman" w:hAnsi="Times New Roman" w:cs="Times New Roman"/>
          <w:sz w:val="22"/>
          <w:szCs w:val="22"/>
        </w:rPr>
        <w:t xml:space="preserve">he Court </w:t>
      </w:r>
      <w:r>
        <w:rPr>
          <w:rFonts w:ascii="Times New Roman" w:hAnsi="Times New Roman" w:cs="Times New Roman"/>
          <w:sz w:val="22"/>
          <w:szCs w:val="22"/>
        </w:rPr>
        <w:t>observed that</w:t>
      </w:r>
      <w:r w:rsidR="004C3476">
        <w:rPr>
          <w:rFonts w:ascii="Times New Roman" w:hAnsi="Times New Roman" w:cs="Times New Roman"/>
          <w:sz w:val="22"/>
          <w:szCs w:val="22"/>
        </w:rPr>
        <w:t xml:space="preserve"> “when</w:t>
      </w:r>
      <w:r w:rsidR="00FC7776">
        <w:rPr>
          <w:rFonts w:ascii="Times New Roman" w:hAnsi="Times New Roman" w:cs="Times New Roman"/>
          <w:sz w:val="22"/>
          <w:szCs w:val="22"/>
        </w:rPr>
        <w:t xml:space="preserve"> States are aware of an act that constitutes slavery, servitude or trafficking in persons, in the terms provided in article 6 of the American Convention they should initiate </w:t>
      </w:r>
      <w:r w:rsidR="00FC7776" w:rsidRPr="00FC7776">
        <w:rPr>
          <w:rFonts w:ascii="Times New Roman" w:hAnsi="Times New Roman" w:cs="Times New Roman"/>
          <w:i/>
          <w:sz w:val="22"/>
          <w:szCs w:val="22"/>
        </w:rPr>
        <w:t>ex officio</w:t>
      </w:r>
      <w:r w:rsidR="00FC7776">
        <w:rPr>
          <w:rFonts w:ascii="Times New Roman" w:hAnsi="Times New Roman" w:cs="Times New Roman"/>
          <w:sz w:val="22"/>
          <w:szCs w:val="22"/>
        </w:rPr>
        <w:t xml:space="preserve"> </w:t>
      </w:r>
      <w:r w:rsidR="00951134">
        <w:rPr>
          <w:rFonts w:ascii="Times New Roman" w:hAnsi="Times New Roman" w:cs="Times New Roman"/>
          <w:sz w:val="22"/>
          <w:szCs w:val="22"/>
        </w:rPr>
        <w:t xml:space="preserve">the investigation </w:t>
      </w:r>
      <w:r w:rsidR="00051F5F">
        <w:rPr>
          <w:rFonts w:ascii="Times New Roman" w:hAnsi="Times New Roman" w:cs="Times New Roman"/>
          <w:sz w:val="22"/>
          <w:szCs w:val="22"/>
        </w:rPr>
        <w:t>in order to establish the corresponding individual responsibilities”. (</w:t>
      </w:r>
      <w:r w:rsidR="00C0317E">
        <w:rPr>
          <w:rFonts w:ascii="Times New Roman" w:hAnsi="Times New Roman" w:cs="Times New Roman"/>
          <w:sz w:val="22"/>
          <w:szCs w:val="22"/>
        </w:rPr>
        <w:t xml:space="preserve">para. 362). </w:t>
      </w:r>
      <w:r w:rsidR="00526CD9">
        <w:rPr>
          <w:rFonts w:ascii="Times New Roman" w:hAnsi="Times New Roman" w:cs="Times New Roman"/>
          <w:sz w:val="22"/>
          <w:szCs w:val="22"/>
        </w:rPr>
        <w:t>C</w:t>
      </w:r>
      <w:r w:rsidR="006070BD">
        <w:rPr>
          <w:rFonts w:ascii="Times New Roman" w:hAnsi="Times New Roman" w:cs="Times New Roman"/>
          <w:sz w:val="22"/>
          <w:szCs w:val="22"/>
        </w:rPr>
        <w:t xml:space="preserve">ommenting on the effectiveness of the proceedings and the existence </w:t>
      </w:r>
      <w:r w:rsidR="00526CD9">
        <w:rPr>
          <w:rFonts w:ascii="Times New Roman" w:hAnsi="Times New Roman" w:cs="Times New Roman"/>
          <w:sz w:val="22"/>
          <w:szCs w:val="22"/>
        </w:rPr>
        <w:t>of an effective recourse in terms of Article 25 of the American Convention, the Court noted that “[…</w:t>
      </w:r>
      <w:r w:rsidR="00516F6F">
        <w:rPr>
          <w:rFonts w:ascii="Times New Roman" w:hAnsi="Times New Roman" w:cs="Times New Roman"/>
          <w:sz w:val="22"/>
          <w:szCs w:val="22"/>
        </w:rPr>
        <w:t>] the availability</w:t>
      </w:r>
      <w:r w:rsidR="00372774">
        <w:rPr>
          <w:rFonts w:ascii="Times New Roman" w:hAnsi="Times New Roman" w:cs="Times New Roman"/>
          <w:sz w:val="22"/>
          <w:szCs w:val="22"/>
        </w:rPr>
        <w:t xml:space="preserve"> of judicial recourses do</w:t>
      </w:r>
      <w:r w:rsidR="0079408E">
        <w:rPr>
          <w:rFonts w:ascii="Times New Roman" w:hAnsi="Times New Roman" w:cs="Times New Roman"/>
          <w:sz w:val="22"/>
          <w:szCs w:val="22"/>
        </w:rPr>
        <w:t>es</w:t>
      </w:r>
      <w:r w:rsidR="00526CD9">
        <w:rPr>
          <w:rFonts w:ascii="Times New Roman" w:hAnsi="Times New Roman" w:cs="Times New Roman"/>
          <w:sz w:val="22"/>
          <w:szCs w:val="22"/>
        </w:rPr>
        <w:t xml:space="preserve"> not fulfill</w:t>
      </w:r>
      <w:r w:rsidR="005944B8">
        <w:rPr>
          <w:rFonts w:ascii="Times New Roman" w:hAnsi="Times New Roman" w:cs="Times New Roman"/>
          <w:sz w:val="22"/>
          <w:szCs w:val="22"/>
        </w:rPr>
        <w:t xml:space="preserve"> the State’s obligation […]</w:t>
      </w:r>
      <w:r w:rsidR="00526CD9">
        <w:rPr>
          <w:rFonts w:ascii="Times New Roman" w:hAnsi="Times New Roman" w:cs="Times New Roman"/>
          <w:sz w:val="22"/>
          <w:szCs w:val="22"/>
        </w:rPr>
        <w:t xml:space="preserve"> these instruments should be appropriate and effective</w:t>
      </w:r>
      <w:r w:rsidR="00903108">
        <w:rPr>
          <w:rFonts w:ascii="Times New Roman" w:hAnsi="Times New Roman" w:cs="Times New Roman"/>
          <w:sz w:val="22"/>
          <w:szCs w:val="22"/>
        </w:rPr>
        <w:t xml:space="preserve">, and </w:t>
      </w:r>
      <w:r w:rsidR="00CA721C">
        <w:rPr>
          <w:rFonts w:ascii="Times New Roman" w:hAnsi="Times New Roman" w:cs="Times New Roman"/>
          <w:sz w:val="22"/>
          <w:szCs w:val="22"/>
        </w:rPr>
        <w:t>also provide a</w:t>
      </w:r>
      <w:r w:rsidR="00903108">
        <w:rPr>
          <w:rFonts w:ascii="Times New Roman" w:hAnsi="Times New Roman" w:cs="Times New Roman"/>
          <w:sz w:val="22"/>
          <w:szCs w:val="22"/>
        </w:rPr>
        <w:t xml:space="preserve"> timely and exhaustive response according </w:t>
      </w:r>
      <w:r w:rsidR="005F581A">
        <w:rPr>
          <w:rFonts w:ascii="Times New Roman" w:hAnsi="Times New Roman" w:cs="Times New Roman"/>
          <w:sz w:val="22"/>
          <w:szCs w:val="22"/>
        </w:rPr>
        <w:t>to their</w:t>
      </w:r>
      <w:r w:rsidR="0086618F">
        <w:rPr>
          <w:rFonts w:ascii="Times New Roman" w:hAnsi="Times New Roman" w:cs="Times New Roman"/>
          <w:sz w:val="22"/>
          <w:szCs w:val="22"/>
        </w:rPr>
        <w:t xml:space="preserve"> purpose which is</w:t>
      </w:r>
      <w:r w:rsidR="00903108">
        <w:rPr>
          <w:rFonts w:ascii="Times New Roman" w:hAnsi="Times New Roman" w:cs="Times New Roman"/>
          <w:sz w:val="22"/>
          <w:szCs w:val="22"/>
        </w:rPr>
        <w:t xml:space="preserve"> </w:t>
      </w:r>
      <w:r w:rsidR="0086618F">
        <w:rPr>
          <w:rFonts w:ascii="Times New Roman" w:hAnsi="Times New Roman" w:cs="Times New Roman"/>
          <w:sz w:val="22"/>
          <w:szCs w:val="22"/>
        </w:rPr>
        <w:t xml:space="preserve">to </w:t>
      </w:r>
      <w:r w:rsidR="00903108">
        <w:rPr>
          <w:rFonts w:ascii="Times New Roman" w:hAnsi="Times New Roman" w:cs="Times New Roman"/>
          <w:sz w:val="22"/>
          <w:szCs w:val="22"/>
        </w:rPr>
        <w:t>establish responsabilit</w:t>
      </w:r>
      <w:r w:rsidR="005F581A">
        <w:rPr>
          <w:rFonts w:ascii="Times New Roman" w:hAnsi="Times New Roman" w:cs="Times New Roman"/>
          <w:sz w:val="22"/>
          <w:szCs w:val="22"/>
        </w:rPr>
        <w:t xml:space="preserve">ies and provide a remedy to </w:t>
      </w:r>
      <w:r w:rsidR="00903108">
        <w:rPr>
          <w:rFonts w:ascii="Times New Roman" w:hAnsi="Times New Roman" w:cs="Times New Roman"/>
          <w:sz w:val="22"/>
          <w:szCs w:val="22"/>
        </w:rPr>
        <w:t>victims</w:t>
      </w:r>
      <w:r w:rsidR="002B26AF">
        <w:rPr>
          <w:rFonts w:ascii="Times New Roman" w:hAnsi="Times New Roman" w:cs="Times New Roman"/>
          <w:sz w:val="22"/>
          <w:szCs w:val="22"/>
        </w:rPr>
        <w:t xml:space="preserve"> […]</w:t>
      </w:r>
      <w:r w:rsidR="00903108">
        <w:rPr>
          <w:rFonts w:ascii="Times New Roman" w:hAnsi="Times New Roman" w:cs="Times New Roman"/>
          <w:sz w:val="22"/>
          <w:szCs w:val="22"/>
        </w:rPr>
        <w:t>”</w:t>
      </w:r>
      <w:r w:rsidR="0086618F">
        <w:rPr>
          <w:rFonts w:ascii="Times New Roman" w:hAnsi="Times New Roman" w:cs="Times New Roman"/>
          <w:sz w:val="22"/>
          <w:szCs w:val="22"/>
        </w:rPr>
        <w:t xml:space="preserve"> (para. 395)</w:t>
      </w:r>
      <w:r w:rsidR="002B26AF">
        <w:rPr>
          <w:rFonts w:ascii="Times New Roman" w:hAnsi="Times New Roman" w:cs="Times New Roman"/>
          <w:sz w:val="22"/>
          <w:szCs w:val="22"/>
        </w:rPr>
        <w:t>.</w:t>
      </w:r>
      <w:r w:rsidR="00526CD9">
        <w:rPr>
          <w:rFonts w:ascii="Times New Roman" w:hAnsi="Times New Roman" w:cs="Times New Roman"/>
          <w:sz w:val="22"/>
          <w:szCs w:val="22"/>
        </w:rPr>
        <w:t xml:space="preserve">  </w:t>
      </w:r>
    </w:p>
    <w:p w14:paraId="2A3E512A" w14:textId="6AE8EC7C" w:rsidR="000045B9" w:rsidRPr="000402A0" w:rsidRDefault="00FA60D8" w:rsidP="00204375">
      <w:pPr>
        <w:jc w:val="both"/>
        <w:rPr>
          <w:rFonts w:ascii="Times New Roman" w:hAnsi="Times New Roman" w:cs="Times New Roman"/>
          <w:sz w:val="22"/>
          <w:szCs w:val="22"/>
        </w:rPr>
      </w:pPr>
      <w:r>
        <w:rPr>
          <w:rFonts w:ascii="Times New Roman" w:hAnsi="Times New Roman" w:cs="Times New Roman"/>
          <w:sz w:val="22"/>
          <w:szCs w:val="22"/>
        </w:rPr>
        <w:lastRenderedPageBreak/>
        <w:t xml:space="preserve">In relation to </w:t>
      </w:r>
      <w:r w:rsidR="00530817">
        <w:rPr>
          <w:rFonts w:ascii="Times New Roman" w:hAnsi="Times New Roman" w:cs="Times New Roman"/>
          <w:sz w:val="22"/>
          <w:szCs w:val="22"/>
        </w:rPr>
        <w:t xml:space="preserve">the imprescriptibility of the crime of slavery, the Court established that “i) slavery and its analogous forms constitute a crime of international law, ii) their prohibition by international law is a </w:t>
      </w:r>
      <w:r w:rsidR="00530817" w:rsidRPr="00DB5813">
        <w:rPr>
          <w:rFonts w:ascii="Times New Roman" w:hAnsi="Times New Roman" w:cs="Times New Roman"/>
          <w:i/>
          <w:sz w:val="22"/>
          <w:szCs w:val="22"/>
        </w:rPr>
        <w:t>jus cogens</w:t>
      </w:r>
      <w:r w:rsidR="00530817">
        <w:rPr>
          <w:rFonts w:ascii="Times New Roman" w:hAnsi="Times New Roman" w:cs="Times New Roman"/>
          <w:sz w:val="22"/>
          <w:szCs w:val="22"/>
        </w:rPr>
        <w:t xml:space="preserve"> norm”</w:t>
      </w:r>
      <w:r w:rsidR="00812965">
        <w:rPr>
          <w:rFonts w:ascii="Times New Roman" w:hAnsi="Times New Roman" w:cs="Times New Roman"/>
          <w:sz w:val="22"/>
          <w:szCs w:val="22"/>
        </w:rPr>
        <w:t xml:space="preserve"> (para. 413)</w:t>
      </w:r>
      <w:r w:rsidR="00530817">
        <w:rPr>
          <w:rFonts w:ascii="Times New Roman" w:hAnsi="Times New Roman" w:cs="Times New Roman"/>
          <w:sz w:val="22"/>
          <w:szCs w:val="22"/>
        </w:rPr>
        <w:t>.</w:t>
      </w:r>
      <w:r w:rsidR="00617171">
        <w:rPr>
          <w:rFonts w:ascii="Times New Roman" w:hAnsi="Times New Roman" w:cs="Times New Roman"/>
          <w:sz w:val="22"/>
          <w:szCs w:val="22"/>
        </w:rPr>
        <w:t xml:space="preserve"> </w:t>
      </w:r>
      <w:r w:rsidR="00530817">
        <w:rPr>
          <w:rFonts w:ascii="Times New Roman" w:hAnsi="Times New Roman" w:cs="Times New Roman"/>
          <w:sz w:val="22"/>
          <w:szCs w:val="22"/>
        </w:rPr>
        <w:t xml:space="preserve">Consequently, the Court considered that the prescription of the crimes of subjecting someone to a condition of slave and its analogous forms is “incompatible with the obligation of the State [Brazil] to adapt its internal law to international standards […] [I]n this case the implementation of the prescription [to the crime of </w:t>
      </w:r>
      <w:r w:rsidR="0084313F">
        <w:rPr>
          <w:rFonts w:ascii="Times New Roman" w:hAnsi="Times New Roman" w:cs="Times New Roman"/>
          <w:sz w:val="22"/>
          <w:szCs w:val="22"/>
        </w:rPr>
        <w:t>‘</w:t>
      </w:r>
      <w:r w:rsidR="00530817">
        <w:rPr>
          <w:rFonts w:ascii="Times New Roman" w:hAnsi="Times New Roman" w:cs="Times New Roman"/>
          <w:sz w:val="22"/>
          <w:szCs w:val="22"/>
        </w:rPr>
        <w:t>reducing someone to a condition analogous to slavery</w:t>
      </w:r>
      <w:r w:rsidR="0084313F">
        <w:rPr>
          <w:rFonts w:ascii="Times New Roman" w:hAnsi="Times New Roman" w:cs="Times New Roman"/>
          <w:sz w:val="22"/>
          <w:szCs w:val="22"/>
        </w:rPr>
        <w:t>’</w:t>
      </w:r>
      <w:r w:rsidR="00530817">
        <w:rPr>
          <w:rStyle w:val="FootnoteReference"/>
          <w:rFonts w:ascii="Times New Roman" w:hAnsi="Times New Roman" w:cs="Times New Roman"/>
          <w:sz w:val="22"/>
          <w:szCs w:val="22"/>
        </w:rPr>
        <w:footnoteReference w:id="13"/>
      </w:r>
      <w:r w:rsidR="00530817">
        <w:rPr>
          <w:rFonts w:ascii="Times New Roman" w:hAnsi="Times New Roman" w:cs="Times New Roman"/>
          <w:sz w:val="22"/>
          <w:szCs w:val="22"/>
        </w:rPr>
        <w:t xml:space="preserve">] constituted an obstacle for the investigation of the facts, the sanction of those responsible and reparation of the victims […]”. The Court ordered the State to adopt the necessary legislative measures to </w:t>
      </w:r>
      <w:r w:rsidR="004C3476">
        <w:rPr>
          <w:rFonts w:ascii="Times New Roman" w:hAnsi="Times New Roman" w:cs="Times New Roman"/>
          <w:sz w:val="22"/>
          <w:szCs w:val="22"/>
        </w:rPr>
        <w:t>ensure</w:t>
      </w:r>
      <w:r w:rsidR="00530817">
        <w:rPr>
          <w:rFonts w:ascii="Times New Roman" w:hAnsi="Times New Roman" w:cs="Times New Roman"/>
          <w:sz w:val="22"/>
          <w:szCs w:val="22"/>
        </w:rPr>
        <w:t xml:space="preserve"> that prescription is not applied to reducing someone to slavery and its analogous forms</w:t>
      </w:r>
      <w:r w:rsidR="007B62BA">
        <w:rPr>
          <w:rFonts w:ascii="Times New Roman" w:hAnsi="Times New Roman" w:cs="Times New Roman"/>
          <w:sz w:val="22"/>
          <w:szCs w:val="22"/>
        </w:rPr>
        <w:t xml:space="preserve"> (para. 455)</w:t>
      </w:r>
      <w:r w:rsidR="005743E3">
        <w:rPr>
          <w:rFonts w:ascii="Times New Roman" w:hAnsi="Times New Roman" w:cs="Times New Roman"/>
          <w:sz w:val="22"/>
          <w:szCs w:val="22"/>
        </w:rPr>
        <w:t xml:space="preserve">; and </w:t>
      </w:r>
      <w:r w:rsidR="000045B9">
        <w:rPr>
          <w:rFonts w:ascii="Times New Roman" w:hAnsi="Times New Roman" w:cs="Times New Roman"/>
          <w:sz w:val="22"/>
          <w:szCs w:val="22"/>
        </w:rPr>
        <w:t>concluded that the</w:t>
      </w:r>
      <w:r w:rsidR="00CC70A8">
        <w:rPr>
          <w:rFonts w:ascii="Times New Roman" w:hAnsi="Times New Roman" w:cs="Times New Roman"/>
          <w:sz w:val="22"/>
          <w:szCs w:val="22"/>
        </w:rPr>
        <w:t>re had been a violation of artic</w:t>
      </w:r>
      <w:r w:rsidR="00ED507F">
        <w:rPr>
          <w:rFonts w:ascii="Times New Roman" w:hAnsi="Times New Roman" w:cs="Times New Roman"/>
          <w:sz w:val="22"/>
          <w:szCs w:val="22"/>
        </w:rPr>
        <w:t>le</w:t>
      </w:r>
      <w:r w:rsidR="00CC70A8">
        <w:rPr>
          <w:rFonts w:ascii="Times New Roman" w:hAnsi="Times New Roman" w:cs="Times New Roman"/>
          <w:sz w:val="22"/>
          <w:szCs w:val="22"/>
        </w:rPr>
        <w:t xml:space="preserve"> 6.1</w:t>
      </w:r>
      <w:r w:rsidR="00815E28">
        <w:rPr>
          <w:rFonts w:ascii="Times New Roman" w:hAnsi="Times New Roman" w:cs="Times New Roman"/>
          <w:sz w:val="22"/>
          <w:szCs w:val="22"/>
        </w:rPr>
        <w:t xml:space="preserve"> of the American Convention. </w:t>
      </w:r>
    </w:p>
    <w:p w14:paraId="3D8E486A" w14:textId="4DF75E12" w:rsidR="00140B22" w:rsidRDefault="007424E1" w:rsidP="003C465E">
      <w:pPr>
        <w:rPr>
          <w:rFonts w:ascii="Times New Roman" w:hAnsi="Times New Roman" w:cs="Times New Roman"/>
          <w:sz w:val="22"/>
          <w:szCs w:val="22"/>
        </w:rPr>
      </w:pPr>
      <w:r w:rsidRPr="007424E1">
        <w:rPr>
          <w:rFonts w:ascii="Times New Roman" w:hAnsi="Times New Roman" w:cs="Times New Roman"/>
          <w:b/>
          <w:sz w:val="22"/>
          <w:szCs w:val="22"/>
        </w:rPr>
        <w:t>C.</w:t>
      </w:r>
      <w:r>
        <w:rPr>
          <w:rFonts w:ascii="Times New Roman" w:hAnsi="Times New Roman" w:cs="Times New Roman"/>
          <w:sz w:val="22"/>
          <w:szCs w:val="22"/>
        </w:rPr>
        <w:t xml:space="preserve"> The International Criminal Tribunal for the Former Yugoslavia</w:t>
      </w:r>
    </w:p>
    <w:p w14:paraId="16B8E35E" w14:textId="05CA12BA" w:rsidR="007424E1" w:rsidRPr="00FF4A24" w:rsidRDefault="00FF4A24" w:rsidP="003C465E">
      <w:pPr>
        <w:rPr>
          <w:rFonts w:ascii="Times New Roman" w:hAnsi="Times New Roman" w:cs="Times New Roman"/>
          <w:i/>
          <w:sz w:val="22"/>
          <w:szCs w:val="22"/>
        </w:rPr>
      </w:pPr>
      <w:r w:rsidRPr="00FF4A24">
        <w:rPr>
          <w:rFonts w:ascii="Times New Roman" w:hAnsi="Times New Roman" w:cs="Times New Roman"/>
          <w:i/>
          <w:sz w:val="22"/>
          <w:szCs w:val="22"/>
        </w:rPr>
        <w:t>Prosecutor v Dragoljub Kunarac, Radomir Kovac and Zoran Vukovic</w:t>
      </w:r>
    </w:p>
    <w:p w14:paraId="2C1B2AD3" w14:textId="175D59FE" w:rsidR="00631173" w:rsidRDefault="00085283" w:rsidP="00B2228E">
      <w:pPr>
        <w:jc w:val="both"/>
        <w:rPr>
          <w:rFonts w:ascii="Times New Roman" w:hAnsi="Times New Roman" w:cs="Times New Roman"/>
          <w:sz w:val="22"/>
          <w:szCs w:val="22"/>
        </w:rPr>
      </w:pPr>
      <w:r>
        <w:rPr>
          <w:rFonts w:ascii="Times New Roman" w:hAnsi="Times New Roman" w:cs="Times New Roman"/>
          <w:sz w:val="22"/>
          <w:szCs w:val="22"/>
        </w:rPr>
        <w:t xml:space="preserve">In 2001, the International Criminal Tribunal for the Former Yugoslavia issued </w:t>
      </w:r>
      <w:r w:rsidR="00E83A6C">
        <w:rPr>
          <w:rFonts w:ascii="Times New Roman" w:hAnsi="Times New Roman" w:cs="Times New Roman"/>
          <w:sz w:val="22"/>
          <w:szCs w:val="22"/>
        </w:rPr>
        <w:t xml:space="preserve">a </w:t>
      </w:r>
      <w:r>
        <w:rPr>
          <w:rFonts w:ascii="Times New Roman" w:hAnsi="Times New Roman" w:cs="Times New Roman"/>
          <w:sz w:val="22"/>
          <w:szCs w:val="22"/>
        </w:rPr>
        <w:t xml:space="preserve">decision in the </w:t>
      </w:r>
      <w:r w:rsidRPr="00085283">
        <w:rPr>
          <w:rFonts w:ascii="Times New Roman" w:hAnsi="Times New Roman" w:cs="Times New Roman"/>
          <w:i/>
          <w:sz w:val="22"/>
          <w:szCs w:val="22"/>
        </w:rPr>
        <w:t>Kunarac</w:t>
      </w:r>
      <w:r w:rsidR="00B2228E">
        <w:rPr>
          <w:rFonts w:ascii="Times New Roman" w:hAnsi="Times New Roman" w:cs="Times New Roman"/>
          <w:sz w:val="22"/>
          <w:szCs w:val="22"/>
        </w:rPr>
        <w:t xml:space="preserve"> case</w:t>
      </w:r>
      <w:r w:rsidR="006B6E3D">
        <w:rPr>
          <w:rFonts w:ascii="Times New Roman" w:hAnsi="Times New Roman" w:cs="Times New Roman"/>
          <w:sz w:val="22"/>
          <w:szCs w:val="22"/>
        </w:rPr>
        <w:t xml:space="preserve">, </w:t>
      </w:r>
      <w:r w:rsidR="007A0057">
        <w:rPr>
          <w:rFonts w:ascii="Times New Roman" w:hAnsi="Times New Roman" w:cs="Times New Roman"/>
          <w:sz w:val="22"/>
          <w:szCs w:val="22"/>
        </w:rPr>
        <w:t>the charges included ‘enslavement’.</w:t>
      </w:r>
      <w:r w:rsidR="00B315EA">
        <w:rPr>
          <w:rStyle w:val="FootnoteReference"/>
          <w:rFonts w:ascii="Times New Roman" w:hAnsi="Times New Roman" w:cs="Times New Roman"/>
          <w:sz w:val="22"/>
          <w:szCs w:val="22"/>
        </w:rPr>
        <w:footnoteReference w:id="14"/>
      </w:r>
      <w:r w:rsidR="007A0057">
        <w:rPr>
          <w:rFonts w:ascii="Times New Roman" w:hAnsi="Times New Roman" w:cs="Times New Roman"/>
          <w:sz w:val="22"/>
          <w:szCs w:val="22"/>
        </w:rPr>
        <w:t xml:space="preserve"> The case concerned</w:t>
      </w:r>
      <w:r w:rsidR="00B2228E">
        <w:rPr>
          <w:rFonts w:ascii="Times New Roman" w:hAnsi="Times New Roman" w:cs="Times New Roman"/>
          <w:sz w:val="22"/>
          <w:szCs w:val="22"/>
        </w:rPr>
        <w:t xml:space="preserve"> the coercive detention and transportation of women and children to </w:t>
      </w:r>
      <w:r w:rsidR="00B2228E" w:rsidRPr="00B2228E">
        <w:rPr>
          <w:rFonts w:ascii="Times New Roman" w:hAnsi="Times New Roman" w:cs="Times New Roman"/>
          <w:i/>
          <w:sz w:val="22"/>
          <w:szCs w:val="22"/>
        </w:rPr>
        <w:t>de facto</w:t>
      </w:r>
      <w:r w:rsidR="00B2228E">
        <w:rPr>
          <w:rFonts w:ascii="Times New Roman" w:hAnsi="Times New Roman" w:cs="Times New Roman"/>
          <w:sz w:val="22"/>
          <w:szCs w:val="22"/>
        </w:rPr>
        <w:t xml:space="preserve"> </w:t>
      </w:r>
      <w:r w:rsidR="00FE5767">
        <w:rPr>
          <w:rFonts w:ascii="Times New Roman" w:hAnsi="Times New Roman" w:cs="Times New Roman"/>
          <w:sz w:val="22"/>
          <w:szCs w:val="22"/>
        </w:rPr>
        <w:t>military quarters in the Foca area of the former Yugoslavia –houses, apa</w:t>
      </w:r>
      <w:r w:rsidR="004B74EC">
        <w:rPr>
          <w:rFonts w:ascii="Times New Roman" w:hAnsi="Times New Roman" w:cs="Times New Roman"/>
          <w:sz w:val="22"/>
          <w:szCs w:val="22"/>
        </w:rPr>
        <w:t xml:space="preserve">rtments, and detention centers; they were subjected to various forms of forced labour, including cooking and cleaning, as well as demands for sexual services. </w:t>
      </w:r>
      <w:r w:rsidR="001E2179">
        <w:rPr>
          <w:rFonts w:ascii="Times New Roman" w:hAnsi="Times New Roman" w:cs="Times New Roman"/>
          <w:sz w:val="22"/>
          <w:szCs w:val="22"/>
        </w:rPr>
        <w:t xml:space="preserve">The Trial Chamber </w:t>
      </w:r>
      <w:r w:rsidR="00C13F0C">
        <w:rPr>
          <w:rFonts w:ascii="Times New Roman" w:hAnsi="Times New Roman" w:cs="Times New Roman"/>
          <w:sz w:val="22"/>
          <w:szCs w:val="22"/>
        </w:rPr>
        <w:t>held that the victims had been subjected to enslavement, a crime against humanity</w:t>
      </w:r>
      <w:r w:rsidR="00306ACE">
        <w:rPr>
          <w:rFonts w:ascii="Times New Roman" w:hAnsi="Times New Roman" w:cs="Times New Roman"/>
          <w:sz w:val="22"/>
          <w:szCs w:val="22"/>
        </w:rPr>
        <w:t>; i</w:t>
      </w:r>
      <w:r w:rsidR="00444FF3">
        <w:rPr>
          <w:rFonts w:ascii="Times New Roman" w:hAnsi="Times New Roman" w:cs="Times New Roman"/>
          <w:sz w:val="22"/>
          <w:szCs w:val="22"/>
        </w:rPr>
        <w:t>t noted</w:t>
      </w:r>
      <w:r w:rsidR="00C13F0C">
        <w:rPr>
          <w:rFonts w:ascii="Times New Roman" w:hAnsi="Times New Roman" w:cs="Times New Roman"/>
          <w:sz w:val="22"/>
          <w:szCs w:val="22"/>
        </w:rPr>
        <w:t xml:space="preserve"> that enslavement </w:t>
      </w:r>
      <w:r w:rsidR="00DB43E0">
        <w:rPr>
          <w:rFonts w:ascii="Times New Roman" w:hAnsi="Times New Roman" w:cs="Times New Roman"/>
          <w:sz w:val="22"/>
          <w:szCs w:val="22"/>
        </w:rPr>
        <w:t>consisted of the exercise of</w:t>
      </w:r>
      <w:r w:rsidR="00C13F0C">
        <w:rPr>
          <w:rFonts w:ascii="Times New Roman" w:hAnsi="Times New Roman" w:cs="Times New Roman"/>
          <w:sz w:val="22"/>
          <w:szCs w:val="22"/>
        </w:rPr>
        <w:t xml:space="preserve"> any or all of the powers attaching to the right of ownership over </w:t>
      </w:r>
      <w:r w:rsidR="00306ACE">
        <w:rPr>
          <w:rFonts w:ascii="Times New Roman" w:hAnsi="Times New Roman" w:cs="Times New Roman"/>
          <w:sz w:val="22"/>
          <w:szCs w:val="22"/>
        </w:rPr>
        <w:t>a person (para. 539).</w:t>
      </w:r>
      <w:r w:rsidR="00DB43E0">
        <w:rPr>
          <w:rFonts w:ascii="Times New Roman" w:hAnsi="Times New Roman" w:cs="Times New Roman"/>
          <w:sz w:val="22"/>
          <w:szCs w:val="22"/>
        </w:rPr>
        <w:t xml:space="preserve"> </w:t>
      </w:r>
      <w:r w:rsidR="00A4439E">
        <w:rPr>
          <w:rFonts w:ascii="Times New Roman" w:hAnsi="Times New Roman" w:cs="Times New Roman"/>
          <w:sz w:val="22"/>
          <w:szCs w:val="22"/>
        </w:rPr>
        <w:t>It</w:t>
      </w:r>
      <w:r w:rsidR="00B23067">
        <w:rPr>
          <w:rFonts w:ascii="Times New Roman" w:hAnsi="Times New Roman" w:cs="Times New Roman"/>
          <w:sz w:val="22"/>
          <w:szCs w:val="22"/>
        </w:rPr>
        <w:t xml:space="preserve"> found “that </w:t>
      </w:r>
      <w:r w:rsidR="00DB43E0">
        <w:rPr>
          <w:rFonts w:ascii="Times New Roman" w:hAnsi="Times New Roman" w:cs="Times New Roman"/>
          <w:sz w:val="22"/>
          <w:szCs w:val="22"/>
        </w:rPr>
        <w:t xml:space="preserve">the </w:t>
      </w:r>
      <w:r w:rsidR="00DB43E0" w:rsidRPr="00DB43E0">
        <w:rPr>
          <w:rFonts w:ascii="Times New Roman" w:hAnsi="Times New Roman" w:cs="Times New Roman"/>
          <w:i/>
          <w:sz w:val="22"/>
          <w:szCs w:val="22"/>
        </w:rPr>
        <w:t>actus reus</w:t>
      </w:r>
      <w:r w:rsidR="00DB43E0">
        <w:rPr>
          <w:rFonts w:ascii="Times New Roman" w:hAnsi="Times New Roman" w:cs="Times New Roman"/>
          <w:i/>
          <w:sz w:val="22"/>
          <w:szCs w:val="22"/>
        </w:rPr>
        <w:t xml:space="preserve"> </w:t>
      </w:r>
      <w:r w:rsidR="00DB43E0">
        <w:rPr>
          <w:rFonts w:ascii="Times New Roman" w:hAnsi="Times New Roman" w:cs="Times New Roman"/>
          <w:sz w:val="22"/>
          <w:szCs w:val="22"/>
        </w:rPr>
        <w:t xml:space="preserve">of the violation is the exercise of any or all of the powers attaching to the right of ownership over a person and the </w:t>
      </w:r>
      <w:r w:rsidR="00DB43E0" w:rsidRPr="00DB43E0">
        <w:rPr>
          <w:rFonts w:ascii="Times New Roman" w:hAnsi="Times New Roman" w:cs="Times New Roman"/>
          <w:i/>
          <w:sz w:val="22"/>
          <w:szCs w:val="22"/>
        </w:rPr>
        <w:t>mens rea</w:t>
      </w:r>
      <w:r w:rsidR="00DB43E0">
        <w:rPr>
          <w:rFonts w:ascii="Times New Roman" w:hAnsi="Times New Roman" w:cs="Times New Roman"/>
          <w:sz w:val="22"/>
          <w:szCs w:val="22"/>
        </w:rPr>
        <w:t xml:space="preserve"> </w:t>
      </w:r>
      <w:r w:rsidR="003E317B">
        <w:rPr>
          <w:rFonts w:ascii="Times New Roman" w:hAnsi="Times New Roman" w:cs="Times New Roman"/>
          <w:sz w:val="22"/>
          <w:szCs w:val="22"/>
        </w:rPr>
        <w:t>consists in the intentional exercise of such powers</w:t>
      </w:r>
      <w:r w:rsidR="00B23067">
        <w:rPr>
          <w:rFonts w:ascii="Times New Roman" w:hAnsi="Times New Roman" w:cs="Times New Roman"/>
          <w:sz w:val="22"/>
          <w:szCs w:val="22"/>
        </w:rPr>
        <w:t>”</w:t>
      </w:r>
      <w:r w:rsidR="00067DA5">
        <w:rPr>
          <w:rFonts w:ascii="Times New Roman" w:hAnsi="Times New Roman" w:cs="Times New Roman"/>
          <w:sz w:val="22"/>
          <w:szCs w:val="22"/>
        </w:rPr>
        <w:t xml:space="preserve"> (para</w:t>
      </w:r>
      <w:r w:rsidR="00B23067">
        <w:rPr>
          <w:rFonts w:ascii="Times New Roman" w:hAnsi="Times New Roman" w:cs="Times New Roman"/>
          <w:sz w:val="22"/>
          <w:szCs w:val="22"/>
        </w:rPr>
        <w:t xml:space="preserve">. </w:t>
      </w:r>
      <w:r w:rsidR="003E317B">
        <w:rPr>
          <w:rFonts w:ascii="Times New Roman" w:hAnsi="Times New Roman" w:cs="Times New Roman"/>
          <w:sz w:val="22"/>
          <w:szCs w:val="22"/>
        </w:rPr>
        <w:t xml:space="preserve">540). </w:t>
      </w:r>
    </w:p>
    <w:p w14:paraId="0802E5EC" w14:textId="1A159C8E" w:rsidR="008D4F14" w:rsidRDefault="00E325C0" w:rsidP="00B2228E">
      <w:pPr>
        <w:jc w:val="both"/>
        <w:rPr>
          <w:rFonts w:ascii="Times New Roman" w:hAnsi="Times New Roman" w:cs="Times New Roman"/>
          <w:sz w:val="22"/>
          <w:szCs w:val="22"/>
        </w:rPr>
      </w:pPr>
      <w:r>
        <w:rPr>
          <w:rFonts w:ascii="Times New Roman" w:hAnsi="Times New Roman" w:cs="Times New Roman"/>
          <w:sz w:val="22"/>
          <w:szCs w:val="22"/>
        </w:rPr>
        <w:t>The accused appeal</w:t>
      </w:r>
      <w:r w:rsidR="00276291">
        <w:rPr>
          <w:rFonts w:ascii="Times New Roman" w:hAnsi="Times New Roman" w:cs="Times New Roman"/>
          <w:sz w:val="22"/>
          <w:szCs w:val="22"/>
        </w:rPr>
        <w:t>ed</w:t>
      </w:r>
      <w:r>
        <w:rPr>
          <w:rFonts w:ascii="Times New Roman" w:hAnsi="Times New Roman" w:cs="Times New Roman"/>
          <w:sz w:val="22"/>
          <w:szCs w:val="22"/>
        </w:rPr>
        <w:t xml:space="preserve">, inter alia on the ground </w:t>
      </w:r>
      <w:r w:rsidR="00026762">
        <w:rPr>
          <w:rFonts w:ascii="Times New Roman" w:hAnsi="Times New Roman" w:cs="Times New Roman"/>
          <w:sz w:val="22"/>
          <w:szCs w:val="22"/>
        </w:rPr>
        <w:t xml:space="preserve">that the victims had freedom of movement within and outside the apartment and that they undertook the household chores willingly (para. 108).  </w:t>
      </w:r>
      <w:r w:rsidR="00631173">
        <w:rPr>
          <w:rFonts w:ascii="Times New Roman" w:hAnsi="Times New Roman" w:cs="Times New Roman"/>
          <w:sz w:val="22"/>
          <w:szCs w:val="22"/>
        </w:rPr>
        <w:t>The Appeals Chamber noted that “the traditional concept of slavery, as defined in the 1926 Slavery Convention and often referred to as “chattel slavery”, has evolved to encompass various contemporary forms of slavery which are also based on the exercise of any or all of the powers atta</w:t>
      </w:r>
      <w:r w:rsidR="00C7606E">
        <w:rPr>
          <w:rFonts w:ascii="Times New Roman" w:hAnsi="Times New Roman" w:cs="Times New Roman"/>
          <w:sz w:val="22"/>
          <w:szCs w:val="22"/>
        </w:rPr>
        <w:t>c</w:t>
      </w:r>
      <w:r w:rsidR="001A7D1C">
        <w:rPr>
          <w:rFonts w:ascii="Times New Roman" w:hAnsi="Times New Roman" w:cs="Times New Roman"/>
          <w:sz w:val="22"/>
          <w:szCs w:val="22"/>
        </w:rPr>
        <w:t xml:space="preserve">hing to the right of ownership. In the case of these various contemporary forms of slavery, the victim is not subject to the more extreme rights of ownership associated with “chattel slavery”, but in all cases, </w:t>
      </w:r>
      <w:r w:rsidR="00F102F9">
        <w:rPr>
          <w:rFonts w:ascii="Times New Roman" w:hAnsi="Times New Roman" w:cs="Times New Roman"/>
          <w:sz w:val="22"/>
          <w:szCs w:val="22"/>
        </w:rPr>
        <w:t>as a result of the exercise of any or all of the powers attaching to the right of ownership, there is some destruction of the juridical personality […]”</w:t>
      </w:r>
      <w:r w:rsidR="00621E0F">
        <w:rPr>
          <w:rFonts w:ascii="Times New Roman" w:hAnsi="Times New Roman" w:cs="Times New Roman"/>
          <w:sz w:val="22"/>
          <w:szCs w:val="22"/>
        </w:rPr>
        <w:t xml:space="preserve"> (para. 117)</w:t>
      </w:r>
      <w:r w:rsidR="00802CDC">
        <w:rPr>
          <w:rFonts w:ascii="Times New Roman" w:hAnsi="Times New Roman" w:cs="Times New Roman"/>
          <w:sz w:val="22"/>
          <w:szCs w:val="22"/>
        </w:rPr>
        <w:t>.</w:t>
      </w:r>
      <w:r w:rsidR="00621E0F">
        <w:rPr>
          <w:rFonts w:ascii="Times New Roman" w:hAnsi="Times New Roman" w:cs="Times New Roman"/>
          <w:sz w:val="22"/>
          <w:szCs w:val="22"/>
        </w:rPr>
        <w:t xml:space="preserve"> </w:t>
      </w:r>
      <w:r w:rsidR="00D313BB">
        <w:rPr>
          <w:rFonts w:ascii="Times New Roman" w:hAnsi="Times New Roman" w:cs="Times New Roman"/>
          <w:sz w:val="22"/>
          <w:szCs w:val="22"/>
        </w:rPr>
        <w:t>Furthermore, the Appeals Chamber noted that the question whether a particular phenomenon is a form of enslavement will depend on the operation of the factors or indicia of enslavement; these factors include: the control of someone’s movement, control of physical environment, psychological control, measures taken to prevent or deter escape, force, threat of force or coercion, duration, assertion of exclusivity, subjection to cruel treatment and abuse, control</w:t>
      </w:r>
      <w:r w:rsidR="0077268A">
        <w:rPr>
          <w:rFonts w:ascii="Times New Roman" w:hAnsi="Times New Roman" w:cs="Times New Roman"/>
          <w:sz w:val="22"/>
          <w:szCs w:val="22"/>
        </w:rPr>
        <w:t xml:space="preserve"> of sexuality and forced labour</w:t>
      </w:r>
      <w:r w:rsidR="00D313BB">
        <w:rPr>
          <w:rFonts w:ascii="Times New Roman" w:hAnsi="Times New Roman" w:cs="Times New Roman"/>
          <w:sz w:val="22"/>
          <w:szCs w:val="22"/>
        </w:rPr>
        <w:t xml:space="preserve"> (para. </w:t>
      </w:r>
      <w:r w:rsidR="00393B24">
        <w:rPr>
          <w:rFonts w:ascii="Times New Roman" w:hAnsi="Times New Roman" w:cs="Times New Roman"/>
          <w:sz w:val="22"/>
          <w:szCs w:val="22"/>
        </w:rPr>
        <w:t xml:space="preserve">119, quoting the Trial Chamber judgment). </w:t>
      </w:r>
    </w:p>
    <w:p w14:paraId="47C54C22" w14:textId="77777777" w:rsidR="00CE019E" w:rsidRDefault="00CE019E" w:rsidP="00B2228E">
      <w:pPr>
        <w:jc w:val="both"/>
        <w:rPr>
          <w:rFonts w:ascii="Times New Roman" w:hAnsi="Times New Roman" w:cs="Times New Roman"/>
          <w:sz w:val="22"/>
          <w:szCs w:val="22"/>
        </w:rPr>
      </w:pPr>
    </w:p>
    <w:p w14:paraId="43F2742C" w14:textId="77777777" w:rsidR="00587D9C" w:rsidRPr="00BE1383" w:rsidRDefault="0028770F" w:rsidP="00B2228E">
      <w:pPr>
        <w:jc w:val="both"/>
        <w:rPr>
          <w:rFonts w:ascii="Times New Roman" w:hAnsi="Times New Roman" w:cs="Times New Roman"/>
          <w:sz w:val="22"/>
          <w:szCs w:val="22"/>
          <w:lang w:val="es-ES"/>
        </w:rPr>
      </w:pPr>
      <w:r w:rsidRPr="00BE1383">
        <w:rPr>
          <w:rFonts w:ascii="Times New Roman" w:hAnsi="Times New Roman" w:cs="Times New Roman"/>
          <w:b/>
          <w:sz w:val="22"/>
          <w:szCs w:val="22"/>
          <w:lang w:val="es-ES"/>
        </w:rPr>
        <w:lastRenderedPageBreak/>
        <w:t>D.</w:t>
      </w:r>
      <w:r w:rsidRPr="00BE1383">
        <w:rPr>
          <w:rFonts w:ascii="Times New Roman" w:hAnsi="Times New Roman" w:cs="Times New Roman"/>
          <w:sz w:val="22"/>
          <w:szCs w:val="22"/>
          <w:lang w:val="es-ES"/>
        </w:rPr>
        <w:t xml:space="preserve"> </w:t>
      </w:r>
      <w:r w:rsidR="00587D9C" w:rsidRPr="00BE1383">
        <w:rPr>
          <w:rFonts w:ascii="Times New Roman" w:hAnsi="Times New Roman" w:cs="Times New Roman"/>
          <w:sz w:val="22"/>
          <w:szCs w:val="22"/>
          <w:lang w:val="es-ES"/>
        </w:rPr>
        <w:t>Australia</w:t>
      </w:r>
      <w:r w:rsidR="007433DA" w:rsidRPr="00BE1383">
        <w:rPr>
          <w:rFonts w:ascii="Times New Roman" w:hAnsi="Times New Roman" w:cs="Times New Roman"/>
          <w:sz w:val="22"/>
          <w:szCs w:val="22"/>
          <w:lang w:val="es-ES"/>
        </w:rPr>
        <w:t xml:space="preserve"> </w:t>
      </w:r>
    </w:p>
    <w:p w14:paraId="7AF3E70A" w14:textId="475F9154" w:rsidR="00CE40FA" w:rsidRPr="00BE1383" w:rsidRDefault="007433DA" w:rsidP="00B2228E">
      <w:pPr>
        <w:jc w:val="both"/>
        <w:rPr>
          <w:rFonts w:ascii="Times New Roman" w:hAnsi="Times New Roman" w:cs="Times New Roman"/>
          <w:i/>
          <w:sz w:val="22"/>
          <w:szCs w:val="22"/>
          <w:lang w:val="es-ES"/>
        </w:rPr>
      </w:pPr>
      <w:r w:rsidRPr="00BE1383">
        <w:rPr>
          <w:rFonts w:ascii="Times New Roman" w:hAnsi="Times New Roman" w:cs="Times New Roman"/>
          <w:i/>
          <w:sz w:val="22"/>
          <w:szCs w:val="22"/>
          <w:lang w:val="es-ES"/>
        </w:rPr>
        <w:t xml:space="preserve">Regina v Wei Tang </w:t>
      </w:r>
    </w:p>
    <w:p w14:paraId="50B672EA" w14:textId="10F3401F" w:rsidR="00F67F77" w:rsidRDefault="00B92B29" w:rsidP="00B2228E">
      <w:pPr>
        <w:jc w:val="both"/>
        <w:rPr>
          <w:rFonts w:ascii="Times New Roman" w:hAnsi="Times New Roman" w:cs="Times New Roman"/>
          <w:sz w:val="22"/>
          <w:szCs w:val="22"/>
        </w:rPr>
      </w:pPr>
      <w:r>
        <w:rPr>
          <w:rFonts w:ascii="Times New Roman" w:hAnsi="Times New Roman" w:cs="Times New Roman"/>
          <w:sz w:val="22"/>
          <w:szCs w:val="22"/>
        </w:rPr>
        <w:t xml:space="preserve">The definition of slavery and its implementation to contemporary circumstances </w:t>
      </w:r>
      <w:r w:rsidR="00993DC0">
        <w:rPr>
          <w:rFonts w:ascii="Times New Roman" w:hAnsi="Times New Roman" w:cs="Times New Roman"/>
          <w:sz w:val="22"/>
          <w:szCs w:val="22"/>
        </w:rPr>
        <w:t>w</w:t>
      </w:r>
      <w:r>
        <w:rPr>
          <w:rFonts w:ascii="Times New Roman" w:hAnsi="Times New Roman" w:cs="Times New Roman"/>
          <w:sz w:val="22"/>
          <w:szCs w:val="22"/>
        </w:rPr>
        <w:t xml:space="preserve">as considered in the High Court of Australia decision in </w:t>
      </w:r>
      <w:r w:rsidRPr="00B92B29">
        <w:rPr>
          <w:rFonts w:ascii="Times New Roman" w:hAnsi="Times New Roman" w:cs="Times New Roman"/>
          <w:i/>
          <w:sz w:val="22"/>
          <w:szCs w:val="22"/>
        </w:rPr>
        <w:t>Regina v Wei Tang</w:t>
      </w:r>
      <w:r w:rsidR="004220CD">
        <w:rPr>
          <w:rFonts w:ascii="Times New Roman" w:hAnsi="Times New Roman" w:cs="Times New Roman"/>
          <w:i/>
          <w:sz w:val="22"/>
          <w:szCs w:val="22"/>
        </w:rPr>
        <w:t xml:space="preserve"> (2008)</w:t>
      </w:r>
      <w:r>
        <w:rPr>
          <w:rFonts w:ascii="Times New Roman" w:hAnsi="Times New Roman" w:cs="Times New Roman"/>
          <w:sz w:val="22"/>
          <w:szCs w:val="22"/>
        </w:rPr>
        <w:t>.</w:t>
      </w:r>
      <w:r w:rsidR="00FE0D04">
        <w:rPr>
          <w:rStyle w:val="FootnoteReference"/>
          <w:rFonts w:ascii="Times New Roman" w:hAnsi="Times New Roman" w:cs="Times New Roman"/>
          <w:sz w:val="22"/>
          <w:szCs w:val="22"/>
        </w:rPr>
        <w:footnoteReference w:id="15"/>
      </w:r>
      <w:r>
        <w:rPr>
          <w:rFonts w:ascii="Times New Roman" w:hAnsi="Times New Roman" w:cs="Times New Roman"/>
          <w:sz w:val="22"/>
          <w:szCs w:val="22"/>
        </w:rPr>
        <w:t xml:space="preserve"> </w:t>
      </w:r>
      <w:r w:rsidR="00F67F77">
        <w:rPr>
          <w:rFonts w:ascii="Times New Roman" w:hAnsi="Times New Roman" w:cs="Times New Roman"/>
          <w:sz w:val="22"/>
          <w:szCs w:val="22"/>
        </w:rPr>
        <w:t>The owner of a licensed brothe</w:t>
      </w:r>
      <w:r w:rsidR="000A3F43">
        <w:rPr>
          <w:rFonts w:ascii="Times New Roman" w:hAnsi="Times New Roman" w:cs="Times New Roman"/>
          <w:sz w:val="22"/>
          <w:szCs w:val="22"/>
        </w:rPr>
        <w:t>l was convicted in the Victoria</w:t>
      </w:r>
      <w:r w:rsidR="00F67F77">
        <w:rPr>
          <w:rFonts w:ascii="Times New Roman" w:hAnsi="Times New Roman" w:cs="Times New Roman"/>
          <w:sz w:val="22"/>
          <w:szCs w:val="22"/>
        </w:rPr>
        <w:t xml:space="preserve"> County Court of</w:t>
      </w:r>
      <w:r w:rsidR="00EB7298">
        <w:rPr>
          <w:rFonts w:ascii="Times New Roman" w:hAnsi="Times New Roman" w:cs="Times New Roman"/>
          <w:sz w:val="22"/>
          <w:szCs w:val="22"/>
        </w:rPr>
        <w:t xml:space="preserve"> </w:t>
      </w:r>
      <w:r w:rsidR="00824A83">
        <w:rPr>
          <w:rFonts w:ascii="Times New Roman" w:hAnsi="Times New Roman" w:cs="Times New Roman"/>
          <w:sz w:val="22"/>
          <w:szCs w:val="22"/>
        </w:rPr>
        <w:t>five counts of</w:t>
      </w:r>
      <w:r w:rsidR="00F67F77">
        <w:rPr>
          <w:rFonts w:ascii="Times New Roman" w:hAnsi="Times New Roman" w:cs="Times New Roman"/>
          <w:sz w:val="22"/>
          <w:szCs w:val="22"/>
        </w:rPr>
        <w:t xml:space="preserve"> intentionally possessing a slave and intentionally exercising a power of ownership, specifically the power to use. The charges related to five Thai women who were brought to Australia to work as prostitutes under conditions which amounted to slavery. </w:t>
      </w:r>
      <w:r w:rsidR="008622FE">
        <w:rPr>
          <w:rFonts w:ascii="Times New Roman" w:hAnsi="Times New Roman" w:cs="Times New Roman"/>
          <w:sz w:val="22"/>
          <w:szCs w:val="22"/>
        </w:rPr>
        <w:t xml:space="preserve">The Victoria Court of Appeal upheld an appeal on the basis that the jury </w:t>
      </w:r>
      <w:r w:rsidR="007805D2">
        <w:rPr>
          <w:rFonts w:ascii="Times New Roman" w:hAnsi="Times New Roman" w:cs="Times New Roman"/>
          <w:sz w:val="22"/>
          <w:szCs w:val="22"/>
        </w:rPr>
        <w:t xml:space="preserve">had been incorrectly instructed. </w:t>
      </w:r>
      <w:r w:rsidR="001901D0">
        <w:rPr>
          <w:rFonts w:ascii="Times New Roman" w:hAnsi="Times New Roman" w:cs="Times New Roman"/>
          <w:sz w:val="22"/>
          <w:szCs w:val="22"/>
        </w:rPr>
        <w:t>The prosecut</w:t>
      </w:r>
      <w:r w:rsidR="009E3AB2">
        <w:rPr>
          <w:rFonts w:ascii="Times New Roman" w:hAnsi="Times New Roman" w:cs="Times New Roman"/>
          <w:sz w:val="22"/>
          <w:szCs w:val="22"/>
        </w:rPr>
        <w:t xml:space="preserve">ion appealed to the High Court and the defendant cross-appealed on </w:t>
      </w:r>
      <w:r w:rsidR="00E66869">
        <w:rPr>
          <w:rFonts w:ascii="Times New Roman" w:hAnsi="Times New Roman" w:cs="Times New Roman"/>
          <w:sz w:val="22"/>
          <w:szCs w:val="22"/>
        </w:rPr>
        <w:t>other</w:t>
      </w:r>
      <w:r w:rsidR="009E3AB2">
        <w:rPr>
          <w:rFonts w:ascii="Times New Roman" w:hAnsi="Times New Roman" w:cs="Times New Roman"/>
          <w:sz w:val="22"/>
          <w:szCs w:val="22"/>
        </w:rPr>
        <w:t xml:space="preserve"> grounds. </w:t>
      </w:r>
    </w:p>
    <w:p w14:paraId="08616AFD" w14:textId="6F87F548" w:rsidR="00184111" w:rsidRDefault="00CD7173" w:rsidP="00B2228E">
      <w:pPr>
        <w:jc w:val="both"/>
        <w:rPr>
          <w:rFonts w:ascii="Times New Roman" w:hAnsi="Times New Roman" w:cs="Times New Roman"/>
          <w:sz w:val="22"/>
          <w:szCs w:val="22"/>
        </w:rPr>
      </w:pPr>
      <w:r w:rsidRPr="00B90C28">
        <w:rPr>
          <w:rFonts w:ascii="Times New Roman" w:hAnsi="Times New Roman" w:cs="Times New Roman"/>
          <w:sz w:val="22"/>
          <w:szCs w:val="22"/>
        </w:rPr>
        <w:t xml:space="preserve">Regarding the interpretation of the definition of ‘slavery’, the High Court </w:t>
      </w:r>
      <w:r w:rsidR="00897E34" w:rsidRPr="00B90C28">
        <w:rPr>
          <w:rFonts w:ascii="Times New Roman" w:hAnsi="Times New Roman" w:cs="Times New Roman"/>
          <w:sz w:val="22"/>
          <w:szCs w:val="22"/>
        </w:rPr>
        <w:t xml:space="preserve"> </w:t>
      </w:r>
      <w:r w:rsidRPr="00B90C28">
        <w:rPr>
          <w:rFonts w:ascii="Times New Roman" w:hAnsi="Times New Roman" w:cs="Times New Roman"/>
          <w:sz w:val="22"/>
          <w:szCs w:val="22"/>
        </w:rPr>
        <w:t>observed that “if s</w:t>
      </w:r>
      <w:r w:rsidR="00F75E07" w:rsidRPr="00B90C28">
        <w:rPr>
          <w:rFonts w:ascii="Times New Roman" w:hAnsi="Times New Roman" w:cs="Times New Roman"/>
          <w:sz w:val="22"/>
          <w:szCs w:val="22"/>
        </w:rPr>
        <w:t xml:space="preserve"> [section]</w:t>
      </w:r>
      <w:r w:rsidRPr="00B90C28">
        <w:rPr>
          <w:rFonts w:ascii="Times New Roman" w:hAnsi="Times New Roman" w:cs="Times New Roman"/>
          <w:sz w:val="22"/>
          <w:szCs w:val="22"/>
        </w:rPr>
        <w:t xml:space="preserve"> 270.3(1)(a)</w:t>
      </w:r>
      <w:r w:rsidR="00E71DE9">
        <w:rPr>
          <w:rStyle w:val="FootnoteReference"/>
          <w:rFonts w:ascii="Times New Roman" w:hAnsi="Times New Roman" w:cs="Times New Roman"/>
          <w:sz w:val="22"/>
          <w:szCs w:val="22"/>
        </w:rPr>
        <w:footnoteReference w:id="16"/>
      </w:r>
      <w:r w:rsidRPr="00B90C28">
        <w:rPr>
          <w:rFonts w:ascii="Times New Roman" w:hAnsi="Times New Roman" w:cs="Times New Roman"/>
          <w:sz w:val="22"/>
          <w:szCs w:val="22"/>
        </w:rPr>
        <w:t xml:space="preserve"> [of Australia’s Criminal Code], in its application to conduct within Australia, were confined to chattel slavery and legal ownership it would have no practical operation. Section 270.2</w:t>
      </w:r>
      <w:r w:rsidR="00E71DE9">
        <w:rPr>
          <w:rStyle w:val="FootnoteReference"/>
          <w:rFonts w:ascii="Times New Roman" w:hAnsi="Times New Roman" w:cs="Times New Roman"/>
          <w:sz w:val="22"/>
          <w:szCs w:val="22"/>
        </w:rPr>
        <w:footnoteReference w:id="17"/>
      </w:r>
      <w:r w:rsidRPr="00B90C28">
        <w:rPr>
          <w:rFonts w:ascii="Times New Roman" w:hAnsi="Times New Roman" w:cs="Times New Roman"/>
          <w:sz w:val="22"/>
          <w:szCs w:val="22"/>
        </w:rPr>
        <w:t xml:space="preserve"> would eliminate chattel slavery and ownership and s 270.3(1)(a) would be otiose</w:t>
      </w:r>
      <w:r w:rsidR="00F75E07" w:rsidRPr="00B90C28">
        <w:rPr>
          <w:rFonts w:ascii="Times New Roman" w:hAnsi="Times New Roman" w:cs="Times New Roman"/>
          <w:sz w:val="22"/>
          <w:szCs w:val="22"/>
        </w:rPr>
        <w:t xml:space="preserve">. </w:t>
      </w:r>
      <w:r w:rsidRPr="00B90C28">
        <w:rPr>
          <w:rFonts w:ascii="Times New Roman" w:hAnsi="Times New Roman" w:cs="Times New Roman"/>
          <w:sz w:val="22"/>
          <w:szCs w:val="22"/>
        </w:rPr>
        <w:t>The Court of Appeal held that the facts alleged in the present case were capable of being regarded as within the scope of s 270.3(1)(a). For the reasons that follow, the decision of the Court of Appeal on these issues should be upheld</w:t>
      </w:r>
      <w:r w:rsidR="00F75E07" w:rsidRPr="00B90C28">
        <w:rPr>
          <w:rFonts w:ascii="Times New Roman" w:hAnsi="Times New Roman" w:cs="Times New Roman"/>
          <w:sz w:val="22"/>
          <w:szCs w:val="22"/>
        </w:rPr>
        <w:t>” (para 20)</w:t>
      </w:r>
      <w:r w:rsidRPr="00B90C28">
        <w:rPr>
          <w:rFonts w:ascii="Times New Roman" w:hAnsi="Times New Roman" w:cs="Times New Roman"/>
          <w:sz w:val="22"/>
          <w:szCs w:val="22"/>
        </w:rPr>
        <w:t>.</w:t>
      </w:r>
      <w:r w:rsidR="00F75E07" w:rsidRPr="00B90C28">
        <w:rPr>
          <w:rFonts w:ascii="Times New Roman" w:hAnsi="Times New Roman" w:cs="Times New Roman"/>
          <w:sz w:val="22"/>
          <w:szCs w:val="22"/>
        </w:rPr>
        <w:t xml:space="preserve"> </w:t>
      </w:r>
      <w:r w:rsidR="00B90C28" w:rsidRPr="00B90C28">
        <w:rPr>
          <w:rFonts w:ascii="Times New Roman" w:hAnsi="Times New Roman" w:cs="Times New Roman"/>
          <w:sz w:val="22"/>
          <w:szCs w:val="22"/>
        </w:rPr>
        <w:t>Furthermore, referring to Article 1 of the 1926 Slavery Convention the High Court noted that “in its application to the de facto condition as distinct from the de jure status, of slavery, the definition was addressing the exercise over a person of powers of the kind that attached to the right of ownership when the legal status was possible; not necessarily all of those powers, but any or all of them</w:t>
      </w:r>
      <w:r w:rsidR="001C318C">
        <w:rPr>
          <w:rFonts w:ascii="Times New Roman" w:hAnsi="Times New Roman" w:cs="Times New Roman"/>
          <w:sz w:val="22"/>
          <w:szCs w:val="22"/>
        </w:rPr>
        <w:t xml:space="preserve"> […]</w:t>
      </w:r>
      <w:r w:rsidR="003A340C">
        <w:rPr>
          <w:rFonts w:ascii="Times New Roman" w:hAnsi="Times New Roman" w:cs="Times New Roman"/>
          <w:sz w:val="22"/>
          <w:szCs w:val="22"/>
        </w:rPr>
        <w:t>” (para. 26)</w:t>
      </w:r>
      <w:r w:rsidR="00B90C28" w:rsidRPr="00B90C28">
        <w:rPr>
          <w:rFonts w:ascii="Times New Roman" w:hAnsi="Times New Roman" w:cs="Times New Roman"/>
          <w:sz w:val="22"/>
          <w:szCs w:val="22"/>
        </w:rPr>
        <w:t>.</w:t>
      </w:r>
      <w:r w:rsidR="00AB2E28">
        <w:rPr>
          <w:rFonts w:ascii="Times New Roman" w:hAnsi="Times New Roman" w:cs="Times New Roman"/>
          <w:sz w:val="22"/>
          <w:szCs w:val="22"/>
        </w:rPr>
        <w:t xml:space="preserve"> The High Court concluded that the evidence </w:t>
      </w:r>
      <w:r w:rsidR="00A52A01">
        <w:rPr>
          <w:rFonts w:ascii="Times New Roman" w:hAnsi="Times New Roman" w:cs="Times New Roman"/>
          <w:sz w:val="22"/>
          <w:szCs w:val="22"/>
        </w:rPr>
        <w:t xml:space="preserve">was sufficient to allow the jury to conclude that </w:t>
      </w:r>
      <w:r w:rsidR="00414746">
        <w:rPr>
          <w:rFonts w:ascii="Times New Roman" w:hAnsi="Times New Roman" w:cs="Times New Roman"/>
          <w:sz w:val="22"/>
          <w:szCs w:val="22"/>
        </w:rPr>
        <w:t xml:space="preserve">various powers were exerted over the complainants: they were made the object of purchase; the defendants had the capacity </w:t>
      </w:r>
      <w:r w:rsidR="0042151A">
        <w:rPr>
          <w:rFonts w:ascii="Times New Roman" w:hAnsi="Times New Roman" w:cs="Times New Roman"/>
          <w:sz w:val="22"/>
          <w:szCs w:val="22"/>
        </w:rPr>
        <w:t>to use the complainants and their</w:t>
      </w:r>
      <w:r w:rsidR="00414746">
        <w:rPr>
          <w:rFonts w:ascii="Times New Roman" w:hAnsi="Times New Roman" w:cs="Times New Roman"/>
          <w:sz w:val="22"/>
          <w:szCs w:val="22"/>
        </w:rPr>
        <w:t xml:space="preserve"> labour in a substantially unrestricted </w:t>
      </w:r>
      <w:r w:rsidR="00DC38AD">
        <w:rPr>
          <w:rFonts w:ascii="Times New Roman" w:hAnsi="Times New Roman" w:cs="Times New Roman"/>
          <w:sz w:val="22"/>
          <w:szCs w:val="22"/>
        </w:rPr>
        <w:t>manner</w:t>
      </w:r>
      <w:r w:rsidR="00414746">
        <w:rPr>
          <w:rFonts w:ascii="Times New Roman" w:hAnsi="Times New Roman" w:cs="Times New Roman"/>
          <w:sz w:val="22"/>
          <w:szCs w:val="22"/>
        </w:rPr>
        <w:t xml:space="preserve"> and the</w:t>
      </w:r>
      <w:r w:rsidR="00DC38AD">
        <w:rPr>
          <w:rFonts w:ascii="Times New Roman" w:hAnsi="Times New Roman" w:cs="Times New Roman"/>
          <w:sz w:val="22"/>
          <w:szCs w:val="22"/>
        </w:rPr>
        <w:t>y</w:t>
      </w:r>
      <w:r w:rsidR="00414746">
        <w:rPr>
          <w:rFonts w:ascii="Times New Roman" w:hAnsi="Times New Roman" w:cs="Times New Roman"/>
          <w:sz w:val="22"/>
          <w:szCs w:val="22"/>
        </w:rPr>
        <w:t xml:space="preserve"> were entitled to the fruits of the complainants’ labour without commensurate compensation. </w:t>
      </w:r>
    </w:p>
    <w:p w14:paraId="3F4AC47B" w14:textId="77777777" w:rsidR="00587D9C" w:rsidRDefault="0042151A" w:rsidP="00B2228E">
      <w:pPr>
        <w:jc w:val="both"/>
        <w:rPr>
          <w:rFonts w:ascii="Times New Roman" w:hAnsi="Times New Roman" w:cs="Times New Roman"/>
          <w:sz w:val="22"/>
          <w:szCs w:val="22"/>
        </w:rPr>
      </w:pPr>
      <w:r w:rsidRPr="00C01A33">
        <w:rPr>
          <w:rFonts w:ascii="Times New Roman" w:hAnsi="Times New Roman" w:cs="Times New Roman"/>
          <w:b/>
          <w:sz w:val="22"/>
          <w:szCs w:val="22"/>
        </w:rPr>
        <w:t>E.</w:t>
      </w:r>
      <w:r>
        <w:rPr>
          <w:rFonts w:ascii="Times New Roman" w:hAnsi="Times New Roman" w:cs="Times New Roman"/>
          <w:sz w:val="22"/>
          <w:szCs w:val="22"/>
        </w:rPr>
        <w:t xml:space="preserve"> </w:t>
      </w:r>
      <w:r w:rsidR="00587D9C">
        <w:rPr>
          <w:rFonts w:ascii="Times New Roman" w:hAnsi="Times New Roman" w:cs="Times New Roman"/>
          <w:sz w:val="22"/>
          <w:szCs w:val="22"/>
        </w:rPr>
        <w:t>India</w:t>
      </w:r>
      <w:r w:rsidR="002B4FF8">
        <w:rPr>
          <w:rFonts w:ascii="Times New Roman" w:hAnsi="Times New Roman" w:cs="Times New Roman"/>
          <w:sz w:val="22"/>
          <w:szCs w:val="22"/>
        </w:rPr>
        <w:t xml:space="preserve"> </w:t>
      </w:r>
    </w:p>
    <w:p w14:paraId="4D2ED475" w14:textId="3260861D" w:rsidR="0042151A" w:rsidRPr="00587D9C" w:rsidRDefault="00C01A33" w:rsidP="00B2228E">
      <w:pPr>
        <w:jc w:val="both"/>
        <w:rPr>
          <w:rFonts w:ascii="Times New Roman" w:hAnsi="Times New Roman" w:cs="Times New Roman"/>
          <w:i/>
          <w:sz w:val="22"/>
          <w:szCs w:val="22"/>
        </w:rPr>
      </w:pPr>
      <w:r w:rsidRPr="00587D9C">
        <w:rPr>
          <w:rFonts w:ascii="Times New Roman" w:hAnsi="Times New Roman" w:cs="Times New Roman"/>
          <w:i/>
          <w:sz w:val="22"/>
          <w:szCs w:val="22"/>
        </w:rPr>
        <w:t>Bandhua Mukti Morcha v Union of India</w:t>
      </w:r>
    </w:p>
    <w:p w14:paraId="485F99F4" w14:textId="2C591F1A" w:rsidR="00C01A33" w:rsidRPr="00B90C28" w:rsidRDefault="00FC32B7" w:rsidP="00B2228E">
      <w:pPr>
        <w:jc w:val="both"/>
        <w:rPr>
          <w:rFonts w:ascii="Times New Roman" w:hAnsi="Times New Roman" w:cs="Times New Roman"/>
          <w:sz w:val="22"/>
          <w:szCs w:val="22"/>
        </w:rPr>
      </w:pPr>
      <w:r>
        <w:rPr>
          <w:rFonts w:ascii="Times New Roman" w:hAnsi="Times New Roman" w:cs="Times New Roman"/>
          <w:sz w:val="22"/>
          <w:szCs w:val="22"/>
        </w:rPr>
        <w:t xml:space="preserve">In 1982, the Supreme Court of India </w:t>
      </w:r>
      <w:r w:rsidR="00787D9A">
        <w:rPr>
          <w:rFonts w:ascii="Times New Roman" w:hAnsi="Times New Roman" w:cs="Times New Roman"/>
          <w:sz w:val="22"/>
          <w:szCs w:val="22"/>
        </w:rPr>
        <w:t>received a petition lodged by Bandhua Mukti Morcha, an organization representing the interests of bonded workers which alleged that</w:t>
      </w:r>
      <w:r w:rsidR="00050475">
        <w:rPr>
          <w:rFonts w:ascii="Times New Roman" w:hAnsi="Times New Roman" w:cs="Times New Roman"/>
          <w:sz w:val="22"/>
          <w:szCs w:val="22"/>
        </w:rPr>
        <w:t xml:space="preserve"> the</w:t>
      </w:r>
      <w:r w:rsidR="00787D9A">
        <w:rPr>
          <w:rFonts w:ascii="Times New Roman" w:hAnsi="Times New Roman" w:cs="Times New Roman"/>
          <w:sz w:val="22"/>
          <w:szCs w:val="22"/>
        </w:rPr>
        <w:t xml:space="preserve"> Bonded Labour (Abolition) Act (1976) was not being enforced properly</w:t>
      </w:r>
      <w:r w:rsidR="00E816D5">
        <w:rPr>
          <w:rFonts w:ascii="Times New Roman" w:hAnsi="Times New Roman" w:cs="Times New Roman"/>
          <w:sz w:val="22"/>
          <w:szCs w:val="22"/>
        </w:rPr>
        <w:t xml:space="preserve"> (</w:t>
      </w:r>
      <w:r w:rsidR="00E816D5" w:rsidRPr="00E816D5">
        <w:rPr>
          <w:rFonts w:ascii="Times New Roman" w:hAnsi="Times New Roman" w:cs="Times New Roman"/>
          <w:i/>
          <w:sz w:val="22"/>
          <w:szCs w:val="22"/>
        </w:rPr>
        <w:t xml:space="preserve">Bandhua Mukti Morcha v Union of </w:t>
      </w:r>
      <w:r w:rsidR="00E816D5" w:rsidRPr="00E816D5">
        <w:rPr>
          <w:rFonts w:ascii="Times New Roman" w:hAnsi="Times New Roman" w:cs="Times New Roman"/>
          <w:i/>
          <w:sz w:val="22"/>
          <w:szCs w:val="22"/>
        </w:rPr>
        <w:lastRenderedPageBreak/>
        <w:t>India</w:t>
      </w:r>
      <w:r w:rsidR="00E816D5">
        <w:rPr>
          <w:rFonts w:ascii="Times New Roman" w:hAnsi="Times New Roman" w:cs="Times New Roman"/>
          <w:sz w:val="22"/>
          <w:szCs w:val="22"/>
        </w:rPr>
        <w:t>)</w:t>
      </w:r>
      <w:r w:rsidR="00E816D5">
        <w:rPr>
          <w:rStyle w:val="FootnoteReference"/>
          <w:rFonts w:ascii="Times New Roman" w:hAnsi="Times New Roman" w:cs="Times New Roman"/>
          <w:sz w:val="22"/>
          <w:szCs w:val="22"/>
        </w:rPr>
        <w:footnoteReference w:id="18"/>
      </w:r>
      <w:r w:rsidR="00787D9A">
        <w:rPr>
          <w:rFonts w:ascii="Times New Roman" w:hAnsi="Times New Roman" w:cs="Times New Roman"/>
          <w:sz w:val="22"/>
          <w:szCs w:val="22"/>
        </w:rPr>
        <w:t xml:space="preserve">. </w:t>
      </w:r>
      <w:r w:rsidR="00FF5185">
        <w:rPr>
          <w:rFonts w:ascii="Times New Roman" w:hAnsi="Times New Roman" w:cs="Times New Roman"/>
          <w:sz w:val="22"/>
          <w:szCs w:val="22"/>
        </w:rPr>
        <w:t>Commenting on t</w:t>
      </w:r>
      <w:r w:rsidR="00EC2AB7">
        <w:rPr>
          <w:rFonts w:ascii="Times New Roman" w:hAnsi="Times New Roman" w:cs="Times New Roman"/>
          <w:sz w:val="22"/>
          <w:szCs w:val="22"/>
        </w:rPr>
        <w:t xml:space="preserve">he obligation of the State, the Supreme Court observed that “it is absolutely essential we would unhesitatingly declare that it is a constitutional imperative-that the bonded labourers must be identified and released from the shackles of bondage […]” (para. 2). It also noted that “it is not the existence of bonded labour that is a slur on the administration but its failure to take note of it and to take all necessary steps for the purpose of putting an end to the bonded labour system by quickly identifying, releasing and permanently rehabilitating bonded labourers [….]” (para. 4). </w:t>
      </w:r>
      <w:r w:rsidR="00E46717">
        <w:rPr>
          <w:rFonts w:ascii="Times New Roman" w:hAnsi="Times New Roman" w:cs="Times New Roman"/>
          <w:sz w:val="22"/>
          <w:szCs w:val="22"/>
        </w:rPr>
        <w:t xml:space="preserve">Regarding </w:t>
      </w:r>
      <w:r w:rsidR="00C166C4">
        <w:rPr>
          <w:rFonts w:ascii="Times New Roman" w:hAnsi="Times New Roman" w:cs="Times New Roman"/>
          <w:sz w:val="22"/>
          <w:szCs w:val="22"/>
        </w:rPr>
        <w:t xml:space="preserve">the question of </w:t>
      </w:r>
      <w:r w:rsidR="00E46717">
        <w:rPr>
          <w:rFonts w:ascii="Times New Roman" w:hAnsi="Times New Roman" w:cs="Times New Roman"/>
          <w:sz w:val="22"/>
          <w:szCs w:val="22"/>
        </w:rPr>
        <w:t>access to justice</w:t>
      </w:r>
      <w:r w:rsidR="00C166C4">
        <w:rPr>
          <w:rFonts w:ascii="Times New Roman" w:hAnsi="Times New Roman" w:cs="Times New Roman"/>
          <w:sz w:val="22"/>
          <w:szCs w:val="22"/>
        </w:rPr>
        <w:t xml:space="preserve"> for bonded labourers</w:t>
      </w:r>
      <w:r w:rsidR="00E46717">
        <w:rPr>
          <w:rFonts w:ascii="Times New Roman" w:hAnsi="Times New Roman" w:cs="Times New Roman"/>
          <w:sz w:val="22"/>
          <w:szCs w:val="22"/>
        </w:rPr>
        <w:t xml:space="preserve">, the judgment </w:t>
      </w:r>
      <w:r w:rsidR="00C166C4">
        <w:rPr>
          <w:rFonts w:ascii="Times New Roman" w:hAnsi="Times New Roman" w:cs="Times New Roman"/>
          <w:sz w:val="22"/>
          <w:szCs w:val="22"/>
        </w:rPr>
        <w:t xml:space="preserve">commented on the economic and power disparities </w:t>
      </w:r>
      <w:r w:rsidR="00C66E13">
        <w:rPr>
          <w:rFonts w:ascii="Times New Roman" w:hAnsi="Times New Roman" w:cs="Times New Roman"/>
          <w:sz w:val="22"/>
          <w:szCs w:val="22"/>
        </w:rPr>
        <w:t>between perpetrators and those in a situation of bonded labour, noting that “</w:t>
      </w:r>
      <w:r w:rsidR="00925F21">
        <w:rPr>
          <w:rFonts w:ascii="Times New Roman" w:hAnsi="Times New Roman" w:cs="Times New Roman"/>
          <w:sz w:val="22"/>
          <w:szCs w:val="22"/>
        </w:rPr>
        <w:t xml:space="preserve">[…] </w:t>
      </w:r>
      <w:r w:rsidR="00D53736">
        <w:rPr>
          <w:rFonts w:ascii="Times New Roman" w:hAnsi="Times New Roman" w:cs="Times New Roman"/>
          <w:sz w:val="22"/>
          <w:szCs w:val="22"/>
        </w:rPr>
        <w:t>where one of the parties to a litigation belongs to a poor and deprived section of the community and does not possess adequate social and material resources, he is bound to be at a disadvantage as against a strong and powerful opponent under the adversary system of justice, because of his difficulty in getting competent legal representation and more than anything else, his inability to produce relevant evidence before the court</w:t>
      </w:r>
      <w:r w:rsidR="00925F21">
        <w:rPr>
          <w:rFonts w:ascii="Times New Roman" w:hAnsi="Times New Roman" w:cs="Times New Roman"/>
          <w:sz w:val="22"/>
          <w:szCs w:val="22"/>
        </w:rPr>
        <w:t>. Therefore, when the poor come before the court, particularly for enforcement of their fundamental rights,</w:t>
      </w:r>
      <w:r w:rsidR="00EA1B72">
        <w:rPr>
          <w:rFonts w:ascii="Times New Roman" w:hAnsi="Times New Roman" w:cs="Times New Roman"/>
          <w:sz w:val="22"/>
          <w:szCs w:val="22"/>
        </w:rPr>
        <w:t xml:space="preserve"> </w:t>
      </w:r>
      <w:r w:rsidR="00925F21">
        <w:rPr>
          <w:rFonts w:ascii="Times New Roman" w:hAnsi="Times New Roman" w:cs="Times New Roman"/>
          <w:sz w:val="22"/>
          <w:szCs w:val="22"/>
        </w:rPr>
        <w:t>it is necessary to depart from the adversarial procedure and to evolve a new procedure which will make it possible for the poor and the weak to bring the necessary material before the court for the purpose of securing enforcement of their fundamental rights”</w:t>
      </w:r>
      <w:r w:rsidR="009F5812">
        <w:rPr>
          <w:rFonts w:ascii="Times New Roman" w:hAnsi="Times New Roman" w:cs="Times New Roman"/>
          <w:sz w:val="22"/>
          <w:szCs w:val="22"/>
        </w:rPr>
        <w:t xml:space="preserve"> (para. 23)</w:t>
      </w:r>
      <w:r w:rsidR="00925F21">
        <w:rPr>
          <w:rFonts w:ascii="Times New Roman" w:hAnsi="Times New Roman" w:cs="Times New Roman"/>
          <w:sz w:val="22"/>
          <w:szCs w:val="22"/>
        </w:rPr>
        <w:t xml:space="preserve">. </w:t>
      </w:r>
    </w:p>
    <w:p w14:paraId="72FC96A9" w14:textId="50B259C7" w:rsidR="00547813" w:rsidRDefault="00CF75D0" w:rsidP="00B2228E">
      <w:pPr>
        <w:jc w:val="both"/>
        <w:rPr>
          <w:rFonts w:ascii="Times New Roman" w:hAnsi="Times New Roman" w:cs="Times New Roman"/>
          <w:sz w:val="22"/>
          <w:szCs w:val="22"/>
        </w:rPr>
      </w:pPr>
      <w:r>
        <w:rPr>
          <w:rFonts w:ascii="Times New Roman" w:hAnsi="Times New Roman" w:cs="Times New Roman"/>
          <w:sz w:val="22"/>
          <w:szCs w:val="22"/>
        </w:rPr>
        <w:t>The Supreme Court also emphasized</w:t>
      </w:r>
      <w:r w:rsidR="00276900">
        <w:rPr>
          <w:rFonts w:ascii="Times New Roman" w:hAnsi="Times New Roman" w:cs="Times New Roman"/>
          <w:sz w:val="22"/>
          <w:szCs w:val="22"/>
        </w:rPr>
        <w:t xml:space="preserve"> </w:t>
      </w:r>
      <w:r w:rsidR="00A2012A">
        <w:rPr>
          <w:rFonts w:ascii="Times New Roman" w:hAnsi="Times New Roman" w:cs="Times New Roman"/>
          <w:sz w:val="22"/>
          <w:szCs w:val="22"/>
        </w:rPr>
        <w:t xml:space="preserve">the </w:t>
      </w:r>
      <w:r w:rsidR="00276900">
        <w:rPr>
          <w:rFonts w:ascii="Times New Roman" w:hAnsi="Times New Roman" w:cs="Times New Roman"/>
          <w:sz w:val="22"/>
          <w:szCs w:val="22"/>
        </w:rPr>
        <w:t xml:space="preserve">State’s obligation to provide protection and assistance to persons who were released </w:t>
      </w:r>
      <w:r w:rsidR="00E7490C">
        <w:rPr>
          <w:rFonts w:ascii="Times New Roman" w:hAnsi="Times New Roman" w:cs="Times New Roman"/>
          <w:sz w:val="22"/>
          <w:szCs w:val="22"/>
        </w:rPr>
        <w:t xml:space="preserve">from bonded labour: “[…] if bonded labourers who are identified and freed, are not rehabilitated, their condition would be much worse that what it was before during the period of their serfdom and they would become </w:t>
      </w:r>
      <w:r w:rsidR="00265E72">
        <w:rPr>
          <w:rFonts w:ascii="Times New Roman" w:hAnsi="Times New Roman" w:cs="Times New Roman"/>
          <w:sz w:val="22"/>
          <w:szCs w:val="22"/>
        </w:rPr>
        <w:t xml:space="preserve">more exposed to exploitation and slide back once again into serfdom even in the absence of any coercion. […] The State Governments must therefore concentrate on rehabilitation of bonded labour and evolve effective programmes for this purpose. </w:t>
      </w:r>
      <w:r w:rsidR="00492DA5">
        <w:rPr>
          <w:rFonts w:ascii="Times New Roman" w:hAnsi="Times New Roman" w:cs="Times New Roman"/>
          <w:sz w:val="22"/>
          <w:szCs w:val="22"/>
        </w:rPr>
        <w:t xml:space="preserve">Indeed they are under an obligation to do so under the provisions of the Bonded Labour System (Abolition) Act 1976” (para. 53). </w:t>
      </w:r>
    </w:p>
    <w:p w14:paraId="2FF112B1" w14:textId="5A9656C1" w:rsidR="00587D9C" w:rsidRPr="00587D9C" w:rsidRDefault="00587D9C" w:rsidP="00B2228E">
      <w:pPr>
        <w:jc w:val="both"/>
        <w:rPr>
          <w:rFonts w:ascii="Times New Roman" w:hAnsi="Times New Roman" w:cs="Times New Roman"/>
          <w:sz w:val="22"/>
          <w:szCs w:val="22"/>
        </w:rPr>
      </w:pPr>
      <w:r w:rsidRPr="00587D9C">
        <w:rPr>
          <w:rFonts w:ascii="Times New Roman" w:hAnsi="Times New Roman" w:cs="Times New Roman"/>
          <w:b/>
          <w:sz w:val="22"/>
          <w:szCs w:val="22"/>
        </w:rPr>
        <w:t xml:space="preserve">F. </w:t>
      </w:r>
      <w:r>
        <w:rPr>
          <w:rFonts w:ascii="Times New Roman" w:hAnsi="Times New Roman" w:cs="Times New Roman"/>
          <w:sz w:val="22"/>
          <w:szCs w:val="22"/>
        </w:rPr>
        <w:t>United Kingdom</w:t>
      </w:r>
    </w:p>
    <w:p w14:paraId="504CFFEA" w14:textId="27F7067E" w:rsidR="009E3AB2" w:rsidRPr="0010663A" w:rsidRDefault="0010663A" w:rsidP="00B2228E">
      <w:pPr>
        <w:jc w:val="both"/>
        <w:rPr>
          <w:rFonts w:ascii="Times New Roman" w:hAnsi="Times New Roman" w:cs="Times New Roman"/>
          <w:i/>
          <w:sz w:val="22"/>
          <w:szCs w:val="22"/>
        </w:rPr>
      </w:pPr>
      <w:r w:rsidRPr="0010663A">
        <w:rPr>
          <w:rFonts w:ascii="Times New Roman" w:hAnsi="Times New Roman" w:cs="Times New Roman"/>
          <w:i/>
          <w:sz w:val="22"/>
          <w:szCs w:val="22"/>
        </w:rPr>
        <w:t>Galdikas &amp; Others v DJ Houghton Catching Services LTD</w:t>
      </w:r>
    </w:p>
    <w:p w14:paraId="1A4A104E" w14:textId="3E403FF2" w:rsidR="00FB4DE5" w:rsidRDefault="00B37EAC" w:rsidP="00137B5E">
      <w:pPr>
        <w:jc w:val="both"/>
        <w:rPr>
          <w:rFonts w:ascii="Times New Roman" w:hAnsi="Times New Roman" w:cs="Times New Roman"/>
          <w:sz w:val="22"/>
          <w:szCs w:val="22"/>
        </w:rPr>
      </w:pPr>
      <w:r>
        <w:rPr>
          <w:rFonts w:ascii="Times New Roman" w:hAnsi="Times New Roman" w:cs="Times New Roman"/>
          <w:sz w:val="22"/>
          <w:szCs w:val="22"/>
        </w:rPr>
        <w:t xml:space="preserve">In 2016, the </w:t>
      </w:r>
      <w:r w:rsidR="00F56D34">
        <w:rPr>
          <w:rFonts w:ascii="Times New Roman" w:hAnsi="Times New Roman" w:cs="Times New Roman"/>
          <w:sz w:val="22"/>
          <w:szCs w:val="22"/>
        </w:rPr>
        <w:t>England and Wales</w:t>
      </w:r>
      <w:r>
        <w:rPr>
          <w:rFonts w:ascii="Times New Roman" w:hAnsi="Times New Roman" w:cs="Times New Roman"/>
          <w:sz w:val="22"/>
          <w:szCs w:val="22"/>
        </w:rPr>
        <w:t xml:space="preserve"> High Court of Justi</w:t>
      </w:r>
      <w:r w:rsidR="00D65145">
        <w:rPr>
          <w:rFonts w:ascii="Times New Roman" w:hAnsi="Times New Roman" w:cs="Times New Roman"/>
          <w:sz w:val="22"/>
          <w:szCs w:val="22"/>
        </w:rPr>
        <w:t>ce</w:t>
      </w:r>
      <w:r w:rsidR="00E847B1">
        <w:rPr>
          <w:rFonts w:ascii="Times New Roman" w:hAnsi="Times New Roman" w:cs="Times New Roman"/>
          <w:sz w:val="22"/>
          <w:szCs w:val="22"/>
        </w:rPr>
        <w:t xml:space="preserve"> (Queen’s Bench Division)</w:t>
      </w:r>
      <w:r w:rsidR="00D65145">
        <w:rPr>
          <w:rFonts w:ascii="Times New Roman" w:hAnsi="Times New Roman" w:cs="Times New Roman"/>
          <w:sz w:val="22"/>
          <w:szCs w:val="22"/>
        </w:rPr>
        <w:t xml:space="preserve"> issued a judgment in favour of</w:t>
      </w:r>
      <w:r w:rsidR="002E5005">
        <w:rPr>
          <w:rFonts w:ascii="Times New Roman" w:hAnsi="Times New Roman" w:cs="Times New Roman"/>
          <w:sz w:val="22"/>
          <w:szCs w:val="22"/>
        </w:rPr>
        <w:t xml:space="preserve"> six Lithuanian men who had been</w:t>
      </w:r>
      <w:r w:rsidR="00F56D34">
        <w:rPr>
          <w:rFonts w:ascii="Times New Roman" w:hAnsi="Times New Roman" w:cs="Times New Roman"/>
          <w:sz w:val="22"/>
          <w:szCs w:val="22"/>
        </w:rPr>
        <w:t xml:space="preserve"> trafficked and subjected to severe labour exploitation by the chicken catching British company, DJ Houghton</w:t>
      </w:r>
      <w:r w:rsidR="00E07B47">
        <w:rPr>
          <w:rFonts w:ascii="Times New Roman" w:hAnsi="Times New Roman" w:cs="Times New Roman"/>
          <w:sz w:val="22"/>
          <w:szCs w:val="22"/>
        </w:rPr>
        <w:t xml:space="preserve"> Catching</w:t>
      </w:r>
      <w:r w:rsidR="00F56D34">
        <w:rPr>
          <w:rFonts w:ascii="Times New Roman" w:hAnsi="Times New Roman" w:cs="Times New Roman"/>
          <w:sz w:val="22"/>
          <w:szCs w:val="22"/>
        </w:rPr>
        <w:t xml:space="preserve"> Services LTD.</w:t>
      </w:r>
      <w:r w:rsidR="00E847B1">
        <w:rPr>
          <w:rStyle w:val="FootnoteReference"/>
          <w:rFonts w:ascii="Times New Roman" w:hAnsi="Times New Roman" w:cs="Times New Roman"/>
          <w:sz w:val="22"/>
          <w:szCs w:val="22"/>
        </w:rPr>
        <w:footnoteReference w:id="19"/>
      </w:r>
      <w:r w:rsidR="00F56D34">
        <w:rPr>
          <w:rFonts w:ascii="Times New Roman" w:hAnsi="Times New Roman" w:cs="Times New Roman"/>
          <w:sz w:val="22"/>
          <w:szCs w:val="22"/>
        </w:rPr>
        <w:t xml:space="preserve"> </w:t>
      </w:r>
      <w:r w:rsidR="002E5005">
        <w:rPr>
          <w:rFonts w:ascii="Times New Roman" w:hAnsi="Times New Roman" w:cs="Times New Roman"/>
          <w:sz w:val="22"/>
          <w:szCs w:val="22"/>
        </w:rPr>
        <w:t xml:space="preserve">The men brought a civil claim against the company </w:t>
      </w:r>
      <w:r w:rsidR="00FB4DE5">
        <w:rPr>
          <w:rFonts w:ascii="Times New Roman" w:hAnsi="Times New Roman" w:cs="Times New Roman"/>
          <w:sz w:val="22"/>
          <w:szCs w:val="22"/>
        </w:rPr>
        <w:t>alleging</w:t>
      </w:r>
      <w:r w:rsidR="002E5005">
        <w:rPr>
          <w:rFonts w:ascii="Times New Roman" w:hAnsi="Times New Roman" w:cs="Times New Roman"/>
          <w:sz w:val="22"/>
          <w:szCs w:val="22"/>
        </w:rPr>
        <w:t xml:space="preserve"> that they had been subjected to severe exploitation, including threats and assaults, working and living in degrading conditions, being forced to work long shifts for little or no pay, having their wages unlawfully held and denied adequate facilities to wash, rest, eat and drink. </w:t>
      </w:r>
      <w:r w:rsidR="00FB4DE5">
        <w:rPr>
          <w:rFonts w:ascii="Times New Roman" w:hAnsi="Times New Roman" w:cs="Times New Roman"/>
          <w:sz w:val="22"/>
          <w:szCs w:val="22"/>
        </w:rPr>
        <w:t xml:space="preserve">The claims encompassed claims in, inter alia, breach of contract, breach of the Agricultural Wages Act 1948, negligence, harassment and assault (para. 1). </w:t>
      </w:r>
      <w:r w:rsidR="00DF63CF">
        <w:rPr>
          <w:rFonts w:ascii="Times New Roman" w:hAnsi="Times New Roman" w:cs="Times New Roman"/>
          <w:sz w:val="22"/>
          <w:szCs w:val="22"/>
        </w:rPr>
        <w:t xml:space="preserve">The </w:t>
      </w:r>
      <w:r w:rsidR="00212AE9">
        <w:rPr>
          <w:rFonts w:ascii="Times New Roman" w:hAnsi="Times New Roman" w:cs="Times New Roman"/>
          <w:sz w:val="22"/>
          <w:szCs w:val="22"/>
        </w:rPr>
        <w:t>High Court concluded that the claimants were entitled to judgment</w:t>
      </w:r>
      <w:r w:rsidR="00212167">
        <w:rPr>
          <w:rFonts w:ascii="Times New Roman" w:hAnsi="Times New Roman" w:cs="Times New Roman"/>
          <w:sz w:val="22"/>
          <w:szCs w:val="22"/>
        </w:rPr>
        <w:t>, with damages to be assessed</w:t>
      </w:r>
      <w:r w:rsidR="00127BC9">
        <w:rPr>
          <w:rFonts w:ascii="Times New Roman" w:hAnsi="Times New Roman" w:cs="Times New Roman"/>
          <w:sz w:val="22"/>
          <w:szCs w:val="22"/>
        </w:rPr>
        <w:t>,</w:t>
      </w:r>
      <w:r w:rsidR="00212AE9">
        <w:rPr>
          <w:rFonts w:ascii="Times New Roman" w:hAnsi="Times New Roman" w:cs="Times New Roman"/>
          <w:sz w:val="22"/>
          <w:szCs w:val="22"/>
        </w:rPr>
        <w:t xml:space="preserve"> in respect of the </w:t>
      </w:r>
      <w:r w:rsidR="001A6CB5">
        <w:rPr>
          <w:rFonts w:ascii="Times New Roman" w:hAnsi="Times New Roman" w:cs="Times New Roman"/>
          <w:sz w:val="22"/>
          <w:szCs w:val="22"/>
        </w:rPr>
        <w:t>d</w:t>
      </w:r>
      <w:r w:rsidR="00212AE9">
        <w:rPr>
          <w:rFonts w:ascii="Times New Roman" w:hAnsi="Times New Roman" w:cs="Times New Roman"/>
          <w:sz w:val="22"/>
          <w:szCs w:val="22"/>
        </w:rPr>
        <w:t xml:space="preserve">efendants’ </w:t>
      </w:r>
      <w:r w:rsidR="003C20DF">
        <w:rPr>
          <w:rFonts w:ascii="Times New Roman" w:hAnsi="Times New Roman" w:cs="Times New Roman"/>
          <w:sz w:val="22"/>
          <w:szCs w:val="22"/>
        </w:rPr>
        <w:t>failure to pay them for their work in accordance with the terms of the relevant Ag</w:t>
      </w:r>
      <w:r w:rsidR="00127BC9">
        <w:rPr>
          <w:rFonts w:ascii="Times New Roman" w:hAnsi="Times New Roman" w:cs="Times New Roman"/>
          <w:sz w:val="22"/>
          <w:szCs w:val="22"/>
        </w:rPr>
        <w:t>ricultural Wages Orders (“AWO”);</w:t>
      </w:r>
      <w:r w:rsidR="003C20DF">
        <w:rPr>
          <w:rFonts w:ascii="Times New Roman" w:hAnsi="Times New Roman" w:cs="Times New Roman"/>
          <w:sz w:val="22"/>
          <w:szCs w:val="22"/>
        </w:rPr>
        <w:t xml:space="preserve"> </w:t>
      </w:r>
      <w:r w:rsidR="00127BC9">
        <w:rPr>
          <w:rFonts w:ascii="Times New Roman" w:hAnsi="Times New Roman" w:cs="Times New Roman"/>
          <w:sz w:val="22"/>
          <w:szCs w:val="22"/>
        </w:rPr>
        <w:t>for breach of</w:t>
      </w:r>
      <w:r w:rsidR="00370486">
        <w:rPr>
          <w:rFonts w:ascii="Times New Roman" w:hAnsi="Times New Roman" w:cs="Times New Roman"/>
          <w:sz w:val="22"/>
          <w:szCs w:val="22"/>
        </w:rPr>
        <w:t xml:space="preserve"> Condition 7 (prohibition on charging fees) and Condition 13 (deductions from wages) of </w:t>
      </w:r>
      <w:r w:rsidR="005A0287">
        <w:rPr>
          <w:rFonts w:ascii="Times New Roman" w:hAnsi="Times New Roman" w:cs="Times New Roman"/>
          <w:sz w:val="22"/>
          <w:szCs w:val="22"/>
        </w:rPr>
        <w:t>the Gangmasters (Li</w:t>
      </w:r>
      <w:r w:rsidR="00370486">
        <w:rPr>
          <w:rFonts w:ascii="Times New Roman" w:hAnsi="Times New Roman" w:cs="Times New Roman"/>
          <w:sz w:val="22"/>
          <w:szCs w:val="22"/>
        </w:rPr>
        <w:t>censing Conditions) Rules</w:t>
      </w:r>
      <w:r w:rsidR="007026CD">
        <w:rPr>
          <w:rFonts w:ascii="Times New Roman" w:hAnsi="Times New Roman" w:cs="Times New Roman"/>
          <w:sz w:val="22"/>
          <w:szCs w:val="22"/>
        </w:rPr>
        <w:t xml:space="preserve"> 2009;</w:t>
      </w:r>
      <w:r w:rsidR="00370486">
        <w:rPr>
          <w:rFonts w:ascii="Times New Roman" w:hAnsi="Times New Roman" w:cs="Times New Roman"/>
          <w:sz w:val="22"/>
          <w:szCs w:val="22"/>
        </w:rPr>
        <w:t xml:space="preserve"> and Standards 4.3</w:t>
      </w:r>
      <w:r w:rsidR="007026CD">
        <w:rPr>
          <w:rFonts w:ascii="Times New Roman" w:hAnsi="Times New Roman" w:cs="Times New Roman"/>
          <w:sz w:val="22"/>
          <w:szCs w:val="22"/>
        </w:rPr>
        <w:t xml:space="preserve"> (suitable travel arrangements)</w:t>
      </w:r>
      <w:r w:rsidR="00370486">
        <w:rPr>
          <w:rFonts w:ascii="Times New Roman" w:hAnsi="Times New Roman" w:cs="Times New Roman"/>
          <w:sz w:val="22"/>
          <w:szCs w:val="22"/>
        </w:rPr>
        <w:t xml:space="preserve"> and 6.3</w:t>
      </w:r>
      <w:r w:rsidR="007026CD">
        <w:rPr>
          <w:rFonts w:ascii="Times New Roman" w:hAnsi="Times New Roman" w:cs="Times New Roman"/>
          <w:sz w:val="22"/>
          <w:szCs w:val="22"/>
        </w:rPr>
        <w:t xml:space="preserve"> (welfare facilities) of the </w:t>
      </w:r>
      <w:r w:rsidR="00FE1705">
        <w:rPr>
          <w:rFonts w:ascii="Times New Roman" w:hAnsi="Times New Roman" w:cs="Times New Roman"/>
          <w:sz w:val="22"/>
          <w:szCs w:val="22"/>
        </w:rPr>
        <w:t>GLA (</w:t>
      </w:r>
      <w:r w:rsidR="007026CD">
        <w:rPr>
          <w:rFonts w:ascii="Times New Roman" w:hAnsi="Times New Roman" w:cs="Times New Roman"/>
          <w:sz w:val="22"/>
          <w:szCs w:val="22"/>
        </w:rPr>
        <w:t>Gangmasters Licensing Authority</w:t>
      </w:r>
      <w:r w:rsidR="00FE1705">
        <w:rPr>
          <w:rFonts w:ascii="Times New Roman" w:hAnsi="Times New Roman" w:cs="Times New Roman"/>
          <w:sz w:val="22"/>
          <w:szCs w:val="22"/>
        </w:rPr>
        <w:t>)</w:t>
      </w:r>
      <w:r w:rsidR="007026CD">
        <w:rPr>
          <w:rFonts w:ascii="Times New Roman" w:hAnsi="Times New Roman" w:cs="Times New Roman"/>
          <w:sz w:val="22"/>
          <w:szCs w:val="22"/>
        </w:rPr>
        <w:t xml:space="preserve"> Licensing Standards</w:t>
      </w:r>
      <w:r w:rsidR="00370486">
        <w:rPr>
          <w:rFonts w:ascii="Times New Roman" w:hAnsi="Times New Roman" w:cs="Times New Roman"/>
          <w:sz w:val="22"/>
          <w:szCs w:val="22"/>
        </w:rPr>
        <w:t xml:space="preserve"> in respect of lack of facilities to wash, rest, eat and drink</w:t>
      </w:r>
      <w:r w:rsidR="00127BC9">
        <w:rPr>
          <w:rFonts w:ascii="Times New Roman" w:hAnsi="Times New Roman" w:cs="Times New Roman"/>
          <w:sz w:val="22"/>
          <w:szCs w:val="22"/>
        </w:rPr>
        <w:t xml:space="preserve"> (para. 75)</w:t>
      </w:r>
      <w:r w:rsidR="00370486">
        <w:rPr>
          <w:rFonts w:ascii="Times New Roman" w:hAnsi="Times New Roman" w:cs="Times New Roman"/>
          <w:sz w:val="22"/>
          <w:szCs w:val="22"/>
        </w:rPr>
        <w:t xml:space="preserve">. </w:t>
      </w:r>
    </w:p>
    <w:p w14:paraId="0654EDF7" w14:textId="77777777" w:rsidR="00CF5B85" w:rsidRDefault="00CF5B85" w:rsidP="00137B5E">
      <w:pPr>
        <w:jc w:val="both"/>
        <w:rPr>
          <w:rFonts w:ascii="Times New Roman" w:hAnsi="Times New Roman" w:cs="Times New Roman"/>
          <w:i/>
          <w:sz w:val="22"/>
          <w:szCs w:val="22"/>
        </w:rPr>
      </w:pPr>
    </w:p>
    <w:p w14:paraId="33D6C142" w14:textId="10214206" w:rsidR="00491106" w:rsidRDefault="00491106" w:rsidP="00137B5E">
      <w:pPr>
        <w:jc w:val="both"/>
        <w:rPr>
          <w:rFonts w:ascii="Times New Roman" w:hAnsi="Times New Roman" w:cs="Times New Roman"/>
          <w:i/>
          <w:sz w:val="22"/>
          <w:szCs w:val="22"/>
        </w:rPr>
      </w:pPr>
      <w:r w:rsidRPr="00491106">
        <w:rPr>
          <w:rFonts w:ascii="Times New Roman" w:hAnsi="Times New Roman" w:cs="Times New Roman"/>
          <w:i/>
          <w:sz w:val="22"/>
          <w:szCs w:val="22"/>
        </w:rPr>
        <w:t>Hounga</w:t>
      </w:r>
      <w:r w:rsidR="00593ED1">
        <w:rPr>
          <w:rFonts w:ascii="Times New Roman" w:hAnsi="Times New Roman" w:cs="Times New Roman"/>
          <w:i/>
          <w:sz w:val="22"/>
          <w:szCs w:val="22"/>
        </w:rPr>
        <w:t xml:space="preserve"> v Allen </w:t>
      </w:r>
      <w:r w:rsidR="0017798F">
        <w:rPr>
          <w:rFonts w:ascii="Times New Roman" w:hAnsi="Times New Roman" w:cs="Times New Roman"/>
          <w:i/>
          <w:sz w:val="22"/>
          <w:szCs w:val="22"/>
        </w:rPr>
        <w:t>and another</w:t>
      </w:r>
    </w:p>
    <w:p w14:paraId="7E33DFD3" w14:textId="21B78E8A" w:rsidR="00F86CCB" w:rsidRDefault="00593ED1" w:rsidP="00137B5E">
      <w:pPr>
        <w:jc w:val="both"/>
        <w:rPr>
          <w:rFonts w:ascii="Times New Roman" w:hAnsi="Times New Roman" w:cs="Times New Roman"/>
          <w:color w:val="000000"/>
          <w:sz w:val="22"/>
          <w:szCs w:val="22"/>
        </w:rPr>
      </w:pPr>
      <w:r w:rsidRPr="0017798F">
        <w:rPr>
          <w:rFonts w:ascii="Times New Roman" w:hAnsi="Times New Roman" w:cs="Times New Roman"/>
          <w:sz w:val="22"/>
          <w:szCs w:val="22"/>
        </w:rPr>
        <w:t>In 2014, the Supreme Court</w:t>
      </w:r>
      <w:r w:rsidR="00C65DB3" w:rsidRPr="0017798F">
        <w:rPr>
          <w:rFonts w:ascii="Times New Roman" w:hAnsi="Times New Roman" w:cs="Times New Roman"/>
          <w:sz w:val="22"/>
          <w:szCs w:val="22"/>
        </w:rPr>
        <w:t xml:space="preserve"> agreed to</w:t>
      </w:r>
      <w:r w:rsidRPr="0017798F">
        <w:rPr>
          <w:rFonts w:ascii="Times New Roman" w:hAnsi="Times New Roman" w:cs="Times New Roman"/>
          <w:sz w:val="22"/>
          <w:szCs w:val="22"/>
        </w:rPr>
        <w:t xml:space="preserve"> </w:t>
      </w:r>
      <w:r w:rsidR="00C65DB3" w:rsidRPr="0017798F">
        <w:rPr>
          <w:rFonts w:ascii="Times New Roman" w:hAnsi="Times New Roman" w:cs="Times New Roman"/>
          <w:sz w:val="22"/>
          <w:szCs w:val="22"/>
        </w:rPr>
        <w:t xml:space="preserve">hear a case concerning a </w:t>
      </w:r>
      <w:r w:rsidR="007B7E0A" w:rsidRPr="0017798F">
        <w:rPr>
          <w:rFonts w:ascii="Times New Roman" w:hAnsi="Times New Roman" w:cs="Times New Roman"/>
          <w:sz w:val="22"/>
          <w:szCs w:val="22"/>
        </w:rPr>
        <w:t>trafficked migrant worker, Ms. Hounga, who was brought to the UK when she was 14 years old to work in domestic service</w:t>
      </w:r>
      <w:r w:rsidR="0017798F" w:rsidRPr="0017798F">
        <w:rPr>
          <w:rFonts w:ascii="Times New Roman" w:hAnsi="Times New Roman" w:cs="Times New Roman"/>
          <w:sz w:val="22"/>
          <w:szCs w:val="22"/>
        </w:rPr>
        <w:t xml:space="preserve"> under arrangements made by the family of the respondent, Mrs. Allen.</w:t>
      </w:r>
      <w:r w:rsidR="00C31407" w:rsidRPr="0017798F">
        <w:rPr>
          <w:rFonts w:ascii="Times New Roman" w:hAnsi="Times New Roman" w:cs="Times New Roman"/>
          <w:sz w:val="22"/>
          <w:szCs w:val="22"/>
        </w:rPr>
        <w:t xml:space="preserve"> (</w:t>
      </w:r>
      <w:r w:rsidR="00C31407" w:rsidRPr="0017798F">
        <w:rPr>
          <w:rFonts w:ascii="Times New Roman" w:hAnsi="Times New Roman" w:cs="Times New Roman"/>
          <w:i/>
          <w:sz w:val="22"/>
          <w:szCs w:val="22"/>
        </w:rPr>
        <w:t>Hounga v Allen</w:t>
      </w:r>
      <w:r w:rsidR="00C31407" w:rsidRPr="0017798F">
        <w:rPr>
          <w:rFonts w:ascii="Times New Roman" w:hAnsi="Times New Roman" w:cs="Times New Roman"/>
          <w:sz w:val="22"/>
          <w:szCs w:val="22"/>
        </w:rPr>
        <w:t xml:space="preserve"> [2014] UKSC 47)</w:t>
      </w:r>
      <w:r w:rsidR="00C31407" w:rsidRPr="0017798F">
        <w:rPr>
          <w:rStyle w:val="FootnoteReference"/>
          <w:rFonts w:ascii="Times New Roman" w:hAnsi="Times New Roman" w:cs="Times New Roman"/>
          <w:sz w:val="22"/>
          <w:szCs w:val="22"/>
        </w:rPr>
        <w:footnoteReference w:id="20"/>
      </w:r>
      <w:r w:rsidR="007B7E0A" w:rsidRPr="0017798F">
        <w:rPr>
          <w:rFonts w:ascii="Times New Roman" w:hAnsi="Times New Roman" w:cs="Times New Roman"/>
          <w:sz w:val="22"/>
          <w:szCs w:val="22"/>
        </w:rPr>
        <w:t xml:space="preserve">. </w:t>
      </w:r>
      <w:r w:rsidR="008238D0" w:rsidRPr="0031030B">
        <w:rPr>
          <w:rFonts w:ascii="Times New Roman" w:hAnsi="Times New Roman" w:cs="Times New Roman"/>
          <w:sz w:val="22"/>
          <w:szCs w:val="22"/>
        </w:rPr>
        <w:t xml:space="preserve">Ms. Hounga had been promised schooling and </w:t>
      </w:r>
      <w:r w:rsidR="00BA493C" w:rsidRPr="0031030B">
        <w:rPr>
          <w:rFonts w:ascii="Times New Roman" w:hAnsi="Times New Roman" w:cs="Times New Roman"/>
          <w:sz w:val="22"/>
          <w:szCs w:val="22"/>
        </w:rPr>
        <w:t>£50</w:t>
      </w:r>
      <w:r w:rsidR="00BA493C" w:rsidRPr="0031030B">
        <w:rPr>
          <w:rFonts w:ascii="Lucida Grande" w:hAnsi="Lucida Grande" w:cs="Lucida Grande"/>
          <w:sz w:val="22"/>
          <w:szCs w:val="22"/>
        </w:rPr>
        <w:t xml:space="preserve"> </w:t>
      </w:r>
      <w:r w:rsidR="00BA493C" w:rsidRPr="0031030B">
        <w:rPr>
          <w:rFonts w:ascii="Times New Roman" w:hAnsi="Times New Roman" w:cs="Times New Roman"/>
          <w:sz w:val="22"/>
          <w:szCs w:val="22"/>
        </w:rPr>
        <w:t xml:space="preserve">a month in wages, but received neither. </w:t>
      </w:r>
      <w:r w:rsidR="00822690" w:rsidRPr="0031030B">
        <w:rPr>
          <w:rFonts w:ascii="Times New Roman" w:hAnsi="Times New Roman" w:cs="Times New Roman"/>
          <w:sz w:val="22"/>
          <w:szCs w:val="22"/>
        </w:rPr>
        <w:t xml:space="preserve">Instead she was forced to work, subjected to serious physical abuse, and finally </w:t>
      </w:r>
      <w:r w:rsidR="006B298A" w:rsidRPr="0031030B">
        <w:rPr>
          <w:rFonts w:ascii="Times New Roman" w:hAnsi="Times New Roman" w:cs="Times New Roman"/>
          <w:sz w:val="22"/>
          <w:szCs w:val="22"/>
        </w:rPr>
        <w:t>evicted from the home and t</w:t>
      </w:r>
      <w:r w:rsidR="0031030B">
        <w:rPr>
          <w:rFonts w:ascii="Times New Roman" w:hAnsi="Times New Roman" w:cs="Times New Roman"/>
          <w:sz w:val="22"/>
          <w:szCs w:val="22"/>
        </w:rPr>
        <w:t>hus</w:t>
      </w:r>
      <w:r w:rsidR="006B298A" w:rsidRPr="0031030B">
        <w:rPr>
          <w:rFonts w:ascii="Times New Roman" w:hAnsi="Times New Roman" w:cs="Times New Roman"/>
          <w:sz w:val="22"/>
          <w:szCs w:val="22"/>
        </w:rPr>
        <w:t xml:space="preserve"> dismissed from her employment</w:t>
      </w:r>
      <w:r w:rsidR="00822690" w:rsidRPr="0031030B">
        <w:rPr>
          <w:rFonts w:ascii="Times New Roman" w:hAnsi="Times New Roman" w:cs="Times New Roman"/>
          <w:sz w:val="22"/>
          <w:szCs w:val="22"/>
        </w:rPr>
        <w:t xml:space="preserve">. </w:t>
      </w:r>
      <w:r w:rsidR="00E116F1" w:rsidRPr="0031030B">
        <w:rPr>
          <w:rFonts w:ascii="Times New Roman" w:hAnsi="Times New Roman" w:cs="Times New Roman"/>
          <w:sz w:val="22"/>
          <w:szCs w:val="22"/>
        </w:rPr>
        <w:t xml:space="preserve">Following these events, </w:t>
      </w:r>
      <w:r w:rsidR="0062484A" w:rsidRPr="0031030B">
        <w:rPr>
          <w:rFonts w:ascii="Times New Roman" w:hAnsi="Times New Roman" w:cs="Times New Roman"/>
          <w:sz w:val="22"/>
          <w:szCs w:val="22"/>
        </w:rPr>
        <w:t xml:space="preserve">Ms. Hounga issued a variety of claims and complaints against  </w:t>
      </w:r>
      <w:r w:rsidR="00082D07" w:rsidRPr="0031030B">
        <w:rPr>
          <w:rFonts w:ascii="Times New Roman" w:hAnsi="Times New Roman" w:cs="Times New Roman"/>
          <w:sz w:val="22"/>
          <w:szCs w:val="22"/>
        </w:rPr>
        <w:t>Mrs. Al</w:t>
      </w:r>
      <w:r w:rsidR="00D04CB1" w:rsidRPr="0031030B">
        <w:rPr>
          <w:rFonts w:ascii="Times New Roman" w:hAnsi="Times New Roman" w:cs="Times New Roman"/>
          <w:sz w:val="22"/>
          <w:szCs w:val="22"/>
        </w:rPr>
        <w:t>len in the Employment Tribunal. The tribunal upheld her</w:t>
      </w:r>
      <w:r w:rsidR="00D04CB1">
        <w:rPr>
          <w:rFonts w:ascii="Times New Roman" w:hAnsi="Times New Roman" w:cs="Times New Roman"/>
          <w:color w:val="000000"/>
          <w:sz w:val="22"/>
          <w:szCs w:val="22"/>
        </w:rPr>
        <w:t xml:space="preserve"> claim</w:t>
      </w:r>
      <w:r w:rsidR="00703784">
        <w:rPr>
          <w:rFonts w:ascii="Times New Roman" w:hAnsi="Times New Roman" w:cs="Times New Roman"/>
          <w:color w:val="000000"/>
          <w:sz w:val="22"/>
          <w:szCs w:val="22"/>
        </w:rPr>
        <w:t xml:space="preserve"> brought under the Race Relations Act 1976,</w:t>
      </w:r>
      <w:r w:rsidR="00D04CB1">
        <w:rPr>
          <w:rFonts w:ascii="Times New Roman" w:hAnsi="Times New Roman" w:cs="Times New Roman"/>
          <w:color w:val="000000"/>
          <w:sz w:val="22"/>
          <w:szCs w:val="22"/>
        </w:rPr>
        <w:t xml:space="preserve"> of unlawful discrimination </w:t>
      </w:r>
      <w:r w:rsidR="00D1561A">
        <w:rPr>
          <w:rFonts w:ascii="Times New Roman" w:hAnsi="Times New Roman" w:cs="Times New Roman"/>
          <w:color w:val="000000"/>
          <w:sz w:val="22"/>
          <w:szCs w:val="22"/>
        </w:rPr>
        <w:t>on racial grounds</w:t>
      </w:r>
      <w:r w:rsidR="008F362B">
        <w:rPr>
          <w:rFonts w:ascii="Times New Roman" w:hAnsi="Times New Roman" w:cs="Times New Roman"/>
          <w:color w:val="000000"/>
          <w:sz w:val="22"/>
          <w:szCs w:val="22"/>
        </w:rPr>
        <w:t xml:space="preserve"> </w:t>
      </w:r>
      <w:r w:rsidR="00D57E46">
        <w:rPr>
          <w:rFonts w:ascii="Times New Roman" w:hAnsi="Times New Roman" w:cs="Times New Roman"/>
          <w:color w:val="000000"/>
          <w:sz w:val="22"/>
          <w:szCs w:val="22"/>
        </w:rPr>
        <w:t xml:space="preserve">in </w:t>
      </w:r>
      <w:r w:rsidR="008F362B">
        <w:rPr>
          <w:rFonts w:ascii="Times New Roman" w:hAnsi="Times New Roman" w:cs="Times New Roman"/>
          <w:color w:val="000000"/>
          <w:sz w:val="22"/>
          <w:szCs w:val="22"/>
        </w:rPr>
        <w:t>r</w:t>
      </w:r>
      <w:r w:rsidR="00690718">
        <w:rPr>
          <w:rFonts w:ascii="Times New Roman" w:hAnsi="Times New Roman" w:cs="Times New Roman"/>
          <w:color w:val="000000"/>
          <w:sz w:val="22"/>
          <w:szCs w:val="22"/>
        </w:rPr>
        <w:t>elation to her dismissal</w:t>
      </w:r>
      <w:r w:rsidR="008F362B">
        <w:rPr>
          <w:rFonts w:ascii="Times New Roman" w:hAnsi="Times New Roman" w:cs="Times New Roman"/>
          <w:color w:val="000000"/>
          <w:sz w:val="22"/>
          <w:szCs w:val="22"/>
        </w:rPr>
        <w:t xml:space="preserve"> and Mrs. Allen was ordered to pay compensation to Ms. Hounga for the resultant injury to her feelings </w:t>
      </w:r>
      <w:r w:rsidR="00821D6B">
        <w:rPr>
          <w:rFonts w:ascii="Times New Roman" w:hAnsi="Times New Roman" w:cs="Times New Roman"/>
          <w:color w:val="000000"/>
          <w:sz w:val="22"/>
          <w:szCs w:val="22"/>
        </w:rPr>
        <w:t xml:space="preserve">in the sum of £6,187. </w:t>
      </w:r>
      <w:r w:rsidR="005E0F76">
        <w:rPr>
          <w:rFonts w:ascii="Times New Roman" w:hAnsi="Times New Roman" w:cs="Times New Roman"/>
          <w:color w:val="000000"/>
          <w:sz w:val="22"/>
          <w:szCs w:val="22"/>
        </w:rPr>
        <w:t>The Court of Appeal upheld a cross-appeal brought by Mrs. Allen ag</w:t>
      </w:r>
      <w:r w:rsidR="00FD36F5">
        <w:rPr>
          <w:rFonts w:ascii="Times New Roman" w:hAnsi="Times New Roman" w:cs="Times New Roman"/>
          <w:color w:val="000000"/>
          <w:sz w:val="22"/>
          <w:szCs w:val="22"/>
        </w:rPr>
        <w:t xml:space="preserve">ainst the order and set it aside finding that the illegality of the contract of employment formed a material part </w:t>
      </w:r>
      <w:r w:rsidR="00EC341C">
        <w:rPr>
          <w:rFonts w:ascii="Times New Roman" w:hAnsi="Times New Roman" w:cs="Times New Roman"/>
          <w:color w:val="000000"/>
          <w:sz w:val="22"/>
          <w:szCs w:val="22"/>
        </w:rPr>
        <w:t>o</w:t>
      </w:r>
      <w:r w:rsidR="00FD36F5">
        <w:rPr>
          <w:rFonts w:ascii="Times New Roman" w:hAnsi="Times New Roman" w:cs="Times New Roman"/>
          <w:color w:val="000000"/>
          <w:sz w:val="22"/>
          <w:szCs w:val="22"/>
        </w:rPr>
        <w:t xml:space="preserve">f Ms. Hounga’s complaint and that to uphold it would be to condone the illegality. </w:t>
      </w:r>
      <w:r w:rsidR="0019242E">
        <w:rPr>
          <w:rFonts w:ascii="Times New Roman" w:hAnsi="Times New Roman" w:cs="Times New Roman"/>
          <w:color w:val="000000"/>
          <w:sz w:val="22"/>
          <w:szCs w:val="22"/>
        </w:rPr>
        <w:t xml:space="preserve">Ms. Hounga appealed to the Supreme Court. </w:t>
      </w:r>
    </w:p>
    <w:p w14:paraId="0E7D907F" w14:textId="6C46F239" w:rsidR="00D754FB" w:rsidRPr="00952346" w:rsidRDefault="00F86CCB" w:rsidP="00137B5E">
      <w:pPr>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00F816A1">
        <w:rPr>
          <w:rFonts w:ascii="Times New Roman" w:hAnsi="Times New Roman" w:cs="Times New Roman"/>
          <w:color w:val="000000"/>
          <w:sz w:val="22"/>
          <w:szCs w:val="22"/>
        </w:rPr>
        <w:t xml:space="preserve">he legal issue before the Supreme Court was </w:t>
      </w:r>
      <w:r w:rsidR="000F7D50">
        <w:rPr>
          <w:rFonts w:ascii="Times New Roman" w:hAnsi="Times New Roman" w:cs="Times New Roman"/>
          <w:color w:val="000000"/>
          <w:sz w:val="22"/>
          <w:szCs w:val="22"/>
        </w:rPr>
        <w:t>whe</w:t>
      </w:r>
      <w:r w:rsidR="00F816A1">
        <w:rPr>
          <w:rFonts w:ascii="Times New Roman" w:hAnsi="Times New Roman" w:cs="Times New Roman"/>
          <w:color w:val="000000"/>
          <w:sz w:val="22"/>
          <w:szCs w:val="22"/>
        </w:rPr>
        <w:t>ther the Court of Appeal was correct to hold that the illegality defence defeated t</w:t>
      </w:r>
      <w:r w:rsidR="009D2A9A">
        <w:rPr>
          <w:rFonts w:ascii="Times New Roman" w:hAnsi="Times New Roman" w:cs="Times New Roman"/>
          <w:color w:val="000000"/>
          <w:sz w:val="22"/>
          <w:szCs w:val="22"/>
        </w:rPr>
        <w:t xml:space="preserve">he complaint of discrimination (para. 23). </w:t>
      </w:r>
      <w:r w:rsidR="00FE7923">
        <w:rPr>
          <w:rFonts w:ascii="Times New Roman" w:hAnsi="Times New Roman" w:cs="Times New Roman"/>
          <w:color w:val="000000"/>
          <w:sz w:val="22"/>
          <w:szCs w:val="22"/>
        </w:rPr>
        <w:t xml:space="preserve">The Court </w:t>
      </w:r>
      <w:r w:rsidR="00713EF6">
        <w:rPr>
          <w:rFonts w:ascii="Times New Roman" w:hAnsi="Times New Roman" w:cs="Times New Roman"/>
          <w:color w:val="000000"/>
          <w:sz w:val="22"/>
          <w:szCs w:val="22"/>
        </w:rPr>
        <w:t>applied</w:t>
      </w:r>
      <w:r w:rsidR="007C2DDF">
        <w:rPr>
          <w:rFonts w:ascii="Times New Roman" w:hAnsi="Times New Roman" w:cs="Times New Roman"/>
          <w:color w:val="000000"/>
          <w:sz w:val="22"/>
          <w:szCs w:val="22"/>
        </w:rPr>
        <w:t xml:space="preserve"> the “inextricable link test” developed in case</w:t>
      </w:r>
      <w:r w:rsidR="00D460ED">
        <w:rPr>
          <w:rFonts w:ascii="Times New Roman" w:hAnsi="Times New Roman" w:cs="Times New Roman"/>
          <w:color w:val="000000"/>
          <w:sz w:val="22"/>
          <w:szCs w:val="22"/>
        </w:rPr>
        <w:t xml:space="preserve"> law</w:t>
      </w:r>
      <w:r w:rsidR="005D6D03">
        <w:rPr>
          <w:rFonts w:ascii="Times New Roman" w:hAnsi="Times New Roman" w:cs="Times New Roman"/>
          <w:color w:val="000000"/>
          <w:sz w:val="22"/>
          <w:szCs w:val="22"/>
        </w:rPr>
        <w:t>,</w:t>
      </w:r>
      <w:r w:rsidR="007C2DDF">
        <w:rPr>
          <w:rFonts w:ascii="Times New Roman" w:hAnsi="Times New Roman" w:cs="Times New Roman"/>
          <w:color w:val="000000"/>
          <w:sz w:val="22"/>
          <w:szCs w:val="22"/>
        </w:rPr>
        <w:t xml:space="preserve"> </w:t>
      </w:r>
      <w:r w:rsidR="00713EF6">
        <w:rPr>
          <w:rFonts w:ascii="Times New Roman" w:hAnsi="Times New Roman" w:cs="Times New Roman"/>
          <w:color w:val="000000"/>
          <w:sz w:val="22"/>
          <w:szCs w:val="22"/>
        </w:rPr>
        <w:t xml:space="preserve">which establishes that the defence of illegality applies when the claimant’s </w:t>
      </w:r>
      <w:r w:rsidR="00171270">
        <w:rPr>
          <w:rFonts w:ascii="Times New Roman" w:hAnsi="Times New Roman" w:cs="Times New Roman"/>
          <w:color w:val="000000"/>
          <w:sz w:val="22"/>
          <w:szCs w:val="22"/>
        </w:rPr>
        <w:t xml:space="preserve">illegal conduct </w:t>
      </w:r>
      <w:r w:rsidR="00713EF6">
        <w:rPr>
          <w:rFonts w:ascii="Times New Roman" w:hAnsi="Times New Roman" w:cs="Times New Roman"/>
          <w:color w:val="000000"/>
          <w:sz w:val="22"/>
          <w:szCs w:val="22"/>
        </w:rPr>
        <w:t>is inextricably linked with his</w:t>
      </w:r>
      <w:r w:rsidR="00171270">
        <w:rPr>
          <w:rFonts w:ascii="Times New Roman" w:hAnsi="Times New Roman" w:cs="Times New Roman"/>
          <w:color w:val="000000"/>
          <w:sz w:val="22"/>
          <w:szCs w:val="22"/>
        </w:rPr>
        <w:t>/her claim</w:t>
      </w:r>
      <w:r w:rsidR="00330258">
        <w:rPr>
          <w:rFonts w:ascii="Times New Roman" w:hAnsi="Times New Roman" w:cs="Times New Roman"/>
          <w:color w:val="000000"/>
          <w:sz w:val="22"/>
          <w:szCs w:val="22"/>
        </w:rPr>
        <w:t xml:space="preserve">; </w:t>
      </w:r>
      <w:r w:rsidR="0094234E">
        <w:rPr>
          <w:rFonts w:ascii="Times New Roman" w:hAnsi="Times New Roman" w:cs="Times New Roman"/>
          <w:color w:val="000000"/>
          <w:sz w:val="22"/>
          <w:szCs w:val="22"/>
        </w:rPr>
        <w:t xml:space="preserve">the Court </w:t>
      </w:r>
      <w:r w:rsidR="00330258">
        <w:rPr>
          <w:rFonts w:ascii="Times New Roman" w:hAnsi="Times New Roman" w:cs="Times New Roman"/>
          <w:color w:val="000000"/>
          <w:sz w:val="22"/>
          <w:szCs w:val="22"/>
        </w:rPr>
        <w:t xml:space="preserve"> considered </w:t>
      </w:r>
      <w:r w:rsidR="0094234E">
        <w:rPr>
          <w:rFonts w:ascii="Times New Roman" w:hAnsi="Times New Roman" w:cs="Times New Roman"/>
          <w:color w:val="000000"/>
          <w:sz w:val="22"/>
          <w:szCs w:val="22"/>
        </w:rPr>
        <w:t xml:space="preserve">that </w:t>
      </w:r>
      <w:r w:rsidR="00330258">
        <w:rPr>
          <w:rFonts w:ascii="Times New Roman" w:hAnsi="Times New Roman" w:cs="Times New Roman"/>
          <w:color w:val="000000"/>
          <w:sz w:val="22"/>
          <w:szCs w:val="22"/>
        </w:rPr>
        <w:t>this link was absent.</w:t>
      </w:r>
      <w:r w:rsidR="002176D0">
        <w:rPr>
          <w:rFonts w:ascii="Times New Roman" w:hAnsi="Times New Roman" w:cs="Times New Roman"/>
          <w:color w:val="000000"/>
          <w:sz w:val="22"/>
          <w:szCs w:val="22"/>
        </w:rPr>
        <w:t xml:space="preserve"> </w:t>
      </w:r>
      <w:r w:rsidR="009A6AE9">
        <w:rPr>
          <w:rFonts w:ascii="Times New Roman" w:hAnsi="Times New Roman" w:cs="Times New Roman"/>
          <w:color w:val="000000"/>
          <w:sz w:val="22"/>
          <w:szCs w:val="22"/>
        </w:rPr>
        <w:t xml:space="preserve">In this regard the Court noted: “[…] should Mrs. Allen’s cruel misuse of Ms. Hounga’s perceived vulnerability arising out of the illegality, by making threats about the consequences of her exposure to the authorities, be a further justification for the defeat of her complaint? […] such threats are an indicator that Ms. Hounga was the victim of forced labour but in the hands of the Court of Appeal they become the ground for denial of her complaint”. (para. 39). </w:t>
      </w:r>
      <w:r w:rsidR="000720C0">
        <w:rPr>
          <w:rFonts w:ascii="Times New Roman" w:hAnsi="Times New Roman" w:cs="Times New Roman"/>
          <w:color w:val="000000"/>
          <w:sz w:val="22"/>
          <w:szCs w:val="22"/>
        </w:rPr>
        <w:t xml:space="preserve">The Supreme Court </w:t>
      </w:r>
      <w:r w:rsidR="0094234E">
        <w:rPr>
          <w:rFonts w:ascii="Times New Roman" w:hAnsi="Times New Roman" w:cs="Times New Roman"/>
          <w:color w:val="000000"/>
          <w:sz w:val="22"/>
          <w:szCs w:val="22"/>
        </w:rPr>
        <w:t xml:space="preserve">considered that the entry into the illegal contract provided no more that the context in which the respondent perpetrated the acts of physical, verbal and emotional abuse by which she dismissed Ms. Hounga from her employment. The Supreme Court unanimously held that the appeal should succeed in relation to Ms. Hounga’s claim for the statutory tort of discrimination. </w:t>
      </w:r>
    </w:p>
    <w:p w14:paraId="04468298" w14:textId="790BE07A" w:rsidR="00E977FD" w:rsidRPr="00BE1383" w:rsidRDefault="00704E79" w:rsidP="00B2228E">
      <w:pPr>
        <w:jc w:val="both"/>
        <w:rPr>
          <w:rFonts w:ascii="Times New Roman" w:hAnsi="Times New Roman" w:cs="Times New Roman"/>
          <w:sz w:val="22"/>
          <w:szCs w:val="22"/>
          <w:lang w:val="fr-CH"/>
        </w:rPr>
      </w:pPr>
      <w:r w:rsidRPr="00BE1383">
        <w:rPr>
          <w:rFonts w:ascii="Times New Roman" w:hAnsi="Times New Roman" w:cs="Times New Roman"/>
          <w:i/>
          <w:sz w:val="22"/>
          <w:szCs w:val="22"/>
          <w:lang w:val="fr-CH"/>
        </w:rPr>
        <w:t>L, HVN, THN, T v R</w:t>
      </w:r>
      <w:r w:rsidRPr="00BE1383">
        <w:rPr>
          <w:rFonts w:ascii="Times New Roman" w:hAnsi="Times New Roman" w:cs="Times New Roman"/>
          <w:sz w:val="22"/>
          <w:szCs w:val="22"/>
          <w:lang w:val="fr-CH"/>
        </w:rPr>
        <w:t xml:space="preserve"> </w:t>
      </w:r>
    </w:p>
    <w:p w14:paraId="6E4113A4" w14:textId="71ACB721" w:rsidR="003C465E" w:rsidRPr="003C465E" w:rsidRDefault="00D4667F" w:rsidP="00CF5B85">
      <w:pPr>
        <w:jc w:val="both"/>
        <w:rPr>
          <w:rFonts w:ascii="Times New Roman" w:hAnsi="Times New Roman" w:cs="Times New Roman"/>
          <w:sz w:val="22"/>
          <w:szCs w:val="22"/>
        </w:rPr>
      </w:pPr>
      <w:r>
        <w:rPr>
          <w:rFonts w:ascii="Times New Roman" w:hAnsi="Times New Roman" w:cs="Times New Roman"/>
          <w:sz w:val="22"/>
          <w:szCs w:val="22"/>
        </w:rPr>
        <w:t xml:space="preserve">In 2013, </w:t>
      </w:r>
      <w:r w:rsidR="00CE21FF">
        <w:rPr>
          <w:rFonts w:ascii="Times New Roman" w:hAnsi="Times New Roman" w:cs="Times New Roman"/>
          <w:sz w:val="22"/>
          <w:szCs w:val="22"/>
        </w:rPr>
        <w:t>the Court of Appeal (Crim</w:t>
      </w:r>
      <w:r w:rsidR="00CD416C">
        <w:rPr>
          <w:rFonts w:ascii="Times New Roman" w:hAnsi="Times New Roman" w:cs="Times New Roman"/>
          <w:sz w:val="22"/>
          <w:szCs w:val="22"/>
        </w:rPr>
        <w:t>inal Division) issued a judgment concerning four unconnected cases in which three children and one adult trafficked by criminals for their own purposes</w:t>
      </w:r>
      <w:r w:rsidR="00DB5AB2">
        <w:rPr>
          <w:rFonts w:ascii="Times New Roman" w:hAnsi="Times New Roman" w:cs="Times New Roman"/>
          <w:sz w:val="22"/>
          <w:szCs w:val="22"/>
        </w:rPr>
        <w:t xml:space="preserve"> were</w:t>
      </w:r>
      <w:r w:rsidR="00CD416C">
        <w:rPr>
          <w:rFonts w:ascii="Times New Roman" w:hAnsi="Times New Roman" w:cs="Times New Roman"/>
          <w:sz w:val="22"/>
          <w:szCs w:val="22"/>
        </w:rPr>
        <w:t xml:space="preserve"> prosecuted and convicted (</w:t>
      </w:r>
      <w:r w:rsidR="00CD416C" w:rsidRPr="003E2DCA">
        <w:rPr>
          <w:rFonts w:ascii="Times New Roman" w:hAnsi="Times New Roman" w:cs="Times New Roman"/>
          <w:i/>
          <w:sz w:val="22"/>
          <w:szCs w:val="22"/>
        </w:rPr>
        <w:t>L, HVN, THN, T v R</w:t>
      </w:r>
      <w:r w:rsidR="00CD416C">
        <w:rPr>
          <w:rFonts w:ascii="Times New Roman" w:hAnsi="Times New Roman" w:cs="Times New Roman"/>
          <w:sz w:val="22"/>
          <w:szCs w:val="22"/>
        </w:rPr>
        <w:t xml:space="preserve"> [2013] EWCA Crim 991)</w:t>
      </w:r>
      <w:r w:rsidR="00CD416C">
        <w:rPr>
          <w:rStyle w:val="FootnoteReference"/>
          <w:rFonts w:ascii="Times New Roman" w:hAnsi="Times New Roman" w:cs="Times New Roman"/>
          <w:sz w:val="22"/>
          <w:szCs w:val="22"/>
        </w:rPr>
        <w:footnoteReference w:id="21"/>
      </w:r>
      <w:r w:rsidR="00CD416C">
        <w:rPr>
          <w:rFonts w:ascii="Times New Roman" w:hAnsi="Times New Roman" w:cs="Times New Roman"/>
          <w:sz w:val="22"/>
          <w:szCs w:val="22"/>
        </w:rPr>
        <w:t xml:space="preserve">. </w:t>
      </w:r>
      <w:r w:rsidR="001779DE">
        <w:rPr>
          <w:rFonts w:ascii="Times New Roman" w:hAnsi="Times New Roman" w:cs="Times New Roman"/>
          <w:sz w:val="22"/>
          <w:szCs w:val="22"/>
        </w:rPr>
        <w:t>Three of</w:t>
      </w:r>
      <w:r w:rsidR="00A3742C">
        <w:rPr>
          <w:rFonts w:ascii="Times New Roman" w:hAnsi="Times New Roman" w:cs="Times New Roman"/>
          <w:sz w:val="22"/>
          <w:szCs w:val="22"/>
        </w:rPr>
        <w:t xml:space="preserve"> these cases concerned children trafficked from Vietnam who were forced to work in cannabis farms and were con</w:t>
      </w:r>
      <w:r w:rsidR="008E1EF0">
        <w:rPr>
          <w:rFonts w:ascii="Times New Roman" w:hAnsi="Times New Roman" w:cs="Times New Roman"/>
          <w:sz w:val="22"/>
          <w:szCs w:val="22"/>
        </w:rPr>
        <w:t>victed for cannabis cultivation. T</w:t>
      </w:r>
      <w:r w:rsidR="00A3742C">
        <w:rPr>
          <w:rFonts w:ascii="Times New Roman" w:hAnsi="Times New Roman" w:cs="Times New Roman"/>
          <w:sz w:val="22"/>
          <w:szCs w:val="22"/>
        </w:rPr>
        <w:t xml:space="preserve">he fourth case concerned an Ugandan woman </w:t>
      </w:r>
      <w:r w:rsidR="008E1EF0">
        <w:rPr>
          <w:rFonts w:ascii="Times New Roman" w:hAnsi="Times New Roman" w:cs="Times New Roman"/>
          <w:sz w:val="22"/>
          <w:szCs w:val="22"/>
        </w:rPr>
        <w:t xml:space="preserve">who was victim of trafficking for sexual exploitation in forced prostitution and was convicted for possession of a false identity document. </w:t>
      </w:r>
      <w:r w:rsidR="00FB23F1">
        <w:rPr>
          <w:rFonts w:ascii="Times New Roman" w:hAnsi="Times New Roman" w:cs="Times New Roman"/>
          <w:sz w:val="22"/>
          <w:szCs w:val="22"/>
        </w:rPr>
        <w:t xml:space="preserve">The Court examined the appeals in light of EU Directive 2011/36/EU on Preventing and Combating Trafficking in Human Beings  and Protecting its Victims (Recital 8, Recital 14 and Article 8), and the Council of Europe Convention on Action against Trafficking in Human Beings (Article 26). </w:t>
      </w:r>
      <w:r w:rsidR="007350ED">
        <w:rPr>
          <w:rFonts w:ascii="Times New Roman" w:hAnsi="Times New Roman" w:cs="Times New Roman"/>
          <w:sz w:val="22"/>
          <w:szCs w:val="22"/>
        </w:rPr>
        <w:t>The Court observed that “</w:t>
      </w:r>
      <w:r w:rsidR="003D7873">
        <w:rPr>
          <w:rFonts w:ascii="Times New Roman" w:hAnsi="Times New Roman" w:cs="Times New Roman"/>
          <w:sz w:val="22"/>
          <w:szCs w:val="22"/>
        </w:rPr>
        <w:t xml:space="preserve">[…] </w:t>
      </w:r>
      <w:r w:rsidR="007350ED">
        <w:rPr>
          <w:rFonts w:ascii="Times New Roman" w:hAnsi="Times New Roman" w:cs="Times New Roman"/>
          <w:sz w:val="22"/>
          <w:szCs w:val="22"/>
        </w:rPr>
        <w:t xml:space="preserve">the criminality, or putting it another way, the culpability, of any victim of trafficking may be significantly diminished, and in </w:t>
      </w:r>
      <w:r w:rsidR="001D3816">
        <w:rPr>
          <w:rFonts w:ascii="Times New Roman" w:hAnsi="Times New Roman" w:cs="Times New Roman"/>
          <w:sz w:val="22"/>
          <w:szCs w:val="22"/>
        </w:rPr>
        <w:t>some cases e</w:t>
      </w:r>
      <w:r w:rsidR="007350ED">
        <w:rPr>
          <w:rFonts w:ascii="Times New Roman" w:hAnsi="Times New Roman" w:cs="Times New Roman"/>
          <w:sz w:val="22"/>
          <w:szCs w:val="22"/>
        </w:rPr>
        <w:t xml:space="preserve">ffectively extinguished, not merely because of age (always a </w:t>
      </w:r>
      <w:r w:rsidR="007350ED">
        <w:rPr>
          <w:rFonts w:ascii="Times New Roman" w:hAnsi="Times New Roman" w:cs="Times New Roman"/>
          <w:sz w:val="22"/>
          <w:szCs w:val="22"/>
        </w:rPr>
        <w:lastRenderedPageBreak/>
        <w:t xml:space="preserve">relevant factor in the case of a child defendant) but because no realistic alternative was available to the exploited victim but to comply with the dominant force of another individual, or group of individuals” (para 13). </w:t>
      </w:r>
      <w:r w:rsidR="00E80997">
        <w:rPr>
          <w:rFonts w:ascii="Times New Roman" w:hAnsi="Times New Roman" w:cs="Times New Roman"/>
          <w:sz w:val="22"/>
          <w:szCs w:val="22"/>
        </w:rPr>
        <w:t>Fu</w:t>
      </w:r>
      <w:r w:rsidR="005B1B3D">
        <w:rPr>
          <w:rFonts w:ascii="Times New Roman" w:hAnsi="Times New Roman" w:cs="Times New Roman"/>
          <w:sz w:val="22"/>
          <w:szCs w:val="22"/>
        </w:rPr>
        <w:t xml:space="preserve">rthermore, the Court </w:t>
      </w:r>
      <w:r w:rsidR="00C967EB">
        <w:rPr>
          <w:rFonts w:ascii="Times New Roman" w:hAnsi="Times New Roman" w:cs="Times New Roman"/>
          <w:sz w:val="22"/>
          <w:szCs w:val="22"/>
        </w:rPr>
        <w:t>concluded that “[…] in some cases the facts will indeed show that he [the victim] was under levels of compulsion which mean that in reality culpability was extinguished. If so when such cases are prosecuted, an abuse of process submission is likely to succeed.</w:t>
      </w:r>
      <w:r w:rsidR="005B55FC">
        <w:rPr>
          <w:rFonts w:ascii="Times New Roman" w:hAnsi="Times New Roman" w:cs="Times New Roman"/>
          <w:sz w:val="22"/>
          <w:szCs w:val="22"/>
        </w:rPr>
        <w:t xml:space="preserve"> That is</w:t>
      </w:r>
      <w:r w:rsidR="00C967EB">
        <w:rPr>
          <w:rFonts w:ascii="Times New Roman" w:hAnsi="Times New Roman" w:cs="Times New Roman"/>
          <w:sz w:val="22"/>
          <w:szCs w:val="22"/>
        </w:rPr>
        <w:t xml:space="preserve"> the test we have applied in these appeals […]” (para. 33). </w:t>
      </w:r>
    </w:p>
    <w:sectPr w:rsidR="003C465E" w:rsidRPr="003C465E" w:rsidSect="001778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2F78B" w14:textId="77777777" w:rsidR="00690718" w:rsidRDefault="00690718" w:rsidP="003C465E">
      <w:pPr>
        <w:spacing w:after="0"/>
      </w:pPr>
      <w:r>
        <w:separator/>
      </w:r>
    </w:p>
  </w:endnote>
  <w:endnote w:type="continuationSeparator" w:id="0">
    <w:p w14:paraId="0977BCD4" w14:textId="77777777" w:rsidR="00690718" w:rsidRDefault="00690718" w:rsidP="003C46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D8D88" w14:textId="77777777" w:rsidR="00690718" w:rsidRDefault="00690718" w:rsidP="003C465E">
      <w:pPr>
        <w:spacing w:after="0"/>
      </w:pPr>
      <w:r>
        <w:separator/>
      </w:r>
    </w:p>
  </w:footnote>
  <w:footnote w:type="continuationSeparator" w:id="0">
    <w:p w14:paraId="6F8903DA" w14:textId="77777777" w:rsidR="00690718" w:rsidRDefault="00690718" w:rsidP="003C465E">
      <w:pPr>
        <w:spacing w:after="0"/>
      </w:pPr>
      <w:r>
        <w:continuationSeparator/>
      </w:r>
    </w:p>
  </w:footnote>
  <w:footnote w:id="1">
    <w:p w14:paraId="65AFFF90" w14:textId="77777777" w:rsidR="00690718" w:rsidRDefault="00690718" w:rsidP="003C465E">
      <w:pPr>
        <w:pStyle w:val="FootnoteText"/>
        <w:jc w:val="both"/>
        <w:rPr>
          <w:rFonts w:ascii="Times New Roman" w:hAnsi="Times New Roman" w:cs="Times New Roman"/>
          <w:sz w:val="18"/>
          <w:szCs w:val="18"/>
        </w:rPr>
      </w:pPr>
      <w:r w:rsidRPr="006C2B61">
        <w:rPr>
          <w:rStyle w:val="FootnoteReference"/>
          <w:rFonts w:ascii="Times New Roman" w:hAnsi="Times New Roman" w:cs="Times New Roman"/>
          <w:sz w:val="18"/>
          <w:szCs w:val="18"/>
        </w:rPr>
        <w:footnoteRef/>
      </w:r>
      <w:r w:rsidRPr="006C2B61">
        <w:rPr>
          <w:rFonts w:ascii="Times New Roman" w:hAnsi="Times New Roman" w:cs="Times New Roman"/>
          <w:sz w:val="18"/>
          <w:szCs w:val="18"/>
        </w:rPr>
        <w:t xml:space="preserve"> </w:t>
      </w:r>
      <w:r>
        <w:rPr>
          <w:rFonts w:ascii="Times New Roman" w:hAnsi="Times New Roman" w:cs="Times New Roman"/>
          <w:sz w:val="18"/>
          <w:szCs w:val="18"/>
        </w:rPr>
        <w:t xml:space="preserve">A. </w:t>
      </w:r>
      <w:r w:rsidRPr="007B1408">
        <w:rPr>
          <w:rFonts w:ascii="Times New Roman" w:hAnsi="Times New Roman" w:cs="Times New Roman"/>
          <w:i/>
          <w:sz w:val="18"/>
          <w:szCs w:val="18"/>
        </w:rPr>
        <w:t>Victims of Crime</w:t>
      </w:r>
    </w:p>
    <w:p w14:paraId="2BEC2FE0" w14:textId="77777777" w:rsidR="00690718" w:rsidRDefault="00690718" w:rsidP="003C465E">
      <w:pPr>
        <w:pStyle w:val="FootnoteText"/>
        <w:jc w:val="both"/>
        <w:rPr>
          <w:rFonts w:ascii="Times New Roman" w:hAnsi="Times New Roman" w:cs="Times New Roman"/>
          <w:sz w:val="18"/>
          <w:szCs w:val="18"/>
        </w:rPr>
      </w:pPr>
      <w:r>
        <w:rPr>
          <w:rFonts w:ascii="Times New Roman" w:hAnsi="Times New Roman" w:cs="Times New Roman"/>
          <w:i/>
          <w:sz w:val="18"/>
          <w:szCs w:val="18"/>
        </w:rPr>
        <w:t xml:space="preserve">[...] </w:t>
      </w:r>
      <w:r w:rsidRPr="00C14D48">
        <w:rPr>
          <w:rFonts w:ascii="Times New Roman" w:hAnsi="Times New Roman" w:cs="Times New Roman"/>
          <w:i/>
          <w:sz w:val="18"/>
          <w:szCs w:val="18"/>
        </w:rPr>
        <w:t>Access to Justice and fair treatment</w:t>
      </w:r>
      <w:r>
        <w:rPr>
          <w:rFonts w:ascii="Times New Roman" w:hAnsi="Times New Roman" w:cs="Times New Roman"/>
          <w:i/>
          <w:sz w:val="18"/>
          <w:szCs w:val="18"/>
        </w:rPr>
        <w:t xml:space="preserve"> </w:t>
      </w:r>
    </w:p>
    <w:p w14:paraId="1EF561D2" w14:textId="592CE7F0" w:rsidR="00690718" w:rsidRDefault="00690718" w:rsidP="003C465E">
      <w:pPr>
        <w:pStyle w:val="FootnoteText"/>
        <w:jc w:val="both"/>
        <w:rPr>
          <w:rFonts w:ascii="Times New Roman" w:hAnsi="Times New Roman" w:cs="Times New Roman"/>
          <w:sz w:val="18"/>
          <w:szCs w:val="18"/>
        </w:rPr>
      </w:pPr>
      <w:r>
        <w:rPr>
          <w:rFonts w:ascii="Times New Roman" w:hAnsi="Times New Roman" w:cs="Times New Roman"/>
          <w:sz w:val="18"/>
          <w:szCs w:val="18"/>
        </w:rPr>
        <w:t xml:space="preserve">4. Victims should be treated with compassion and respect for their dignity. They are entitled to access to the mechanisms of justice and to prompt redress, as provided for by national legislation, for the harm that they have suffered. </w:t>
      </w:r>
    </w:p>
    <w:p w14:paraId="46B666AB" w14:textId="77777777" w:rsidR="00690718" w:rsidRDefault="00690718" w:rsidP="003C465E">
      <w:pPr>
        <w:pStyle w:val="FootnoteText"/>
        <w:jc w:val="both"/>
        <w:rPr>
          <w:rFonts w:ascii="Times New Roman" w:hAnsi="Times New Roman" w:cs="Times New Roman"/>
          <w:sz w:val="18"/>
          <w:szCs w:val="18"/>
        </w:rPr>
      </w:pPr>
      <w:r>
        <w:rPr>
          <w:rFonts w:ascii="Times New Roman" w:hAnsi="Times New Roman" w:cs="Times New Roman"/>
          <w:sz w:val="18"/>
          <w:szCs w:val="18"/>
        </w:rPr>
        <w:t xml:space="preserve">5. Judicial and administrative mechanisms should be established and strengthened where necessary to enable victims to obtain redress through formal or informal procedures that are expeditious, fair, inexpensive and accessible. Victims should be informed of their rights in seeking redress through such mechanisms. </w:t>
      </w:r>
    </w:p>
    <w:p w14:paraId="5E8D7C7F" w14:textId="77777777" w:rsidR="00690718" w:rsidRDefault="00690718" w:rsidP="003C465E">
      <w:pPr>
        <w:pStyle w:val="FootnoteText"/>
        <w:jc w:val="both"/>
        <w:rPr>
          <w:rFonts w:ascii="Times New Roman" w:hAnsi="Times New Roman" w:cs="Times New Roman"/>
          <w:sz w:val="18"/>
          <w:szCs w:val="18"/>
        </w:rPr>
      </w:pPr>
      <w:r>
        <w:rPr>
          <w:rFonts w:ascii="Times New Roman" w:hAnsi="Times New Roman" w:cs="Times New Roman"/>
          <w:sz w:val="18"/>
          <w:szCs w:val="18"/>
        </w:rPr>
        <w:t xml:space="preserve">6. The responsiveness of judicial and administrative processes to the needs of victims should be facilitated by: </w:t>
      </w:r>
    </w:p>
    <w:p w14:paraId="74EDEDD3" w14:textId="77777777" w:rsidR="00690718" w:rsidRDefault="00690718" w:rsidP="003C465E">
      <w:pPr>
        <w:pStyle w:val="FootnoteText"/>
        <w:numPr>
          <w:ilvl w:val="0"/>
          <w:numId w:val="3"/>
        </w:numPr>
        <w:jc w:val="both"/>
        <w:rPr>
          <w:rFonts w:ascii="Times New Roman" w:hAnsi="Times New Roman" w:cs="Times New Roman"/>
          <w:sz w:val="18"/>
          <w:szCs w:val="18"/>
        </w:rPr>
      </w:pPr>
      <w:r>
        <w:rPr>
          <w:rFonts w:ascii="Times New Roman" w:hAnsi="Times New Roman" w:cs="Times New Roman"/>
          <w:sz w:val="18"/>
          <w:szCs w:val="18"/>
        </w:rPr>
        <w:t>Informing victims of their role and the scope, timing and progress of the proceedings and of the disposition of their cases, especially where serious crimes are involved and where they have requested such information;</w:t>
      </w:r>
    </w:p>
    <w:p w14:paraId="66C9A1C0" w14:textId="77777777" w:rsidR="00690718" w:rsidRDefault="00690718" w:rsidP="003C465E">
      <w:pPr>
        <w:pStyle w:val="FootnoteText"/>
        <w:numPr>
          <w:ilvl w:val="0"/>
          <w:numId w:val="3"/>
        </w:numPr>
        <w:jc w:val="both"/>
        <w:rPr>
          <w:rFonts w:ascii="Times New Roman" w:hAnsi="Times New Roman" w:cs="Times New Roman"/>
          <w:sz w:val="18"/>
          <w:szCs w:val="18"/>
        </w:rPr>
      </w:pPr>
      <w:r w:rsidRPr="005020F6">
        <w:rPr>
          <w:rFonts w:ascii="Times New Roman" w:hAnsi="Times New Roman" w:cs="Times New Roman"/>
          <w:sz w:val="18"/>
          <w:szCs w:val="18"/>
        </w:rPr>
        <w:t>Allowing the views and concerns of victims to be presented and considered at appropriate stages of the proceedings where their personal interests are affected, without prejudice to the accused and consistent with the relevant national criminal justice system;</w:t>
      </w:r>
    </w:p>
    <w:p w14:paraId="604F2461" w14:textId="77777777" w:rsidR="00690718" w:rsidRDefault="00690718" w:rsidP="003C465E">
      <w:pPr>
        <w:pStyle w:val="FootnoteText"/>
        <w:numPr>
          <w:ilvl w:val="0"/>
          <w:numId w:val="3"/>
        </w:numPr>
        <w:jc w:val="both"/>
        <w:rPr>
          <w:rFonts w:ascii="Times New Roman" w:hAnsi="Times New Roman" w:cs="Times New Roman"/>
          <w:sz w:val="18"/>
          <w:szCs w:val="18"/>
        </w:rPr>
      </w:pPr>
      <w:r w:rsidRPr="005020F6">
        <w:rPr>
          <w:rFonts w:ascii="Times New Roman" w:hAnsi="Times New Roman" w:cs="Times New Roman"/>
          <w:sz w:val="18"/>
          <w:szCs w:val="18"/>
        </w:rPr>
        <w:t>Providing proper assistance to victims throughout the legal process;</w:t>
      </w:r>
    </w:p>
    <w:p w14:paraId="57339114" w14:textId="77777777" w:rsidR="00690718" w:rsidRDefault="00690718" w:rsidP="003C465E">
      <w:pPr>
        <w:pStyle w:val="FootnoteText"/>
        <w:numPr>
          <w:ilvl w:val="0"/>
          <w:numId w:val="3"/>
        </w:numPr>
        <w:jc w:val="both"/>
        <w:rPr>
          <w:rFonts w:ascii="Times New Roman" w:hAnsi="Times New Roman" w:cs="Times New Roman"/>
          <w:sz w:val="18"/>
          <w:szCs w:val="18"/>
        </w:rPr>
      </w:pPr>
      <w:r w:rsidRPr="005020F6">
        <w:rPr>
          <w:rFonts w:ascii="Times New Roman" w:hAnsi="Times New Roman" w:cs="Times New Roman"/>
          <w:sz w:val="18"/>
          <w:szCs w:val="18"/>
        </w:rPr>
        <w:t>Taking measures to minimize inconvenience to victims, protect their privacy, when necessary, and ensure their safety, as well as that of their families and witnesses on their behalf, from intimidation and retaliation;</w:t>
      </w:r>
    </w:p>
    <w:p w14:paraId="70517F0F" w14:textId="77777777" w:rsidR="00690718" w:rsidRDefault="00690718" w:rsidP="003C465E">
      <w:pPr>
        <w:pStyle w:val="FootnoteText"/>
        <w:numPr>
          <w:ilvl w:val="0"/>
          <w:numId w:val="3"/>
        </w:numPr>
        <w:jc w:val="both"/>
        <w:rPr>
          <w:rFonts w:ascii="Times New Roman" w:hAnsi="Times New Roman" w:cs="Times New Roman"/>
          <w:sz w:val="18"/>
          <w:szCs w:val="18"/>
        </w:rPr>
      </w:pPr>
      <w:r w:rsidRPr="005020F6">
        <w:rPr>
          <w:rFonts w:ascii="Times New Roman" w:hAnsi="Times New Roman" w:cs="Times New Roman"/>
          <w:sz w:val="18"/>
          <w:szCs w:val="18"/>
        </w:rPr>
        <w:t>Avoiding unnecessary delay in the disposition of cases and the execution of orders or decr</w:t>
      </w:r>
      <w:r>
        <w:rPr>
          <w:rFonts w:ascii="Times New Roman" w:hAnsi="Times New Roman" w:cs="Times New Roman"/>
          <w:sz w:val="18"/>
          <w:szCs w:val="18"/>
        </w:rPr>
        <w:t xml:space="preserve">ees granting awards to victims. </w:t>
      </w:r>
    </w:p>
    <w:p w14:paraId="018457A4" w14:textId="77777777" w:rsidR="00690718" w:rsidRPr="00C14D48" w:rsidRDefault="00690718" w:rsidP="003C465E">
      <w:pPr>
        <w:pStyle w:val="FootnoteText"/>
        <w:jc w:val="both"/>
        <w:rPr>
          <w:rFonts w:ascii="Times New Roman" w:hAnsi="Times New Roman" w:cs="Times New Roman"/>
          <w:sz w:val="18"/>
          <w:szCs w:val="18"/>
        </w:rPr>
      </w:pPr>
      <w:r>
        <w:rPr>
          <w:rFonts w:ascii="Times New Roman" w:hAnsi="Times New Roman" w:cs="Times New Roman"/>
          <w:sz w:val="18"/>
          <w:szCs w:val="18"/>
        </w:rPr>
        <w:t xml:space="preserve">7. Informal mechanisms for the resolution of disputes, including mediation, arbitration and customary justice or indigenous practices, should be utilized where appropriate to facilitate conciliation and redress for victims. </w:t>
      </w:r>
    </w:p>
    <w:p w14:paraId="4D22E55A" w14:textId="77777777" w:rsidR="00690718" w:rsidRDefault="00690718" w:rsidP="003C465E">
      <w:pPr>
        <w:pStyle w:val="FootnoteText"/>
        <w:jc w:val="both"/>
      </w:pPr>
      <w:r w:rsidRPr="006C2B61">
        <w:rPr>
          <w:rFonts w:ascii="Times New Roman" w:hAnsi="Times New Roman" w:cs="Times New Roman"/>
          <w:sz w:val="18"/>
          <w:szCs w:val="18"/>
        </w:rPr>
        <w:t>UN General Assembly, Declaration of Basic Principles of Justice for Victims of Crime and Abuse of Power: resolution adopted by the General Assembly, 29 November 1985, A/RES/40/34.</w:t>
      </w:r>
      <w:r>
        <w:t xml:space="preserve"> </w:t>
      </w:r>
    </w:p>
  </w:footnote>
  <w:footnote w:id="2">
    <w:p w14:paraId="4EC57F11" w14:textId="340821FA" w:rsidR="00690718" w:rsidRPr="00E33D19" w:rsidRDefault="00690718" w:rsidP="003C465E">
      <w:pPr>
        <w:pStyle w:val="FootnoteText"/>
        <w:jc w:val="both"/>
        <w:rPr>
          <w:rFonts w:ascii="Times New Roman" w:hAnsi="Times New Roman" w:cs="Times New Roman"/>
          <w:sz w:val="18"/>
          <w:szCs w:val="18"/>
        </w:rPr>
      </w:pPr>
      <w:r w:rsidRPr="00E33D19">
        <w:rPr>
          <w:rStyle w:val="FootnoteReference"/>
          <w:rFonts w:ascii="Times New Roman" w:hAnsi="Times New Roman" w:cs="Times New Roman"/>
          <w:sz w:val="18"/>
          <w:szCs w:val="18"/>
        </w:rPr>
        <w:footnoteRef/>
      </w:r>
      <w:r w:rsidRPr="00E33D19">
        <w:rPr>
          <w:rFonts w:ascii="Times New Roman" w:hAnsi="Times New Roman" w:cs="Times New Roman"/>
          <w:sz w:val="18"/>
          <w:szCs w:val="18"/>
        </w:rPr>
        <w:t xml:space="preserve"> In its General Comment</w:t>
      </w:r>
      <w:r>
        <w:rPr>
          <w:rFonts w:ascii="Times New Roman" w:hAnsi="Times New Roman" w:cs="Times New Roman"/>
          <w:sz w:val="18"/>
          <w:szCs w:val="18"/>
        </w:rPr>
        <w:t xml:space="preserve"> No.</w:t>
      </w:r>
      <w:r w:rsidRPr="00E33D19">
        <w:rPr>
          <w:rFonts w:ascii="Times New Roman" w:hAnsi="Times New Roman" w:cs="Times New Roman"/>
          <w:sz w:val="18"/>
          <w:szCs w:val="18"/>
        </w:rPr>
        <w:t xml:space="preserve"> 29 of 2001, the Human Rights </w:t>
      </w:r>
      <w:r>
        <w:rPr>
          <w:rFonts w:ascii="Times New Roman" w:hAnsi="Times New Roman" w:cs="Times New Roman"/>
          <w:sz w:val="18"/>
          <w:szCs w:val="18"/>
        </w:rPr>
        <w:t>Committee states that article 2 paragraph 3 “</w:t>
      </w:r>
      <w:r w:rsidRPr="00E33D19">
        <w:rPr>
          <w:rFonts w:ascii="Times New Roman" w:hAnsi="Times New Roman" w:cs="Times New Roman"/>
          <w:sz w:val="18"/>
          <w:szCs w:val="18"/>
        </w:rPr>
        <w:t xml:space="preserve">requires a State party </w:t>
      </w:r>
      <w:r>
        <w:rPr>
          <w:rFonts w:ascii="Times New Roman" w:hAnsi="Times New Roman" w:cs="Times New Roman"/>
          <w:sz w:val="18"/>
          <w:szCs w:val="18"/>
        </w:rPr>
        <w:t xml:space="preserve">to the Covenant </w:t>
      </w:r>
      <w:r w:rsidRPr="00E33D19">
        <w:rPr>
          <w:rFonts w:ascii="Times New Roman" w:hAnsi="Times New Roman" w:cs="Times New Roman"/>
          <w:sz w:val="18"/>
          <w:szCs w:val="18"/>
        </w:rPr>
        <w:t xml:space="preserve">to provide remedies for any violation of the provisions of the Covenant. This clause </w:t>
      </w:r>
      <w:r>
        <w:rPr>
          <w:rFonts w:ascii="Times New Roman" w:hAnsi="Times New Roman" w:cs="Times New Roman"/>
          <w:sz w:val="18"/>
          <w:szCs w:val="18"/>
        </w:rPr>
        <w:t xml:space="preserve">is not mentioned in the list of non-derogable provisions in article 4, paragraph 2, but it </w:t>
      </w:r>
      <w:r w:rsidRPr="00E33D19">
        <w:rPr>
          <w:rFonts w:ascii="Times New Roman" w:hAnsi="Times New Roman" w:cs="Times New Roman"/>
          <w:sz w:val="18"/>
          <w:szCs w:val="18"/>
        </w:rPr>
        <w:t>constitutes a treaty obligation inherent in the Covenant as a whole</w:t>
      </w:r>
      <w:r>
        <w:rPr>
          <w:rFonts w:ascii="Times New Roman" w:hAnsi="Times New Roman" w:cs="Times New Roman"/>
          <w:sz w:val="18"/>
          <w:szCs w:val="18"/>
        </w:rPr>
        <w:t xml:space="preserve"> […]</w:t>
      </w:r>
      <w:r w:rsidRPr="00E33D19">
        <w:rPr>
          <w:rFonts w:ascii="Times New Roman" w:hAnsi="Times New Roman" w:cs="Times New Roman"/>
          <w:sz w:val="18"/>
          <w:szCs w:val="18"/>
        </w:rPr>
        <w:t>”</w:t>
      </w:r>
      <w:r>
        <w:rPr>
          <w:rFonts w:ascii="Times New Roman" w:hAnsi="Times New Roman" w:cs="Times New Roman"/>
          <w:sz w:val="18"/>
          <w:szCs w:val="18"/>
        </w:rPr>
        <w:t xml:space="preserve"> (para. 14)</w:t>
      </w:r>
      <w:r w:rsidRPr="00E33D19">
        <w:rPr>
          <w:rFonts w:ascii="Times New Roman" w:hAnsi="Times New Roman" w:cs="Times New Roman"/>
          <w:sz w:val="18"/>
          <w:szCs w:val="18"/>
        </w:rPr>
        <w:t xml:space="preserve">. CCPR General Comment No. 29: </w:t>
      </w:r>
      <w:r w:rsidRPr="004259B5">
        <w:rPr>
          <w:rFonts w:ascii="Times New Roman" w:hAnsi="Times New Roman" w:cs="Times New Roman"/>
          <w:i/>
          <w:sz w:val="18"/>
          <w:szCs w:val="18"/>
        </w:rPr>
        <w:t>Article 4: Derogations during a State of Emergency</w:t>
      </w:r>
      <w:r>
        <w:rPr>
          <w:rFonts w:ascii="Times New Roman" w:hAnsi="Times New Roman" w:cs="Times New Roman"/>
          <w:sz w:val="18"/>
          <w:szCs w:val="18"/>
        </w:rPr>
        <w:t>, 31 August 2001, CCPR/C/21/Rev.1/Add.11</w:t>
      </w:r>
      <w:r w:rsidRPr="00E33D19">
        <w:rPr>
          <w:rFonts w:ascii="Times New Roman" w:hAnsi="Times New Roman" w:cs="Times New Roman"/>
          <w:sz w:val="18"/>
          <w:szCs w:val="18"/>
        </w:rPr>
        <w:t xml:space="preserve">. </w:t>
      </w:r>
    </w:p>
  </w:footnote>
  <w:footnote w:id="3">
    <w:p w14:paraId="09A89E86" w14:textId="09FC9FD3" w:rsidR="00690718" w:rsidRDefault="00690718" w:rsidP="003C465E">
      <w:pPr>
        <w:pStyle w:val="FootnoteText"/>
        <w:jc w:val="both"/>
        <w:rPr>
          <w:rFonts w:ascii="Times New Roman" w:hAnsi="Times New Roman" w:cs="Times New Roman"/>
          <w:sz w:val="18"/>
          <w:szCs w:val="18"/>
        </w:rPr>
      </w:pPr>
      <w:r w:rsidRPr="002E69DE">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F44190">
        <w:rPr>
          <w:rFonts w:ascii="Times New Roman" w:hAnsi="Times New Roman" w:cs="Times New Roman"/>
          <w:sz w:val="18"/>
          <w:szCs w:val="18"/>
        </w:rPr>
        <w:t>The ILO</w:t>
      </w:r>
      <w:r>
        <w:rPr>
          <w:rFonts w:ascii="Times New Roman" w:hAnsi="Times New Roman" w:cs="Times New Roman"/>
          <w:sz w:val="18"/>
          <w:szCs w:val="18"/>
        </w:rPr>
        <w:t xml:space="preserve"> Committee of Experts has noted in relation to art. 25 of the Forced Labour Convention No. 29 that “where a form of forced labour is found to exist, those responsible must be effectively punished in accordance with the penal  sanctions established by the law. The State has to ensure that the victims of such practices are able to complain to the competent authorities, have access to justice and obtain compensation for the harm they have suffered”. </w:t>
      </w:r>
    </w:p>
    <w:p w14:paraId="24D62B03" w14:textId="014CCE3E" w:rsidR="00690718" w:rsidRPr="002E69DE" w:rsidRDefault="00690718" w:rsidP="003C465E">
      <w:pPr>
        <w:pStyle w:val="FootnoteText"/>
        <w:jc w:val="both"/>
        <w:rPr>
          <w:rFonts w:ascii="Times New Roman" w:hAnsi="Times New Roman" w:cs="Times New Roman"/>
          <w:sz w:val="18"/>
          <w:szCs w:val="18"/>
        </w:rPr>
      </w:pPr>
      <w:r>
        <w:rPr>
          <w:rFonts w:ascii="Times New Roman" w:hAnsi="Times New Roman" w:cs="Times New Roman"/>
          <w:sz w:val="18"/>
          <w:szCs w:val="18"/>
        </w:rPr>
        <w:t xml:space="preserve">See </w:t>
      </w:r>
      <w:hyperlink r:id="rId1" w:history="1">
        <w:r w:rsidRPr="0072278F">
          <w:rPr>
            <w:rStyle w:val="Hyperlink"/>
            <w:rFonts w:ascii="Times New Roman" w:hAnsi="Times New Roman" w:cs="Times New Roman"/>
            <w:sz w:val="18"/>
            <w:szCs w:val="18"/>
          </w:rPr>
          <w:t>http://www.ilo.org/public/english/standards/relm/ilc/ilc96/pdf/rep-iii-1b.pdf</w:t>
        </w:r>
      </w:hyperlink>
      <w:r>
        <w:rPr>
          <w:rFonts w:ascii="Times New Roman" w:hAnsi="Times New Roman" w:cs="Times New Roman"/>
          <w:sz w:val="18"/>
          <w:szCs w:val="18"/>
        </w:rPr>
        <w:t xml:space="preserve"> </w:t>
      </w:r>
    </w:p>
  </w:footnote>
  <w:footnote w:id="4">
    <w:p w14:paraId="473CCBA2" w14:textId="77777777" w:rsidR="00690718" w:rsidRDefault="00690718" w:rsidP="003C465E">
      <w:pPr>
        <w:pStyle w:val="FootnoteText"/>
        <w:rPr>
          <w:rFonts w:ascii="Times New Roman" w:hAnsi="Times New Roman" w:cs="Times New Roman"/>
          <w:sz w:val="18"/>
          <w:szCs w:val="18"/>
        </w:rPr>
      </w:pPr>
      <w:r w:rsidRPr="000D26DA">
        <w:rPr>
          <w:rStyle w:val="FootnoteReference"/>
          <w:rFonts w:ascii="Times New Roman" w:hAnsi="Times New Roman" w:cs="Times New Roman"/>
          <w:sz w:val="18"/>
          <w:szCs w:val="18"/>
        </w:rPr>
        <w:footnoteRef/>
      </w:r>
      <w:r w:rsidRPr="000D26DA">
        <w:rPr>
          <w:rFonts w:ascii="Times New Roman" w:hAnsi="Times New Roman" w:cs="Times New Roman"/>
          <w:sz w:val="18"/>
          <w:szCs w:val="18"/>
        </w:rPr>
        <w:t xml:space="preserve"> </w:t>
      </w:r>
      <w:r>
        <w:rPr>
          <w:rFonts w:ascii="Times New Roman" w:hAnsi="Times New Roman" w:cs="Times New Roman"/>
          <w:sz w:val="18"/>
          <w:szCs w:val="18"/>
        </w:rPr>
        <w:t xml:space="preserve">Article 2. </w:t>
      </w:r>
    </w:p>
    <w:p w14:paraId="025CF2E0" w14:textId="77777777" w:rsidR="00690718" w:rsidRDefault="00690718" w:rsidP="003C465E">
      <w:pPr>
        <w:pStyle w:val="FootnoteText"/>
        <w:rPr>
          <w:rFonts w:ascii="Times New Roman" w:hAnsi="Times New Roman" w:cs="Times New Roman"/>
          <w:sz w:val="18"/>
          <w:szCs w:val="18"/>
        </w:rPr>
      </w:pPr>
      <w:r>
        <w:rPr>
          <w:rFonts w:ascii="Times New Roman" w:hAnsi="Times New Roman" w:cs="Times New Roman"/>
          <w:sz w:val="18"/>
          <w:szCs w:val="18"/>
        </w:rPr>
        <w:t>The measures to be taken for the prevention of forced or compulsory labour shall include:</w:t>
      </w:r>
    </w:p>
    <w:p w14:paraId="42DE39DE" w14:textId="77777777" w:rsidR="00690718" w:rsidRDefault="00690718" w:rsidP="003C465E">
      <w:pPr>
        <w:pStyle w:val="FootnoteText"/>
        <w:numPr>
          <w:ilvl w:val="0"/>
          <w:numId w:val="2"/>
        </w:numPr>
        <w:jc w:val="both"/>
        <w:rPr>
          <w:rFonts w:ascii="Times New Roman" w:hAnsi="Times New Roman" w:cs="Times New Roman"/>
          <w:sz w:val="18"/>
          <w:szCs w:val="18"/>
        </w:rPr>
      </w:pPr>
      <w:r>
        <w:rPr>
          <w:rFonts w:ascii="Times New Roman" w:hAnsi="Times New Roman" w:cs="Times New Roman"/>
          <w:sz w:val="18"/>
          <w:szCs w:val="18"/>
        </w:rPr>
        <w:t>educating and informing people, especially those considered to be particularly vulnerable, in order to prevent their becoming victims of forced labour;</w:t>
      </w:r>
    </w:p>
    <w:p w14:paraId="625EBFDB" w14:textId="77777777" w:rsidR="00690718" w:rsidRDefault="00690718" w:rsidP="003C465E">
      <w:pPr>
        <w:pStyle w:val="FootnoteText"/>
        <w:numPr>
          <w:ilvl w:val="0"/>
          <w:numId w:val="2"/>
        </w:numPr>
        <w:jc w:val="both"/>
        <w:rPr>
          <w:rFonts w:ascii="Times New Roman" w:hAnsi="Times New Roman" w:cs="Times New Roman"/>
          <w:sz w:val="18"/>
          <w:szCs w:val="18"/>
        </w:rPr>
      </w:pPr>
      <w:r>
        <w:rPr>
          <w:rFonts w:ascii="Times New Roman" w:hAnsi="Times New Roman" w:cs="Times New Roman"/>
          <w:sz w:val="18"/>
          <w:szCs w:val="18"/>
        </w:rPr>
        <w:t xml:space="preserve">educating and informing employers, in order to prevent their becoming involved in forced or compulsory labour practices; </w:t>
      </w:r>
    </w:p>
    <w:p w14:paraId="67F32CF7" w14:textId="77777777" w:rsidR="00690718" w:rsidRDefault="00690718" w:rsidP="003C465E">
      <w:pPr>
        <w:pStyle w:val="FootnoteText"/>
        <w:numPr>
          <w:ilvl w:val="0"/>
          <w:numId w:val="2"/>
        </w:numPr>
        <w:jc w:val="both"/>
        <w:rPr>
          <w:rFonts w:ascii="Times New Roman" w:hAnsi="Times New Roman" w:cs="Times New Roman"/>
          <w:sz w:val="18"/>
          <w:szCs w:val="18"/>
        </w:rPr>
      </w:pPr>
      <w:r>
        <w:rPr>
          <w:rFonts w:ascii="Times New Roman" w:hAnsi="Times New Roman" w:cs="Times New Roman"/>
          <w:sz w:val="18"/>
          <w:szCs w:val="18"/>
        </w:rPr>
        <w:t xml:space="preserve">undertaking efforts to ensure that: </w:t>
      </w:r>
    </w:p>
    <w:p w14:paraId="7710FBF5" w14:textId="77777777" w:rsidR="00690718" w:rsidRDefault="00690718" w:rsidP="003C465E">
      <w:pPr>
        <w:pStyle w:val="FootnoteText"/>
        <w:ind w:left="720"/>
        <w:jc w:val="both"/>
        <w:rPr>
          <w:rFonts w:ascii="Times New Roman" w:hAnsi="Times New Roman" w:cs="Times New Roman"/>
          <w:sz w:val="18"/>
          <w:szCs w:val="18"/>
        </w:rPr>
      </w:pPr>
      <w:r>
        <w:rPr>
          <w:rFonts w:ascii="Times New Roman" w:hAnsi="Times New Roman" w:cs="Times New Roman"/>
          <w:sz w:val="18"/>
          <w:szCs w:val="18"/>
        </w:rPr>
        <w:t xml:space="preserve">(i) the coverage and enforcement of legislation relevant to the prevention of forced or compulsory labour , including labour law as appropriate, apply to all workers and all sectors of the economy; and </w:t>
      </w:r>
    </w:p>
    <w:p w14:paraId="619EEC59" w14:textId="77777777" w:rsidR="00690718" w:rsidRDefault="00690718" w:rsidP="003C465E">
      <w:pPr>
        <w:pStyle w:val="FootnoteText"/>
        <w:ind w:left="720"/>
        <w:jc w:val="both"/>
        <w:rPr>
          <w:rFonts w:ascii="Times New Roman" w:hAnsi="Times New Roman" w:cs="Times New Roman"/>
          <w:sz w:val="18"/>
          <w:szCs w:val="18"/>
        </w:rPr>
      </w:pPr>
      <w:r>
        <w:rPr>
          <w:rFonts w:ascii="Times New Roman" w:hAnsi="Times New Roman" w:cs="Times New Roman"/>
          <w:sz w:val="18"/>
          <w:szCs w:val="18"/>
        </w:rPr>
        <w:t xml:space="preserve">(ii) labour inspection services and other services responsible for the implementation of this legislation are strengthened; </w:t>
      </w:r>
    </w:p>
    <w:p w14:paraId="28DE0666" w14:textId="77777777" w:rsidR="00690718" w:rsidRDefault="00690718" w:rsidP="003C465E">
      <w:pPr>
        <w:pStyle w:val="FootnoteText"/>
        <w:numPr>
          <w:ilvl w:val="0"/>
          <w:numId w:val="2"/>
        </w:numPr>
        <w:jc w:val="both"/>
        <w:rPr>
          <w:rFonts w:ascii="Times New Roman" w:hAnsi="Times New Roman" w:cs="Times New Roman"/>
          <w:sz w:val="18"/>
          <w:szCs w:val="18"/>
        </w:rPr>
      </w:pPr>
      <w:r>
        <w:rPr>
          <w:rFonts w:ascii="Times New Roman" w:hAnsi="Times New Roman" w:cs="Times New Roman"/>
          <w:sz w:val="18"/>
          <w:szCs w:val="18"/>
        </w:rPr>
        <w:t xml:space="preserve">protecting persons, particularly migrant workers, from possible abusive and fraudulent practices during the recruitment process; </w:t>
      </w:r>
    </w:p>
    <w:p w14:paraId="68A83864" w14:textId="77777777" w:rsidR="00690718" w:rsidRDefault="00690718" w:rsidP="003C465E">
      <w:pPr>
        <w:pStyle w:val="FootnoteText"/>
        <w:numPr>
          <w:ilvl w:val="0"/>
          <w:numId w:val="2"/>
        </w:numPr>
        <w:jc w:val="both"/>
        <w:rPr>
          <w:rFonts w:ascii="Times New Roman" w:hAnsi="Times New Roman" w:cs="Times New Roman"/>
          <w:sz w:val="18"/>
          <w:szCs w:val="18"/>
        </w:rPr>
      </w:pPr>
      <w:r>
        <w:rPr>
          <w:rFonts w:ascii="Times New Roman" w:hAnsi="Times New Roman" w:cs="Times New Roman"/>
          <w:sz w:val="18"/>
          <w:szCs w:val="18"/>
        </w:rPr>
        <w:t xml:space="preserve">supporting due diligence by both the public and private sectors to prevent and respond to risks of forced or compulsory labour; and </w:t>
      </w:r>
    </w:p>
    <w:p w14:paraId="18883D28" w14:textId="77777777" w:rsidR="00690718" w:rsidRPr="00D44636" w:rsidRDefault="00690718" w:rsidP="003C465E">
      <w:pPr>
        <w:pStyle w:val="FootnoteText"/>
        <w:numPr>
          <w:ilvl w:val="0"/>
          <w:numId w:val="2"/>
        </w:numPr>
        <w:jc w:val="both"/>
        <w:rPr>
          <w:rFonts w:ascii="Times New Roman" w:hAnsi="Times New Roman" w:cs="Times New Roman"/>
          <w:sz w:val="18"/>
          <w:szCs w:val="18"/>
        </w:rPr>
      </w:pPr>
      <w:r w:rsidRPr="00D44636">
        <w:rPr>
          <w:rFonts w:ascii="Times New Roman" w:hAnsi="Times New Roman" w:cs="Times New Roman"/>
          <w:sz w:val="18"/>
          <w:szCs w:val="18"/>
        </w:rPr>
        <w:t>addressing the root causes and factors th</w:t>
      </w:r>
      <w:r>
        <w:rPr>
          <w:rFonts w:ascii="Times New Roman" w:hAnsi="Times New Roman" w:cs="Times New Roman"/>
          <w:sz w:val="18"/>
          <w:szCs w:val="18"/>
        </w:rPr>
        <w:t>at heighten  the risks of force</w:t>
      </w:r>
      <w:r w:rsidRPr="00D44636">
        <w:rPr>
          <w:rFonts w:ascii="Times New Roman" w:hAnsi="Times New Roman" w:cs="Times New Roman"/>
          <w:sz w:val="18"/>
          <w:szCs w:val="18"/>
        </w:rPr>
        <w:t xml:space="preserve"> or compulsory labour. </w:t>
      </w:r>
    </w:p>
  </w:footnote>
  <w:footnote w:id="5">
    <w:p w14:paraId="373C668D" w14:textId="77777777" w:rsidR="00690718" w:rsidRDefault="00690718" w:rsidP="00744FE1">
      <w:pPr>
        <w:pStyle w:val="FootnoteText"/>
        <w:jc w:val="both"/>
        <w:rPr>
          <w:rFonts w:ascii="Times New Roman" w:hAnsi="Times New Roman" w:cs="Times New Roman"/>
          <w:sz w:val="18"/>
          <w:szCs w:val="18"/>
        </w:rPr>
      </w:pPr>
      <w:r w:rsidRPr="00B507B8">
        <w:rPr>
          <w:rStyle w:val="FootnoteReference"/>
          <w:sz w:val="18"/>
          <w:szCs w:val="18"/>
        </w:rPr>
        <w:footnoteRef/>
      </w:r>
      <w:r w:rsidRPr="00B507B8">
        <w:rPr>
          <w:sz w:val="18"/>
          <w:szCs w:val="18"/>
        </w:rPr>
        <w:t xml:space="preserve"> </w:t>
      </w:r>
      <w:r w:rsidRPr="00B507B8">
        <w:rPr>
          <w:rFonts w:ascii="Times New Roman" w:hAnsi="Times New Roman" w:cs="Times New Roman"/>
          <w:sz w:val="18"/>
          <w:szCs w:val="18"/>
        </w:rPr>
        <w:t>The Protocol of 2014 is complemented by ILO Recommendation on Supplementary Measures for the Effective Suppression of Forced Labour (Recommendation 203), which provides in guideline 5 (2) that protective measures should be provided to victims of forced labour or compulsory labour and that these “should not be made conditional on the victim’s willingness to cooperate in criminal or other proceedings”. Guideline 9(a) notes that State Parties should take reasonable efforts to protect the safety of victims of forced or compulsory labour “including protection from intimidation and retaliation for exercising their rights under relevant national laws or for cooperation with legal proceedings”. Guideline 11 refers to some of the measures that State Parties should take to protect migrant workers subjected to forced or compulsory labour, which include the “provision of a reflection and recovery period in order to allow the person concerned to take an informed decision relating to protective measures and participation in legal proceedings […]”. Furthermore, guideline 12 provides that State Parties should “take measures to ensure that all victims of forced or compulsory labour have access to justice and other appropriate effective remedies, such as compensation for</w:t>
      </w:r>
      <w:r>
        <w:rPr>
          <w:rFonts w:ascii="Times New Roman" w:hAnsi="Times New Roman" w:cs="Times New Roman"/>
          <w:sz w:val="18"/>
          <w:szCs w:val="18"/>
        </w:rPr>
        <w:t xml:space="preserve"> personal and material damages, including by:</w:t>
      </w:r>
      <w:r w:rsidRPr="00B507B8">
        <w:rPr>
          <w:rFonts w:ascii="Times New Roman" w:hAnsi="Times New Roman" w:cs="Times New Roman"/>
          <w:sz w:val="18"/>
          <w:szCs w:val="18"/>
        </w:rPr>
        <w:t xml:space="preserve"> </w:t>
      </w:r>
    </w:p>
    <w:p w14:paraId="12EE45C5" w14:textId="4C80FA76" w:rsidR="00690718" w:rsidRDefault="00690718" w:rsidP="00744FE1">
      <w:pPr>
        <w:pStyle w:val="FootnoteText"/>
        <w:numPr>
          <w:ilvl w:val="0"/>
          <w:numId w:val="5"/>
        </w:numPr>
        <w:jc w:val="both"/>
        <w:rPr>
          <w:rFonts w:ascii="Times New Roman" w:hAnsi="Times New Roman" w:cs="Times New Roman"/>
          <w:sz w:val="18"/>
          <w:szCs w:val="18"/>
        </w:rPr>
      </w:pPr>
      <w:r w:rsidRPr="00744FE1">
        <w:rPr>
          <w:rFonts w:ascii="Times New Roman" w:hAnsi="Times New Roman" w:cs="Times New Roman"/>
          <w:sz w:val="18"/>
          <w:szCs w:val="18"/>
        </w:rPr>
        <w:t xml:space="preserve">ensuring, in accordance with national laws, regulations and practice, that all victims, either by themselves or through representatives, have effective access to courts, tribunals and other resolution mechanisms, to pursue remedies, such as compensation and damages; </w:t>
      </w:r>
    </w:p>
    <w:p w14:paraId="59F762FE" w14:textId="3E1EBEA1" w:rsidR="00690718" w:rsidRDefault="00690718" w:rsidP="00DD637A">
      <w:pPr>
        <w:pStyle w:val="FootnoteText"/>
        <w:numPr>
          <w:ilvl w:val="0"/>
          <w:numId w:val="5"/>
        </w:numPr>
        <w:jc w:val="both"/>
        <w:rPr>
          <w:rFonts w:ascii="Times New Roman" w:hAnsi="Times New Roman" w:cs="Times New Roman"/>
          <w:sz w:val="18"/>
          <w:szCs w:val="18"/>
        </w:rPr>
      </w:pPr>
      <w:r w:rsidRPr="00DD637A">
        <w:rPr>
          <w:rFonts w:ascii="Times New Roman" w:hAnsi="Times New Roman" w:cs="Times New Roman"/>
          <w:sz w:val="18"/>
          <w:szCs w:val="18"/>
        </w:rPr>
        <w:t>providing that victims can pursue compensation and damages from perpetrators, including unpaid wages and statutory contributions for social security benefits;</w:t>
      </w:r>
    </w:p>
    <w:p w14:paraId="1A6E62FB" w14:textId="77777777" w:rsidR="00690718" w:rsidRDefault="00690718" w:rsidP="00DD637A">
      <w:pPr>
        <w:pStyle w:val="FootnoteText"/>
        <w:numPr>
          <w:ilvl w:val="0"/>
          <w:numId w:val="5"/>
        </w:numPr>
        <w:jc w:val="both"/>
        <w:rPr>
          <w:rFonts w:ascii="Times New Roman" w:hAnsi="Times New Roman" w:cs="Times New Roman"/>
          <w:sz w:val="18"/>
          <w:szCs w:val="18"/>
        </w:rPr>
      </w:pPr>
      <w:r w:rsidRPr="00DD637A">
        <w:rPr>
          <w:rFonts w:ascii="Times New Roman" w:hAnsi="Times New Roman" w:cs="Times New Roman"/>
          <w:sz w:val="18"/>
          <w:szCs w:val="18"/>
        </w:rPr>
        <w:t>ensuring access to appropriate existing compensation schemes;</w:t>
      </w:r>
    </w:p>
    <w:p w14:paraId="492A123F" w14:textId="77777777" w:rsidR="00690718" w:rsidRDefault="00690718" w:rsidP="00274E31">
      <w:pPr>
        <w:pStyle w:val="FootnoteText"/>
        <w:numPr>
          <w:ilvl w:val="0"/>
          <w:numId w:val="5"/>
        </w:numPr>
        <w:jc w:val="both"/>
        <w:rPr>
          <w:rFonts w:ascii="Times New Roman" w:hAnsi="Times New Roman" w:cs="Times New Roman"/>
          <w:sz w:val="18"/>
          <w:szCs w:val="18"/>
        </w:rPr>
      </w:pPr>
      <w:r w:rsidRPr="00DD637A">
        <w:rPr>
          <w:rFonts w:ascii="Times New Roman" w:hAnsi="Times New Roman" w:cs="Times New Roman"/>
          <w:sz w:val="18"/>
          <w:szCs w:val="18"/>
        </w:rPr>
        <w:t xml:space="preserve">providing information and advice regarding victims’ legal rights and the services available, in a language that they can understand, as well as access to legal assistance, preferably free of charge; and </w:t>
      </w:r>
    </w:p>
    <w:p w14:paraId="1F2F9957" w14:textId="6E0ACE34" w:rsidR="00690718" w:rsidRPr="00274E31" w:rsidRDefault="00690718" w:rsidP="00274E31">
      <w:pPr>
        <w:pStyle w:val="FootnoteText"/>
        <w:numPr>
          <w:ilvl w:val="0"/>
          <w:numId w:val="5"/>
        </w:numPr>
        <w:jc w:val="both"/>
        <w:rPr>
          <w:rFonts w:ascii="Times New Roman" w:hAnsi="Times New Roman" w:cs="Times New Roman"/>
          <w:sz w:val="18"/>
          <w:szCs w:val="18"/>
        </w:rPr>
      </w:pPr>
      <w:r w:rsidRPr="00274E31">
        <w:rPr>
          <w:rFonts w:ascii="Times New Roman" w:hAnsi="Times New Roman" w:cs="Times New Roman"/>
          <w:sz w:val="18"/>
          <w:szCs w:val="18"/>
        </w:rPr>
        <w:t xml:space="preserve">providing that all victims of forced or compulsory labour that occurred in the member State, both nationals and non-nationals, can pursue appropriate administrative, civil and criminal remedies in that State, irrespective of their presence or legal status in the State, under simplified procedural requirements, when appropriate”. </w:t>
      </w:r>
    </w:p>
  </w:footnote>
  <w:footnote w:id="6">
    <w:p w14:paraId="001A6B90" w14:textId="344A4C42" w:rsidR="00690718" w:rsidRPr="00AD390C" w:rsidRDefault="00690718" w:rsidP="003C465E">
      <w:pPr>
        <w:pStyle w:val="FootnoteText"/>
        <w:jc w:val="both"/>
        <w:rPr>
          <w:rFonts w:ascii="Times New Roman" w:hAnsi="Times New Roman" w:cs="Times New Roman"/>
          <w:sz w:val="18"/>
          <w:szCs w:val="18"/>
        </w:rPr>
      </w:pPr>
      <w:r w:rsidRPr="0072290E">
        <w:rPr>
          <w:rStyle w:val="FootnoteReference"/>
          <w:rFonts w:ascii="Times New Roman" w:hAnsi="Times New Roman" w:cs="Times New Roman"/>
          <w:sz w:val="18"/>
          <w:szCs w:val="18"/>
        </w:rPr>
        <w:footnoteRef/>
      </w:r>
      <w:r w:rsidRPr="0072290E">
        <w:rPr>
          <w:rFonts w:ascii="Times New Roman" w:hAnsi="Times New Roman" w:cs="Times New Roman"/>
          <w:sz w:val="18"/>
          <w:szCs w:val="18"/>
        </w:rPr>
        <w:t xml:space="preserve"> The Domestic Workers Recommendation, 2011 (No. 201) (Recommendation Concerning Decent Work for Domestic Workers), provides a number of measures that State</w:t>
      </w:r>
      <w:r>
        <w:rPr>
          <w:rFonts w:ascii="Times New Roman" w:hAnsi="Times New Roman" w:cs="Times New Roman"/>
          <w:sz w:val="18"/>
          <w:szCs w:val="18"/>
        </w:rPr>
        <w:t>s</w:t>
      </w:r>
      <w:r w:rsidRPr="0072290E">
        <w:rPr>
          <w:rFonts w:ascii="Times New Roman" w:hAnsi="Times New Roman" w:cs="Times New Roman"/>
          <w:sz w:val="18"/>
          <w:szCs w:val="18"/>
        </w:rPr>
        <w:t xml:space="preserve"> Parties should consider to ensure effective protection of domestic workers and, in particular, migrant domestic workers</w:t>
      </w:r>
      <w:r>
        <w:rPr>
          <w:rFonts w:ascii="Times New Roman" w:hAnsi="Times New Roman" w:cs="Times New Roman"/>
          <w:sz w:val="18"/>
          <w:szCs w:val="18"/>
        </w:rPr>
        <w:t xml:space="preserve"> including: “21. […](e) securing access to domestic workers to complaint mechanisms and their ability to pursue legal civil and criminal remedies, both during and after employment, irrespective of departure from the country concerned; and (f) providing for a public outreach service to inform domestic workers, in languages understood by them, of their rights, relevant laws and regulations, available complaint mechanisms and legal remedies, concerning both employment and immigration law, and legal protection against crimes such as violence, trafficking in persons and deprivation of liberty, and to provide any other pertinent information they may require.[…]”. </w:t>
      </w:r>
    </w:p>
  </w:footnote>
  <w:footnote w:id="7">
    <w:p w14:paraId="109D1555" w14:textId="77777777" w:rsidR="00690718" w:rsidRPr="0072290E" w:rsidRDefault="00690718" w:rsidP="003C465E">
      <w:pPr>
        <w:pStyle w:val="FootnoteText"/>
        <w:jc w:val="both"/>
        <w:rPr>
          <w:rFonts w:ascii="Times New Roman" w:hAnsi="Times New Roman" w:cs="Times New Roman"/>
          <w:sz w:val="18"/>
          <w:szCs w:val="18"/>
        </w:rPr>
      </w:pPr>
      <w:r w:rsidRPr="0072290E">
        <w:rPr>
          <w:rStyle w:val="FootnoteReference"/>
          <w:rFonts w:ascii="Times New Roman" w:hAnsi="Times New Roman" w:cs="Times New Roman"/>
          <w:sz w:val="18"/>
          <w:szCs w:val="18"/>
        </w:rPr>
        <w:footnoteRef/>
      </w:r>
      <w:r w:rsidRPr="0072290E">
        <w:rPr>
          <w:rFonts w:ascii="Times New Roman" w:hAnsi="Times New Roman" w:cs="Times New Roman"/>
          <w:sz w:val="18"/>
          <w:szCs w:val="18"/>
        </w:rPr>
        <w:t xml:space="preserve"> In its General Comment No. 5 of 2003, the Committee on the Rights of the Child noted that “For rights to have meaning, effective remedies must be available to redress violations. This requirement is implicit in the Convention […]. States need to give particular attention to ensuring that there are effective, child-sensitive procedures available to children and their representatives. These should include the provision of child-friendly information, advice, advocacy, including support for self-advocacy, and access to independent complaints procedures and to the courts with necessary legal and other assistance […]”. Committee on the Rights of the Child, General Comment No. 5 (2003), General measures of implementation of the Convention on the Rights of the Child (arts. 4, 42 and 44, para. 6). CRC/GC/2003/5. </w:t>
      </w:r>
    </w:p>
  </w:footnote>
  <w:footnote w:id="8">
    <w:p w14:paraId="31395D06" w14:textId="40253557" w:rsidR="00690718" w:rsidRPr="00D476D7" w:rsidRDefault="00690718" w:rsidP="00746634">
      <w:pPr>
        <w:pStyle w:val="FootnoteText"/>
        <w:jc w:val="both"/>
        <w:rPr>
          <w:rFonts w:ascii="Times New Roman" w:hAnsi="Times New Roman" w:cs="Times New Roman"/>
          <w:sz w:val="18"/>
          <w:szCs w:val="18"/>
        </w:rPr>
      </w:pPr>
      <w:r w:rsidRPr="00D476D7">
        <w:rPr>
          <w:rStyle w:val="FootnoteReference"/>
          <w:rFonts w:ascii="Times New Roman" w:hAnsi="Times New Roman" w:cs="Times New Roman"/>
          <w:sz w:val="18"/>
          <w:szCs w:val="18"/>
        </w:rPr>
        <w:footnoteRef/>
      </w:r>
      <w:r w:rsidRPr="00D476D7">
        <w:rPr>
          <w:rFonts w:ascii="Times New Roman" w:hAnsi="Times New Roman" w:cs="Times New Roman"/>
          <w:sz w:val="18"/>
          <w:szCs w:val="18"/>
        </w:rPr>
        <w:t xml:space="preserve"> European Court of Human Rights, </w:t>
      </w:r>
      <w:r w:rsidRPr="00D476D7">
        <w:rPr>
          <w:rFonts w:ascii="Times New Roman" w:hAnsi="Times New Roman" w:cs="Times New Roman"/>
          <w:i/>
          <w:sz w:val="18"/>
          <w:szCs w:val="18"/>
        </w:rPr>
        <w:t>Siliadin v France</w:t>
      </w:r>
      <w:r w:rsidRPr="00D476D7">
        <w:rPr>
          <w:rFonts w:ascii="Times New Roman" w:hAnsi="Times New Roman" w:cs="Times New Roman"/>
          <w:sz w:val="18"/>
          <w:szCs w:val="18"/>
        </w:rPr>
        <w:t xml:space="preserve"> (Applica</w:t>
      </w:r>
      <w:r>
        <w:rPr>
          <w:rFonts w:ascii="Times New Roman" w:hAnsi="Times New Roman" w:cs="Times New Roman"/>
          <w:sz w:val="18"/>
          <w:szCs w:val="18"/>
        </w:rPr>
        <w:t xml:space="preserve">tion  no. 73316/01), 26 July 2005. See </w:t>
      </w:r>
      <w:hyperlink r:id="rId2" w:history="1">
        <w:r w:rsidRPr="0072278F">
          <w:rPr>
            <w:rStyle w:val="Hyperlink"/>
            <w:rFonts w:ascii="Times New Roman" w:hAnsi="Times New Roman" w:cs="Times New Roman"/>
            <w:sz w:val="18"/>
            <w:szCs w:val="18"/>
          </w:rPr>
          <w:t>http://ec.europa.eu/anti-trafficking/sites/antitrafficking/files/siliadin_v_france_en_4.pdf</w:t>
        </w:r>
      </w:hyperlink>
      <w:r>
        <w:rPr>
          <w:rFonts w:ascii="Times New Roman" w:hAnsi="Times New Roman" w:cs="Times New Roman"/>
          <w:sz w:val="18"/>
          <w:szCs w:val="18"/>
        </w:rPr>
        <w:t xml:space="preserve"> </w:t>
      </w:r>
    </w:p>
  </w:footnote>
  <w:footnote w:id="9">
    <w:p w14:paraId="0B5AF6B8" w14:textId="55F3D68F" w:rsidR="00690718" w:rsidRDefault="00690718" w:rsidP="00BF37D9">
      <w:pPr>
        <w:pStyle w:val="FootnoteText"/>
        <w:jc w:val="both"/>
        <w:rPr>
          <w:rFonts w:ascii="Times New Roman" w:hAnsi="Times New Roman" w:cs="Times New Roman"/>
          <w:sz w:val="18"/>
          <w:szCs w:val="18"/>
        </w:rPr>
      </w:pPr>
      <w:r w:rsidRPr="00972BDA">
        <w:rPr>
          <w:rStyle w:val="FootnoteReference"/>
          <w:rFonts w:ascii="Times New Roman" w:hAnsi="Times New Roman" w:cs="Times New Roman"/>
          <w:sz w:val="18"/>
          <w:szCs w:val="18"/>
        </w:rPr>
        <w:footnoteRef/>
      </w:r>
      <w:r w:rsidRPr="00972BDA">
        <w:rPr>
          <w:rFonts w:ascii="Times New Roman" w:hAnsi="Times New Roman" w:cs="Times New Roman"/>
          <w:sz w:val="18"/>
          <w:szCs w:val="18"/>
        </w:rPr>
        <w:t xml:space="preserve"> European Court of Human Rights, </w:t>
      </w:r>
      <w:r w:rsidRPr="00990703">
        <w:rPr>
          <w:rFonts w:ascii="Times New Roman" w:hAnsi="Times New Roman" w:cs="Times New Roman"/>
          <w:i/>
          <w:sz w:val="18"/>
          <w:szCs w:val="18"/>
        </w:rPr>
        <w:t>Rantsev v. Cyprus and Russia</w:t>
      </w:r>
      <w:r w:rsidRPr="00972BDA">
        <w:rPr>
          <w:rFonts w:ascii="Times New Roman" w:hAnsi="Times New Roman" w:cs="Times New Roman"/>
          <w:sz w:val="18"/>
          <w:szCs w:val="18"/>
        </w:rPr>
        <w:t xml:space="preserve"> (</w:t>
      </w:r>
      <w:r>
        <w:rPr>
          <w:rFonts w:ascii="Times New Roman" w:hAnsi="Times New Roman" w:cs="Times New Roman"/>
          <w:sz w:val="18"/>
          <w:szCs w:val="18"/>
        </w:rPr>
        <w:t xml:space="preserve">Application no. </w:t>
      </w:r>
      <w:r w:rsidRPr="00972BDA">
        <w:rPr>
          <w:rFonts w:ascii="Times New Roman" w:hAnsi="Times New Roman" w:cs="Times New Roman"/>
          <w:sz w:val="18"/>
          <w:szCs w:val="18"/>
        </w:rPr>
        <w:t>25965/04)</w:t>
      </w:r>
      <w:r>
        <w:rPr>
          <w:rFonts w:ascii="Times New Roman" w:hAnsi="Times New Roman" w:cs="Times New Roman"/>
          <w:sz w:val="18"/>
          <w:szCs w:val="18"/>
        </w:rPr>
        <w:t xml:space="preserve">, 7 January 2010. See </w:t>
      </w:r>
      <w:hyperlink r:id="rId3" w:anchor="{&quot;itemid&quot;:[&quot;001-96549" w:history="1">
        <w:r w:rsidRPr="0072278F">
          <w:rPr>
            <w:rStyle w:val="Hyperlink"/>
            <w:rFonts w:ascii="Times New Roman" w:hAnsi="Times New Roman" w:cs="Times New Roman"/>
            <w:sz w:val="18"/>
            <w:szCs w:val="18"/>
          </w:rPr>
          <w:t>http://hudoc.echr.coe.int/fre#{"itemid":["001-96549</w:t>
        </w:r>
      </w:hyperlink>
      <w:r w:rsidRPr="000760D2">
        <w:rPr>
          <w:rFonts w:ascii="Times New Roman" w:hAnsi="Times New Roman" w:cs="Times New Roman"/>
          <w:sz w:val="18"/>
          <w:szCs w:val="18"/>
        </w:rPr>
        <w:t>"]}</w:t>
      </w:r>
    </w:p>
    <w:p w14:paraId="48171203" w14:textId="77777777" w:rsidR="00690718" w:rsidRPr="00972BDA" w:rsidRDefault="00690718" w:rsidP="00BF37D9">
      <w:pPr>
        <w:pStyle w:val="FootnoteText"/>
        <w:jc w:val="both"/>
        <w:rPr>
          <w:rFonts w:ascii="Times New Roman" w:hAnsi="Times New Roman" w:cs="Times New Roman"/>
          <w:sz w:val="18"/>
          <w:szCs w:val="18"/>
        </w:rPr>
      </w:pPr>
    </w:p>
  </w:footnote>
  <w:footnote w:id="10">
    <w:p w14:paraId="37F81D2C" w14:textId="644EECDD" w:rsidR="00690718" w:rsidRPr="004C718F" w:rsidRDefault="00690718" w:rsidP="00A77AAC">
      <w:pPr>
        <w:spacing w:after="0"/>
        <w:rPr>
          <w:rFonts w:ascii="Times New Roman" w:hAnsi="Times New Roman" w:cs="Times New Roman"/>
          <w:sz w:val="18"/>
          <w:szCs w:val="18"/>
        </w:rPr>
      </w:pPr>
      <w:r w:rsidRPr="004C718F">
        <w:rPr>
          <w:rStyle w:val="FootnoteReference"/>
          <w:rFonts w:ascii="Times New Roman" w:hAnsi="Times New Roman" w:cs="Times New Roman"/>
          <w:sz w:val="18"/>
          <w:szCs w:val="18"/>
        </w:rPr>
        <w:footnoteRef/>
      </w:r>
      <w:r w:rsidRPr="004C718F">
        <w:rPr>
          <w:rFonts w:ascii="Times New Roman" w:hAnsi="Times New Roman" w:cs="Times New Roman"/>
          <w:sz w:val="18"/>
          <w:szCs w:val="18"/>
        </w:rPr>
        <w:t xml:space="preserve"> European Court of Human Rights, </w:t>
      </w:r>
      <w:r w:rsidRPr="004C718F">
        <w:rPr>
          <w:rFonts w:ascii="Times New Roman" w:hAnsi="Times New Roman" w:cs="Times New Roman"/>
          <w:i/>
          <w:sz w:val="18"/>
          <w:szCs w:val="18"/>
        </w:rPr>
        <w:t>C.N &amp; V. v. France</w:t>
      </w:r>
      <w:r w:rsidRPr="004C718F">
        <w:rPr>
          <w:rFonts w:ascii="Times New Roman" w:hAnsi="Times New Roman" w:cs="Times New Roman"/>
          <w:sz w:val="18"/>
          <w:szCs w:val="18"/>
        </w:rPr>
        <w:t xml:space="preserve"> (Application no. 67724/09), 11 October 2012. See </w:t>
      </w:r>
      <w:hyperlink r:id="rId4" w:anchor="{%22itemid%22:[%22001-114032%22" w:history="1">
        <w:r w:rsidRPr="004C718F">
          <w:rPr>
            <w:rStyle w:val="Hyperlink"/>
            <w:rFonts w:ascii="Times New Roman" w:hAnsi="Times New Roman" w:cs="Times New Roman"/>
            <w:sz w:val="18"/>
            <w:szCs w:val="18"/>
          </w:rPr>
          <w:t>http://hudoc.echr.coe.int/eng#{%22itemid%22:[%22001-114032%22</w:t>
        </w:r>
      </w:hyperlink>
      <w:r w:rsidRPr="004C718F">
        <w:rPr>
          <w:rFonts w:ascii="Times New Roman" w:hAnsi="Times New Roman" w:cs="Times New Roman"/>
          <w:sz w:val="18"/>
          <w:szCs w:val="18"/>
        </w:rPr>
        <w:t xml:space="preserve">]} </w:t>
      </w:r>
    </w:p>
  </w:footnote>
  <w:footnote w:id="11">
    <w:p w14:paraId="451243CB" w14:textId="0126FCDF" w:rsidR="00690718" w:rsidRPr="004C718F" w:rsidRDefault="00690718" w:rsidP="00A77AAC">
      <w:pPr>
        <w:rPr>
          <w:rFonts w:ascii="Times New Roman" w:hAnsi="Times New Roman" w:cs="Times New Roman"/>
          <w:sz w:val="18"/>
          <w:szCs w:val="18"/>
        </w:rPr>
      </w:pPr>
      <w:r w:rsidRPr="004C718F">
        <w:rPr>
          <w:rStyle w:val="FootnoteReference"/>
          <w:rFonts w:ascii="Times New Roman" w:hAnsi="Times New Roman" w:cs="Times New Roman"/>
          <w:sz w:val="18"/>
          <w:szCs w:val="18"/>
        </w:rPr>
        <w:footnoteRef/>
      </w:r>
      <w:r w:rsidRPr="004C718F">
        <w:rPr>
          <w:rFonts w:ascii="Times New Roman" w:hAnsi="Times New Roman" w:cs="Times New Roman"/>
          <w:sz w:val="18"/>
          <w:szCs w:val="18"/>
        </w:rPr>
        <w:t xml:space="preserve"> European Court of Human Rights, </w:t>
      </w:r>
      <w:r w:rsidRPr="004C718F">
        <w:rPr>
          <w:rFonts w:ascii="Times New Roman" w:hAnsi="Times New Roman" w:cs="Times New Roman"/>
          <w:i/>
          <w:sz w:val="18"/>
          <w:szCs w:val="18"/>
        </w:rPr>
        <w:t xml:space="preserve">Chowdury and Others v. Greece </w:t>
      </w:r>
      <w:r w:rsidRPr="004C718F">
        <w:rPr>
          <w:rFonts w:ascii="Times New Roman" w:hAnsi="Times New Roman" w:cs="Times New Roman"/>
          <w:sz w:val="18"/>
          <w:szCs w:val="18"/>
        </w:rPr>
        <w:t xml:space="preserve">(Application no. </w:t>
      </w:r>
      <w:r>
        <w:rPr>
          <w:rFonts w:ascii="Times New Roman" w:hAnsi="Times New Roman" w:cs="Times New Roman"/>
          <w:sz w:val="18"/>
          <w:szCs w:val="18"/>
        </w:rPr>
        <w:t xml:space="preserve">21884/15), 30 March 2017. See </w:t>
      </w:r>
      <w:hyperlink r:id="rId5" w:anchor="{&quot;fulltext&quot;:[&quot;chowdury&quot;],&quot;documentcollectionid2&quot;:[&quot;GRANDCHAMBER&quot;,&quot;CHAMBER&quot;],&quot;itemid&quot;:[&quot;001-172365" w:history="1">
        <w:r w:rsidRPr="0072278F">
          <w:rPr>
            <w:rStyle w:val="Hyperlink"/>
            <w:rFonts w:ascii="Times New Roman" w:hAnsi="Times New Roman" w:cs="Times New Roman"/>
            <w:sz w:val="18"/>
            <w:szCs w:val="18"/>
          </w:rPr>
          <w:t>http://hudoc.echr.coe.int/fre#{"fulltext":["chowdury"],"documentcollectionid2":["GRANDCHAMBER","CHAMBER"],"itemid":["001-172365</w:t>
        </w:r>
      </w:hyperlink>
      <w:r w:rsidRPr="00EA35EE">
        <w:rPr>
          <w:rFonts w:ascii="Times New Roman" w:hAnsi="Times New Roman" w:cs="Times New Roman"/>
          <w:sz w:val="18"/>
          <w:szCs w:val="18"/>
        </w:rPr>
        <w:t>"]}</w:t>
      </w:r>
      <w:r>
        <w:rPr>
          <w:rFonts w:ascii="Times New Roman" w:hAnsi="Times New Roman" w:cs="Times New Roman"/>
          <w:sz w:val="18"/>
          <w:szCs w:val="18"/>
        </w:rPr>
        <w:t xml:space="preserve"> ; Unofficial translation. </w:t>
      </w:r>
    </w:p>
    <w:p w14:paraId="2B14367E" w14:textId="42E1D10C" w:rsidR="00690718" w:rsidRDefault="00690718" w:rsidP="00A77AAC">
      <w:pPr>
        <w:pStyle w:val="FootnoteText"/>
      </w:pPr>
    </w:p>
  </w:footnote>
  <w:footnote w:id="12">
    <w:p w14:paraId="1DF52E0B" w14:textId="77E38EE8" w:rsidR="00690718" w:rsidRPr="00034D3E" w:rsidRDefault="00690718" w:rsidP="00F3398E">
      <w:pPr>
        <w:pStyle w:val="FootnoteText"/>
        <w:rPr>
          <w:rFonts w:ascii="Times New Roman" w:hAnsi="Times New Roman" w:cs="Times New Roman"/>
          <w:sz w:val="18"/>
          <w:szCs w:val="18"/>
        </w:rPr>
      </w:pPr>
      <w:r w:rsidRPr="00034D3E">
        <w:rPr>
          <w:rStyle w:val="FootnoteReference"/>
          <w:rFonts w:ascii="Times New Roman" w:hAnsi="Times New Roman" w:cs="Times New Roman"/>
          <w:sz w:val="18"/>
          <w:szCs w:val="18"/>
        </w:rPr>
        <w:footnoteRef/>
      </w:r>
      <w:r w:rsidRPr="00BE1383">
        <w:rPr>
          <w:rFonts w:ascii="Times New Roman" w:hAnsi="Times New Roman" w:cs="Times New Roman"/>
          <w:sz w:val="18"/>
          <w:szCs w:val="18"/>
          <w:lang w:val="es-ES"/>
        </w:rPr>
        <w:t xml:space="preserve"> Corte Interamericana de Derechos Humanos, </w:t>
      </w:r>
      <w:r w:rsidRPr="00BE1383">
        <w:rPr>
          <w:rFonts w:ascii="Times New Roman" w:hAnsi="Times New Roman" w:cs="Times New Roman"/>
          <w:i/>
          <w:sz w:val="18"/>
          <w:szCs w:val="18"/>
          <w:lang w:val="es-ES"/>
        </w:rPr>
        <w:t>Caso Trabajadores de la Hacienda Brasil Verde vs. Brasil</w:t>
      </w:r>
      <w:r w:rsidRPr="00BE1383">
        <w:rPr>
          <w:rFonts w:ascii="Times New Roman" w:hAnsi="Times New Roman" w:cs="Times New Roman"/>
          <w:sz w:val="18"/>
          <w:szCs w:val="18"/>
          <w:lang w:val="es-ES"/>
        </w:rPr>
        <w:t xml:space="preserve">, Sentencia de 20 Octubre de 2016 (Excepciones Preliminares, Fondo, Reparaciones y Costas). </w:t>
      </w:r>
      <w:r>
        <w:rPr>
          <w:rFonts w:ascii="Times New Roman" w:hAnsi="Times New Roman" w:cs="Times New Roman"/>
          <w:sz w:val="18"/>
          <w:szCs w:val="18"/>
        </w:rPr>
        <w:t xml:space="preserve">See </w:t>
      </w:r>
      <w:hyperlink r:id="rId6" w:history="1">
        <w:r w:rsidRPr="0072278F">
          <w:rPr>
            <w:rStyle w:val="Hyperlink"/>
            <w:rFonts w:ascii="Times New Roman" w:hAnsi="Times New Roman" w:cs="Times New Roman"/>
            <w:sz w:val="18"/>
            <w:szCs w:val="18"/>
          </w:rPr>
          <w:t>http://www.corteidh.or.cr/docs/casos/articulos/seriec_318_esp.pdf</w:t>
        </w:r>
      </w:hyperlink>
      <w:r>
        <w:rPr>
          <w:rFonts w:ascii="Times New Roman" w:hAnsi="Times New Roman" w:cs="Times New Roman"/>
          <w:sz w:val="18"/>
          <w:szCs w:val="18"/>
        </w:rPr>
        <w:t xml:space="preserve"> ; Unofficial translation. </w:t>
      </w:r>
    </w:p>
  </w:footnote>
  <w:footnote w:id="13">
    <w:p w14:paraId="7F2B478F" w14:textId="77777777" w:rsidR="00690718" w:rsidRPr="00802CDC" w:rsidRDefault="00690718" w:rsidP="00530817">
      <w:pPr>
        <w:pStyle w:val="FootnoteText"/>
        <w:jc w:val="both"/>
        <w:rPr>
          <w:rFonts w:ascii="Times New Roman" w:hAnsi="Times New Roman" w:cs="Times New Roman"/>
          <w:sz w:val="18"/>
          <w:szCs w:val="18"/>
        </w:rPr>
      </w:pPr>
      <w:r w:rsidRPr="00802CDC">
        <w:rPr>
          <w:rStyle w:val="FootnoteReference"/>
          <w:rFonts w:ascii="Times New Roman" w:hAnsi="Times New Roman" w:cs="Times New Roman"/>
          <w:sz w:val="18"/>
          <w:szCs w:val="18"/>
        </w:rPr>
        <w:footnoteRef/>
      </w:r>
      <w:r w:rsidRPr="00802CDC">
        <w:rPr>
          <w:rFonts w:ascii="Times New Roman" w:hAnsi="Times New Roman" w:cs="Times New Roman"/>
          <w:sz w:val="18"/>
          <w:szCs w:val="18"/>
        </w:rPr>
        <w:t xml:space="preserve"> At the time of the facts, Article 149 of the Criminal Code criminalized “reducing someone to conditions analogous to slavery”, without providing any specific elements to identify the various ways in which the victim could be reduced to a state analogous to slavery. In 2003, Article 149 was amended and a description of the different ways in which workers can be reduced to conditions analogous to slavery incorporated. </w:t>
      </w:r>
    </w:p>
  </w:footnote>
  <w:footnote w:id="14">
    <w:p w14:paraId="7EF06EE4" w14:textId="050A7114" w:rsidR="00690718" w:rsidRPr="00802CDC" w:rsidRDefault="00690718" w:rsidP="00802CDC">
      <w:pPr>
        <w:pStyle w:val="FootnoteText"/>
        <w:rPr>
          <w:rFonts w:ascii="Times New Roman" w:hAnsi="Times New Roman" w:cs="Times New Roman"/>
          <w:sz w:val="18"/>
          <w:szCs w:val="18"/>
        </w:rPr>
      </w:pPr>
      <w:r w:rsidRPr="00802CDC">
        <w:rPr>
          <w:rStyle w:val="FootnoteReference"/>
          <w:rFonts w:ascii="Times New Roman" w:hAnsi="Times New Roman" w:cs="Times New Roman"/>
          <w:sz w:val="18"/>
          <w:szCs w:val="18"/>
        </w:rPr>
        <w:footnoteRef/>
      </w:r>
      <w:r w:rsidRPr="00802CDC">
        <w:rPr>
          <w:rFonts w:ascii="Times New Roman" w:hAnsi="Times New Roman" w:cs="Times New Roman"/>
          <w:sz w:val="18"/>
          <w:szCs w:val="18"/>
        </w:rPr>
        <w:t xml:space="preserve"> </w:t>
      </w:r>
      <w:r w:rsidRPr="003042AA">
        <w:rPr>
          <w:rFonts w:ascii="Times New Roman" w:hAnsi="Times New Roman" w:cs="Times New Roman"/>
          <w:i/>
          <w:sz w:val="18"/>
          <w:szCs w:val="18"/>
        </w:rPr>
        <w:t>Prosecutor v. Dragoljub Kunarac, Radomir Kovac and Zoran Vukovic</w:t>
      </w:r>
      <w:r w:rsidRPr="00802CDC">
        <w:rPr>
          <w:rFonts w:ascii="Times New Roman" w:hAnsi="Times New Roman" w:cs="Times New Roman"/>
          <w:sz w:val="18"/>
          <w:szCs w:val="18"/>
        </w:rPr>
        <w:t xml:space="preserve">, IT-96-23 and IT-96-23/1, judgment of 22 February 2001 (TC), See </w:t>
      </w:r>
      <w:hyperlink r:id="rId7" w:history="1">
        <w:r w:rsidRPr="00802CDC">
          <w:rPr>
            <w:rStyle w:val="Hyperlink"/>
            <w:rFonts w:ascii="Times New Roman" w:hAnsi="Times New Roman" w:cs="Times New Roman"/>
            <w:sz w:val="18"/>
            <w:szCs w:val="18"/>
          </w:rPr>
          <w:t>http://www.icty.org/x/cases/kunarac/tjug/en/kun-tj010222e.pdf</w:t>
        </w:r>
      </w:hyperlink>
      <w:r w:rsidRPr="00802CDC">
        <w:rPr>
          <w:rFonts w:ascii="Times New Roman" w:hAnsi="Times New Roman" w:cs="Times New Roman"/>
          <w:sz w:val="18"/>
          <w:szCs w:val="18"/>
        </w:rPr>
        <w:t xml:space="preserve"> ; judgment of 12 June 2002 (AC) (Kunarac), See </w:t>
      </w:r>
      <w:hyperlink r:id="rId8" w:history="1">
        <w:r w:rsidRPr="00802CDC">
          <w:rPr>
            <w:rStyle w:val="Hyperlink"/>
            <w:rFonts w:ascii="Times New Roman" w:hAnsi="Times New Roman" w:cs="Times New Roman"/>
            <w:sz w:val="18"/>
            <w:szCs w:val="18"/>
          </w:rPr>
          <w:t>http://www.icty.org/x/cases/kunarac/acjug/en/kun-aj020612e.pdf</w:t>
        </w:r>
      </w:hyperlink>
      <w:r w:rsidRPr="00802CDC">
        <w:rPr>
          <w:rFonts w:ascii="Times New Roman" w:hAnsi="Times New Roman" w:cs="Times New Roman"/>
          <w:sz w:val="18"/>
          <w:szCs w:val="18"/>
        </w:rPr>
        <w:t xml:space="preserve"> </w:t>
      </w:r>
    </w:p>
    <w:p w14:paraId="55C4BF58" w14:textId="300CC27C" w:rsidR="00690718" w:rsidRDefault="00690718">
      <w:pPr>
        <w:pStyle w:val="FootnoteText"/>
      </w:pPr>
    </w:p>
  </w:footnote>
  <w:footnote w:id="15">
    <w:p w14:paraId="3AE15F11" w14:textId="76CDA900" w:rsidR="00690718" w:rsidRPr="00E71DE9" w:rsidRDefault="00690718" w:rsidP="00E71DE9">
      <w:pPr>
        <w:pStyle w:val="FootnoteText"/>
        <w:rPr>
          <w:rFonts w:ascii="Times New Roman" w:hAnsi="Times New Roman" w:cs="Times New Roman"/>
          <w:sz w:val="18"/>
          <w:szCs w:val="18"/>
        </w:rPr>
      </w:pPr>
      <w:r w:rsidRPr="00E71DE9">
        <w:rPr>
          <w:rStyle w:val="FootnoteReference"/>
          <w:rFonts w:ascii="Times New Roman" w:hAnsi="Times New Roman" w:cs="Times New Roman"/>
          <w:sz w:val="18"/>
          <w:szCs w:val="18"/>
        </w:rPr>
        <w:footnoteRef/>
      </w:r>
      <w:r w:rsidRPr="00E71DE9">
        <w:rPr>
          <w:rFonts w:ascii="Times New Roman" w:hAnsi="Times New Roman" w:cs="Times New Roman"/>
          <w:sz w:val="18"/>
          <w:szCs w:val="18"/>
        </w:rPr>
        <w:t xml:space="preserve"> </w:t>
      </w:r>
      <w:r w:rsidRPr="003042AA">
        <w:rPr>
          <w:rFonts w:ascii="Times New Roman" w:hAnsi="Times New Roman" w:cs="Times New Roman"/>
          <w:i/>
          <w:sz w:val="18"/>
          <w:szCs w:val="18"/>
        </w:rPr>
        <w:t>Regina [Queen] v Wei Tang</w:t>
      </w:r>
      <w:r w:rsidRPr="00E71DE9">
        <w:rPr>
          <w:rFonts w:ascii="Times New Roman" w:hAnsi="Times New Roman" w:cs="Times New Roman"/>
          <w:sz w:val="18"/>
          <w:szCs w:val="18"/>
        </w:rPr>
        <w:t xml:space="preserve"> (2008) HCA 39, </w:t>
      </w:r>
      <w:r>
        <w:rPr>
          <w:rFonts w:ascii="Times New Roman" w:hAnsi="Times New Roman" w:cs="Times New Roman"/>
          <w:sz w:val="18"/>
          <w:szCs w:val="18"/>
        </w:rPr>
        <w:t xml:space="preserve">See </w:t>
      </w:r>
      <w:hyperlink r:id="rId9" w:history="1">
        <w:r w:rsidRPr="0072278F">
          <w:rPr>
            <w:rStyle w:val="Hyperlink"/>
            <w:rFonts w:ascii="Times New Roman" w:hAnsi="Times New Roman" w:cs="Times New Roman"/>
            <w:sz w:val="18"/>
            <w:szCs w:val="18"/>
          </w:rPr>
          <w:t>http://www.austlii.edu.au/cgi-bin/sinodisp/au/cases/cth/HCA/2008/39.html?query=title(tang</w:t>
        </w:r>
      </w:hyperlink>
      <w:r w:rsidRPr="00E71DE9">
        <w:rPr>
          <w:rFonts w:ascii="Times New Roman" w:hAnsi="Times New Roman" w:cs="Times New Roman"/>
          <w:sz w:val="18"/>
          <w:szCs w:val="18"/>
        </w:rPr>
        <w:t>)</w:t>
      </w:r>
      <w:r>
        <w:rPr>
          <w:rFonts w:ascii="Times New Roman" w:hAnsi="Times New Roman" w:cs="Times New Roman"/>
          <w:sz w:val="18"/>
          <w:szCs w:val="18"/>
        </w:rPr>
        <w:t xml:space="preserve"> </w:t>
      </w:r>
    </w:p>
  </w:footnote>
  <w:footnote w:id="16">
    <w:p w14:paraId="33FECBCB"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Style w:val="FootnoteReference"/>
          <w:rFonts w:ascii="Times New Roman" w:hAnsi="Times New Roman" w:cs="Times New Roman"/>
          <w:sz w:val="18"/>
          <w:szCs w:val="18"/>
        </w:rPr>
        <w:footnoteRef/>
      </w:r>
      <w:r w:rsidRPr="00E71DE9">
        <w:rPr>
          <w:rFonts w:ascii="Times New Roman" w:hAnsi="Times New Roman" w:cs="Times New Roman"/>
          <w:sz w:val="18"/>
          <w:szCs w:val="18"/>
        </w:rPr>
        <w:t xml:space="preserve"> </w:t>
      </w:r>
      <w:r w:rsidRPr="00E71DE9">
        <w:rPr>
          <w:rFonts w:ascii="Times New Roman" w:hAnsi="Times New Roman" w:cs="Times New Roman"/>
          <w:b/>
          <w:bCs/>
          <w:sz w:val="18"/>
          <w:szCs w:val="18"/>
        </w:rPr>
        <w:t>270.3 Slavery offences</w:t>
      </w:r>
    </w:p>
    <w:p w14:paraId="50DCFE84"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(1) A person who, whether within or outside Australia, intentionally:</w:t>
      </w:r>
    </w:p>
    <w:p w14:paraId="491CEAA4"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(a) possesses a slave or exercises over a slave any of the other powers attaching to the right of ownership; or</w:t>
      </w:r>
    </w:p>
    <w:p w14:paraId="75626380"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(b) engages in slave trading; or</w:t>
      </w:r>
    </w:p>
    <w:p w14:paraId="5A90221B"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(c) enters into any commercial transaction involving a slave; or</w:t>
      </w:r>
    </w:p>
    <w:p w14:paraId="66794258"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(d) exercises control or direction over, or provides finance for:</w:t>
      </w:r>
    </w:p>
    <w:p w14:paraId="54F31052"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(i) any act of slave trading; or</w:t>
      </w:r>
    </w:p>
    <w:p w14:paraId="0BC5F847"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(ii) any commercial transaction involving a slave;</w:t>
      </w:r>
    </w:p>
    <w:p w14:paraId="44D27124"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Fonts w:ascii="Times New Roman" w:hAnsi="Times New Roman" w:cs="Times New Roman"/>
          <w:sz w:val="18"/>
          <w:szCs w:val="18"/>
        </w:rPr>
        <w:t>is guilty of an offence.</w:t>
      </w:r>
    </w:p>
    <w:p w14:paraId="1C3F69B9" w14:textId="541D9940" w:rsidR="00690718" w:rsidRDefault="00690718" w:rsidP="00E71DE9">
      <w:pPr>
        <w:pStyle w:val="FootnoteText"/>
      </w:pPr>
      <w:r w:rsidRPr="00E71DE9">
        <w:rPr>
          <w:rFonts w:ascii="Times New Roman" w:hAnsi="Times New Roman" w:cs="Times New Roman"/>
          <w:sz w:val="18"/>
          <w:szCs w:val="18"/>
        </w:rPr>
        <w:t>Penalty: Imprisonment for 25 years.</w:t>
      </w:r>
      <w:r>
        <w:rPr>
          <w:rFonts w:ascii="Times New Roman" w:hAnsi="Times New Roman" w:cs="Times New Roman"/>
          <w:sz w:val="18"/>
          <w:szCs w:val="18"/>
        </w:rPr>
        <w:t xml:space="preserve"> […]</w:t>
      </w:r>
    </w:p>
  </w:footnote>
  <w:footnote w:id="17">
    <w:p w14:paraId="705498C6" w14:textId="77777777" w:rsidR="00690718" w:rsidRPr="00E71DE9" w:rsidRDefault="00690718" w:rsidP="00E71DE9">
      <w:pPr>
        <w:widowControl w:val="0"/>
        <w:autoSpaceDE w:val="0"/>
        <w:autoSpaceDN w:val="0"/>
        <w:adjustRightInd w:val="0"/>
        <w:spacing w:after="0"/>
        <w:rPr>
          <w:rFonts w:ascii="Times New Roman" w:hAnsi="Times New Roman" w:cs="Times New Roman"/>
          <w:sz w:val="18"/>
          <w:szCs w:val="18"/>
        </w:rPr>
      </w:pPr>
      <w:r w:rsidRPr="00E71DE9">
        <w:rPr>
          <w:rStyle w:val="FootnoteReference"/>
          <w:rFonts w:ascii="Times New Roman" w:hAnsi="Times New Roman" w:cs="Times New Roman"/>
          <w:sz w:val="18"/>
          <w:szCs w:val="18"/>
        </w:rPr>
        <w:footnoteRef/>
      </w:r>
      <w:r w:rsidRPr="00E71DE9">
        <w:rPr>
          <w:rFonts w:ascii="Times New Roman" w:hAnsi="Times New Roman" w:cs="Times New Roman"/>
          <w:sz w:val="18"/>
          <w:szCs w:val="18"/>
        </w:rPr>
        <w:t xml:space="preserve"> </w:t>
      </w:r>
      <w:r w:rsidRPr="00E71DE9">
        <w:rPr>
          <w:rFonts w:ascii="Times New Roman" w:hAnsi="Times New Roman" w:cs="Times New Roman"/>
          <w:b/>
          <w:bCs/>
          <w:sz w:val="18"/>
          <w:szCs w:val="18"/>
        </w:rPr>
        <w:t>270.2 Slavery is unlawful</w:t>
      </w:r>
    </w:p>
    <w:p w14:paraId="0DEE838C" w14:textId="7875E1A8" w:rsidR="00690718" w:rsidRDefault="00690718" w:rsidP="00E71DE9">
      <w:pPr>
        <w:pStyle w:val="FootnoteText"/>
      </w:pPr>
      <w:r w:rsidRPr="00E71DE9">
        <w:rPr>
          <w:rFonts w:ascii="Times New Roman" w:hAnsi="Times New Roman" w:cs="Times New Roman"/>
          <w:sz w:val="18"/>
          <w:szCs w:val="18"/>
        </w:rPr>
        <w:t>Slavery remains unlawful and its abolition is maintained, despite the repeal by the</w:t>
      </w:r>
      <w:r w:rsidRPr="00E71DE9">
        <w:rPr>
          <w:rFonts w:ascii="Times New Roman" w:hAnsi="Times New Roman" w:cs="Times New Roman"/>
          <w:i/>
          <w:iCs/>
          <w:sz w:val="18"/>
          <w:szCs w:val="18"/>
        </w:rPr>
        <w:t xml:space="preserve"> Criminal Code Amendment (Slavery and Sexual Servitude) Act</w:t>
      </w:r>
      <w:r w:rsidRPr="00E71DE9">
        <w:rPr>
          <w:rFonts w:ascii="Times New Roman" w:hAnsi="Times New Roman" w:cs="Times New Roman"/>
          <w:sz w:val="18"/>
          <w:szCs w:val="18"/>
        </w:rPr>
        <w:t xml:space="preserve"> </w:t>
      </w:r>
      <w:r w:rsidRPr="00E71DE9">
        <w:rPr>
          <w:rFonts w:ascii="Times New Roman" w:hAnsi="Times New Roman" w:cs="Times New Roman"/>
          <w:i/>
          <w:iCs/>
          <w:sz w:val="18"/>
          <w:szCs w:val="18"/>
        </w:rPr>
        <w:t>1999</w:t>
      </w:r>
      <w:r w:rsidRPr="00E71DE9">
        <w:rPr>
          <w:rFonts w:ascii="Times New Roman" w:hAnsi="Times New Roman" w:cs="Times New Roman"/>
          <w:sz w:val="18"/>
          <w:szCs w:val="18"/>
        </w:rPr>
        <w:t xml:space="preserve"> of Imperial Acts relating to slavery.</w:t>
      </w:r>
    </w:p>
  </w:footnote>
  <w:footnote w:id="18">
    <w:p w14:paraId="22F9760E" w14:textId="77F4ECB4" w:rsidR="00690718" w:rsidRPr="001060BD" w:rsidRDefault="00690718">
      <w:pPr>
        <w:pStyle w:val="FootnoteText"/>
        <w:rPr>
          <w:rFonts w:ascii="Times New Roman" w:hAnsi="Times New Roman" w:cs="Times New Roman"/>
          <w:sz w:val="18"/>
          <w:szCs w:val="18"/>
        </w:rPr>
      </w:pPr>
      <w:r w:rsidRPr="001060BD">
        <w:rPr>
          <w:rStyle w:val="FootnoteReference"/>
          <w:rFonts w:ascii="Times New Roman" w:hAnsi="Times New Roman" w:cs="Times New Roman"/>
          <w:sz w:val="18"/>
          <w:szCs w:val="18"/>
        </w:rPr>
        <w:footnoteRef/>
      </w:r>
      <w:r w:rsidRPr="001060BD">
        <w:rPr>
          <w:rFonts w:ascii="Times New Roman" w:hAnsi="Times New Roman" w:cs="Times New Roman"/>
          <w:sz w:val="18"/>
          <w:szCs w:val="18"/>
        </w:rPr>
        <w:t xml:space="preserve"> </w:t>
      </w:r>
      <w:r w:rsidRPr="004D0E34">
        <w:rPr>
          <w:rFonts w:ascii="Times New Roman" w:hAnsi="Times New Roman" w:cs="Times New Roman"/>
          <w:i/>
          <w:sz w:val="18"/>
          <w:szCs w:val="18"/>
        </w:rPr>
        <w:t>Bandhua Mukti Morcha v Union of</w:t>
      </w:r>
      <w:r w:rsidR="00990CBD" w:rsidRPr="004D0E34">
        <w:rPr>
          <w:rFonts w:ascii="Times New Roman" w:hAnsi="Times New Roman" w:cs="Times New Roman"/>
          <w:i/>
          <w:sz w:val="18"/>
          <w:szCs w:val="18"/>
        </w:rPr>
        <w:t xml:space="preserve"> India</w:t>
      </w:r>
      <w:r w:rsidR="00990CBD">
        <w:rPr>
          <w:rFonts w:ascii="Times New Roman" w:hAnsi="Times New Roman" w:cs="Times New Roman"/>
          <w:sz w:val="18"/>
          <w:szCs w:val="18"/>
        </w:rPr>
        <w:t xml:space="preserve"> [</w:t>
      </w:r>
      <w:r w:rsidRPr="001060BD">
        <w:rPr>
          <w:rFonts w:ascii="Times New Roman" w:hAnsi="Times New Roman" w:cs="Times New Roman"/>
          <w:sz w:val="18"/>
          <w:szCs w:val="18"/>
        </w:rPr>
        <w:t>198</w:t>
      </w:r>
      <w:r w:rsidR="00990CBD">
        <w:rPr>
          <w:rFonts w:ascii="Times New Roman" w:hAnsi="Times New Roman" w:cs="Times New Roman"/>
          <w:sz w:val="18"/>
          <w:szCs w:val="18"/>
        </w:rPr>
        <w:t>4 SC]</w:t>
      </w:r>
      <w:r w:rsidR="009137BC">
        <w:rPr>
          <w:rFonts w:ascii="Times New Roman" w:hAnsi="Times New Roman" w:cs="Times New Roman"/>
          <w:sz w:val="18"/>
          <w:szCs w:val="18"/>
        </w:rPr>
        <w:t xml:space="preserve">, Writ Petition No. 2135 </w:t>
      </w:r>
      <w:r w:rsidR="00990CBD">
        <w:rPr>
          <w:rFonts w:ascii="Times New Roman" w:hAnsi="Times New Roman" w:cs="Times New Roman"/>
          <w:sz w:val="18"/>
          <w:szCs w:val="18"/>
        </w:rPr>
        <w:t>[</w:t>
      </w:r>
      <w:r w:rsidRPr="001060BD">
        <w:rPr>
          <w:rFonts w:ascii="Times New Roman" w:hAnsi="Times New Roman" w:cs="Times New Roman"/>
          <w:sz w:val="18"/>
          <w:szCs w:val="18"/>
        </w:rPr>
        <w:t>1982</w:t>
      </w:r>
      <w:r w:rsidR="00990CBD">
        <w:rPr>
          <w:rFonts w:ascii="Times New Roman" w:hAnsi="Times New Roman" w:cs="Times New Roman"/>
          <w:sz w:val="18"/>
          <w:szCs w:val="18"/>
        </w:rPr>
        <w:t>]</w:t>
      </w:r>
      <w:r w:rsidRPr="001060BD">
        <w:rPr>
          <w:rFonts w:ascii="Times New Roman" w:hAnsi="Times New Roman" w:cs="Times New Roman"/>
          <w:sz w:val="18"/>
          <w:szCs w:val="18"/>
        </w:rPr>
        <w:t xml:space="preserve">, at </w:t>
      </w:r>
      <w:hyperlink r:id="rId10" w:history="1">
        <w:r w:rsidRPr="001060BD">
          <w:rPr>
            <w:rStyle w:val="Hyperlink"/>
            <w:rFonts w:ascii="Times New Roman" w:hAnsi="Times New Roman" w:cs="Times New Roman"/>
            <w:sz w:val="18"/>
            <w:szCs w:val="18"/>
          </w:rPr>
          <w:t>https://indiankanoon.org/doc/595099/</w:t>
        </w:r>
      </w:hyperlink>
      <w:r w:rsidRPr="001060BD">
        <w:rPr>
          <w:rFonts w:ascii="Times New Roman" w:hAnsi="Times New Roman" w:cs="Times New Roman"/>
          <w:sz w:val="18"/>
          <w:szCs w:val="18"/>
        </w:rPr>
        <w:t xml:space="preserve"> </w:t>
      </w:r>
    </w:p>
  </w:footnote>
  <w:footnote w:id="19">
    <w:p w14:paraId="41E1FFEE" w14:textId="35D4B99A" w:rsidR="00690718" w:rsidRPr="00C31407" w:rsidRDefault="00690718">
      <w:pPr>
        <w:pStyle w:val="FootnoteText"/>
        <w:rPr>
          <w:rFonts w:ascii="Times New Roman" w:hAnsi="Times New Roman" w:cs="Times New Roman"/>
          <w:sz w:val="18"/>
          <w:szCs w:val="18"/>
        </w:rPr>
      </w:pPr>
      <w:r w:rsidRPr="001060BD">
        <w:rPr>
          <w:rStyle w:val="FootnoteReference"/>
          <w:rFonts w:ascii="Times New Roman" w:hAnsi="Times New Roman" w:cs="Times New Roman"/>
          <w:sz w:val="18"/>
          <w:szCs w:val="18"/>
        </w:rPr>
        <w:footnoteRef/>
      </w:r>
      <w:r w:rsidRPr="001060BD">
        <w:rPr>
          <w:rFonts w:ascii="Times New Roman" w:hAnsi="Times New Roman" w:cs="Times New Roman"/>
          <w:sz w:val="18"/>
          <w:szCs w:val="18"/>
        </w:rPr>
        <w:t xml:space="preserve"> </w:t>
      </w:r>
      <w:r w:rsidRPr="004D0E34">
        <w:rPr>
          <w:rFonts w:ascii="Times New Roman" w:hAnsi="Times New Roman" w:cs="Times New Roman"/>
          <w:i/>
          <w:sz w:val="18"/>
          <w:szCs w:val="18"/>
        </w:rPr>
        <w:t>Galdikas &amp; Ors v DJ Houghton Catching Services Ltd &amp; Ors</w:t>
      </w:r>
      <w:r w:rsidR="004D0E34">
        <w:rPr>
          <w:rFonts w:ascii="Times New Roman" w:hAnsi="Times New Roman" w:cs="Times New Roman"/>
          <w:sz w:val="18"/>
          <w:szCs w:val="18"/>
        </w:rPr>
        <w:t xml:space="preserve"> [2016] EWHC 1376 (QB)</w:t>
      </w:r>
      <w:r w:rsidRPr="001060BD">
        <w:rPr>
          <w:rFonts w:ascii="Times New Roman" w:hAnsi="Times New Roman" w:cs="Times New Roman"/>
          <w:sz w:val="18"/>
          <w:szCs w:val="18"/>
        </w:rPr>
        <w:t xml:space="preserve">, See </w:t>
      </w:r>
      <w:hyperlink r:id="rId11" w:history="1">
        <w:r w:rsidRPr="0072278F">
          <w:rPr>
            <w:rStyle w:val="Hyperlink"/>
            <w:rFonts w:ascii="Times New Roman" w:hAnsi="Times New Roman" w:cs="Times New Roman"/>
            <w:sz w:val="18"/>
            <w:szCs w:val="18"/>
          </w:rPr>
          <w:t>http://www.bailii.org/cgi-bin/format.cgi?doc=/ew/cases/EWHC/QB/2016/1376.html&amp;query=(galdikas</w:t>
        </w:r>
      </w:hyperlink>
      <w:r w:rsidRPr="001060BD">
        <w:rPr>
          <w:rFonts w:ascii="Times New Roman" w:hAnsi="Times New Roman" w:cs="Times New Roman"/>
          <w:sz w:val="18"/>
          <w:szCs w:val="18"/>
        </w:rPr>
        <w:t>)</w:t>
      </w:r>
      <w:r>
        <w:rPr>
          <w:rFonts w:ascii="Times New Roman" w:hAnsi="Times New Roman" w:cs="Times New Roman"/>
          <w:sz w:val="18"/>
          <w:szCs w:val="18"/>
        </w:rPr>
        <w:t xml:space="preserve"> </w:t>
      </w:r>
    </w:p>
  </w:footnote>
  <w:footnote w:id="20">
    <w:p w14:paraId="7659A6CF" w14:textId="1235BC86" w:rsidR="00690718" w:rsidRDefault="00690718">
      <w:pPr>
        <w:pStyle w:val="FootnoteText"/>
      </w:pPr>
      <w:r w:rsidRPr="00C31407">
        <w:rPr>
          <w:rStyle w:val="FootnoteReference"/>
          <w:rFonts w:ascii="Times New Roman" w:hAnsi="Times New Roman" w:cs="Times New Roman"/>
          <w:sz w:val="18"/>
          <w:szCs w:val="18"/>
        </w:rPr>
        <w:footnoteRef/>
      </w:r>
      <w:r w:rsidRPr="00C31407">
        <w:rPr>
          <w:rFonts w:ascii="Times New Roman" w:hAnsi="Times New Roman" w:cs="Times New Roman"/>
          <w:sz w:val="18"/>
          <w:szCs w:val="18"/>
        </w:rPr>
        <w:t xml:space="preserve"> </w:t>
      </w:r>
      <w:r w:rsidR="00BE58FA" w:rsidRPr="004D0E34">
        <w:rPr>
          <w:rFonts w:ascii="Times New Roman" w:hAnsi="Times New Roman" w:cs="Times New Roman"/>
          <w:i/>
          <w:sz w:val="18"/>
          <w:szCs w:val="18"/>
        </w:rPr>
        <w:t>Hounga v Allen and a</w:t>
      </w:r>
      <w:r w:rsidR="003E6F7F" w:rsidRPr="004D0E34">
        <w:rPr>
          <w:rFonts w:ascii="Times New Roman" w:hAnsi="Times New Roman" w:cs="Times New Roman"/>
          <w:i/>
          <w:sz w:val="18"/>
          <w:szCs w:val="18"/>
        </w:rPr>
        <w:t>nother</w:t>
      </w:r>
      <w:r w:rsidR="003E6F7F">
        <w:rPr>
          <w:rFonts w:ascii="Times New Roman" w:hAnsi="Times New Roman" w:cs="Times New Roman"/>
          <w:sz w:val="18"/>
          <w:szCs w:val="18"/>
        </w:rPr>
        <w:t xml:space="preserve"> [2014] UKSC 47</w:t>
      </w:r>
      <w:r w:rsidR="00BE58FA">
        <w:rPr>
          <w:rFonts w:ascii="Times New Roman" w:hAnsi="Times New Roman" w:cs="Times New Roman"/>
          <w:sz w:val="18"/>
          <w:szCs w:val="18"/>
        </w:rPr>
        <w:t xml:space="preserve">, </w:t>
      </w:r>
      <w:r w:rsidRPr="00C31407">
        <w:rPr>
          <w:rFonts w:ascii="Times New Roman" w:hAnsi="Times New Roman" w:cs="Times New Roman"/>
          <w:sz w:val="18"/>
          <w:szCs w:val="18"/>
        </w:rPr>
        <w:t xml:space="preserve">See </w:t>
      </w:r>
      <w:hyperlink r:id="rId12" w:history="1">
        <w:r w:rsidR="00BE58FA" w:rsidRPr="0072278F">
          <w:rPr>
            <w:rStyle w:val="Hyperlink"/>
            <w:rFonts w:ascii="Times New Roman" w:hAnsi="Times New Roman" w:cs="Times New Roman"/>
            <w:sz w:val="18"/>
            <w:szCs w:val="18"/>
          </w:rPr>
          <w:t>https://www.supremecourt.uk/cases/docs/uksc-2012-0188-judgment.pdf</w:t>
        </w:r>
      </w:hyperlink>
      <w:r w:rsidR="00BE58FA">
        <w:rPr>
          <w:rFonts w:ascii="Times New Roman" w:hAnsi="Times New Roman" w:cs="Times New Roman"/>
          <w:sz w:val="18"/>
          <w:szCs w:val="18"/>
        </w:rPr>
        <w:t xml:space="preserve"> </w:t>
      </w:r>
    </w:p>
  </w:footnote>
  <w:footnote w:id="21">
    <w:p w14:paraId="1C9D5F09" w14:textId="7E99B95E" w:rsidR="00690718" w:rsidRPr="00CD416C" w:rsidRDefault="00690718">
      <w:pPr>
        <w:pStyle w:val="FootnoteText"/>
        <w:rPr>
          <w:rFonts w:ascii="Times New Roman" w:hAnsi="Times New Roman" w:cs="Times New Roman"/>
          <w:sz w:val="18"/>
          <w:szCs w:val="18"/>
        </w:rPr>
      </w:pPr>
      <w:r w:rsidRPr="00CD416C">
        <w:rPr>
          <w:rStyle w:val="FootnoteReference"/>
          <w:rFonts w:ascii="Times New Roman" w:hAnsi="Times New Roman" w:cs="Times New Roman"/>
          <w:sz w:val="18"/>
          <w:szCs w:val="18"/>
        </w:rPr>
        <w:footnoteRef/>
      </w:r>
      <w:r w:rsidRPr="00CD416C">
        <w:rPr>
          <w:rFonts w:ascii="Times New Roman" w:hAnsi="Times New Roman" w:cs="Times New Roman"/>
          <w:sz w:val="18"/>
          <w:szCs w:val="18"/>
        </w:rPr>
        <w:t xml:space="preserve"> </w:t>
      </w:r>
      <w:r w:rsidR="003D7873" w:rsidRPr="003D7873">
        <w:rPr>
          <w:rFonts w:ascii="Times New Roman" w:hAnsi="Times New Roman" w:cs="Times New Roman"/>
          <w:i/>
          <w:sz w:val="18"/>
          <w:szCs w:val="18"/>
        </w:rPr>
        <w:t>L, HVN, THN, T v R</w:t>
      </w:r>
      <w:r w:rsidR="003D7873">
        <w:rPr>
          <w:rFonts w:ascii="Times New Roman" w:hAnsi="Times New Roman" w:cs="Times New Roman"/>
          <w:sz w:val="18"/>
          <w:szCs w:val="18"/>
        </w:rPr>
        <w:t xml:space="preserve"> [2013] EWCA Crim 991, </w:t>
      </w:r>
      <w:r w:rsidRPr="00CD416C">
        <w:rPr>
          <w:rFonts w:ascii="Times New Roman" w:hAnsi="Times New Roman" w:cs="Times New Roman"/>
          <w:sz w:val="18"/>
          <w:szCs w:val="18"/>
        </w:rPr>
        <w:t xml:space="preserve">See </w:t>
      </w:r>
      <w:hyperlink r:id="rId13" w:history="1">
        <w:r w:rsidR="00B55CB6" w:rsidRPr="0072278F">
          <w:rPr>
            <w:rStyle w:val="Hyperlink"/>
            <w:rFonts w:ascii="Times New Roman" w:hAnsi="Times New Roman" w:cs="Times New Roman"/>
            <w:sz w:val="18"/>
            <w:szCs w:val="18"/>
          </w:rPr>
          <w:t>https://www.judiciary.gov.uk/wp-content/uploads/JCO/Documents/Judgments/l-hvn-thn-t-v-r-judgment.pdf</w:t>
        </w:r>
      </w:hyperlink>
      <w:r w:rsidR="00B55CB6">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355F"/>
    <w:multiLevelType w:val="hybridMultilevel"/>
    <w:tmpl w:val="39F61B72"/>
    <w:lvl w:ilvl="0" w:tplc="E8EA11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43C2F"/>
    <w:multiLevelType w:val="hybridMultilevel"/>
    <w:tmpl w:val="97A2BA3A"/>
    <w:lvl w:ilvl="0" w:tplc="D36A22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7C7F9B"/>
    <w:multiLevelType w:val="hybridMultilevel"/>
    <w:tmpl w:val="5B38C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33536"/>
    <w:multiLevelType w:val="hybridMultilevel"/>
    <w:tmpl w:val="28802B9E"/>
    <w:lvl w:ilvl="0" w:tplc="E8EA11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17A0A"/>
    <w:multiLevelType w:val="hybridMultilevel"/>
    <w:tmpl w:val="31FE4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41D"/>
    <w:rsid w:val="0000257B"/>
    <w:rsid w:val="000045B9"/>
    <w:rsid w:val="0000583F"/>
    <w:rsid w:val="00006042"/>
    <w:rsid w:val="00010DAF"/>
    <w:rsid w:val="00014088"/>
    <w:rsid w:val="00015E43"/>
    <w:rsid w:val="00016C13"/>
    <w:rsid w:val="00020B14"/>
    <w:rsid w:val="00022549"/>
    <w:rsid w:val="00025CBB"/>
    <w:rsid w:val="00026762"/>
    <w:rsid w:val="0003398B"/>
    <w:rsid w:val="00034D3E"/>
    <w:rsid w:val="00034E9E"/>
    <w:rsid w:val="000402A0"/>
    <w:rsid w:val="00040605"/>
    <w:rsid w:val="00040D05"/>
    <w:rsid w:val="000426B9"/>
    <w:rsid w:val="00043D55"/>
    <w:rsid w:val="00050475"/>
    <w:rsid w:val="00051F5F"/>
    <w:rsid w:val="000533BE"/>
    <w:rsid w:val="00053D3E"/>
    <w:rsid w:val="000544C9"/>
    <w:rsid w:val="000551F9"/>
    <w:rsid w:val="0005755C"/>
    <w:rsid w:val="00057FA3"/>
    <w:rsid w:val="0006305D"/>
    <w:rsid w:val="00065FC5"/>
    <w:rsid w:val="000672F7"/>
    <w:rsid w:val="000674D0"/>
    <w:rsid w:val="00067DA5"/>
    <w:rsid w:val="00071900"/>
    <w:rsid w:val="000720C0"/>
    <w:rsid w:val="00073A37"/>
    <w:rsid w:val="00074343"/>
    <w:rsid w:val="000759B6"/>
    <w:rsid w:val="000760D2"/>
    <w:rsid w:val="00082D07"/>
    <w:rsid w:val="00084D59"/>
    <w:rsid w:val="00085283"/>
    <w:rsid w:val="0008732E"/>
    <w:rsid w:val="00090A90"/>
    <w:rsid w:val="00091677"/>
    <w:rsid w:val="00093780"/>
    <w:rsid w:val="00094064"/>
    <w:rsid w:val="000956D1"/>
    <w:rsid w:val="000A0E62"/>
    <w:rsid w:val="000A19DC"/>
    <w:rsid w:val="000A2092"/>
    <w:rsid w:val="000A3F43"/>
    <w:rsid w:val="000A41DB"/>
    <w:rsid w:val="000A5914"/>
    <w:rsid w:val="000B07AA"/>
    <w:rsid w:val="000B2451"/>
    <w:rsid w:val="000B7584"/>
    <w:rsid w:val="000C4626"/>
    <w:rsid w:val="000C4FF3"/>
    <w:rsid w:val="000C5085"/>
    <w:rsid w:val="000C6C56"/>
    <w:rsid w:val="000D1BA9"/>
    <w:rsid w:val="000D2846"/>
    <w:rsid w:val="000D666A"/>
    <w:rsid w:val="000E7A78"/>
    <w:rsid w:val="000F156C"/>
    <w:rsid w:val="000F3324"/>
    <w:rsid w:val="000F7D50"/>
    <w:rsid w:val="001060BD"/>
    <w:rsid w:val="0010663A"/>
    <w:rsid w:val="00112FAD"/>
    <w:rsid w:val="001225D7"/>
    <w:rsid w:val="00124EA2"/>
    <w:rsid w:val="00127B69"/>
    <w:rsid w:val="00127BC9"/>
    <w:rsid w:val="0013027E"/>
    <w:rsid w:val="00134218"/>
    <w:rsid w:val="0013520A"/>
    <w:rsid w:val="00135878"/>
    <w:rsid w:val="00137604"/>
    <w:rsid w:val="00137B5E"/>
    <w:rsid w:val="001409C6"/>
    <w:rsid w:val="00140B22"/>
    <w:rsid w:val="00141155"/>
    <w:rsid w:val="00141713"/>
    <w:rsid w:val="00141C7C"/>
    <w:rsid w:val="00145E48"/>
    <w:rsid w:val="00154F55"/>
    <w:rsid w:val="00160299"/>
    <w:rsid w:val="00164EF9"/>
    <w:rsid w:val="001657D4"/>
    <w:rsid w:val="00170F7E"/>
    <w:rsid w:val="00171270"/>
    <w:rsid w:val="00174FBB"/>
    <w:rsid w:val="001778F4"/>
    <w:rsid w:val="0017798F"/>
    <w:rsid w:val="001779DE"/>
    <w:rsid w:val="00180F9E"/>
    <w:rsid w:val="00182923"/>
    <w:rsid w:val="00184111"/>
    <w:rsid w:val="00186849"/>
    <w:rsid w:val="001901D0"/>
    <w:rsid w:val="00191937"/>
    <w:rsid w:val="0019242E"/>
    <w:rsid w:val="00195330"/>
    <w:rsid w:val="0019683E"/>
    <w:rsid w:val="001A0921"/>
    <w:rsid w:val="001A49BE"/>
    <w:rsid w:val="001A6CB5"/>
    <w:rsid w:val="001A7D1C"/>
    <w:rsid w:val="001B65B7"/>
    <w:rsid w:val="001C0EE5"/>
    <w:rsid w:val="001C318C"/>
    <w:rsid w:val="001C3CAA"/>
    <w:rsid w:val="001C5EFA"/>
    <w:rsid w:val="001C672C"/>
    <w:rsid w:val="001D3816"/>
    <w:rsid w:val="001E0BCE"/>
    <w:rsid w:val="001E1BC6"/>
    <w:rsid w:val="001E2179"/>
    <w:rsid w:val="001E33DF"/>
    <w:rsid w:val="001E38D2"/>
    <w:rsid w:val="001E5304"/>
    <w:rsid w:val="001F0A15"/>
    <w:rsid w:val="001F288E"/>
    <w:rsid w:val="001F383E"/>
    <w:rsid w:val="001F386E"/>
    <w:rsid w:val="001F48E2"/>
    <w:rsid w:val="001F7F01"/>
    <w:rsid w:val="0020344F"/>
    <w:rsid w:val="00204375"/>
    <w:rsid w:val="00205464"/>
    <w:rsid w:val="00211E53"/>
    <w:rsid w:val="00212167"/>
    <w:rsid w:val="00212AE9"/>
    <w:rsid w:val="002147A6"/>
    <w:rsid w:val="002162F3"/>
    <w:rsid w:val="002176D0"/>
    <w:rsid w:val="00221E29"/>
    <w:rsid w:val="002221EF"/>
    <w:rsid w:val="00222326"/>
    <w:rsid w:val="00222C50"/>
    <w:rsid w:val="002263C6"/>
    <w:rsid w:val="002301FD"/>
    <w:rsid w:val="00230211"/>
    <w:rsid w:val="00232BA6"/>
    <w:rsid w:val="00233A53"/>
    <w:rsid w:val="00235AED"/>
    <w:rsid w:val="00237A7E"/>
    <w:rsid w:val="00240590"/>
    <w:rsid w:val="002405CE"/>
    <w:rsid w:val="00240ADB"/>
    <w:rsid w:val="00253B94"/>
    <w:rsid w:val="00254063"/>
    <w:rsid w:val="00257E89"/>
    <w:rsid w:val="00265238"/>
    <w:rsid w:val="00265E72"/>
    <w:rsid w:val="00267F80"/>
    <w:rsid w:val="00274E31"/>
    <w:rsid w:val="00276291"/>
    <w:rsid w:val="00276900"/>
    <w:rsid w:val="0028190F"/>
    <w:rsid w:val="00282125"/>
    <w:rsid w:val="00285DE8"/>
    <w:rsid w:val="0028770F"/>
    <w:rsid w:val="00297ADB"/>
    <w:rsid w:val="002A3F06"/>
    <w:rsid w:val="002A4F24"/>
    <w:rsid w:val="002A511D"/>
    <w:rsid w:val="002A5ACB"/>
    <w:rsid w:val="002A6771"/>
    <w:rsid w:val="002B26AF"/>
    <w:rsid w:val="002B2A36"/>
    <w:rsid w:val="002B4FF8"/>
    <w:rsid w:val="002B50CB"/>
    <w:rsid w:val="002B697F"/>
    <w:rsid w:val="002B7EF5"/>
    <w:rsid w:val="002C3B67"/>
    <w:rsid w:val="002D1275"/>
    <w:rsid w:val="002D1B77"/>
    <w:rsid w:val="002D4437"/>
    <w:rsid w:val="002D4C2F"/>
    <w:rsid w:val="002D695A"/>
    <w:rsid w:val="002D7A3B"/>
    <w:rsid w:val="002E3485"/>
    <w:rsid w:val="002E5005"/>
    <w:rsid w:val="002E5925"/>
    <w:rsid w:val="002E592C"/>
    <w:rsid w:val="002E59E3"/>
    <w:rsid w:val="002F0B21"/>
    <w:rsid w:val="002F1093"/>
    <w:rsid w:val="002F12F1"/>
    <w:rsid w:val="002F1327"/>
    <w:rsid w:val="002F4607"/>
    <w:rsid w:val="002F6783"/>
    <w:rsid w:val="002F6C65"/>
    <w:rsid w:val="00303C4E"/>
    <w:rsid w:val="00303EEB"/>
    <w:rsid w:val="003042AA"/>
    <w:rsid w:val="00306355"/>
    <w:rsid w:val="00306ACE"/>
    <w:rsid w:val="0031030B"/>
    <w:rsid w:val="00326BB2"/>
    <w:rsid w:val="00330258"/>
    <w:rsid w:val="00333CB9"/>
    <w:rsid w:val="00336C86"/>
    <w:rsid w:val="00340253"/>
    <w:rsid w:val="0034149C"/>
    <w:rsid w:val="00353CD3"/>
    <w:rsid w:val="00354AB7"/>
    <w:rsid w:val="00354DF5"/>
    <w:rsid w:val="00360C30"/>
    <w:rsid w:val="003619A0"/>
    <w:rsid w:val="00366D1E"/>
    <w:rsid w:val="00370486"/>
    <w:rsid w:val="00371F79"/>
    <w:rsid w:val="00372774"/>
    <w:rsid w:val="00377E68"/>
    <w:rsid w:val="003838C3"/>
    <w:rsid w:val="00384D8B"/>
    <w:rsid w:val="00393B24"/>
    <w:rsid w:val="003973C2"/>
    <w:rsid w:val="003A104C"/>
    <w:rsid w:val="003A2525"/>
    <w:rsid w:val="003A340C"/>
    <w:rsid w:val="003A72ED"/>
    <w:rsid w:val="003B0F53"/>
    <w:rsid w:val="003B50A9"/>
    <w:rsid w:val="003C20DF"/>
    <w:rsid w:val="003C22B9"/>
    <w:rsid w:val="003C2D7B"/>
    <w:rsid w:val="003C465E"/>
    <w:rsid w:val="003D1526"/>
    <w:rsid w:val="003D47A4"/>
    <w:rsid w:val="003D7873"/>
    <w:rsid w:val="003E1322"/>
    <w:rsid w:val="003E16D7"/>
    <w:rsid w:val="003E1B79"/>
    <w:rsid w:val="003E2DCA"/>
    <w:rsid w:val="003E317B"/>
    <w:rsid w:val="003E61BF"/>
    <w:rsid w:val="003E684F"/>
    <w:rsid w:val="003E6F7F"/>
    <w:rsid w:val="003E7305"/>
    <w:rsid w:val="003F5F9A"/>
    <w:rsid w:val="003F7532"/>
    <w:rsid w:val="004015A5"/>
    <w:rsid w:val="0040285B"/>
    <w:rsid w:val="0040515D"/>
    <w:rsid w:val="004128F0"/>
    <w:rsid w:val="00414746"/>
    <w:rsid w:val="00417DC5"/>
    <w:rsid w:val="00420C7C"/>
    <w:rsid w:val="0042151A"/>
    <w:rsid w:val="004220CD"/>
    <w:rsid w:val="004259B5"/>
    <w:rsid w:val="00427FF5"/>
    <w:rsid w:val="00433A38"/>
    <w:rsid w:val="004367E5"/>
    <w:rsid w:val="00437757"/>
    <w:rsid w:val="004440C8"/>
    <w:rsid w:val="00444FF3"/>
    <w:rsid w:val="00450B33"/>
    <w:rsid w:val="00453CEA"/>
    <w:rsid w:val="0045700C"/>
    <w:rsid w:val="00466A6A"/>
    <w:rsid w:val="004671C1"/>
    <w:rsid w:val="00467DF5"/>
    <w:rsid w:val="0047089C"/>
    <w:rsid w:val="004733E5"/>
    <w:rsid w:val="004800D9"/>
    <w:rsid w:val="00480B37"/>
    <w:rsid w:val="0048361D"/>
    <w:rsid w:val="00484EE1"/>
    <w:rsid w:val="0048555D"/>
    <w:rsid w:val="0048667F"/>
    <w:rsid w:val="00490477"/>
    <w:rsid w:val="00491106"/>
    <w:rsid w:val="00492DA5"/>
    <w:rsid w:val="004A0326"/>
    <w:rsid w:val="004B2191"/>
    <w:rsid w:val="004B6F1F"/>
    <w:rsid w:val="004B74EC"/>
    <w:rsid w:val="004C134E"/>
    <w:rsid w:val="004C3476"/>
    <w:rsid w:val="004C6250"/>
    <w:rsid w:val="004C718F"/>
    <w:rsid w:val="004D0775"/>
    <w:rsid w:val="004D0E34"/>
    <w:rsid w:val="004D570A"/>
    <w:rsid w:val="004D7643"/>
    <w:rsid w:val="004D7983"/>
    <w:rsid w:val="004D7C50"/>
    <w:rsid w:val="004F1AC5"/>
    <w:rsid w:val="004F4B1D"/>
    <w:rsid w:val="004F6962"/>
    <w:rsid w:val="0050060F"/>
    <w:rsid w:val="0050250C"/>
    <w:rsid w:val="0050277D"/>
    <w:rsid w:val="005064AB"/>
    <w:rsid w:val="00507AB0"/>
    <w:rsid w:val="00512298"/>
    <w:rsid w:val="00516F6F"/>
    <w:rsid w:val="0051714F"/>
    <w:rsid w:val="005238EB"/>
    <w:rsid w:val="00523C15"/>
    <w:rsid w:val="00526CD9"/>
    <w:rsid w:val="00530817"/>
    <w:rsid w:val="005369BF"/>
    <w:rsid w:val="005404B1"/>
    <w:rsid w:val="00544A84"/>
    <w:rsid w:val="00544B57"/>
    <w:rsid w:val="00544B80"/>
    <w:rsid w:val="0054551A"/>
    <w:rsid w:val="00547813"/>
    <w:rsid w:val="00547D1F"/>
    <w:rsid w:val="00555165"/>
    <w:rsid w:val="00566BE0"/>
    <w:rsid w:val="00571E0F"/>
    <w:rsid w:val="005743E3"/>
    <w:rsid w:val="00580411"/>
    <w:rsid w:val="00580CCB"/>
    <w:rsid w:val="00580E5C"/>
    <w:rsid w:val="00580E6D"/>
    <w:rsid w:val="005815B8"/>
    <w:rsid w:val="00585A86"/>
    <w:rsid w:val="00587D9C"/>
    <w:rsid w:val="00593ED1"/>
    <w:rsid w:val="005944B8"/>
    <w:rsid w:val="00597BA1"/>
    <w:rsid w:val="005A0287"/>
    <w:rsid w:val="005A0D44"/>
    <w:rsid w:val="005A36E1"/>
    <w:rsid w:val="005A7EC0"/>
    <w:rsid w:val="005B1A7A"/>
    <w:rsid w:val="005B1B3D"/>
    <w:rsid w:val="005B55FC"/>
    <w:rsid w:val="005B5F78"/>
    <w:rsid w:val="005C0B99"/>
    <w:rsid w:val="005C1F01"/>
    <w:rsid w:val="005C2D2E"/>
    <w:rsid w:val="005C36A7"/>
    <w:rsid w:val="005C3CE6"/>
    <w:rsid w:val="005C687B"/>
    <w:rsid w:val="005C78F7"/>
    <w:rsid w:val="005D0C21"/>
    <w:rsid w:val="005D1FE6"/>
    <w:rsid w:val="005D2D12"/>
    <w:rsid w:val="005D6D03"/>
    <w:rsid w:val="005E0F76"/>
    <w:rsid w:val="005E28A8"/>
    <w:rsid w:val="005F1235"/>
    <w:rsid w:val="005F5562"/>
    <w:rsid w:val="005F581A"/>
    <w:rsid w:val="006022CC"/>
    <w:rsid w:val="00605791"/>
    <w:rsid w:val="00606EA9"/>
    <w:rsid w:val="006070BD"/>
    <w:rsid w:val="0061035A"/>
    <w:rsid w:val="006104B9"/>
    <w:rsid w:val="0061088A"/>
    <w:rsid w:val="00617171"/>
    <w:rsid w:val="00620F29"/>
    <w:rsid w:val="006219BA"/>
    <w:rsid w:val="00621E0F"/>
    <w:rsid w:val="00623375"/>
    <w:rsid w:val="0062484A"/>
    <w:rsid w:val="0062641A"/>
    <w:rsid w:val="00631173"/>
    <w:rsid w:val="00631BFB"/>
    <w:rsid w:val="00633464"/>
    <w:rsid w:val="006405AD"/>
    <w:rsid w:val="00640606"/>
    <w:rsid w:val="00640DC6"/>
    <w:rsid w:val="0064387E"/>
    <w:rsid w:val="00644C7E"/>
    <w:rsid w:val="00657A24"/>
    <w:rsid w:val="0066459F"/>
    <w:rsid w:val="00664B73"/>
    <w:rsid w:val="00666BC0"/>
    <w:rsid w:val="00667611"/>
    <w:rsid w:val="00673BB3"/>
    <w:rsid w:val="00682E7E"/>
    <w:rsid w:val="00684A6A"/>
    <w:rsid w:val="00690718"/>
    <w:rsid w:val="0069206B"/>
    <w:rsid w:val="0069465C"/>
    <w:rsid w:val="00696523"/>
    <w:rsid w:val="0069665A"/>
    <w:rsid w:val="006A09CE"/>
    <w:rsid w:val="006A4493"/>
    <w:rsid w:val="006B04D8"/>
    <w:rsid w:val="006B0D1F"/>
    <w:rsid w:val="006B1EE2"/>
    <w:rsid w:val="006B298A"/>
    <w:rsid w:val="006B411D"/>
    <w:rsid w:val="006B585C"/>
    <w:rsid w:val="006B6E3D"/>
    <w:rsid w:val="006C021D"/>
    <w:rsid w:val="006C163A"/>
    <w:rsid w:val="006C73F4"/>
    <w:rsid w:val="006D0975"/>
    <w:rsid w:val="006E2FA7"/>
    <w:rsid w:val="006F2766"/>
    <w:rsid w:val="006F5E41"/>
    <w:rsid w:val="007008D6"/>
    <w:rsid w:val="007011EE"/>
    <w:rsid w:val="00702614"/>
    <w:rsid w:val="007026CD"/>
    <w:rsid w:val="00703784"/>
    <w:rsid w:val="00704E79"/>
    <w:rsid w:val="00707B23"/>
    <w:rsid w:val="00713EF6"/>
    <w:rsid w:val="007169A6"/>
    <w:rsid w:val="007171C7"/>
    <w:rsid w:val="007174FC"/>
    <w:rsid w:val="0072058A"/>
    <w:rsid w:val="00725050"/>
    <w:rsid w:val="00727E42"/>
    <w:rsid w:val="00730F73"/>
    <w:rsid w:val="00733BA9"/>
    <w:rsid w:val="007350ED"/>
    <w:rsid w:val="0073516E"/>
    <w:rsid w:val="00735D6A"/>
    <w:rsid w:val="00736BED"/>
    <w:rsid w:val="007372CC"/>
    <w:rsid w:val="007414FE"/>
    <w:rsid w:val="007424E1"/>
    <w:rsid w:val="00742C1F"/>
    <w:rsid w:val="007433DA"/>
    <w:rsid w:val="00744FE1"/>
    <w:rsid w:val="00746634"/>
    <w:rsid w:val="00752FA4"/>
    <w:rsid w:val="00755271"/>
    <w:rsid w:val="007650F7"/>
    <w:rsid w:val="007652DB"/>
    <w:rsid w:val="0077268A"/>
    <w:rsid w:val="007777EA"/>
    <w:rsid w:val="007805D2"/>
    <w:rsid w:val="007857D1"/>
    <w:rsid w:val="00787D9A"/>
    <w:rsid w:val="00793043"/>
    <w:rsid w:val="00793F5E"/>
    <w:rsid w:val="0079408E"/>
    <w:rsid w:val="00795EE5"/>
    <w:rsid w:val="00796FA3"/>
    <w:rsid w:val="00797F67"/>
    <w:rsid w:val="007A0057"/>
    <w:rsid w:val="007A045C"/>
    <w:rsid w:val="007A280E"/>
    <w:rsid w:val="007A69FB"/>
    <w:rsid w:val="007B2BAE"/>
    <w:rsid w:val="007B4802"/>
    <w:rsid w:val="007B5A00"/>
    <w:rsid w:val="007B627E"/>
    <w:rsid w:val="007B62BA"/>
    <w:rsid w:val="007B6770"/>
    <w:rsid w:val="007B6B9A"/>
    <w:rsid w:val="007B7E0A"/>
    <w:rsid w:val="007C2DDF"/>
    <w:rsid w:val="007C776A"/>
    <w:rsid w:val="007D5CD7"/>
    <w:rsid w:val="007E1186"/>
    <w:rsid w:val="007E2EFD"/>
    <w:rsid w:val="007E2F83"/>
    <w:rsid w:val="007F0031"/>
    <w:rsid w:val="007F48B1"/>
    <w:rsid w:val="00802CDC"/>
    <w:rsid w:val="0080489D"/>
    <w:rsid w:val="00812965"/>
    <w:rsid w:val="00814304"/>
    <w:rsid w:val="00815E28"/>
    <w:rsid w:val="00816F1A"/>
    <w:rsid w:val="00817AB1"/>
    <w:rsid w:val="00821D6B"/>
    <w:rsid w:val="00822127"/>
    <w:rsid w:val="00822624"/>
    <w:rsid w:val="00822690"/>
    <w:rsid w:val="008238D0"/>
    <w:rsid w:val="00824A15"/>
    <w:rsid w:val="00824A83"/>
    <w:rsid w:val="00831617"/>
    <w:rsid w:val="00831B5A"/>
    <w:rsid w:val="0083305B"/>
    <w:rsid w:val="008357A8"/>
    <w:rsid w:val="0084313F"/>
    <w:rsid w:val="008433F6"/>
    <w:rsid w:val="00843995"/>
    <w:rsid w:val="00844831"/>
    <w:rsid w:val="0084531A"/>
    <w:rsid w:val="00860505"/>
    <w:rsid w:val="008622FE"/>
    <w:rsid w:val="00862E9F"/>
    <w:rsid w:val="00863965"/>
    <w:rsid w:val="0086618F"/>
    <w:rsid w:val="00871137"/>
    <w:rsid w:val="00871637"/>
    <w:rsid w:val="00883B97"/>
    <w:rsid w:val="008903D9"/>
    <w:rsid w:val="008914A6"/>
    <w:rsid w:val="008920F7"/>
    <w:rsid w:val="008946C0"/>
    <w:rsid w:val="00897E34"/>
    <w:rsid w:val="008B2B42"/>
    <w:rsid w:val="008B2DB0"/>
    <w:rsid w:val="008B3BB0"/>
    <w:rsid w:val="008B4ED5"/>
    <w:rsid w:val="008B59E8"/>
    <w:rsid w:val="008B6343"/>
    <w:rsid w:val="008C6161"/>
    <w:rsid w:val="008D02E0"/>
    <w:rsid w:val="008D4171"/>
    <w:rsid w:val="008D4F14"/>
    <w:rsid w:val="008D7594"/>
    <w:rsid w:val="008E0680"/>
    <w:rsid w:val="008E0FC2"/>
    <w:rsid w:val="008E1EF0"/>
    <w:rsid w:val="008E7C9D"/>
    <w:rsid w:val="008F18BA"/>
    <w:rsid w:val="008F362B"/>
    <w:rsid w:val="008F3BE5"/>
    <w:rsid w:val="008F48D3"/>
    <w:rsid w:val="00903108"/>
    <w:rsid w:val="0090652A"/>
    <w:rsid w:val="009137BC"/>
    <w:rsid w:val="009151BB"/>
    <w:rsid w:val="009226EE"/>
    <w:rsid w:val="009231F0"/>
    <w:rsid w:val="00925348"/>
    <w:rsid w:val="00925F21"/>
    <w:rsid w:val="00927E79"/>
    <w:rsid w:val="00933907"/>
    <w:rsid w:val="009351F1"/>
    <w:rsid w:val="00940267"/>
    <w:rsid w:val="0094234E"/>
    <w:rsid w:val="0094783E"/>
    <w:rsid w:val="00951134"/>
    <w:rsid w:val="00952346"/>
    <w:rsid w:val="0095295E"/>
    <w:rsid w:val="00952BA4"/>
    <w:rsid w:val="00955CCA"/>
    <w:rsid w:val="00966A4A"/>
    <w:rsid w:val="00972249"/>
    <w:rsid w:val="00973345"/>
    <w:rsid w:val="009735A0"/>
    <w:rsid w:val="00974AAA"/>
    <w:rsid w:val="00974AFF"/>
    <w:rsid w:val="00974F93"/>
    <w:rsid w:val="009757FC"/>
    <w:rsid w:val="00977111"/>
    <w:rsid w:val="00980BA1"/>
    <w:rsid w:val="00981908"/>
    <w:rsid w:val="00982841"/>
    <w:rsid w:val="0098536B"/>
    <w:rsid w:val="009858A4"/>
    <w:rsid w:val="00986ED1"/>
    <w:rsid w:val="00990703"/>
    <w:rsid w:val="00990CBD"/>
    <w:rsid w:val="009938F1"/>
    <w:rsid w:val="00993DC0"/>
    <w:rsid w:val="009A189D"/>
    <w:rsid w:val="009A2BDC"/>
    <w:rsid w:val="009A6AC2"/>
    <w:rsid w:val="009A6AE9"/>
    <w:rsid w:val="009A7C60"/>
    <w:rsid w:val="009B56F1"/>
    <w:rsid w:val="009B66D3"/>
    <w:rsid w:val="009C1BA3"/>
    <w:rsid w:val="009C305B"/>
    <w:rsid w:val="009C4E45"/>
    <w:rsid w:val="009D2A9A"/>
    <w:rsid w:val="009D3FCE"/>
    <w:rsid w:val="009D55FF"/>
    <w:rsid w:val="009E3AB2"/>
    <w:rsid w:val="009E4501"/>
    <w:rsid w:val="009F31FB"/>
    <w:rsid w:val="009F5812"/>
    <w:rsid w:val="00A01B0A"/>
    <w:rsid w:val="00A024E7"/>
    <w:rsid w:val="00A03CC0"/>
    <w:rsid w:val="00A040DB"/>
    <w:rsid w:val="00A14C1D"/>
    <w:rsid w:val="00A159C8"/>
    <w:rsid w:val="00A15AEC"/>
    <w:rsid w:val="00A15EF9"/>
    <w:rsid w:val="00A2012A"/>
    <w:rsid w:val="00A25222"/>
    <w:rsid w:val="00A33B52"/>
    <w:rsid w:val="00A3498F"/>
    <w:rsid w:val="00A3742C"/>
    <w:rsid w:val="00A4439E"/>
    <w:rsid w:val="00A45D54"/>
    <w:rsid w:val="00A50DF7"/>
    <w:rsid w:val="00A52A01"/>
    <w:rsid w:val="00A5744F"/>
    <w:rsid w:val="00A602A6"/>
    <w:rsid w:val="00A6641D"/>
    <w:rsid w:val="00A67939"/>
    <w:rsid w:val="00A75FF7"/>
    <w:rsid w:val="00A77AAC"/>
    <w:rsid w:val="00A846F5"/>
    <w:rsid w:val="00A91C8F"/>
    <w:rsid w:val="00A9525A"/>
    <w:rsid w:val="00AA3128"/>
    <w:rsid w:val="00AA6F69"/>
    <w:rsid w:val="00AB2E28"/>
    <w:rsid w:val="00AB2F18"/>
    <w:rsid w:val="00AB66C9"/>
    <w:rsid w:val="00AC4CE6"/>
    <w:rsid w:val="00AC5627"/>
    <w:rsid w:val="00AC598A"/>
    <w:rsid w:val="00AD0ED3"/>
    <w:rsid w:val="00AD2465"/>
    <w:rsid w:val="00AD652A"/>
    <w:rsid w:val="00AD679D"/>
    <w:rsid w:val="00AE0B50"/>
    <w:rsid w:val="00AE1BB5"/>
    <w:rsid w:val="00AE39D1"/>
    <w:rsid w:val="00AE6C08"/>
    <w:rsid w:val="00AF10B1"/>
    <w:rsid w:val="00AF1735"/>
    <w:rsid w:val="00AF3FAC"/>
    <w:rsid w:val="00AF7342"/>
    <w:rsid w:val="00B01131"/>
    <w:rsid w:val="00B05293"/>
    <w:rsid w:val="00B11207"/>
    <w:rsid w:val="00B151D0"/>
    <w:rsid w:val="00B2228E"/>
    <w:rsid w:val="00B226AE"/>
    <w:rsid w:val="00B228BB"/>
    <w:rsid w:val="00B23067"/>
    <w:rsid w:val="00B25FC4"/>
    <w:rsid w:val="00B27245"/>
    <w:rsid w:val="00B315EA"/>
    <w:rsid w:val="00B32178"/>
    <w:rsid w:val="00B33519"/>
    <w:rsid w:val="00B37EAC"/>
    <w:rsid w:val="00B479FC"/>
    <w:rsid w:val="00B50A1E"/>
    <w:rsid w:val="00B55CB6"/>
    <w:rsid w:val="00B64DB1"/>
    <w:rsid w:val="00B6590B"/>
    <w:rsid w:val="00B673BA"/>
    <w:rsid w:val="00B75CD2"/>
    <w:rsid w:val="00B81B5E"/>
    <w:rsid w:val="00B86CF6"/>
    <w:rsid w:val="00B90C28"/>
    <w:rsid w:val="00B92010"/>
    <w:rsid w:val="00B920F6"/>
    <w:rsid w:val="00B92B29"/>
    <w:rsid w:val="00B97421"/>
    <w:rsid w:val="00BA0666"/>
    <w:rsid w:val="00BA493C"/>
    <w:rsid w:val="00BB4AF3"/>
    <w:rsid w:val="00BC5526"/>
    <w:rsid w:val="00BC56C8"/>
    <w:rsid w:val="00BD38D3"/>
    <w:rsid w:val="00BE1383"/>
    <w:rsid w:val="00BE1FEC"/>
    <w:rsid w:val="00BE58FA"/>
    <w:rsid w:val="00BF1297"/>
    <w:rsid w:val="00BF151D"/>
    <w:rsid w:val="00BF31CD"/>
    <w:rsid w:val="00BF37D9"/>
    <w:rsid w:val="00BF3BA1"/>
    <w:rsid w:val="00BF5049"/>
    <w:rsid w:val="00BF5305"/>
    <w:rsid w:val="00BF6C15"/>
    <w:rsid w:val="00C00412"/>
    <w:rsid w:val="00C01A33"/>
    <w:rsid w:val="00C0317E"/>
    <w:rsid w:val="00C0326C"/>
    <w:rsid w:val="00C070E2"/>
    <w:rsid w:val="00C13F0C"/>
    <w:rsid w:val="00C149F6"/>
    <w:rsid w:val="00C166C4"/>
    <w:rsid w:val="00C172E9"/>
    <w:rsid w:val="00C21EB6"/>
    <w:rsid w:val="00C2308E"/>
    <w:rsid w:val="00C244B5"/>
    <w:rsid w:val="00C25375"/>
    <w:rsid w:val="00C31134"/>
    <w:rsid w:val="00C31407"/>
    <w:rsid w:val="00C33321"/>
    <w:rsid w:val="00C34093"/>
    <w:rsid w:val="00C3422D"/>
    <w:rsid w:val="00C35266"/>
    <w:rsid w:val="00C40CFC"/>
    <w:rsid w:val="00C43110"/>
    <w:rsid w:val="00C4330C"/>
    <w:rsid w:val="00C433F0"/>
    <w:rsid w:val="00C4552B"/>
    <w:rsid w:val="00C46FED"/>
    <w:rsid w:val="00C475F9"/>
    <w:rsid w:val="00C50E78"/>
    <w:rsid w:val="00C52C52"/>
    <w:rsid w:val="00C530CB"/>
    <w:rsid w:val="00C6169A"/>
    <w:rsid w:val="00C65DB3"/>
    <w:rsid w:val="00C66E13"/>
    <w:rsid w:val="00C72133"/>
    <w:rsid w:val="00C74BDD"/>
    <w:rsid w:val="00C7606E"/>
    <w:rsid w:val="00C7623F"/>
    <w:rsid w:val="00C82321"/>
    <w:rsid w:val="00C82AA6"/>
    <w:rsid w:val="00C901BD"/>
    <w:rsid w:val="00C967EB"/>
    <w:rsid w:val="00CA721C"/>
    <w:rsid w:val="00CB091E"/>
    <w:rsid w:val="00CB0E00"/>
    <w:rsid w:val="00CB18B4"/>
    <w:rsid w:val="00CB473C"/>
    <w:rsid w:val="00CB7352"/>
    <w:rsid w:val="00CB7585"/>
    <w:rsid w:val="00CC13A4"/>
    <w:rsid w:val="00CC31B3"/>
    <w:rsid w:val="00CC70A8"/>
    <w:rsid w:val="00CC73B1"/>
    <w:rsid w:val="00CD416C"/>
    <w:rsid w:val="00CD4F49"/>
    <w:rsid w:val="00CD634C"/>
    <w:rsid w:val="00CD7173"/>
    <w:rsid w:val="00CE019E"/>
    <w:rsid w:val="00CE0242"/>
    <w:rsid w:val="00CE21FF"/>
    <w:rsid w:val="00CE2AF0"/>
    <w:rsid w:val="00CE2D39"/>
    <w:rsid w:val="00CE40FA"/>
    <w:rsid w:val="00CE443E"/>
    <w:rsid w:val="00CE4B80"/>
    <w:rsid w:val="00CE6E5D"/>
    <w:rsid w:val="00CE7D8D"/>
    <w:rsid w:val="00CF090F"/>
    <w:rsid w:val="00CF5B85"/>
    <w:rsid w:val="00CF64C8"/>
    <w:rsid w:val="00CF75D0"/>
    <w:rsid w:val="00D007A2"/>
    <w:rsid w:val="00D00B35"/>
    <w:rsid w:val="00D00F73"/>
    <w:rsid w:val="00D03AB3"/>
    <w:rsid w:val="00D04CB1"/>
    <w:rsid w:val="00D069BC"/>
    <w:rsid w:val="00D1117E"/>
    <w:rsid w:val="00D1561A"/>
    <w:rsid w:val="00D17AA5"/>
    <w:rsid w:val="00D26DA2"/>
    <w:rsid w:val="00D313BB"/>
    <w:rsid w:val="00D35101"/>
    <w:rsid w:val="00D37BB5"/>
    <w:rsid w:val="00D460ED"/>
    <w:rsid w:val="00D4667F"/>
    <w:rsid w:val="00D53736"/>
    <w:rsid w:val="00D55711"/>
    <w:rsid w:val="00D57E46"/>
    <w:rsid w:val="00D60FA9"/>
    <w:rsid w:val="00D6273E"/>
    <w:rsid w:val="00D63963"/>
    <w:rsid w:val="00D65145"/>
    <w:rsid w:val="00D658A8"/>
    <w:rsid w:val="00D66288"/>
    <w:rsid w:val="00D72FE4"/>
    <w:rsid w:val="00D7332C"/>
    <w:rsid w:val="00D7386F"/>
    <w:rsid w:val="00D74CF4"/>
    <w:rsid w:val="00D754FB"/>
    <w:rsid w:val="00D84B3D"/>
    <w:rsid w:val="00D90FD6"/>
    <w:rsid w:val="00D9314A"/>
    <w:rsid w:val="00D967CF"/>
    <w:rsid w:val="00DB12A8"/>
    <w:rsid w:val="00DB43E0"/>
    <w:rsid w:val="00DB5AB2"/>
    <w:rsid w:val="00DC38AD"/>
    <w:rsid w:val="00DC38C7"/>
    <w:rsid w:val="00DC5840"/>
    <w:rsid w:val="00DC7C3D"/>
    <w:rsid w:val="00DD637A"/>
    <w:rsid w:val="00DD6BE9"/>
    <w:rsid w:val="00DE25D6"/>
    <w:rsid w:val="00DE47F6"/>
    <w:rsid w:val="00DF63CF"/>
    <w:rsid w:val="00E01A7E"/>
    <w:rsid w:val="00E07B47"/>
    <w:rsid w:val="00E116F1"/>
    <w:rsid w:val="00E1341A"/>
    <w:rsid w:val="00E160DB"/>
    <w:rsid w:val="00E27095"/>
    <w:rsid w:val="00E325C0"/>
    <w:rsid w:val="00E33DC5"/>
    <w:rsid w:val="00E35675"/>
    <w:rsid w:val="00E35D38"/>
    <w:rsid w:val="00E41DE1"/>
    <w:rsid w:val="00E46717"/>
    <w:rsid w:val="00E53E75"/>
    <w:rsid w:val="00E66869"/>
    <w:rsid w:val="00E70883"/>
    <w:rsid w:val="00E71CE9"/>
    <w:rsid w:val="00E71DE9"/>
    <w:rsid w:val="00E72220"/>
    <w:rsid w:val="00E7490C"/>
    <w:rsid w:val="00E754E6"/>
    <w:rsid w:val="00E77BF4"/>
    <w:rsid w:val="00E80997"/>
    <w:rsid w:val="00E816D5"/>
    <w:rsid w:val="00E83303"/>
    <w:rsid w:val="00E83A6C"/>
    <w:rsid w:val="00E847B1"/>
    <w:rsid w:val="00E84820"/>
    <w:rsid w:val="00E87322"/>
    <w:rsid w:val="00E91B9D"/>
    <w:rsid w:val="00E93751"/>
    <w:rsid w:val="00E974EE"/>
    <w:rsid w:val="00E977FD"/>
    <w:rsid w:val="00E97A12"/>
    <w:rsid w:val="00EA147C"/>
    <w:rsid w:val="00EA1B72"/>
    <w:rsid w:val="00EA35EE"/>
    <w:rsid w:val="00EA591D"/>
    <w:rsid w:val="00EA6743"/>
    <w:rsid w:val="00EA6D62"/>
    <w:rsid w:val="00EB19DA"/>
    <w:rsid w:val="00EB7298"/>
    <w:rsid w:val="00EB7299"/>
    <w:rsid w:val="00EC04C9"/>
    <w:rsid w:val="00EC0E2F"/>
    <w:rsid w:val="00EC2AB7"/>
    <w:rsid w:val="00EC341C"/>
    <w:rsid w:val="00ED507F"/>
    <w:rsid w:val="00ED5175"/>
    <w:rsid w:val="00EF0FDE"/>
    <w:rsid w:val="00EF1701"/>
    <w:rsid w:val="00EF7477"/>
    <w:rsid w:val="00F006ED"/>
    <w:rsid w:val="00F02F38"/>
    <w:rsid w:val="00F065BE"/>
    <w:rsid w:val="00F0714B"/>
    <w:rsid w:val="00F102F9"/>
    <w:rsid w:val="00F1218F"/>
    <w:rsid w:val="00F2308E"/>
    <w:rsid w:val="00F25353"/>
    <w:rsid w:val="00F335DC"/>
    <w:rsid w:val="00F33648"/>
    <w:rsid w:val="00F3398E"/>
    <w:rsid w:val="00F349E8"/>
    <w:rsid w:val="00F360CA"/>
    <w:rsid w:val="00F37E33"/>
    <w:rsid w:val="00F42EF1"/>
    <w:rsid w:val="00F43415"/>
    <w:rsid w:val="00F43427"/>
    <w:rsid w:val="00F44190"/>
    <w:rsid w:val="00F50FCB"/>
    <w:rsid w:val="00F51BCE"/>
    <w:rsid w:val="00F540C1"/>
    <w:rsid w:val="00F5649F"/>
    <w:rsid w:val="00F56D34"/>
    <w:rsid w:val="00F67F77"/>
    <w:rsid w:val="00F7420C"/>
    <w:rsid w:val="00F75E07"/>
    <w:rsid w:val="00F76ECE"/>
    <w:rsid w:val="00F816A1"/>
    <w:rsid w:val="00F831C9"/>
    <w:rsid w:val="00F84B67"/>
    <w:rsid w:val="00F86CCB"/>
    <w:rsid w:val="00F93C08"/>
    <w:rsid w:val="00FA0E64"/>
    <w:rsid w:val="00FA13A5"/>
    <w:rsid w:val="00FA60D8"/>
    <w:rsid w:val="00FA77EC"/>
    <w:rsid w:val="00FB23F1"/>
    <w:rsid w:val="00FB4842"/>
    <w:rsid w:val="00FB4DE5"/>
    <w:rsid w:val="00FB6DBD"/>
    <w:rsid w:val="00FC32B7"/>
    <w:rsid w:val="00FC6823"/>
    <w:rsid w:val="00FC7776"/>
    <w:rsid w:val="00FD10EC"/>
    <w:rsid w:val="00FD17A7"/>
    <w:rsid w:val="00FD3528"/>
    <w:rsid w:val="00FD36F5"/>
    <w:rsid w:val="00FD4418"/>
    <w:rsid w:val="00FE0D04"/>
    <w:rsid w:val="00FE1705"/>
    <w:rsid w:val="00FE395A"/>
    <w:rsid w:val="00FE5767"/>
    <w:rsid w:val="00FE6D97"/>
    <w:rsid w:val="00FE7923"/>
    <w:rsid w:val="00FF4A24"/>
    <w:rsid w:val="00FF4C4A"/>
    <w:rsid w:val="00FF5185"/>
    <w:rsid w:val="00FF54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1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2D"/>
    <w:pPr>
      <w:ind w:left="720"/>
      <w:contextualSpacing/>
    </w:pPr>
  </w:style>
  <w:style w:type="paragraph" w:styleId="FootnoteText">
    <w:name w:val="footnote text"/>
    <w:basedOn w:val="Normal"/>
    <w:link w:val="FootnoteTextChar"/>
    <w:uiPriority w:val="99"/>
    <w:unhideWhenUsed/>
    <w:rsid w:val="003C465E"/>
    <w:pPr>
      <w:spacing w:after="0"/>
    </w:pPr>
  </w:style>
  <w:style w:type="character" w:customStyle="1" w:styleId="FootnoteTextChar">
    <w:name w:val="Footnote Text Char"/>
    <w:basedOn w:val="DefaultParagraphFont"/>
    <w:link w:val="FootnoteText"/>
    <w:uiPriority w:val="99"/>
    <w:rsid w:val="003C465E"/>
  </w:style>
  <w:style w:type="character" w:styleId="FootnoteReference">
    <w:name w:val="footnote reference"/>
    <w:basedOn w:val="DefaultParagraphFont"/>
    <w:uiPriority w:val="99"/>
    <w:unhideWhenUsed/>
    <w:rsid w:val="003C465E"/>
    <w:rPr>
      <w:vertAlign w:val="superscript"/>
    </w:rPr>
  </w:style>
  <w:style w:type="character" w:styleId="Hyperlink">
    <w:name w:val="Hyperlink"/>
    <w:basedOn w:val="DefaultParagraphFont"/>
    <w:uiPriority w:val="99"/>
    <w:unhideWhenUsed/>
    <w:rsid w:val="00FD44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2D"/>
    <w:pPr>
      <w:ind w:left="720"/>
      <w:contextualSpacing/>
    </w:pPr>
  </w:style>
  <w:style w:type="paragraph" w:styleId="FootnoteText">
    <w:name w:val="footnote text"/>
    <w:basedOn w:val="Normal"/>
    <w:link w:val="FootnoteTextChar"/>
    <w:uiPriority w:val="99"/>
    <w:unhideWhenUsed/>
    <w:rsid w:val="003C465E"/>
    <w:pPr>
      <w:spacing w:after="0"/>
    </w:pPr>
  </w:style>
  <w:style w:type="character" w:customStyle="1" w:styleId="FootnoteTextChar">
    <w:name w:val="Footnote Text Char"/>
    <w:basedOn w:val="DefaultParagraphFont"/>
    <w:link w:val="FootnoteText"/>
    <w:uiPriority w:val="99"/>
    <w:rsid w:val="003C465E"/>
  </w:style>
  <w:style w:type="character" w:styleId="FootnoteReference">
    <w:name w:val="footnote reference"/>
    <w:basedOn w:val="DefaultParagraphFont"/>
    <w:uiPriority w:val="99"/>
    <w:unhideWhenUsed/>
    <w:rsid w:val="003C465E"/>
    <w:rPr>
      <w:vertAlign w:val="superscript"/>
    </w:rPr>
  </w:style>
  <w:style w:type="character" w:styleId="Hyperlink">
    <w:name w:val="Hyperlink"/>
    <w:basedOn w:val="DefaultParagraphFont"/>
    <w:uiPriority w:val="99"/>
    <w:unhideWhenUsed/>
    <w:rsid w:val="00FD4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cty.org/x/cases/kunarac/acjug/en/kun-aj020612e.pdf" TargetMode="External"/><Relationship Id="rId13" Type="http://schemas.openxmlformats.org/officeDocument/2006/relationships/hyperlink" Target="https://www.judiciary.gov.uk/wp-content/uploads/JCO/Documents/Judgments/l-hvn-thn-t-v-r-judgment.pdf" TargetMode="External"/><Relationship Id="rId3" Type="http://schemas.openxmlformats.org/officeDocument/2006/relationships/hyperlink" Target="http://hudoc.echr.coe.int/fre" TargetMode="External"/><Relationship Id="rId7" Type="http://schemas.openxmlformats.org/officeDocument/2006/relationships/hyperlink" Target="http://www.icty.org/x/cases/kunarac/tjug/en/kun-tj010222e.pdf" TargetMode="External"/><Relationship Id="rId12" Type="http://schemas.openxmlformats.org/officeDocument/2006/relationships/hyperlink" Target="https://www.supremecourt.uk/cases/docs/uksc-2012-0188-judgment.pdf" TargetMode="External"/><Relationship Id="rId2" Type="http://schemas.openxmlformats.org/officeDocument/2006/relationships/hyperlink" Target="http://ec.europa.eu/anti-trafficking/sites/antitrafficking/files/siliadin_v_france_en_4.pdf" TargetMode="External"/><Relationship Id="rId1" Type="http://schemas.openxmlformats.org/officeDocument/2006/relationships/hyperlink" Target="http://www.ilo.org/public/english/standards/relm/ilc/ilc96/pdf/rep-iii-1b.pdf" TargetMode="External"/><Relationship Id="rId6" Type="http://schemas.openxmlformats.org/officeDocument/2006/relationships/hyperlink" Target="http://www.corteidh.or.cr/docs/casos/articulos/seriec_318_esp.pdf" TargetMode="External"/><Relationship Id="rId11" Type="http://schemas.openxmlformats.org/officeDocument/2006/relationships/hyperlink" Target="http://www.bailii.org/cgi-bin/format.cgi?doc=/ew/cases/EWHC/QB/2016/1376.html&amp;query=(galdikas" TargetMode="External"/><Relationship Id="rId5" Type="http://schemas.openxmlformats.org/officeDocument/2006/relationships/hyperlink" Target="http://hudoc.echr.coe.int/fre" TargetMode="External"/><Relationship Id="rId10" Type="http://schemas.openxmlformats.org/officeDocument/2006/relationships/hyperlink" Target="https://indiankanoon.org/doc/595099/" TargetMode="External"/><Relationship Id="rId4" Type="http://schemas.openxmlformats.org/officeDocument/2006/relationships/hyperlink" Target="http://hudoc.echr.coe.int/eng" TargetMode="External"/><Relationship Id="rId9" Type="http://schemas.openxmlformats.org/officeDocument/2006/relationships/hyperlink" Target="http://www.austlii.edu.au/cgi-bin/sinodisp/au/cases/cth/HCA/2008/39.html?query=title(t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09AD5-6BD2-4626-8093-F22A39C8A0FF}">
  <ds:schemaRefs>
    <ds:schemaRef ds:uri="http://schemas.openxmlformats.org/officeDocument/2006/bibliography"/>
  </ds:schemaRefs>
</ds:datastoreItem>
</file>

<file path=customXml/itemProps2.xml><?xml version="1.0" encoding="utf-8"?>
<ds:datastoreItem xmlns:ds="http://schemas.openxmlformats.org/officeDocument/2006/customXml" ds:itemID="{2DCB5A46-482C-4749-AE10-039759EB7EB3}"/>
</file>

<file path=customXml/itemProps3.xml><?xml version="1.0" encoding="utf-8"?>
<ds:datastoreItem xmlns:ds="http://schemas.openxmlformats.org/officeDocument/2006/customXml" ds:itemID="{E42DD086-0507-4D8D-AC77-18069EE6C18C}"/>
</file>

<file path=customXml/itemProps4.xml><?xml version="1.0" encoding="utf-8"?>
<ds:datastoreItem xmlns:ds="http://schemas.openxmlformats.org/officeDocument/2006/customXml" ds:itemID="{CD3FF747-A126-47ED-9C2D-7F3EDB0A28E7}"/>
</file>

<file path=docProps/app.xml><?xml version="1.0" encoding="utf-8"?>
<Properties xmlns="http://schemas.openxmlformats.org/officeDocument/2006/extended-properties" xmlns:vt="http://schemas.openxmlformats.org/officeDocument/2006/docPropsVTypes">
  <Template>Normal.dotm</Template>
  <TotalTime>0</TotalTime>
  <Pages>13</Pages>
  <Words>5843</Words>
  <Characters>33309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the Report of the Special Rapporteur on contemporary forms of slavery, including its causes and consequences</dc:title>
  <dc:creator>Laura Ramirez</dc:creator>
  <cp:lastModifiedBy>Eleanor Robb</cp:lastModifiedBy>
  <cp:revision>2</cp:revision>
  <dcterms:created xsi:type="dcterms:W3CDTF">2017-09-12T08:57:00Z</dcterms:created>
  <dcterms:modified xsi:type="dcterms:W3CDTF">2017-09-12T08:57:00Z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