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1D4" w:rsidRDefault="004011D4" w:rsidP="004011D4">
      <w:pPr>
        <w:tabs>
          <w:tab w:val="left" w:pos="851"/>
          <w:tab w:val="left" w:pos="1134"/>
        </w:tabs>
        <w:spacing w:before="240" w:line="360" w:lineRule="auto"/>
        <w:ind w:left="851" w:right="619"/>
        <w:jc w:val="both"/>
        <w:rPr>
          <w:rFonts w:ascii="Times New Roman" w:eastAsia="Times New Roman" w:hAnsi="Times New Roman" w:cs="Times New Roman"/>
          <w:lang w:eastAsia="he-IL"/>
        </w:rPr>
      </w:pPr>
      <w:bookmarkStart w:id="0" w:name="_GoBack"/>
      <w:bookmarkEnd w:id="0"/>
      <w:r>
        <w:rPr>
          <w:rFonts w:ascii="Times New Roman" w:eastAsia="Times New Roman" w:hAnsi="Times New Roman" w:cs="Times New Roman"/>
          <w:lang w:eastAsia="he-IL"/>
        </w:rPr>
        <w:t>The</w:t>
      </w:r>
      <w:r w:rsidRPr="00E37970">
        <w:rPr>
          <w:rFonts w:ascii="Times New Roman" w:eastAsia="Times New Roman" w:hAnsi="Times New Roman" w:cs="Times New Roman"/>
          <w:lang w:eastAsia="he-IL"/>
        </w:rPr>
        <w:t xml:space="preserve"> Government of Israel </w:t>
      </w:r>
      <w:r>
        <w:rPr>
          <w:rFonts w:ascii="Times New Roman" w:eastAsia="Times New Roman" w:hAnsi="Times New Roman" w:cs="Times New Roman"/>
          <w:lang w:eastAsia="he-IL"/>
        </w:rPr>
        <w:t>(</w:t>
      </w:r>
      <w:r w:rsidRPr="00E37970">
        <w:rPr>
          <w:rFonts w:ascii="Times New Roman" w:eastAsia="Times New Roman" w:hAnsi="Times New Roman" w:cs="Times New Roman"/>
          <w:lang w:eastAsia="he-IL"/>
        </w:rPr>
        <w:t>GOI</w:t>
      </w:r>
      <w:r>
        <w:rPr>
          <w:rFonts w:ascii="Times New Roman" w:eastAsia="Times New Roman" w:hAnsi="Times New Roman" w:cs="Times New Roman"/>
          <w:lang w:eastAsia="he-IL"/>
        </w:rPr>
        <w:t>)</w:t>
      </w:r>
      <w:r w:rsidRPr="00E37970">
        <w:rPr>
          <w:rFonts w:ascii="Times New Roman" w:eastAsia="Times New Roman" w:hAnsi="Times New Roman" w:cs="Times New Roman"/>
          <w:lang w:eastAsia="he-IL"/>
        </w:rPr>
        <w:t xml:space="preserve"> </w:t>
      </w:r>
      <w:r>
        <w:rPr>
          <w:rFonts w:ascii="Times New Roman" w:eastAsia="Times New Roman" w:hAnsi="Times New Roman" w:cs="Times New Roman"/>
          <w:lang w:eastAsia="he-IL"/>
        </w:rPr>
        <w:t>continued to invests</w:t>
      </w:r>
      <w:r w:rsidRPr="00E37970">
        <w:rPr>
          <w:rFonts w:ascii="Times New Roman" w:eastAsia="Times New Roman" w:hAnsi="Times New Roman" w:cs="Times New Roman"/>
          <w:lang w:eastAsia="he-IL"/>
        </w:rPr>
        <w:t xml:space="preserve"> significant efforts and resources</w:t>
      </w:r>
      <w:r>
        <w:rPr>
          <w:rFonts w:ascii="Times New Roman" w:eastAsia="Times New Roman" w:hAnsi="Times New Roman" w:cs="Times New Roman"/>
          <w:lang w:eastAsia="he-IL"/>
        </w:rPr>
        <w:t xml:space="preserve"> </w:t>
      </w:r>
      <w:r w:rsidRPr="00E37970">
        <w:rPr>
          <w:rFonts w:ascii="Times New Roman" w:eastAsia="Times New Roman" w:hAnsi="Times New Roman" w:cs="Times New Roman"/>
          <w:lang w:eastAsia="he-IL"/>
        </w:rPr>
        <w:t>in the continuing struggle to eliminate trafficking in persons</w:t>
      </w:r>
      <w:r>
        <w:rPr>
          <w:rFonts w:ascii="Times New Roman" w:eastAsia="Times New Roman" w:hAnsi="Times New Roman" w:cs="Times New Roman"/>
          <w:lang w:eastAsia="he-IL"/>
        </w:rPr>
        <w:t xml:space="preserve"> and slavery</w:t>
      </w:r>
      <w:r w:rsidRPr="00E37970">
        <w:rPr>
          <w:rFonts w:ascii="Times New Roman" w:eastAsia="Times New Roman" w:hAnsi="Times New Roman" w:cs="Times New Roman"/>
          <w:lang w:eastAsia="he-IL"/>
        </w:rPr>
        <w:t>, through determined and consistent action</w:t>
      </w:r>
      <w:r>
        <w:rPr>
          <w:rFonts w:ascii="Times New Roman" w:eastAsia="Times New Roman" w:hAnsi="Times New Roman" w:cs="Times New Roman"/>
          <w:lang w:eastAsia="he-IL"/>
        </w:rPr>
        <w:t>; and demonstrated new and important accomplishments this year, in all fields of combatting trafficking – Protection, Prevention and Prosecution.</w:t>
      </w:r>
    </w:p>
    <w:p w:rsidR="004011D4" w:rsidRDefault="004011D4" w:rsidP="004011D4">
      <w:pPr>
        <w:tabs>
          <w:tab w:val="left" w:pos="851"/>
          <w:tab w:val="left" w:pos="1134"/>
        </w:tabs>
        <w:spacing w:before="240" w:line="360" w:lineRule="auto"/>
        <w:ind w:left="851" w:right="619"/>
        <w:jc w:val="both"/>
        <w:rPr>
          <w:rFonts w:ascii="Times New Roman" w:eastAsia="Times New Roman" w:hAnsi="Times New Roman" w:cs="Times New Roman"/>
          <w:lang w:eastAsia="he-IL"/>
        </w:rPr>
      </w:pPr>
      <w:r>
        <w:rPr>
          <w:rFonts w:ascii="Times New Roman" w:eastAsia="Times New Roman" w:hAnsi="Times New Roman" w:cs="Times New Roman"/>
          <w:lang w:eastAsia="he-IL"/>
        </w:rPr>
        <w:t>The</w:t>
      </w:r>
      <w:r w:rsidRPr="0076222B">
        <w:rPr>
          <w:rFonts w:ascii="Times New Roman" w:eastAsia="Times New Roman" w:hAnsi="Times New Roman" w:cs="Times New Roman"/>
          <w:sz w:val="23"/>
          <w:szCs w:val="23"/>
          <w:lang w:eastAsia="he-IL"/>
        </w:rPr>
        <w:t xml:space="preserve"> National Anti-Trafficking Unit </w:t>
      </w:r>
      <w:r>
        <w:rPr>
          <w:rFonts w:ascii="Times New Roman" w:eastAsia="Times New Roman" w:hAnsi="Times New Roman" w:cs="Times New Roman"/>
          <w:lang w:eastAsia="he-IL"/>
        </w:rPr>
        <w:t>(N</w:t>
      </w:r>
      <w:r w:rsidRPr="00E37970">
        <w:rPr>
          <w:rFonts w:ascii="Times New Roman" w:eastAsia="Times New Roman" w:hAnsi="Times New Roman" w:cs="Times New Roman"/>
          <w:lang w:eastAsia="he-IL"/>
        </w:rPr>
        <w:t>ATU</w:t>
      </w:r>
      <w:r>
        <w:rPr>
          <w:rFonts w:ascii="Times New Roman" w:eastAsia="Times New Roman" w:hAnsi="Times New Roman" w:cs="Times New Roman"/>
          <w:lang w:eastAsia="he-IL"/>
        </w:rPr>
        <w:t xml:space="preserve">) continued to lead the relevant government authorities in working </w:t>
      </w:r>
      <w:r w:rsidRPr="00E37970">
        <w:rPr>
          <w:rFonts w:ascii="Times New Roman" w:eastAsia="Times New Roman" w:hAnsi="Times New Roman" w:cs="Times New Roman"/>
          <w:lang w:eastAsia="he-IL"/>
        </w:rPr>
        <w:t>together with the active civil society in the field and the international agencies</w:t>
      </w:r>
      <w:r>
        <w:rPr>
          <w:rFonts w:ascii="Times New Roman" w:eastAsia="Times New Roman" w:hAnsi="Times New Roman" w:cs="Times New Roman"/>
          <w:lang w:eastAsia="he-IL"/>
        </w:rPr>
        <w:t>, to improve coordination and active screening for identification of victims; develop relevant responses to the new patterns emerging; and to increase enforcement efforts, leading to an increase in investigations and prosecution, both in scale and in scope, as well as identification of victims, especially in the labor field – where five (5) new male victims were recognized in 2018 alone.</w:t>
      </w:r>
    </w:p>
    <w:p w:rsidR="004011D4" w:rsidRDefault="004011D4" w:rsidP="004011D4">
      <w:pPr>
        <w:tabs>
          <w:tab w:val="left" w:pos="851"/>
          <w:tab w:val="left" w:pos="1134"/>
        </w:tabs>
        <w:spacing w:before="240" w:line="360" w:lineRule="auto"/>
        <w:ind w:left="851" w:right="619"/>
        <w:jc w:val="both"/>
        <w:rPr>
          <w:rFonts w:ascii="Times New Roman" w:eastAsia="Times New Roman" w:hAnsi="Times New Roman" w:cs="Times New Roman"/>
          <w:lang w:eastAsia="he-IL"/>
        </w:rPr>
      </w:pPr>
      <w:r>
        <w:rPr>
          <w:rFonts w:ascii="Times New Roman" w:eastAsia="Times New Roman" w:hAnsi="Times New Roman" w:cs="Times New Roman"/>
          <w:lang w:eastAsia="he-IL"/>
        </w:rPr>
        <w:t>GOI continued to provide broad protection and aid measures to the victims of trafficking, in a variety of services including state-funded shelters, and psychosocial therapy, full access to free medical treatment (including psychiatric care), access to employment and appropriate working visas; and state funded Legal Aid. The GOI also made significant progress in the field of prevention this year, upon the completion of a new bilateral agreement with the Philippines for the safe recruitment and protection of workers in the field of domestic caregiving. Negotiations for further agreements with other countries, in this field, are already in process, with the aim of preventing private recruitment for the domestic caregiving field.</w:t>
      </w:r>
    </w:p>
    <w:p w:rsidR="004011D4" w:rsidRDefault="004011D4" w:rsidP="00246175">
      <w:pPr>
        <w:tabs>
          <w:tab w:val="left" w:pos="851"/>
          <w:tab w:val="left" w:pos="1134"/>
        </w:tabs>
        <w:spacing w:line="360" w:lineRule="auto"/>
        <w:ind w:left="851" w:right="619"/>
        <w:jc w:val="both"/>
        <w:rPr>
          <w:rFonts w:ascii="Times New Roman" w:eastAsia="Times New Roman" w:hAnsi="Times New Roman" w:cs="Times New Roman"/>
          <w:b/>
          <w:bCs/>
          <w:u w:val="single"/>
          <w:lang w:eastAsia="he-IL"/>
        </w:rPr>
      </w:pPr>
      <w:r>
        <w:rPr>
          <w:rFonts w:ascii="Times New Roman" w:eastAsia="Times New Roman" w:hAnsi="Times New Roman" w:cs="Times New Roman"/>
          <w:lang w:eastAsia="he-IL"/>
        </w:rPr>
        <w:t xml:space="preserve">Furthermore, the new five year National Plan that was confirmed by the </w:t>
      </w:r>
      <w:r>
        <w:rPr>
          <w:rFonts w:ascii="Times New Roman" w:eastAsia="Times New Roman" w:hAnsi="Times New Roman" w:cs="Times New Roman"/>
          <w:sz w:val="23"/>
          <w:szCs w:val="23"/>
          <w:lang w:eastAsia="he-IL"/>
        </w:rPr>
        <w:t>C</w:t>
      </w:r>
      <w:r w:rsidRPr="0076222B">
        <w:rPr>
          <w:rFonts w:ascii="Times New Roman" w:eastAsia="Times New Roman" w:hAnsi="Times New Roman" w:cs="Times New Roman"/>
          <w:sz w:val="23"/>
          <w:szCs w:val="23"/>
          <w:lang w:eastAsia="he-IL"/>
        </w:rPr>
        <w:t>ommittee of Directors General</w:t>
      </w:r>
      <w:r>
        <w:rPr>
          <w:rFonts w:ascii="Times New Roman" w:eastAsia="Times New Roman" w:hAnsi="Times New Roman" w:cs="Times New Roman"/>
          <w:sz w:val="23"/>
          <w:szCs w:val="23"/>
          <w:lang w:eastAsia="he-IL"/>
        </w:rPr>
        <w:t xml:space="preserve"> (</w:t>
      </w:r>
      <w:r>
        <w:rPr>
          <w:rFonts w:ascii="Times New Roman" w:eastAsia="Times New Roman" w:hAnsi="Times New Roman" w:cs="Times New Roman"/>
          <w:lang w:eastAsia="he-IL"/>
        </w:rPr>
        <w:t>CDG), was submitted to the GOI towards the end of 2018 and officially adopted by the GOI in a Government Resolution on January 13</w:t>
      </w:r>
      <w:r w:rsidRPr="0033128D">
        <w:rPr>
          <w:rFonts w:ascii="Times New Roman" w:eastAsia="Times New Roman" w:hAnsi="Times New Roman" w:cs="Times New Roman"/>
          <w:lang w:eastAsia="he-IL"/>
        </w:rPr>
        <w:t>th</w:t>
      </w:r>
      <w:r>
        <w:rPr>
          <w:rFonts w:ascii="Times New Roman" w:eastAsia="Times New Roman" w:hAnsi="Times New Roman" w:cs="Times New Roman"/>
          <w:lang w:eastAsia="he-IL"/>
        </w:rPr>
        <w:t xml:space="preserve">, 2019, </w:t>
      </w:r>
      <w:r w:rsidRPr="0033128D">
        <w:rPr>
          <w:rFonts w:ascii="Times New Roman" w:eastAsia="Times New Roman" w:hAnsi="Times New Roman" w:cs="Times New Roman"/>
          <w:lang w:eastAsia="he-IL"/>
        </w:rPr>
        <w:t xml:space="preserve">to replace the previous plan from 2007 that had attained its goals. The resolution also directed the CDG to formulate and submit to the GOI's authorization an </w:t>
      </w:r>
      <w:r w:rsidRPr="0033128D">
        <w:rPr>
          <w:rFonts w:ascii="Times New Roman" w:eastAsia="Times New Roman" w:hAnsi="Times New Roman" w:cs="Times New Roman"/>
          <w:lang w:eastAsia="he-IL"/>
        </w:rPr>
        <w:lastRenderedPageBreak/>
        <w:t xml:space="preserve">implementation budgeted plan of those aims within the national plan, that require extra budgeting or resources.  The new plan presents an </w:t>
      </w:r>
      <w:r w:rsidRPr="00E4344B">
        <w:rPr>
          <w:rFonts w:ascii="Times New Roman" w:eastAsia="Times New Roman" w:hAnsi="Times New Roman" w:cs="Times New Roman"/>
          <w:lang w:eastAsia="he-IL"/>
        </w:rPr>
        <w:t>integrated, unified view</w:t>
      </w:r>
      <w:r w:rsidRPr="0033128D">
        <w:rPr>
          <w:rFonts w:ascii="Times New Roman" w:eastAsia="Times New Roman" w:hAnsi="Times New Roman" w:cs="Times New Roman"/>
          <w:lang w:eastAsia="he-IL"/>
        </w:rPr>
        <w:t xml:space="preserve"> on combating trafficking – dealing with all fields of exploitation, but with special emphasis on labor trafficking, slavery and forced labor. The plan emphasizes the use of new and alternative tools alongside criminal enforcement, as well as strengthening enforcement and prosecution in new areas including in the cyber realm, the business sector and in supply chains</w:t>
      </w:r>
      <w:r>
        <w:rPr>
          <w:rFonts w:ascii="Times New Roman" w:eastAsia="Times New Roman" w:hAnsi="Times New Roman" w:cs="Times New Roman"/>
          <w:lang w:eastAsia="he-IL"/>
        </w:rPr>
        <w:t>, tourism</w:t>
      </w:r>
      <w:r w:rsidRPr="0033128D">
        <w:rPr>
          <w:rFonts w:ascii="Times New Roman" w:eastAsia="Times New Roman" w:hAnsi="Times New Roman" w:cs="Times New Roman"/>
          <w:lang w:eastAsia="he-IL"/>
        </w:rPr>
        <w:t xml:space="preserve"> and others, and developing further protection and aid services to the current patterns. The plan </w:t>
      </w:r>
      <w:r>
        <w:rPr>
          <w:rFonts w:ascii="Times New Roman" w:eastAsia="Times New Roman" w:hAnsi="Times New Roman" w:cs="Times New Roman"/>
          <w:lang w:eastAsia="he-IL"/>
        </w:rPr>
        <w:t xml:space="preserve">further </w:t>
      </w:r>
      <w:r w:rsidRPr="0033128D">
        <w:rPr>
          <w:rFonts w:ascii="Times New Roman" w:eastAsia="Times New Roman" w:hAnsi="Times New Roman" w:cs="Times New Roman"/>
          <w:lang w:eastAsia="he-IL"/>
        </w:rPr>
        <w:t xml:space="preserve">emphasizes the importance of international cooperation and expanding partnerships with new actors – while stressing the importance of </w:t>
      </w:r>
      <w:r>
        <w:rPr>
          <w:rFonts w:ascii="Times New Roman" w:eastAsia="Times New Roman" w:hAnsi="Times New Roman" w:cs="Times New Roman"/>
          <w:lang w:eastAsia="he-IL"/>
        </w:rPr>
        <w:t>continuing cooperation with NGOs.</w:t>
      </w:r>
    </w:p>
    <w:p w:rsidR="004011D4" w:rsidRPr="00E37970" w:rsidRDefault="004011D4" w:rsidP="004011D4">
      <w:pPr>
        <w:tabs>
          <w:tab w:val="left" w:pos="851"/>
          <w:tab w:val="left" w:pos="1134"/>
        </w:tabs>
        <w:spacing w:before="240" w:line="360" w:lineRule="auto"/>
        <w:ind w:left="851" w:right="619"/>
        <w:jc w:val="both"/>
        <w:rPr>
          <w:rFonts w:ascii="Times New Roman" w:eastAsia="Times New Roman" w:hAnsi="Times New Roman" w:cs="Times New Roman"/>
          <w:lang w:eastAsia="he-IL"/>
        </w:rPr>
      </w:pPr>
      <w:r w:rsidRPr="00E37970">
        <w:rPr>
          <w:rFonts w:ascii="Times New Roman" w:eastAsia="Times New Roman" w:hAnsi="Times New Roman" w:cs="Times New Roman"/>
          <w:b/>
          <w:bCs/>
          <w:u w:val="single"/>
          <w:lang w:eastAsia="he-IL"/>
        </w:rPr>
        <w:t>In the field of prevention</w:t>
      </w:r>
      <w:r w:rsidRPr="00E37970">
        <w:rPr>
          <w:rFonts w:ascii="Times New Roman" w:eastAsia="Times New Roman" w:hAnsi="Times New Roman" w:cs="Times New Roman"/>
          <w:lang w:eastAsia="he-IL"/>
        </w:rPr>
        <w:t xml:space="preserve">, </w:t>
      </w:r>
      <w:r>
        <w:rPr>
          <w:rFonts w:ascii="Times New Roman" w:eastAsia="Times New Roman" w:hAnsi="Times New Roman" w:cs="Times New Roman"/>
          <w:lang w:eastAsia="he-IL"/>
        </w:rPr>
        <w:t>GOI continued to</w:t>
      </w:r>
      <w:r w:rsidRPr="00E37970">
        <w:rPr>
          <w:rFonts w:ascii="Times New Roman" w:eastAsia="Times New Roman" w:hAnsi="Times New Roman" w:cs="Times New Roman"/>
          <w:lang w:eastAsia="he-IL"/>
        </w:rPr>
        <w:t xml:space="preserve"> conduct</w:t>
      </w:r>
      <w:r>
        <w:rPr>
          <w:rFonts w:ascii="Times New Roman" w:eastAsia="Times New Roman" w:hAnsi="Times New Roman" w:cs="Times New Roman" w:hint="cs"/>
          <w:rtl/>
          <w:lang w:eastAsia="he-IL"/>
        </w:rPr>
        <w:t xml:space="preserve"> </w:t>
      </w:r>
      <w:r>
        <w:rPr>
          <w:rFonts w:ascii="Times New Roman" w:eastAsia="Times New Roman" w:hAnsi="Times New Roman" w:cs="Times New Roman"/>
          <w:lang w:eastAsia="he-IL"/>
        </w:rPr>
        <w:t>tailored training</w:t>
      </w:r>
      <w:r w:rsidRPr="00E37970" w:rsidDel="00961DC7">
        <w:rPr>
          <w:rFonts w:ascii="Times New Roman" w:eastAsia="Times New Roman" w:hAnsi="Times New Roman" w:cs="Times New Roman"/>
          <w:lang w:eastAsia="he-IL"/>
        </w:rPr>
        <w:t xml:space="preserve"> </w:t>
      </w:r>
      <w:r>
        <w:rPr>
          <w:rFonts w:ascii="Times New Roman" w:eastAsia="Times New Roman" w:hAnsi="Times New Roman" w:cs="Times New Roman"/>
          <w:lang w:eastAsia="he-IL"/>
        </w:rPr>
        <w:t>sessions</w:t>
      </w:r>
      <w:r w:rsidRPr="00E37970">
        <w:rPr>
          <w:rFonts w:ascii="Times New Roman" w:eastAsia="Times New Roman" w:hAnsi="Times New Roman" w:cs="Times New Roman"/>
          <w:lang w:eastAsia="he-IL"/>
        </w:rPr>
        <w:t xml:space="preserve"> for different officials who might encounter victims</w:t>
      </w:r>
      <w:r>
        <w:rPr>
          <w:rFonts w:ascii="Times New Roman" w:eastAsia="Times New Roman" w:hAnsi="Times New Roman" w:cs="Times New Roman"/>
          <w:lang w:eastAsia="he-IL"/>
        </w:rPr>
        <w:t>,</w:t>
      </w:r>
      <w:r w:rsidRPr="00E37970">
        <w:rPr>
          <w:rFonts w:ascii="Times New Roman" w:eastAsia="Times New Roman" w:hAnsi="Times New Roman" w:cs="Times New Roman"/>
          <w:lang w:eastAsia="he-IL"/>
        </w:rPr>
        <w:t xml:space="preserve"> and encourage active screening for victims of TIP. </w:t>
      </w:r>
      <w:r>
        <w:rPr>
          <w:rFonts w:ascii="Times New Roman" w:eastAsia="Times New Roman" w:hAnsi="Times New Roman" w:cs="Times New Roman"/>
          <w:lang w:eastAsia="he-IL"/>
        </w:rPr>
        <w:t xml:space="preserve">In 2018, </w:t>
      </w:r>
      <w:r w:rsidRPr="00E37970">
        <w:rPr>
          <w:rFonts w:ascii="Times New Roman" w:eastAsia="Times New Roman" w:hAnsi="Times New Roman" w:cs="Times New Roman"/>
          <w:lang w:eastAsia="he-IL"/>
        </w:rPr>
        <w:t>NATU</w:t>
      </w:r>
      <w:r>
        <w:rPr>
          <w:rFonts w:ascii="Times New Roman" w:eastAsia="Times New Roman" w:hAnsi="Times New Roman" w:cs="Times New Roman"/>
          <w:lang w:eastAsia="he-IL"/>
        </w:rPr>
        <w:t xml:space="preserve"> </w:t>
      </w:r>
      <w:r w:rsidRPr="00E37970">
        <w:rPr>
          <w:rFonts w:ascii="Times New Roman" w:eastAsia="Times New Roman" w:hAnsi="Times New Roman" w:cs="Times New Roman"/>
          <w:lang w:eastAsia="he-IL"/>
        </w:rPr>
        <w:t>and other relevant officials conduct</w:t>
      </w:r>
      <w:r>
        <w:rPr>
          <w:rFonts w:ascii="Times New Roman" w:eastAsia="Times New Roman" w:hAnsi="Times New Roman" w:cs="Times New Roman"/>
          <w:lang w:eastAsia="he-IL"/>
        </w:rPr>
        <w:t>ed</w:t>
      </w:r>
      <w:r w:rsidRPr="00E37970">
        <w:rPr>
          <w:rFonts w:ascii="Times New Roman" w:eastAsia="Times New Roman" w:hAnsi="Times New Roman" w:cs="Times New Roman"/>
          <w:lang w:eastAsia="he-IL"/>
        </w:rPr>
        <w:t xml:space="preserve"> training sessions, for a variety of government officials, including prosecutors, social workers, judges, and many more professionals</w:t>
      </w:r>
      <w:r>
        <w:rPr>
          <w:rFonts w:ascii="Times New Roman" w:eastAsia="Times New Roman" w:hAnsi="Times New Roman" w:cs="Times New Roman"/>
          <w:lang w:eastAsia="he-IL"/>
        </w:rPr>
        <w:t>, keeping awareness levels high, and providing up-to-date information on patterns of trafficking and possible indicators</w:t>
      </w:r>
      <w:r w:rsidRPr="00E37970">
        <w:rPr>
          <w:rFonts w:ascii="Times New Roman" w:eastAsia="Times New Roman" w:hAnsi="Times New Roman" w:cs="Times New Roman"/>
          <w:lang w:eastAsia="he-IL"/>
        </w:rPr>
        <w:t>.</w:t>
      </w:r>
      <w:r>
        <w:rPr>
          <w:rFonts w:ascii="Times New Roman" w:eastAsia="Times New Roman" w:hAnsi="Times New Roman" w:cs="Times New Roman"/>
          <w:lang w:eastAsia="he-IL"/>
        </w:rPr>
        <w:t xml:space="preserve"> In this context, and in accordance with TIP report's 2018 Action Plan, NATU invested thought and research into evaluation of training effectiveness in trainings that took place during 2018.</w:t>
      </w:r>
    </w:p>
    <w:p w:rsidR="004011D4" w:rsidRPr="00306398" w:rsidRDefault="004011D4" w:rsidP="004011D4">
      <w:pPr>
        <w:tabs>
          <w:tab w:val="left" w:pos="851"/>
          <w:tab w:val="left" w:pos="1134"/>
        </w:tabs>
        <w:spacing w:line="360" w:lineRule="auto"/>
        <w:ind w:left="851" w:right="619"/>
        <w:jc w:val="both"/>
        <w:rPr>
          <w:rFonts w:ascii="Times New Roman" w:eastAsia="Times New Roman" w:hAnsi="Times New Roman" w:cs="Times New Roman"/>
          <w:bCs/>
          <w:lang w:eastAsia="he-IL"/>
        </w:rPr>
      </w:pPr>
      <w:r w:rsidRPr="00E37970">
        <w:rPr>
          <w:rFonts w:ascii="Times New Roman" w:eastAsia="Times New Roman" w:hAnsi="Times New Roman" w:cs="Times New Roman"/>
          <w:bCs/>
          <w:lang w:eastAsia="he-IL"/>
        </w:rPr>
        <w:t xml:space="preserve">In this regard, </w:t>
      </w:r>
      <w:r>
        <w:rPr>
          <w:rFonts w:ascii="Times New Roman" w:eastAsia="Times New Roman" w:hAnsi="Times New Roman" w:cs="Times New Roman"/>
          <w:bCs/>
          <w:lang w:eastAsia="he-IL"/>
        </w:rPr>
        <w:t>a special effort was made in 2018 in training and skill building in the Police, with the personnel expansion of the Police Trafficking Coordinator's (PTC) role – with the incoming officers conducting training sessions reaching over 400 police personnel and officers, in various forums and at various levels, covering every district. T</w:t>
      </w:r>
      <w:r w:rsidRPr="00E37970">
        <w:rPr>
          <w:rFonts w:ascii="Times New Roman" w:eastAsia="Times New Roman" w:hAnsi="Times New Roman" w:cs="Times New Roman"/>
          <w:bCs/>
          <w:lang w:eastAsia="he-IL"/>
        </w:rPr>
        <w:t>rainings were</w:t>
      </w:r>
      <w:r>
        <w:rPr>
          <w:rFonts w:ascii="Times New Roman" w:eastAsia="Times New Roman" w:hAnsi="Times New Roman" w:cs="Times New Roman"/>
          <w:bCs/>
          <w:lang w:eastAsia="he-IL"/>
        </w:rPr>
        <w:t xml:space="preserve"> also</w:t>
      </w:r>
      <w:r w:rsidRPr="00E37970">
        <w:rPr>
          <w:rFonts w:ascii="Times New Roman" w:eastAsia="Times New Roman" w:hAnsi="Times New Roman" w:cs="Times New Roman"/>
          <w:bCs/>
          <w:lang w:eastAsia="he-IL"/>
        </w:rPr>
        <w:t xml:space="preserve"> held this year for 320 </w:t>
      </w:r>
      <w:r w:rsidRPr="0076222B">
        <w:rPr>
          <w:rFonts w:ascii="Times New Roman" w:eastAsia="Times New Roman" w:hAnsi="Times New Roman" w:cs="Times New Roman"/>
          <w:sz w:val="23"/>
          <w:szCs w:val="23"/>
          <w:lang w:eastAsia="he-IL"/>
        </w:rPr>
        <w:t>the Population and Immigration Authority</w:t>
      </w:r>
      <w:r w:rsidRPr="0076222B">
        <w:rPr>
          <w:rFonts w:ascii="Times New Roman" w:eastAsia="Times New Roman" w:hAnsi="Times New Roman" w:cs="Times New Roman"/>
          <w:b/>
          <w:bCs/>
          <w:i/>
          <w:iCs/>
          <w:sz w:val="23"/>
          <w:szCs w:val="23"/>
          <w:lang w:eastAsia="he-IL"/>
        </w:rPr>
        <w:t xml:space="preserve"> </w:t>
      </w:r>
      <w:r w:rsidRPr="0076222B">
        <w:rPr>
          <w:rFonts w:ascii="Times New Roman" w:eastAsia="Times New Roman" w:hAnsi="Times New Roman" w:cs="Times New Roman"/>
          <w:sz w:val="23"/>
          <w:szCs w:val="23"/>
          <w:lang w:eastAsia="he-IL"/>
        </w:rPr>
        <w:t>(under the auspice of the Ministry of Interior)</w:t>
      </w:r>
      <w:r>
        <w:rPr>
          <w:rFonts w:ascii="Times New Roman" w:eastAsia="Times New Roman" w:hAnsi="Times New Roman" w:cs="Times New Roman"/>
          <w:sz w:val="23"/>
          <w:szCs w:val="23"/>
          <w:lang w:eastAsia="he-IL"/>
        </w:rPr>
        <w:t xml:space="preserve"> </w:t>
      </w:r>
      <w:r>
        <w:rPr>
          <w:rFonts w:ascii="Times New Roman" w:eastAsia="Times New Roman" w:hAnsi="Times New Roman" w:cs="Times New Roman"/>
          <w:bCs/>
          <w:lang w:eastAsia="he-IL"/>
        </w:rPr>
        <w:t>(</w:t>
      </w:r>
      <w:r w:rsidRPr="00E37970">
        <w:rPr>
          <w:rFonts w:ascii="Times New Roman" w:eastAsia="Times New Roman" w:hAnsi="Times New Roman" w:cs="Times New Roman"/>
          <w:bCs/>
          <w:lang w:eastAsia="he-IL"/>
        </w:rPr>
        <w:t>PI</w:t>
      </w:r>
      <w:r>
        <w:rPr>
          <w:rFonts w:ascii="Times New Roman" w:eastAsia="Times New Roman" w:hAnsi="Times New Roman" w:cs="Times New Roman"/>
          <w:bCs/>
          <w:lang w:eastAsia="he-IL"/>
        </w:rPr>
        <w:t xml:space="preserve">BA) employees in various divisions; </w:t>
      </w:r>
      <w:r w:rsidRPr="00E37970">
        <w:rPr>
          <w:rFonts w:ascii="Times New Roman" w:eastAsia="Times New Roman" w:hAnsi="Times New Roman" w:cs="Times New Roman"/>
          <w:bCs/>
          <w:lang w:eastAsia="he-IL"/>
        </w:rPr>
        <w:t>The</w:t>
      </w:r>
      <w:r w:rsidRPr="0076222B">
        <w:rPr>
          <w:rFonts w:ascii="Times New Roman" w:eastAsia="Times New Roman" w:hAnsi="Times New Roman" w:cs="Times New Roman"/>
          <w:sz w:val="23"/>
          <w:szCs w:val="23"/>
          <w:lang w:eastAsia="he-IL"/>
        </w:rPr>
        <w:t xml:space="preserve"> Ministry of Labor, Social Affairs and Social Services</w:t>
      </w:r>
      <w:r w:rsidRPr="00E37970">
        <w:rPr>
          <w:rFonts w:ascii="Times New Roman" w:eastAsia="Times New Roman" w:hAnsi="Times New Roman" w:cs="Times New Roman"/>
          <w:bCs/>
          <w:lang w:eastAsia="he-IL"/>
        </w:rPr>
        <w:t xml:space="preserve"> </w:t>
      </w:r>
      <w:r>
        <w:rPr>
          <w:rFonts w:ascii="Times New Roman" w:eastAsia="Times New Roman" w:hAnsi="Times New Roman" w:cs="Times New Roman"/>
          <w:bCs/>
          <w:lang w:eastAsia="he-IL"/>
        </w:rPr>
        <w:t>(</w:t>
      </w:r>
      <w:r w:rsidRPr="00E37970">
        <w:rPr>
          <w:rFonts w:ascii="Times New Roman" w:eastAsia="Times New Roman" w:hAnsi="Times New Roman" w:cs="Times New Roman"/>
          <w:bCs/>
          <w:lang w:eastAsia="he-IL"/>
        </w:rPr>
        <w:t>MLSS</w:t>
      </w:r>
      <w:r>
        <w:rPr>
          <w:rFonts w:ascii="Times New Roman" w:eastAsia="Times New Roman" w:hAnsi="Times New Roman" w:cs="Times New Roman"/>
          <w:bCs/>
          <w:lang w:eastAsia="he-IL"/>
        </w:rPr>
        <w:t>)</w:t>
      </w:r>
      <w:r w:rsidRPr="00E37970">
        <w:rPr>
          <w:rFonts w:ascii="Times New Roman" w:eastAsia="Times New Roman" w:hAnsi="Times New Roman" w:cs="Times New Roman"/>
          <w:bCs/>
          <w:lang w:eastAsia="he-IL"/>
        </w:rPr>
        <w:t xml:space="preserve"> Labor </w:t>
      </w:r>
      <w:r>
        <w:rPr>
          <w:rFonts w:ascii="Times New Roman" w:eastAsia="Times New Roman" w:hAnsi="Times New Roman" w:cs="Times New Roman"/>
          <w:bCs/>
          <w:lang w:eastAsia="he-IL"/>
        </w:rPr>
        <w:t>Enforcement Division</w:t>
      </w:r>
      <w:r w:rsidRPr="00E37970">
        <w:rPr>
          <w:rFonts w:ascii="Times New Roman" w:eastAsia="Times New Roman" w:hAnsi="Times New Roman" w:cs="Times New Roman"/>
          <w:bCs/>
          <w:lang w:eastAsia="he-IL"/>
        </w:rPr>
        <w:t xml:space="preserve"> </w:t>
      </w:r>
      <w:r>
        <w:rPr>
          <w:rFonts w:ascii="Times New Roman" w:eastAsia="Times New Roman" w:hAnsi="Times New Roman" w:cs="Times New Roman"/>
          <w:bCs/>
          <w:lang w:eastAsia="he-IL"/>
        </w:rPr>
        <w:lastRenderedPageBreak/>
        <w:t>conducted a series of trainings on</w:t>
      </w:r>
      <w:r w:rsidRPr="00E37970">
        <w:rPr>
          <w:rFonts w:ascii="Times New Roman" w:eastAsia="Times New Roman" w:hAnsi="Times New Roman" w:cs="Times New Roman"/>
          <w:bCs/>
          <w:lang w:eastAsia="he-IL"/>
        </w:rPr>
        <w:t xml:space="preserve"> cultural competence, held by </w:t>
      </w:r>
      <w:r w:rsidRPr="0076222B">
        <w:rPr>
          <w:rFonts w:ascii="Times New Roman" w:eastAsia="Times New Roman" w:hAnsi="Times New Roman" w:cs="Times New Roman"/>
          <w:sz w:val="23"/>
          <w:szCs w:val="23"/>
          <w:lang w:eastAsia="he-IL"/>
        </w:rPr>
        <w:t>the Center for International Migration and Integration</w:t>
      </w:r>
      <w:r>
        <w:rPr>
          <w:rFonts w:ascii="Times New Roman" w:eastAsia="Times New Roman" w:hAnsi="Times New Roman" w:cs="Times New Roman"/>
          <w:sz w:val="23"/>
          <w:szCs w:val="23"/>
          <w:lang w:eastAsia="he-IL"/>
        </w:rPr>
        <w:t xml:space="preserve"> (CIMI)</w:t>
      </w:r>
      <w:r w:rsidRPr="0076222B">
        <w:rPr>
          <w:rFonts w:ascii="Times New Roman" w:eastAsia="Times New Roman" w:hAnsi="Times New Roman" w:cs="Times New Roman"/>
          <w:sz w:val="23"/>
          <w:szCs w:val="23"/>
          <w:lang w:eastAsia="he-IL"/>
        </w:rPr>
        <w:t>, founded by the Joint Distribution Committee Israel (</w:t>
      </w:r>
      <w:r w:rsidRPr="0076222B">
        <w:rPr>
          <w:rFonts w:ascii="Times New Roman" w:eastAsia="Times New Roman" w:hAnsi="Times New Roman" w:cs="Times New Roman"/>
          <w:b/>
          <w:bCs/>
          <w:sz w:val="23"/>
          <w:szCs w:val="23"/>
          <w:lang w:eastAsia="he-IL"/>
        </w:rPr>
        <w:t>JDC</w:t>
      </w:r>
      <w:r w:rsidRPr="0076222B">
        <w:rPr>
          <w:rFonts w:ascii="Times New Roman" w:eastAsia="Times New Roman" w:hAnsi="Times New Roman" w:cs="Times New Roman"/>
          <w:sz w:val="23"/>
          <w:szCs w:val="23"/>
          <w:lang w:eastAsia="he-IL"/>
        </w:rPr>
        <w:t>)</w:t>
      </w:r>
      <w:r>
        <w:rPr>
          <w:rFonts w:ascii="Times New Roman" w:eastAsia="Times New Roman" w:hAnsi="Times New Roman" w:cs="Times New Roman"/>
          <w:b/>
          <w:bCs/>
          <w:sz w:val="23"/>
          <w:szCs w:val="23"/>
          <w:lang w:eastAsia="he-IL"/>
        </w:rPr>
        <w:t xml:space="preserve">, </w:t>
      </w:r>
      <w:r w:rsidRPr="00E37970">
        <w:rPr>
          <w:rFonts w:ascii="Times New Roman" w:eastAsia="Times New Roman" w:hAnsi="Times New Roman" w:cs="Times New Roman"/>
          <w:bCs/>
          <w:lang w:eastAsia="he-IL"/>
        </w:rPr>
        <w:t xml:space="preserve">to give labor inspectors important tools when enforcing foreign workers' rights and interacting with them in the field. </w:t>
      </w:r>
    </w:p>
    <w:p w:rsidR="004011D4" w:rsidRDefault="004011D4" w:rsidP="004011D4">
      <w:pPr>
        <w:tabs>
          <w:tab w:val="left" w:pos="851"/>
          <w:tab w:val="left" w:pos="1134"/>
        </w:tabs>
        <w:spacing w:before="240" w:line="360" w:lineRule="auto"/>
        <w:ind w:left="851" w:right="619"/>
        <w:jc w:val="both"/>
        <w:rPr>
          <w:rFonts w:ascii="Times New Roman" w:eastAsia="Times New Roman" w:hAnsi="Times New Roman" w:cs="Times New Roman"/>
          <w:bCs/>
          <w:lang w:eastAsia="he-IL"/>
        </w:rPr>
      </w:pPr>
      <w:r w:rsidRPr="00E37970">
        <w:rPr>
          <w:rFonts w:ascii="Times New Roman" w:eastAsia="Times New Roman" w:hAnsi="Times New Roman" w:cs="Times New Roman"/>
          <w:bCs/>
          <w:lang w:eastAsia="he-IL"/>
        </w:rPr>
        <w:t xml:space="preserve">Furthermore, lectures, seminars and interviews for the wider public </w:t>
      </w:r>
      <w:r>
        <w:rPr>
          <w:rFonts w:ascii="Times New Roman" w:eastAsia="Times New Roman" w:hAnsi="Times New Roman" w:cs="Times New Roman"/>
          <w:bCs/>
          <w:lang w:eastAsia="he-IL"/>
        </w:rPr>
        <w:t>took place</w:t>
      </w:r>
      <w:r w:rsidRPr="00E37970">
        <w:rPr>
          <w:rFonts w:ascii="Times New Roman" w:eastAsia="Times New Roman" w:hAnsi="Times New Roman" w:cs="Times New Roman"/>
          <w:bCs/>
          <w:lang w:eastAsia="he-IL"/>
        </w:rPr>
        <w:t xml:space="preserve"> on a regular basis throughout the year in different </w:t>
      </w:r>
      <w:r>
        <w:rPr>
          <w:rFonts w:ascii="Times New Roman" w:eastAsia="Times New Roman" w:hAnsi="Times New Roman" w:cs="Times New Roman"/>
          <w:bCs/>
          <w:lang w:eastAsia="he-IL"/>
        </w:rPr>
        <w:t xml:space="preserve">and new </w:t>
      </w:r>
      <w:r w:rsidRPr="00E37970">
        <w:rPr>
          <w:rFonts w:ascii="Times New Roman" w:eastAsia="Times New Roman" w:hAnsi="Times New Roman" w:cs="Times New Roman"/>
          <w:bCs/>
          <w:lang w:eastAsia="he-IL"/>
        </w:rPr>
        <w:t>forums, such as higher education institutes and the media.</w:t>
      </w:r>
      <w:r w:rsidRPr="00306398">
        <w:rPr>
          <w:rFonts w:ascii="Times New Roman" w:eastAsia="Times New Roman" w:hAnsi="Times New Roman" w:cs="Times New Roman"/>
          <w:bCs/>
          <w:lang w:eastAsia="he-IL"/>
        </w:rPr>
        <w:t xml:space="preserve"> </w:t>
      </w:r>
      <w:r>
        <w:rPr>
          <w:rFonts w:ascii="Times New Roman" w:eastAsia="Times New Roman" w:hAnsi="Times New Roman" w:cs="Times New Roman"/>
          <w:bCs/>
          <w:lang w:eastAsia="he-IL"/>
        </w:rPr>
        <w:t xml:space="preserve">Several lectures were given by the NATU to law students this year in different universities and colleges, and a collaboration was struck up with the new </w:t>
      </w:r>
      <w:proofErr w:type="spellStart"/>
      <w:r>
        <w:rPr>
          <w:rFonts w:ascii="Times New Roman" w:eastAsia="Times New Roman" w:hAnsi="Times New Roman" w:cs="Times New Roman"/>
          <w:bCs/>
          <w:lang w:eastAsia="he-IL"/>
        </w:rPr>
        <w:t>TraffLab</w:t>
      </w:r>
      <w:proofErr w:type="spellEnd"/>
      <w:r>
        <w:rPr>
          <w:rFonts w:ascii="Times New Roman" w:eastAsia="Times New Roman" w:hAnsi="Times New Roman" w:cs="Times New Roman"/>
          <w:bCs/>
          <w:lang w:eastAsia="he-IL"/>
        </w:rPr>
        <w:t xml:space="preserve"> project, which focuses on labor perspectives in human trafficking.</w:t>
      </w:r>
    </w:p>
    <w:p w:rsidR="004011D4" w:rsidRDefault="004011D4" w:rsidP="004011D4">
      <w:pPr>
        <w:tabs>
          <w:tab w:val="left" w:pos="851"/>
          <w:tab w:val="left" w:pos="1134"/>
        </w:tabs>
        <w:spacing w:before="240" w:line="360" w:lineRule="auto"/>
        <w:ind w:left="851" w:right="619"/>
        <w:jc w:val="both"/>
        <w:rPr>
          <w:rFonts w:ascii="Times New Roman" w:eastAsia="Times New Roman" w:hAnsi="Times New Roman" w:cs="Times New Roman"/>
          <w:lang w:eastAsia="he-IL"/>
        </w:rPr>
      </w:pPr>
      <w:r>
        <w:rPr>
          <w:rFonts w:ascii="Times New Roman" w:eastAsia="Times New Roman" w:hAnsi="Times New Roman" w:cs="Times New Roman"/>
          <w:bCs/>
          <w:lang w:eastAsia="he-IL"/>
        </w:rPr>
        <w:t>Important strides were also made in the field of combatting trafficking through reducing demand for prostitution – with a groundbreaking legislative amendment that declared the purchase of prostitution services illegal, and allocated significant funds to assist those who wish to leave the cycle of prostitution, in a broad array of services</w:t>
      </w:r>
      <w:r>
        <w:rPr>
          <w:rFonts w:ascii="Times New Roman" w:eastAsia="Times New Roman" w:hAnsi="Times New Roman" w:cs="Times New Roman"/>
          <w:lang w:eastAsia="he-IL"/>
        </w:rPr>
        <w:t xml:space="preserve">. Significant additional legislative activity was conducted this year, including a legal amendment aimed at facilitating early testimony of trafficking victims, a new legislation enabling the Police to take efficient action against phone numbers used for the advertisement of prostitution, and an amendment making publications recruiting for prostitution illegal. </w:t>
      </w:r>
    </w:p>
    <w:p w:rsidR="004011D4" w:rsidRDefault="004011D4" w:rsidP="00246175">
      <w:pPr>
        <w:tabs>
          <w:tab w:val="left" w:pos="851"/>
          <w:tab w:val="left" w:pos="1134"/>
        </w:tabs>
        <w:spacing w:before="240" w:line="360" w:lineRule="auto"/>
        <w:ind w:left="851" w:right="619"/>
        <w:jc w:val="both"/>
        <w:rPr>
          <w:rFonts w:ascii="Times New Roman" w:eastAsia="Times New Roman" w:hAnsi="Times New Roman" w:cs="Times New Roman"/>
          <w:lang w:eastAsia="he-IL"/>
        </w:rPr>
      </w:pPr>
      <w:r w:rsidRPr="008134B1">
        <w:rPr>
          <w:rFonts w:ascii="Times New Roman" w:eastAsia="Times New Roman" w:hAnsi="Times New Roman" w:cs="Times New Roman"/>
          <w:lang w:eastAsia="he-IL"/>
        </w:rPr>
        <w:t xml:space="preserve">Further efforts </w:t>
      </w:r>
      <w:r>
        <w:rPr>
          <w:rFonts w:ascii="Times New Roman" w:eastAsia="Times New Roman" w:hAnsi="Times New Roman" w:cs="Times New Roman"/>
          <w:lang w:eastAsia="he-IL"/>
        </w:rPr>
        <w:t>were</w:t>
      </w:r>
      <w:r w:rsidRPr="008134B1">
        <w:rPr>
          <w:rFonts w:ascii="Times New Roman" w:eastAsia="Times New Roman" w:hAnsi="Times New Roman" w:cs="Times New Roman"/>
          <w:lang w:eastAsia="he-IL"/>
        </w:rPr>
        <w:t xml:space="preserve"> invested in the arena of employment of foreign workers</w:t>
      </w:r>
      <w:r>
        <w:rPr>
          <w:rFonts w:ascii="Times New Roman" w:eastAsia="Times New Roman" w:hAnsi="Times New Roman" w:cs="Times New Roman"/>
          <w:lang w:eastAsia="he-IL"/>
        </w:rPr>
        <w:t>, where dramatic developments have occurred this year</w:t>
      </w:r>
      <w:r w:rsidRPr="008134B1">
        <w:rPr>
          <w:rFonts w:ascii="Times New Roman" w:eastAsia="Times New Roman" w:hAnsi="Times New Roman" w:cs="Times New Roman"/>
          <w:lang w:eastAsia="he-IL"/>
        </w:rPr>
        <w:t xml:space="preserve">. The Bilateral agreements for the recruitment of foreign workers serve as a </w:t>
      </w:r>
      <w:r>
        <w:rPr>
          <w:rFonts w:ascii="Times New Roman" w:eastAsia="Times New Roman" w:hAnsi="Times New Roman" w:cs="Times New Roman"/>
          <w:lang w:eastAsia="he-IL"/>
        </w:rPr>
        <w:t>significant</w:t>
      </w:r>
      <w:r w:rsidRPr="008134B1">
        <w:rPr>
          <w:rFonts w:ascii="Times New Roman" w:eastAsia="Times New Roman" w:hAnsi="Times New Roman" w:cs="Times New Roman"/>
          <w:lang w:eastAsia="he-IL"/>
        </w:rPr>
        <w:t xml:space="preserve"> safeguard agai</w:t>
      </w:r>
      <w:r>
        <w:rPr>
          <w:rFonts w:ascii="Times New Roman" w:eastAsia="Times New Roman" w:hAnsi="Times New Roman" w:cs="Times New Roman"/>
          <w:lang w:eastAsia="he-IL"/>
        </w:rPr>
        <w:t>nst trafficking in persons,</w:t>
      </w:r>
      <w:r w:rsidRPr="008134B1">
        <w:rPr>
          <w:rFonts w:ascii="Times New Roman" w:eastAsia="Times New Roman" w:hAnsi="Times New Roman" w:cs="Times New Roman"/>
          <w:lang w:eastAsia="he-IL"/>
        </w:rPr>
        <w:t xml:space="preserve"> </w:t>
      </w:r>
      <w:r>
        <w:rPr>
          <w:rFonts w:ascii="Times New Roman" w:eastAsia="Times New Roman" w:hAnsi="Times New Roman" w:cs="Times New Roman"/>
          <w:lang w:eastAsia="he-IL"/>
        </w:rPr>
        <w:t>preventing</w:t>
      </w:r>
      <w:r w:rsidRPr="008134B1">
        <w:rPr>
          <w:rFonts w:ascii="Times New Roman" w:eastAsia="Times New Roman" w:hAnsi="Times New Roman" w:cs="Times New Roman"/>
          <w:lang w:eastAsia="he-IL"/>
        </w:rPr>
        <w:t xml:space="preserve"> payment of illegal and inflated brokerage fees</w:t>
      </w:r>
      <w:r>
        <w:rPr>
          <w:rFonts w:ascii="Times New Roman" w:eastAsia="Times New Roman" w:hAnsi="Times New Roman" w:cs="Times New Roman"/>
          <w:lang w:eastAsia="he-IL"/>
        </w:rPr>
        <w:t xml:space="preserve">, </w:t>
      </w:r>
      <w:r w:rsidRPr="008134B1">
        <w:rPr>
          <w:rFonts w:ascii="Times New Roman" w:eastAsia="Times New Roman" w:hAnsi="Times New Roman" w:cs="Times New Roman"/>
          <w:lang w:eastAsia="he-IL"/>
        </w:rPr>
        <w:t xml:space="preserve">and </w:t>
      </w:r>
      <w:r>
        <w:rPr>
          <w:rFonts w:ascii="Times New Roman" w:eastAsia="Times New Roman" w:hAnsi="Times New Roman" w:cs="Times New Roman"/>
          <w:lang w:eastAsia="he-IL"/>
        </w:rPr>
        <w:t>ensuring</w:t>
      </w:r>
      <w:r w:rsidRPr="008134B1">
        <w:rPr>
          <w:rFonts w:ascii="Times New Roman" w:eastAsia="Times New Roman" w:hAnsi="Times New Roman" w:cs="Times New Roman"/>
          <w:lang w:eastAsia="he-IL"/>
        </w:rPr>
        <w:t xml:space="preserve"> clear </w:t>
      </w:r>
      <w:r>
        <w:rPr>
          <w:rFonts w:ascii="Times New Roman" w:eastAsia="Times New Roman" w:hAnsi="Times New Roman" w:cs="Times New Roman"/>
          <w:lang w:eastAsia="he-IL"/>
        </w:rPr>
        <w:t>acquaintance</w:t>
      </w:r>
      <w:r w:rsidRPr="008134B1">
        <w:rPr>
          <w:rFonts w:ascii="Times New Roman" w:eastAsia="Times New Roman" w:hAnsi="Times New Roman" w:cs="Times New Roman"/>
          <w:lang w:eastAsia="he-IL"/>
        </w:rPr>
        <w:t xml:space="preserve"> </w:t>
      </w:r>
      <w:r>
        <w:rPr>
          <w:rFonts w:ascii="Times New Roman" w:eastAsia="Times New Roman" w:hAnsi="Times New Roman" w:cs="Times New Roman"/>
          <w:lang w:eastAsia="he-IL"/>
        </w:rPr>
        <w:t>of</w:t>
      </w:r>
      <w:r w:rsidRPr="008134B1">
        <w:rPr>
          <w:rFonts w:ascii="Times New Roman" w:eastAsia="Times New Roman" w:hAnsi="Times New Roman" w:cs="Times New Roman"/>
          <w:lang w:eastAsia="he-IL"/>
        </w:rPr>
        <w:t xml:space="preserve"> working conditions, rights and </w:t>
      </w:r>
      <w:r>
        <w:rPr>
          <w:rFonts w:ascii="Times New Roman" w:eastAsia="Times New Roman" w:hAnsi="Times New Roman" w:cs="Times New Roman"/>
          <w:lang w:eastAsia="he-IL"/>
        </w:rPr>
        <w:t xml:space="preserve">address and access </w:t>
      </w:r>
      <w:r w:rsidRPr="008134B1">
        <w:rPr>
          <w:rFonts w:ascii="Times New Roman" w:eastAsia="Times New Roman" w:hAnsi="Times New Roman" w:cs="Times New Roman"/>
          <w:lang w:eastAsia="he-IL"/>
        </w:rPr>
        <w:t>to file complaints</w:t>
      </w:r>
      <w:r>
        <w:rPr>
          <w:rFonts w:ascii="Times New Roman" w:eastAsia="Times New Roman" w:hAnsi="Times New Roman" w:cs="Times New Roman"/>
          <w:lang w:eastAsia="he-IL"/>
        </w:rPr>
        <w:t xml:space="preserve"> – 11,114 workers arrived in 2018 under those agreements</w:t>
      </w:r>
      <w:r w:rsidRPr="008134B1">
        <w:rPr>
          <w:rFonts w:ascii="Times New Roman" w:eastAsia="Times New Roman" w:hAnsi="Times New Roman" w:cs="Times New Roman"/>
          <w:lang w:eastAsia="he-IL"/>
        </w:rPr>
        <w:t xml:space="preserve">. The bilateral agreements also include the mechanism of a government funded </w:t>
      </w:r>
      <w:r>
        <w:rPr>
          <w:rFonts w:ascii="Times New Roman" w:eastAsia="Times New Roman" w:hAnsi="Times New Roman" w:cs="Times New Roman"/>
          <w:lang w:eastAsia="he-IL"/>
        </w:rPr>
        <w:t>call center</w:t>
      </w:r>
      <w:r w:rsidRPr="008134B1">
        <w:rPr>
          <w:rFonts w:ascii="Times New Roman" w:eastAsia="Times New Roman" w:hAnsi="Times New Roman" w:cs="Times New Roman"/>
          <w:lang w:eastAsia="he-IL"/>
        </w:rPr>
        <w:t xml:space="preserve"> for foreign worker's complaints, </w:t>
      </w:r>
      <w:r>
        <w:rPr>
          <w:rFonts w:ascii="Times New Roman" w:eastAsia="Times New Roman" w:hAnsi="Times New Roman" w:cs="Times New Roman"/>
          <w:lang w:eastAsia="he-IL"/>
        </w:rPr>
        <w:t>accepting calls</w:t>
      </w:r>
      <w:r w:rsidRPr="008134B1">
        <w:rPr>
          <w:rFonts w:ascii="Times New Roman" w:eastAsia="Times New Roman" w:hAnsi="Times New Roman" w:cs="Times New Roman"/>
          <w:lang w:eastAsia="he-IL"/>
        </w:rPr>
        <w:t xml:space="preserve"> 24/7 in the workers' languages. </w:t>
      </w:r>
      <w:r>
        <w:rPr>
          <w:rFonts w:ascii="Times New Roman" w:eastAsia="Times New Roman" w:hAnsi="Times New Roman" w:cs="Times New Roman"/>
          <w:lang w:eastAsia="he-IL"/>
        </w:rPr>
        <w:t>2018</w:t>
      </w:r>
      <w:r w:rsidRPr="008134B1">
        <w:rPr>
          <w:rFonts w:ascii="Times New Roman" w:eastAsia="Times New Roman" w:hAnsi="Times New Roman" w:cs="Times New Roman"/>
          <w:lang w:eastAsia="he-IL"/>
        </w:rPr>
        <w:t xml:space="preserve"> saw the </w:t>
      </w:r>
      <w:r>
        <w:rPr>
          <w:rFonts w:ascii="Times New Roman" w:eastAsia="Times New Roman" w:hAnsi="Times New Roman" w:cs="Times New Roman"/>
          <w:lang w:eastAsia="he-IL"/>
        </w:rPr>
        <w:t>groundbreaking completion of the first full-scale</w:t>
      </w:r>
      <w:r w:rsidRPr="008134B1">
        <w:rPr>
          <w:rFonts w:ascii="Times New Roman" w:eastAsia="Times New Roman" w:hAnsi="Times New Roman" w:cs="Times New Roman"/>
          <w:lang w:eastAsia="he-IL"/>
        </w:rPr>
        <w:t xml:space="preserve"> bilateral agreement</w:t>
      </w:r>
      <w:r>
        <w:rPr>
          <w:rFonts w:ascii="Times New Roman" w:eastAsia="Times New Roman" w:hAnsi="Times New Roman" w:cs="Times New Roman"/>
          <w:lang w:eastAsia="he-IL"/>
        </w:rPr>
        <w:t xml:space="preserve"> in the caregiving field, with the Philippines</w:t>
      </w:r>
      <w:r w:rsidRPr="008134B1">
        <w:rPr>
          <w:rFonts w:ascii="Times New Roman" w:eastAsia="Times New Roman" w:hAnsi="Times New Roman" w:cs="Times New Roman"/>
          <w:lang w:eastAsia="he-IL"/>
        </w:rPr>
        <w:t>,</w:t>
      </w:r>
      <w:r>
        <w:rPr>
          <w:rFonts w:ascii="Times New Roman" w:eastAsia="Times New Roman" w:hAnsi="Times New Roman" w:cs="Times New Roman"/>
          <w:lang w:eastAsia="he-IL"/>
        </w:rPr>
        <w:t xml:space="preserve"> </w:t>
      </w:r>
      <w:r w:rsidRPr="008134B1">
        <w:rPr>
          <w:rFonts w:ascii="Times New Roman" w:eastAsia="Times New Roman" w:hAnsi="Times New Roman" w:cs="Times New Roman"/>
          <w:lang w:eastAsia="he-IL"/>
        </w:rPr>
        <w:t>affirming the GOI's commitment to regularize recruitment and employment in this field</w:t>
      </w:r>
      <w:r>
        <w:rPr>
          <w:rFonts w:ascii="Times New Roman" w:eastAsia="Times New Roman" w:hAnsi="Times New Roman" w:cs="Times New Roman"/>
          <w:lang w:eastAsia="he-IL"/>
        </w:rPr>
        <w:t>, and representing a groundbreaking move on an international scale as well</w:t>
      </w:r>
      <w:r w:rsidRPr="008134B1">
        <w:rPr>
          <w:rFonts w:ascii="Times New Roman" w:eastAsia="Times New Roman" w:hAnsi="Times New Roman" w:cs="Times New Roman"/>
          <w:lang w:eastAsia="he-IL"/>
        </w:rPr>
        <w:t xml:space="preserve">. </w:t>
      </w:r>
      <w:r>
        <w:rPr>
          <w:rFonts w:ascii="Times New Roman" w:eastAsia="Times New Roman" w:hAnsi="Times New Roman" w:cs="Times New Roman"/>
          <w:lang w:eastAsia="he-IL"/>
        </w:rPr>
        <w:t>As mentioned, negotiations for further agreements with other countries, in this field, are already in process, with the aim of preventing private recruitment for the domestic caregiving field in entirety, in the near future. In addition, approximately twenty-five (25) inspectors were added to the PIBA enforcement unit, allowing for better enforcement of foreign workers' rights.</w:t>
      </w:r>
    </w:p>
    <w:p w:rsidR="004011D4" w:rsidRDefault="004011D4" w:rsidP="00246175">
      <w:pPr>
        <w:tabs>
          <w:tab w:val="left" w:pos="851"/>
          <w:tab w:val="left" w:pos="1134"/>
        </w:tabs>
        <w:spacing w:before="240" w:line="360" w:lineRule="auto"/>
        <w:ind w:left="851" w:right="619"/>
        <w:jc w:val="both"/>
        <w:rPr>
          <w:rFonts w:ascii="Times New Roman" w:eastAsia="Times New Roman" w:hAnsi="Times New Roman" w:cs="Times New Roman"/>
          <w:lang w:eastAsia="he-IL"/>
        </w:rPr>
      </w:pPr>
      <w:r w:rsidRPr="00C42B21">
        <w:rPr>
          <w:rFonts w:ascii="Times New Roman" w:eastAsia="Times New Roman" w:hAnsi="Times New Roman" w:cs="Times New Roman"/>
          <w:b/>
          <w:bCs/>
          <w:u w:val="single"/>
          <w:lang w:eastAsia="he-IL"/>
        </w:rPr>
        <w:t>In the field of Prosecution</w:t>
      </w:r>
      <w:r>
        <w:rPr>
          <w:rFonts w:ascii="Times New Roman" w:eastAsia="Times New Roman" w:hAnsi="Times New Roman" w:cs="Times New Roman"/>
          <w:lang w:eastAsia="he-IL"/>
        </w:rPr>
        <w:t>,</w:t>
      </w:r>
      <w:r w:rsidRPr="00306398">
        <w:rPr>
          <w:rFonts w:ascii="Times New Roman" w:eastAsia="Times New Roman" w:hAnsi="Times New Roman" w:cs="Times New Roman"/>
          <w:lang w:eastAsia="he-IL"/>
        </w:rPr>
        <w:t xml:space="preserve"> </w:t>
      </w:r>
      <w:r>
        <w:rPr>
          <w:rFonts w:ascii="Times New Roman" w:eastAsia="Times New Roman" w:hAnsi="Times New Roman" w:cs="Times New Roman"/>
          <w:lang w:eastAsia="he-IL"/>
        </w:rPr>
        <w:t>all</w:t>
      </w:r>
      <w:r w:rsidRPr="00306398">
        <w:rPr>
          <w:rFonts w:ascii="Times New Roman" w:eastAsia="Times New Roman" w:hAnsi="Times New Roman" w:cs="Times New Roman"/>
          <w:lang w:eastAsia="he-IL"/>
        </w:rPr>
        <w:t xml:space="preserve"> law enforcement agencies, led by </w:t>
      </w:r>
      <w:r w:rsidR="00246175">
        <w:rPr>
          <w:rFonts w:ascii="Times New Roman" w:eastAsia="Times New Roman" w:hAnsi="Times New Roman" w:cs="Times New Roman"/>
          <w:lang w:eastAsia="he-IL"/>
        </w:rPr>
        <w:t>t</w:t>
      </w:r>
      <w:r>
        <w:rPr>
          <w:rFonts w:ascii="Times New Roman" w:eastAsia="Times New Roman" w:hAnsi="Times New Roman" w:cs="Times New Roman"/>
          <w:lang w:eastAsia="he-IL"/>
        </w:rPr>
        <w:t>he State</w:t>
      </w:r>
      <w:r w:rsidRPr="00306398">
        <w:rPr>
          <w:rFonts w:ascii="Times New Roman" w:eastAsia="Times New Roman" w:hAnsi="Times New Roman" w:cs="Times New Roman"/>
          <w:lang w:eastAsia="he-IL"/>
        </w:rPr>
        <w:t xml:space="preserve"> Attorney's Office, commenced integrated enforcement operations in the context of prostitution offenses, mainly closing down brothels</w:t>
      </w:r>
      <w:r>
        <w:rPr>
          <w:rFonts w:ascii="Times New Roman" w:eastAsia="Times New Roman" w:hAnsi="Times New Roman" w:cs="Times New Roman"/>
          <w:lang w:eastAsia="he-IL"/>
        </w:rPr>
        <w:t xml:space="preserve"> – including strip clubs that were brothels in disguise</w:t>
      </w:r>
      <w:r w:rsidRPr="00306398">
        <w:rPr>
          <w:rFonts w:ascii="Times New Roman" w:eastAsia="Times New Roman" w:hAnsi="Times New Roman" w:cs="Times New Roman"/>
          <w:lang w:eastAsia="he-IL"/>
        </w:rPr>
        <w:t>. These operations involved a combination of criminal, civil</w:t>
      </w:r>
      <w:r>
        <w:rPr>
          <w:rFonts w:ascii="Times New Roman" w:eastAsia="Times New Roman" w:hAnsi="Times New Roman" w:cs="Times New Roman"/>
          <w:lang w:eastAsia="he-IL"/>
        </w:rPr>
        <w:t>, fiscal</w:t>
      </w:r>
      <w:r w:rsidRPr="00306398">
        <w:rPr>
          <w:rFonts w:ascii="Times New Roman" w:eastAsia="Times New Roman" w:hAnsi="Times New Roman" w:cs="Times New Roman"/>
          <w:lang w:eastAsia="he-IL"/>
        </w:rPr>
        <w:t xml:space="preserve"> and administrative enforcement as part of a highly vigorous operation</w:t>
      </w:r>
      <w:r>
        <w:rPr>
          <w:rFonts w:ascii="Times New Roman" w:eastAsia="Times New Roman" w:hAnsi="Times New Roman" w:cs="Times New Roman"/>
          <w:lang w:eastAsia="he-IL"/>
        </w:rPr>
        <w:t xml:space="preserve"> that has already shown results</w:t>
      </w:r>
      <w:r w:rsidRPr="00306398">
        <w:rPr>
          <w:rFonts w:ascii="Times New Roman" w:eastAsia="Times New Roman" w:hAnsi="Times New Roman" w:cs="Times New Roman"/>
          <w:lang w:eastAsia="he-IL"/>
        </w:rPr>
        <w:t>.</w:t>
      </w:r>
      <w:r>
        <w:rPr>
          <w:rFonts w:ascii="Times New Roman" w:eastAsia="Times New Roman" w:hAnsi="Times New Roman" w:cs="Times New Roman"/>
          <w:lang w:eastAsia="he-IL"/>
        </w:rPr>
        <w:t xml:space="preserve"> It also contributed to the identification of trafficking victims that has risen significantly this year. To codify and disseminate those best practices, the Tel Aviv District Attorney's Office developed detailed guidelines for the investigation of cases involving prostitution and brothels, allowing thorough investigation of every aspect of the case, including financial aspects and the identifying of victims of trafficking. A significant new actor in enforcement efforts this year was the Cyber department of the State Attorney's Office, which acted against thirty-five (35) websites advertising prostitution this year. Care was also taken to shape the prosecution efforts in a way that would support rather than target those in prostitution – the Police took steps to reduce the number of cases opened against brothels as a public nuisance, and formulated a referral procedure indicating that women in prostitution encountered in Police investigations be referred to support organizations.</w:t>
      </w:r>
    </w:p>
    <w:p w:rsidR="004011D4" w:rsidRDefault="004011D4" w:rsidP="004011D4">
      <w:pPr>
        <w:pStyle w:val="a"/>
        <w:tabs>
          <w:tab w:val="clear" w:pos="284"/>
          <w:tab w:val="clear" w:pos="9214"/>
          <w:tab w:val="left" w:pos="851"/>
          <w:tab w:val="left" w:pos="1134"/>
        </w:tabs>
        <w:ind w:left="851" w:right="619"/>
      </w:pPr>
      <w:r>
        <w:rPr>
          <w:rFonts w:hint="cs"/>
        </w:rPr>
        <w:t>S</w:t>
      </w:r>
      <w:r>
        <w:t>ubstantive convictions and sentences were ruled and meted by the Judiciary this year, in precedential cases in all forms of trafficking</w:t>
      </w:r>
      <w:r>
        <w:rPr>
          <w:lang w:val="en-US"/>
        </w:rPr>
        <w:t>, for example</w:t>
      </w:r>
      <w:r>
        <w:t xml:space="preserve">: </w:t>
      </w:r>
    </w:p>
    <w:p w:rsidR="004011D4" w:rsidRPr="00210F49" w:rsidRDefault="004011D4" w:rsidP="00246175">
      <w:pPr>
        <w:pStyle w:val="a"/>
        <w:tabs>
          <w:tab w:val="clear" w:pos="284"/>
          <w:tab w:val="clear" w:pos="9214"/>
          <w:tab w:val="left" w:pos="851"/>
          <w:tab w:val="left" w:pos="1134"/>
        </w:tabs>
        <w:ind w:left="851" w:right="619"/>
        <w:rPr>
          <w:lang w:val="en-US"/>
        </w:rPr>
      </w:pPr>
      <w:r w:rsidRPr="00210F49">
        <w:t xml:space="preserve">In </w:t>
      </w:r>
      <w:r w:rsidRPr="00210F49">
        <w:rPr>
          <w:b/>
          <w:bCs/>
          <w:i/>
          <w:iCs/>
        </w:rPr>
        <w:t>The State of Israel v. Anonymous</w:t>
      </w:r>
      <w:r w:rsidRPr="00210F49">
        <w:t xml:space="preserve">, C.A.8027/13, 8104/13 The Supreme court delivered its </w:t>
      </w:r>
      <w:r w:rsidRPr="00210F49">
        <w:rPr>
          <w:lang w:val="en-US"/>
        </w:rPr>
        <w:t>ruling</w:t>
      </w:r>
      <w:r w:rsidRPr="00210F49">
        <w:t xml:space="preserve"> on 27.5.2018, </w:t>
      </w:r>
      <w:r w:rsidRPr="00210F49">
        <w:rPr>
          <w:lang w:val="en-US"/>
        </w:rPr>
        <w:t>in the</w:t>
      </w:r>
      <w:r w:rsidRPr="00210F49">
        <w:t xml:space="preserve"> first case in which the Supreme Court was asked to analyze the </w:t>
      </w:r>
      <w:r w:rsidRPr="00210F49">
        <w:rPr>
          <w:lang w:val="en-US"/>
        </w:rPr>
        <w:t>crime</w:t>
      </w:r>
      <w:r w:rsidRPr="00210F49">
        <w:t xml:space="preserve"> of holding under conditions of slavery, where the defendant did not have a relationship of </w:t>
      </w:r>
      <w:r w:rsidRPr="00210F49">
        <w:rPr>
          <w:lang w:val="en-US"/>
        </w:rPr>
        <w:t>physical control</w:t>
      </w:r>
      <w:r w:rsidRPr="00210F49">
        <w:t xml:space="preserve"> over the victims, and where the victims consented to the acts constituting the charge and were even physically free at times.</w:t>
      </w:r>
      <w:r w:rsidRPr="00210F49">
        <w:rPr>
          <w:lang w:val="en-US"/>
        </w:rPr>
        <w:t xml:space="preserve"> The Court rejected the </w:t>
      </w:r>
      <w:r>
        <w:rPr>
          <w:lang w:val="en-US"/>
        </w:rPr>
        <w:t>A</w:t>
      </w:r>
      <w:r w:rsidRPr="00210F49">
        <w:rPr>
          <w:lang w:val="en-US"/>
        </w:rPr>
        <w:t>ppeal, upholding the convi</w:t>
      </w:r>
      <w:r w:rsidR="00246175">
        <w:rPr>
          <w:lang w:val="en-US"/>
        </w:rPr>
        <w:t>ction for numerous offences of h</w:t>
      </w:r>
      <w:r w:rsidRPr="00210F49">
        <w:rPr>
          <w:lang w:val="en-US"/>
        </w:rPr>
        <w:t>olding a Person under Conditions of Slavery, and the sentence for twenty-six (26) years of imprisonment, conditional imprisonment for an additional two (2) years, a compensation of 100,000 NIS (25,000 USD) for the victims, and analyzing in depth the elements of the crime of holding a person under conditions of slavery, including precedential and advanced legal interpretation of the Law.</w:t>
      </w:r>
    </w:p>
    <w:p w:rsidR="004011D4" w:rsidRPr="00210F49" w:rsidRDefault="004011D4" w:rsidP="004011D4">
      <w:pPr>
        <w:pStyle w:val="a"/>
        <w:tabs>
          <w:tab w:val="clear" w:pos="284"/>
          <w:tab w:val="clear" w:pos="9214"/>
          <w:tab w:val="left" w:pos="851"/>
          <w:tab w:val="left" w:pos="1134"/>
        </w:tabs>
        <w:ind w:left="851" w:right="619"/>
        <w:rPr>
          <w:lang w:val="en-US"/>
        </w:rPr>
      </w:pPr>
      <w:r w:rsidRPr="00210F49">
        <w:rPr>
          <w:lang w:val="en-US"/>
        </w:rPr>
        <w:t xml:space="preserve">In </w:t>
      </w:r>
      <w:r>
        <w:rPr>
          <w:b/>
          <w:bCs/>
          <w:i/>
          <w:iCs/>
        </w:rPr>
        <w:t>The State of Israel v.</w:t>
      </w:r>
      <w:r w:rsidRPr="00210F49">
        <w:t xml:space="preserve"> </w:t>
      </w:r>
      <w:r w:rsidRPr="00210F49">
        <w:rPr>
          <w:b/>
          <w:bCs/>
          <w:i/>
          <w:iCs/>
        </w:rPr>
        <w:t xml:space="preserve">Anonymous </w:t>
      </w:r>
      <w:r w:rsidRPr="00210F49">
        <w:rPr>
          <w:i/>
          <w:iCs/>
        </w:rPr>
        <w:t>S.Cr.C.</w:t>
      </w:r>
      <w:r w:rsidRPr="00210F49">
        <w:rPr>
          <w:b/>
          <w:bCs/>
          <w:i/>
          <w:iCs/>
        </w:rPr>
        <w:t xml:space="preserve"> </w:t>
      </w:r>
      <w:r w:rsidRPr="00210F49">
        <w:rPr>
          <w:i/>
          <w:iCs/>
        </w:rPr>
        <w:t>22534</w:t>
      </w:r>
      <w:r w:rsidRPr="00210F49">
        <w:rPr>
          <w:b/>
          <w:bCs/>
          <w:i/>
          <w:iCs/>
        </w:rPr>
        <w:t>-</w:t>
      </w:r>
      <w:r w:rsidRPr="00210F49">
        <w:rPr>
          <w:i/>
          <w:iCs/>
        </w:rPr>
        <w:t>08-17</w:t>
      </w:r>
      <w:r w:rsidRPr="00210F49">
        <w:rPr>
          <w:b/>
          <w:bCs/>
          <w:i/>
          <w:iCs/>
        </w:rPr>
        <w:t xml:space="preserve"> (</w:t>
      </w:r>
      <w:r w:rsidRPr="00210F49">
        <w:rPr>
          <w:i/>
          <w:iCs/>
        </w:rPr>
        <w:t>Beer Sheva District Court)</w:t>
      </w:r>
      <w:r w:rsidRPr="00210F49">
        <w:rPr>
          <w:lang w:val="en-US"/>
        </w:rPr>
        <w:t>, the defendant was convicted of multiple offences of trafficking in persons for the purpose of causing them to participate in an obscene publication or performance, and for committing sex offences, using the cyber arena, and was sentenced on the 25.10.2018</w:t>
      </w:r>
      <w:r>
        <w:rPr>
          <w:lang w:val="en-US"/>
        </w:rPr>
        <w:t xml:space="preserve"> to fifteen (15) years imprisonment</w:t>
      </w:r>
      <w:r w:rsidRPr="00210F49">
        <w:rPr>
          <w:lang w:val="en-US"/>
        </w:rPr>
        <w:t>, compensation for the victim- his minor daughter in the sum of 60,000 NIS (16,349 USD) and suspended imprisonment.</w:t>
      </w:r>
    </w:p>
    <w:p w:rsidR="004011D4" w:rsidRPr="00163DB4" w:rsidRDefault="004011D4" w:rsidP="00246175">
      <w:pPr>
        <w:tabs>
          <w:tab w:val="left" w:pos="851"/>
          <w:tab w:val="left" w:pos="1134"/>
        </w:tabs>
        <w:spacing w:before="240" w:line="360" w:lineRule="auto"/>
        <w:ind w:left="851" w:right="619"/>
        <w:jc w:val="both"/>
        <w:rPr>
          <w:rFonts w:ascii="Times New Roman" w:hAnsi="Times New Roman" w:cs="Times New Roman"/>
          <w:snapToGrid w:val="0"/>
        </w:rPr>
      </w:pPr>
      <w:r>
        <w:rPr>
          <w:rFonts w:ascii="Times New Roman" w:eastAsia="Times New Roman" w:hAnsi="Times New Roman" w:cs="Times New Roman"/>
          <w:b/>
          <w:bCs/>
          <w:u w:val="single"/>
          <w:lang w:eastAsia="he-IL"/>
        </w:rPr>
        <w:t>In the field of P</w:t>
      </w:r>
      <w:r w:rsidRPr="00916941">
        <w:rPr>
          <w:rFonts w:ascii="Times New Roman" w:eastAsia="Times New Roman" w:hAnsi="Times New Roman" w:cs="Times New Roman"/>
          <w:b/>
          <w:bCs/>
          <w:u w:val="single"/>
          <w:lang w:eastAsia="he-IL"/>
        </w:rPr>
        <w:t>rotection</w:t>
      </w:r>
      <w:r>
        <w:rPr>
          <w:rFonts w:ascii="Times New Roman" w:eastAsia="Times New Roman" w:hAnsi="Times New Roman" w:cs="Times New Roman"/>
          <w:lang w:eastAsia="he-IL"/>
        </w:rPr>
        <w:t xml:space="preserve">, </w:t>
      </w:r>
      <w:r>
        <w:rPr>
          <w:rFonts w:ascii="Times New Roman" w:hAnsi="Times New Roman" w:cs="Times New Roman"/>
          <w:snapToGrid w:val="0"/>
        </w:rPr>
        <w:t>In 2018 the Ministry of Health (M</w:t>
      </w:r>
      <w:r w:rsidRPr="00163DB4">
        <w:rPr>
          <w:rFonts w:ascii="Times New Roman" w:hAnsi="Times New Roman" w:cs="Times New Roman"/>
          <w:snapToGrid w:val="0"/>
        </w:rPr>
        <w:t>OH</w:t>
      </w:r>
      <w:r>
        <w:rPr>
          <w:rFonts w:ascii="Times New Roman" w:hAnsi="Times New Roman" w:cs="Times New Roman"/>
          <w:snapToGrid w:val="0"/>
        </w:rPr>
        <w:t xml:space="preserve">) expanded health services for victims of trafficking – the MOH </w:t>
      </w:r>
      <w:r w:rsidRPr="00163DB4">
        <w:rPr>
          <w:rFonts w:ascii="Times New Roman" w:hAnsi="Times New Roman" w:cs="Times New Roman"/>
          <w:snapToGrid w:val="0"/>
        </w:rPr>
        <w:t>approved the provision of a secondary medical treatment for victims of trafficking who are entitled to a year of rehabilitation but choose not to stay at the shelters. The treatment will be given at the Rabin Medical Center in Petah Tikvah.</w:t>
      </w:r>
      <w:r>
        <w:rPr>
          <w:rFonts w:ascii="Times New Roman" w:hAnsi="Times New Roman" w:cs="Times New Roman"/>
          <w:snapToGrid w:val="0"/>
        </w:rPr>
        <w:t xml:space="preserve"> Further</w:t>
      </w:r>
      <w:r w:rsidRPr="00163DB4">
        <w:rPr>
          <w:rFonts w:ascii="Times New Roman" w:hAnsi="Times New Roman" w:cs="Times New Roman"/>
          <w:snapToGrid w:val="0"/>
        </w:rPr>
        <w:t xml:space="preserve">more, in 2018 an arrangement was made with a gynecologist at the Beilinson Hospital, who now provides </w:t>
      </w:r>
      <w:r>
        <w:rPr>
          <w:rFonts w:ascii="Times New Roman" w:hAnsi="Times New Roman" w:cs="Times New Roman"/>
          <w:snapToGrid w:val="0"/>
        </w:rPr>
        <w:t>g</w:t>
      </w:r>
      <w:r w:rsidRPr="00163DB4">
        <w:rPr>
          <w:rFonts w:ascii="Times New Roman" w:hAnsi="Times New Roman" w:cs="Times New Roman"/>
          <w:snapToGrid w:val="0"/>
        </w:rPr>
        <w:t>ynecologic</w:t>
      </w:r>
      <w:r>
        <w:rPr>
          <w:rFonts w:ascii="Times New Roman" w:hAnsi="Times New Roman" w:cs="Times New Roman"/>
          <w:snapToGrid w:val="0"/>
        </w:rPr>
        <w:t>al</w:t>
      </w:r>
      <w:r w:rsidRPr="00163DB4">
        <w:rPr>
          <w:rFonts w:ascii="Times New Roman" w:hAnsi="Times New Roman" w:cs="Times New Roman"/>
          <w:snapToGrid w:val="0"/>
        </w:rPr>
        <w:t xml:space="preserve"> </w:t>
      </w:r>
      <w:r>
        <w:rPr>
          <w:rFonts w:ascii="Times New Roman" w:hAnsi="Times New Roman" w:cs="Times New Roman"/>
          <w:snapToGrid w:val="0"/>
        </w:rPr>
        <w:t>f</w:t>
      </w:r>
      <w:r w:rsidRPr="00163DB4">
        <w:rPr>
          <w:rFonts w:ascii="Times New Roman" w:hAnsi="Times New Roman" w:cs="Times New Roman"/>
          <w:snapToGrid w:val="0"/>
        </w:rPr>
        <w:t>ollow-</w:t>
      </w:r>
      <w:r>
        <w:rPr>
          <w:rFonts w:ascii="Times New Roman" w:hAnsi="Times New Roman" w:cs="Times New Roman"/>
          <w:snapToGrid w:val="0"/>
        </w:rPr>
        <w:t>u</w:t>
      </w:r>
      <w:r w:rsidRPr="00163DB4">
        <w:rPr>
          <w:rFonts w:ascii="Times New Roman" w:hAnsi="Times New Roman" w:cs="Times New Roman"/>
          <w:snapToGrid w:val="0"/>
        </w:rPr>
        <w:t>ps, including pregnancy follow-up, to the</w:t>
      </w:r>
      <w:r>
        <w:rPr>
          <w:rFonts w:ascii="Times New Roman" w:hAnsi="Times New Roman" w:cs="Times New Roman"/>
          <w:snapToGrid w:val="0"/>
        </w:rPr>
        <w:t xml:space="preserve"> residents of the</w:t>
      </w:r>
      <w:r w:rsidRPr="00163DB4">
        <w:rPr>
          <w:rFonts w:ascii="Times New Roman" w:hAnsi="Times New Roman" w:cs="Times New Roman"/>
          <w:snapToGrid w:val="0"/>
        </w:rPr>
        <w:t xml:space="preserve"> shelter and apartments.</w:t>
      </w:r>
    </w:p>
    <w:p w:rsidR="004011D4" w:rsidRDefault="004011D4" w:rsidP="00246175">
      <w:pPr>
        <w:tabs>
          <w:tab w:val="left" w:pos="851"/>
          <w:tab w:val="left" w:pos="1134"/>
        </w:tabs>
        <w:spacing w:before="240" w:line="360" w:lineRule="auto"/>
        <w:ind w:left="851" w:right="619"/>
        <w:jc w:val="both"/>
        <w:rPr>
          <w:rFonts w:ascii="Times New Roman" w:eastAsia="Times New Roman" w:hAnsi="Times New Roman" w:cs="Times New Roman"/>
          <w:lang w:eastAsia="he-IL"/>
        </w:rPr>
      </w:pPr>
      <w:r>
        <w:rPr>
          <w:rFonts w:ascii="Times New Roman" w:eastAsia="Times New Roman" w:hAnsi="Times New Roman" w:cs="Times New Roman" w:hint="cs"/>
          <w:lang w:eastAsia="he-IL"/>
        </w:rPr>
        <w:t>T</w:t>
      </w:r>
      <w:r>
        <w:rPr>
          <w:rFonts w:ascii="Times New Roman" w:eastAsia="Times New Roman" w:hAnsi="Times New Roman" w:cs="Times New Roman"/>
          <w:lang w:eastAsia="he-IL"/>
        </w:rPr>
        <w:t>he frameworks for victims of trafficking continued adapting their services to the changing needs of victims – in 2018, creating support for victims with children – children who have experienced secondary trauma through the parent. The transitional apartments were fully converted to family apartments, and relevant services, including a new social worker specializing in children, were added to support the children and families.</w:t>
      </w:r>
    </w:p>
    <w:p w:rsidR="004011D4" w:rsidRDefault="004011D4" w:rsidP="004011D4">
      <w:pPr>
        <w:tabs>
          <w:tab w:val="left" w:pos="851"/>
          <w:tab w:val="left" w:pos="1134"/>
        </w:tabs>
        <w:spacing w:before="240" w:line="360" w:lineRule="auto"/>
        <w:ind w:left="851" w:right="619"/>
        <w:jc w:val="both"/>
        <w:rPr>
          <w:rFonts w:ascii="Times New Roman" w:eastAsia="Times New Roman" w:hAnsi="Times New Roman" w:cs="Times New Roman"/>
          <w:lang w:eastAsia="he-IL"/>
        </w:rPr>
      </w:pPr>
      <w:r w:rsidRPr="00E37970">
        <w:rPr>
          <w:rFonts w:ascii="Times New Roman" w:eastAsia="Times New Roman" w:hAnsi="Times New Roman" w:cs="Times New Roman"/>
          <w:lang w:eastAsia="he-IL"/>
        </w:rPr>
        <w:t xml:space="preserve">On a final note, Israel continues to take a leading role in the global efforts to combat trafficking, becoming a developing source of knowledge and best practices in the field. </w:t>
      </w:r>
      <w:r>
        <w:rPr>
          <w:rFonts w:ascii="Times New Roman" w:eastAsia="Times New Roman" w:hAnsi="Times New Roman" w:cs="Times New Roman"/>
          <w:lang w:eastAsia="he-IL"/>
        </w:rPr>
        <w:t>The MASHAV institute held its biannual training for judges, in collaboration with the US Department of State, OSCE, UNODC, ILO and the Israeli Courts Administration, hosting 25 judges from 21 countries. Participants in this comprehensive training met prosecutors, police officials, international experts, and a Supreme Court Justice, visited the shelters for victims of trafficking and participated in a mock trial exercise</w:t>
      </w:r>
      <w:r w:rsidRPr="00E37970">
        <w:rPr>
          <w:rFonts w:ascii="Times New Roman" w:eastAsia="Times New Roman" w:hAnsi="Times New Roman" w:cs="Times New Roman"/>
          <w:lang w:eastAsia="he-IL"/>
        </w:rPr>
        <w:t>.</w:t>
      </w:r>
      <w:r>
        <w:rPr>
          <w:rFonts w:ascii="Times New Roman" w:eastAsia="Times New Roman" w:hAnsi="Times New Roman" w:cs="Times New Roman"/>
          <w:lang w:eastAsia="he-IL"/>
        </w:rPr>
        <w:t xml:space="preserve"> During the seminar, NATU coordinated work meetings between the Deputy Director of the </w:t>
      </w:r>
      <w:r w:rsidRPr="00210F49">
        <w:rPr>
          <w:rFonts w:ascii="Times New Roman" w:eastAsia="Times New Roman" w:hAnsi="Times New Roman" w:cs="Times New Roman"/>
          <w:lang w:eastAsia="he-IL"/>
        </w:rPr>
        <w:t>Office to Monitor and Combat Trafficking in Persons at U.S. Department of State</w:t>
      </w:r>
      <w:r>
        <w:rPr>
          <w:rFonts w:ascii="Times New Roman" w:eastAsia="Times New Roman" w:hAnsi="Times New Roman" w:cs="Times New Roman"/>
          <w:lang w:eastAsia="he-IL"/>
        </w:rPr>
        <w:t xml:space="preserve"> and other State Department officials, and various state actors including Prosecutors (national and district, civil and criminal), PIBA, the Legal Aid Administration, the Police, and the Ministry of Foreign Affairs. NATU also hosted a study delegation from Kenya. Representatives from NATU and the PTC participated in the OSCE simulation training on combatting trafficking in persons along migration routes, and the National Coordinator presented a case study in an international meeting of anti-trafficking coordinators in the Council of Europe, and presented GOI's actions in combatting TIP in the UN Council of Human Rights in Israel's Universal Periodic Review.</w:t>
      </w:r>
    </w:p>
    <w:p w:rsidR="00DA5286" w:rsidRDefault="00DA5286"/>
    <w:sectPr w:rsidR="00DA5286" w:rsidSect="00B4775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D4"/>
    <w:rsid w:val="00246175"/>
    <w:rsid w:val="003663B7"/>
    <w:rsid w:val="004011D4"/>
    <w:rsid w:val="00B47756"/>
    <w:rsid w:val="00DA52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3D799-28EE-4D9B-843A-6CF287FE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D4"/>
    <w:pPr>
      <w:spacing w:after="0" w:line="240" w:lineRule="auto"/>
    </w:pPr>
    <w:rPr>
      <w:sz w:val="24"/>
      <w:szCs w:val="24"/>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תשובה"/>
    <w:basedOn w:val="Normal"/>
    <w:link w:val="a0"/>
    <w:qFormat/>
    <w:rsid w:val="004011D4"/>
    <w:pPr>
      <w:tabs>
        <w:tab w:val="left" w:pos="284"/>
        <w:tab w:val="right" w:pos="9214"/>
      </w:tabs>
      <w:spacing w:before="240" w:line="360" w:lineRule="auto"/>
      <w:ind w:left="360"/>
      <w:jc w:val="both"/>
    </w:pPr>
    <w:rPr>
      <w:rFonts w:ascii="Times New Roman" w:eastAsia="Times New Roman" w:hAnsi="Times New Roman" w:cs="Times New Roman"/>
      <w:lang w:val="x-none" w:eastAsia="he-IL" w:bidi="he-IL"/>
    </w:rPr>
  </w:style>
  <w:style w:type="character" w:customStyle="1" w:styleId="a0">
    <w:name w:val="תשובה תו"/>
    <w:link w:val="a"/>
    <w:rsid w:val="004011D4"/>
    <w:rPr>
      <w:rFonts w:ascii="Times New Roman" w:eastAsia="Times New Roman" w:hAnsi="Times New Roman" w:cs="Times New Roman"/>
      <w:sz w:val="24"/>
      <w:szCs w:val="24"/>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62C1F0-C012-41D7-A193-632B9C6A481B}"/>
</file>

<file path=customXml/itemProps2.xml><?xml version="1.0" encoding="utf-8"?>
<ds:datastoreItem xmlns:ds="http://schemas.openxmlformats.org/officeDocument/2006/customXml" ds:itemID="{0B63D40F-AD03-4414-BE7E-7E340EE62691}"/>
</file>

<file path=customXml/itemProps3.xml><?xml version="1.0" encoding="utf-8"?>
<ds:datastoreItem xmlns:ds="http://schemas.openxmlformats.org/officeDocument/2006/customXml" ds:itemID="{DA251AE4-1CEA-4920-8506-857F692F45F6}"/>
</file>

<file path=docProps/app.xml><?xml version="1.0" encoding="utf-8"?>
<Properties xmlns="http://schemas.openxmlformats.org/officeDocument/2006/extended-properties" xmlns:vt="http://schemas.openxmlformats.org/officeDocument/2006/docPropsVTypes">
  <Template>Normal</Template>
  <TotalTime>0</TotalTime>
  <Pages>3</Pages>
  <Words>1898</Words>
  <Characters>10442</Characters>
  <Application>Microsoft Office Word</Application>
  <DocSecurity>0</DocSecurity>
  <Lines>87</Lines>
  <Paragraphs>24</Paragraphs>
  <ScaleCrop>false</ScaleCrop>
  <HeadingPairs>
    <vt:vector size="4" baseType="variant">
      <vt:variant>
        <vt:lpstr>Título</vt:lpstr>
      </vt:variant>
      <vt:variant>
        <vt:i4>1</vt:i4>
      </vt:variant>
      <vt:variant>
        <vt:lpstr>שם</vt:lpstr>
      </vt:variant>
      <vt:variant>
        <vt:i4>1</vt:i4>
      </vt:variant>
    </vt:vector>
  </HeadingPairs>
  <TitlesOfParts>
    <vt:vector size="2" baseType="lpstr">
      <vt:lpstr/>
      <vt:lpstr/>
    </vt:vector>
  </TitlesOfParts>
  <Company>MOJ</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dc:title>
  <dc:creator>Hila Tene-Gilad</dc:creator>
  <cp:lastModifiedBy>Rosana Garciandía Garmendia</cp:lastModifiedBy>
  <cp:revision>2</cp:revision>
  <dcterms:created xsi:type="dcterms:W3CDTF">2019-04-09T08:26:00Z</dcterms:created>
  <dcterms:modified xsi:type="dcterms:W3CDTF">2019-04-09T08:26:00Z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