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8837D" w14:textId="77777777" w:rsidR="00ED5E5F" w:rsidRDefault="00ED5E5F" w:rsidP="005644D5">
      <w:pPr>
        <w:jc w:val="center"/>
        <w:rPr>
          <w:b/>
        </w:rPr>
      </w:pPr>
      <w:bookmarkStart w:id="0" w:name="_GoBack"/>
      <w:bookmarkEnd w:id="0"/>
    </w:p>
    <w:p w14:paraId="1102932C" w14:textId="67D0D009" w:rsidR="005644D5" w:rsidRDefault="005644D5" w:rsidP="005644D5">
      <w:pPr>
        <w:jc w:val="center"/>
        <w:rPr>
          <w:b/>
          <w:sz w:val="24"/>
          <w:szCs w:val="24"/>
        </w:rPr>
      </w:pPr>
      <w:r w:rsidRPr="00826550">
        <w:rPr>
          <w:b/>
          <w:sz w:val="24"/>
          <w:szCs w:val="24"/>
        </w:rPr>
        <w:t>Mandate of the Special Rapporteur on the promotion and protection of human rights and fundamental freedoms while countering terrorism</w:t>
      </w:r>
    </w:p>
    <w:p w14:paraId="50C9CB20" w14:textId="77777777" w:rsidR="008444C1" w:rsidRDefault="008444C1" w:rsidP="005644D5">
      <w:pPr>
        <w:jc w:val="center"/>
        <w:rPr>
          <w:b/>
          <w:sz w:val="24"/>
          <w:szCs w:val="24"/>
        </w:rPr>
      </w:pPr>
    </w:p>
    <w:p w14:paraId="3EC454EC" w14:textId="0CFABC2D" w:rsidR="0084525B" w:rsidRDefault="0084525B" w:rsidP="005644D5">
      <w:pPr>
        <w:jc w:val="center"/>
        <w:rPr>
          <w:b/>
          <w:sz w:val="24"/>
          <w:szCs w:val="24"/>
        </w:rPr>
      </w:pPr>
    </w:p>
    <w:p w14:paraId="0A11C70B" w14:textId="14F22BBE" w:rsidR="0084525B" w:rsidRDefault="008444C1" w:rsidP="005644D5">
      <w:pPr>
        <w:jc w:val="center"/>
        <w:rPr>
          <w:b/>
          <w:sz w:val="24"/>
          <w:szCs w:val="24"/>
        </w:rPr>
      </w:pPr>
      <w:r>
        <w:rPr>
          <w:b/>
          <w:sz w:val="24"/>
          <w:szCs w:val="24"/>
        </w:rPr>
        <w:t>The Death Penalty, Extended Detention, Fair Trial and Foreign Fighters</w:t>
      </w:r>
    </w:p>
    <w:p w14:paraId="2984DD42" w14:textId="69290085" w:rsidR="00277D18" w:rsidRDefault="00277D18" w:rsidP="005644D5">
      <w:pPr>
        <w:jc w:val="center"/>
        <w:rPr>
          <w:b/>
          <w:sz w:val="24"/>
          <w:szCs w:val="24"/>
        </w:rPr>
      </w:pPr>
    </w:p>
    <w:p w14:paraId="6E9CAC28" w14:textId="77777777" w:rsidR="008444C1" w:rsidRDefault="008444C1" w:rsidP="00277D18">
      <w:pPr>
        <w:rPr>
          <w:b/>
          <w:sz w:val="24"/>
          <w:szCs w:val="24"/>
        </w:rPr>
      </w:pPr>
    </w:p>
    <w:p w14:paraId="12293F19" w14:textId="536651A9" w:rsidR="0084525B" w:rsidRPr="000530F1" w:rsidRDefault="0084525B" w:rsidP="005644D5">
      <w:pPr>
        <w:jc w:val="center"/>
        <w:rPr>
          <w:b/>
          <w:sz w:val="24"/>
          <w:szCs w:val="24"/>
        </w:rPr>
      </w:pPr>
    </w:p>
    <w:p w14:paraId="4E039699" w14:textId="5C3BD95E" w:rsidR="000530F1" w:rsidRPr="000530F1" w:rsidRDefault="000530F1" w:rsidP="000530F1">
      <w:pPr>
        <w:spacing w:line="480" w:lineRule="auto"/>
        <w:jc w:val="both"/>
        <w:rPr>
          <w:rFonts w:asciiTheme="majorBidi" w:hAnsiTheme="majorBidi" w:cstheme="majorBidi"/>
          <w:color w:val="000000" w:themeColor="text1"/>
          <w:sz w:val="24"/>
          <w:szCs w:val="24"/>
          <w:shd w:val="clear" w:color="auto" w:fill="FFFFFF"/>
        </w:rPr>
      </w:pPr>
      <w:r w:rsidRPr="000530F1">
        <w:rPr>
          <w:rFonts w:asciiTheme="majorBidi" w:hAnsiTheme="majorBidi" w:cstheme="majorBidi"/>
          <w:sz w:val="24"/>
          <w:szCs w:val="24"/>
        </w:rPr>
        <w:t xml:space="preserve">Since the Syrian conflict began in 2011, thousands of foreign nationals have travelled or attempted to travel </w:t>
      </w:r>
      <w:r w:rsidR="00365163">
        <w:rPr>
          <w:rFonts w:asciiTheme="majorBidi" w:hAnsiTheme="majorBidi" w:cstheme="majorBidi"/>
          <w:sz w:val="24"/>
          <w:szCs w:val="24"/>
        </w:rPr>
        <w:t xml:space="preserve">to </w:t>
      </w:r>
      <w:r w:rsidRPr="000530F1">
        <w:rPr>
          <w:rFonts w:asciiTheme="majorBidi" w:hAnsiTheme="majorBidi" w:cstheme="majorBidi"/>
          <w:sz w:val="24"/>
          <w:szCs w:val="24"/>
        </w:rPr>
        <w:t>conflict zones in Iraq and Syria to join armed groups. It is estimated that between 2011 and 2017, between 30,000 and 42,000 individuals from some 120 countries have travel</w:t>
      </w:r>
      <w:r w:rsidR="008444C1">
        <w:rPr>
          <w:rFonts w:asciiTheme="majorBidi" w:hAnsiTheme="majorBidi" w:cstheme="majorBidi"/>
          <w:sz w:val="24"/>
          <w:szCs w:val="24"/>
        </w:rPr>
        <w:t>l</w:t>
      </w:r>
      <w:r w:rsidRPr="000530F1">
        <w:rPr>
          <w:rFonts w:asciiTheme="majorBidi" w:hAnsiTheme="majorBidi" w:cstheme="majorBidi"/>
          <w:sz w:val="24"/>
          <w:szCs w:val="24"/>
        </w:rPr>
        <w:t>ed to Iraq and Syria to join the so-called Islamic State in Iraq and the Levant (ISIL/Da’esh) or other extremist armed groups.  There are currently a large number of “foreign fighters”, also referred to as “foreign terrorist fighters” (FTFs)</w:t>
      </w:r>
      <w:r w:rsidRPr="000530F1">
        <w:rPr>
          <w:rStyle w:val="FootnoteReference"/>
          <w:rFonts w:asciiTheme="majorBidi" w:hAnsiTheme="majorBidi" w:cstheme="majorBidi"/>
          <w:sz w:val="24"/>
          <w:szCs w:val="24"/>
        </w:rPr>
        <w:footnoteReference w:id="1"/>
      </w:r>
      <w:r w:rsidRPr="000530F1">
        <w:rPr>
          <w:rFonts w:asciiTheme="majorBidi" w:hAnsiTheme="majorBidi" w:cstheme="majorBidi"/>
          <w:sz w:val="24"/>
          <w:szCs w:val="24"/>
        </w:rPr>
        <w:t xml:space="preserve"> in the context of relevant Security Council Resolutions, and accompanying family members in Iraq and Syria and the status and capacity of these individuals continues to provoke debate over the scope and scale of the threat they pose</w:t>
      </w:r>
      <w:r w:rsidRPr="000530F1">
        <w:rPr>
          <w:rFonts w:asciiTheme="majorBidi" w:hAnsiTheme="majorBidi" w:cstheme="majorBidi"/>
          <w:color w:val="000000" w:themeColor="text1"/>
          <w:sz w:val="24"/>
          <w:szCs w:val="24"/>
          <w:shd w:val="clear" w:color="auto" w:fill="FFFFFF"/>
        </w:rPr>
        <w:t xml:space="preserve">.  </w:t>
      </w:r>
    </w:p>
    <w:p w14:paraId="7AB54292" w14:textId="77777777" w:rsidR="000530F1" w:rsidRPr="000530F1" w:rsidRDefault="000530F1" w:rsidP="000530F1">
      <w:pPr>
        <w:spacing w:line="480" w:lineRule="auto"/>
        <w:jc w:val="both"/>
        <w:rPr>
          <w:rFonts w:asciiTheme="majorBidi" w:hAnsiTheme="majorBidi" w:cstheme="majorBidi"/>
          <w:color w:val="000000" w:themeColor="text1"/>
          <w:sz w:val="24"/>
          <w:szCs w:val="24"/>
          <w:shd w:val="clear" w:color="auto" w:fill="FFFFFF"/>
        </w:rPr>
      </w:pPr>
    </w:p>
    <w:p w14:paraId="16C7D6D3" w14:textId="1A5129B0" w:rsidR="000530F1" w:rsidRDefault="000530F1" w:rsidP="000530F1">
      <w:pPr>
        <w:spacing w:line="480" w:lineRule="auto"/>
        <w:jc w:val="both"/>
        <w:rPr>
          <w:rFonts w:asciiTheme="majorBidi" w:hAnsiTheme="majorBidi" w:cstheme="majorBidi"/>
          <w:sz w:val="24"/>
          <w:szCs w:val="24"/>
        </w:rPr>
      </w:pPr>
      <w:r w:rsidRPr="000530F1">
        <w:rPr>
          <w:rFonts w:asciiTheme="majorBidi" w:hAnsiTheme="majorBidi" w:cstheme="majorBidi"/>
          <w:sz w:val="24"/>
          <w:szCs w:val="24"/>
        </w:rPr>
        <w:t xml:space="preserve">Despite these debates, the contours of the threat, at least in the terms of the number of persons who joined </w:t>
      </w:r>
      <w:r w:rsidR="001B1D2D">
        <w:rPr>
          <w:rFonts w:asciiTheme="majorBidi" w:hAnsiTheme="majorBidi" w:cstheme="majorBidi"/>
          <w:sz w:val="24"/>
          <w:szCs w:val="24"/>
        </w:rPr>
        <w:t xml:space="preserve">armed opposition groups and designated </w:t>
      </w:r>
      <w:r w:rsidRPr="000530F1">
        <w:rPr>
          <w:rFonts w:asciiTheme="majorBidi" w:hAnsiTheme="majorBidi" w:cstheme="majorBidi"/>
          <w:sz w:val="24"/>
          <w:szCs w:val="24"/>
        </w:rPr>
        <w:t>terrorist groups but specifically “Islamic State” in Iraq and the Levant (ISIL) and suspected associated groups in Iraq, Syria and other countries are now more accurately known than was the case some years ago.</w:t>
      </w:r>
      <w:r w:rsidRPr="000530F1">
        <w:rPr>
          <w:rStyle w:val="FootnoteReference"/>
          <w:rFonts w:asciiTheme="majorBidi" w:hAnsiTheme="majorBidi" w:cstheme="majorBidi"/>
          <w:sz w:val="24"/>
          <w:szCs w:val="24"/>
        </w:rPr>
        <w:footnoteReference w:id="2"/>
      </w:r>
      <w:r w:rsidRPr="000530F1">
        <w:rPr>
          <w:rFonts w:asciiTheme="majorBidi" w:hAnsiTheme="majorBidi" w:cstheme="majorBidi"/>
          <w:sz w:val="24"/>
          <w:szCs w:val="24"/>
        </w:rPr>
        <w:t xml:space="preserve"> Particularly, for countries collecting robust data fairly effectively </w:t>
      </w:r>
      <w:r w:rsidRPr="000530F1">
        <w:rPr>
          <w:rFonts w:asciiTheme="majorBidi" w:hAnsiTheme="majorBidi" w:cstheme="majorBidi"/>
          <w:sz w:val="24"/>
          <w:szCs w:val="24"/>
        </w:rPr>
        <w:lastRenderedPageBreak/>
        <w:t>on inwards and outward travel,</w:t>
      </w:r>
      <w:r w:rsidRPr="000530F1">
        <w:rPr>
          <w:rStyle w:val="FootnoteReference"/>
          <w:rFonts w:asciiTheme="majorBidi" w:hAnsiTheme="majorBidi" w:cstheme="majorBidi"/>
          <w:sz w:val="24"/>
          <w:szCs w:val="24"/>
        </w:rPr>
        <w:footnoteReference w:id="3"/>
      </w:r>
      <w:r w:rsidRPr="000530F1">
        <w:rPr>
          <w:rFonts w:asciiTheme="majorBidi" w:hAnsiTheme="majorBidi" w:cstheme="majorBidi"/>
          <w:sz w:val="24"/>
          <w:szCs w:val="24"/>
        </w:rPr>
        <w:t xml:space="preserve"> the numbers of those men and women who departed to join non-state </w:t>
      </w:r>
      <w:r w:rsidR="00D90C88">
        <w:rPr>
          <w:rFonts w:asciiTheme="majorBidi" w:hAnsiTheme="majorBidi" w:cstheme="majorBidi"/>
          <w:sz w:val="24"/>
          <w:szCs w:val="24"/>
        </w:rPr>
        <w:t xml:space="preserve">armed </w:t>
      </w:r>
      <w:r w:rsidRPr="000530F1">
        <w:rPr>
          <w:rFonts w:asciiTheme="majorBidi" w:hAnsiTheme="majorBidi" w:cstheme="majorBidi"/>
          <w:sz w:val="24"/>
          <w:szCs w:val="24"/>
        </w:rPr>
        <w:t xml:space="preserve">groups </w:t>
      </w:r>
      <w:r w:rsidR="00D90C88">
        <w:rPr>
          <w:rFonts w:asciiTheme="majorBidi" w:hAnsiTheme="majorBidi" w:cstheme="majorBidi"/>
          <w:sz w:val="24"/>
          <w:szCs w:val="24"/>
        </w:rPr>
        <w:t>are</w:t>
      </w:r>
      <w:r w:rsidR="00D90C88" w:rsidRPr="000530F1">
        <w:rPr>
          <w:rFonts w:asciiTheme="majorBidi" w:hAnsiTheme="majorBidi" w:cstheme="majorBidi"/>
          <w:sz w:val="24"/>
          <w:szCs w:val="24"/>
        </w:rPr>
        <w:t xml:space="preserve"> </w:t>
      </w:r>
      <w:r w:rsidRPr="000530F1">
        <w:rPr>
          <w:rFonts w:asciiTheme="majorBidi" w:hAnsiTheme="majorBidi" w:cstheme="majorBidi"/>
          <w:sz w:val="24"/>
          <w:szCs w:val="24"/>
        </w:rPr>
        <w:t>broadly established</w:t>
      </w:r>
      <w:r w:rsidR="00D90C88">
        <w:rPr>
          <w:rFonts w:asciiTheme="majorBidi" w:hAnsiTheme="majorBidi" w:cstheme="majorBidi"/>
          <w:sz w:val="24"/>
          <w:szCs w:val="24"/>
        </w:rPr>
        <w:t xml:space="preserve">: </w:t>
      </w:r>
      <w:r w:rsidRPr="000530F1">
        <w:rPr>
          <w:rFonts w:asciiTheme="majorBidi" w:hAnsiTheme="majorBidi" w:cstheme="majorBidi"/>
          <w:sz w:val="24"/>
          <w:szCs w:val="24"/>
        </w:rPr>
        <w:t>we have more accurate data on the numbers of fighters traveling,</w:t>
      </w:r>
      <w:r w:rsidRPr="000530F1">
        <w:rPr>
          <w:rStyle w:val="FootnoteReference"/>
          <w:rFonts w:asciiTheme="majorBidi" w:hAnsiTheme="majorBidi" w:cstheme="majorBidi"/>
          <w:sz w:val="24"/>
          <w:szCs w:val="24"/>
        </w:rPr>
        <w:footnoteReference w:id="4"/>
      </w:r>
      <w:r w:rsidRPr="000530F1">
        <w:rPr>
          <w:rFonts w:asciiTheme="majorBidi" w:hAnsiTheme="majorBidi" w:cstheme="majorBidi"/>
          <w:sz w:val="24"/>
          <w:szCs w:val="24"/>
        </w:rPr>
        <w:t xml:space="preserve"> data on deaths and casualties,</w:t>
      </w:r>
      <w:r w:rsidRPr="000530F1">
        <w:rPr>
          <w:rStyle w:val="FootnoteReference"/>
          <w:rFonts w:asciiTheme="majorBidi" w:hAnsiTheme="majorBidi" w:cstheme="majorBidi"/>
          <w:sz w:val="24"/>
          <w:szCs w:val="24"/>
        </w:rPr>
        <w:footnoteReference w:id="5"/>
      </w:r>
      <w:r w:rsidRPr="000530F1">
        <w:rPr>
          <w:rFonts w:asciiTheme="majorBidi" w:hAnsiTheme="majorBidi" w:cstheme="majorBidi"/>
          <w:sz w:val="24"/>
          <w:szCs w:val="24"/>
        </w:rPr>
        <w:t xml:space="preserve"> better analysis on movement between conflict sites, and better statistics on returnees (particularly to European states).</w:t>
      </w:r>
      <w:r w:rsidRPr="000530F1">
        <w:rPr>
          <w:rStyle w:val="FootnoteReference"/>
          <w:rFonts w:asciiTheme="majorBidi" w:hAnsiTheme="majorBidi" w:cstheme="majorBidi"/>
          <w:sz w:val="24"/>
          <w:szCs w:val="24"/>
        </w:rPr>
        <w:footnoteReference w:id="6"/>
      </w:r>
      <w:r w:rsidRPr="000530F1">
        <w:rPr>
          <w:rFonts w:asciiTheme="majorBidi" w:hAnsiTheme="majorBidi" w:cstheme="majorBidi"/>
          <w:sz w:val="24"/>
          <w:szCs w:val="24"/>
        </w:rPr>
        <w:t xml:space="preserve">  Greater disaggregated data on women and girls is notable,</w:t>
      </w:r>
      <w:r w:rsidRPr="000530F1">
        <w:rPr>
          <w:rStyle w:val="FootnoteReference"/>
          <w:rFonts w:asciiTheme="majorBidi" w:hAnsiTheme="majorBidi" w:cstheme="majorBidi"/>
          <w:sz w:val="24"/>
          <w:szCs w:val="24"/>
        </w:rPr>
        <w:footnoteReference w:id="7"/>
      </w:r>
      <w:r w:rsidRPr="000530F1">
        <w:rPr>
          <w:rFonts w:asciiTheme="majorBidi" w:hAnsiTheme="majorBidi" w:cstheme="majorBidi"/>
          <w:sz w:val="24"/>
          <w:szCs w:val="24"/>
        </w:rPr>
        <w:t xml:space="preserve"> and increased attention is being paid to children including disaggregation by sex and age.</w:t>
      </w:r>
      <w:r w:rsidRPr="000530F1">
        <w:rPr>
          <w:rStyle w:val="FootnoteReference"/>
          <w:rFonts w:asciiTheme="majorBidi" w:hAnsiTheme="majorBidi" w:cstheme="majorBidi"/>
          <w:sz w:val="24"/>
          <w:szCs w:val="24"/>
        </w:rPr>
        <w:footnoteReference w:id="8"/>
      </w:r>
      <w:r w:rsidRPr="000530F1">
        <w:rPr>
          <w:rFonts w:asciiTheme="majorBidi" w:hAnsiTheme="majorBidi" w:cstheme="majorBidi"/>
          <w:sz w:val="24"/>
          <w:szCs w:val="24"/>
        </w:rPr>
        <w:t xml:space="preserve">  Detention, charging, trial and imprisonment data </w:t>
      </w:r>
      <w:r w:rsidRPr="000530F1">
        <w:rPr>
          <w:rFonts w:asciiTheme="majorBidi" w:hAnsiTheme="majorBidi" w:cstheme="majorBidi"/>
          <w:sz w:val="24"/>
          <w:szCs w:val="24"/>
        </w:rPr>
        <w:lastRenderedPageBreak/>
        <w:t>is also emerging. By November 2017, nearly 7,000 F(T)Fs were believed to have died on the battlefield, and at least 14,910 were reported to have left the conflict zones, with some 6,800 returning to their home countries.</w:t>
      </w:r>
      <w:r w:rsidRPr="000530F1">
        <w:rPr>
          <w:rStyle w:val="FootnoteReference"/>
          <w:rFonts w:asciiTheme="majorBidi" w:hAnsiTheme="majorBidi" w:cstheme="majorBidi"/>
          <w:sz w:val="24"/>
          <w:szCs w:val="24"/>
        </w:rPr>
        <w:footnoteReference w:id="9"/>
      </w:r>
      <w:r w:rsidRPr="000530F1">
        <w:rPr>
          <w:rFonts w:asciiTheme="majorBidi" w:hAnsiTheme="majorBidi" w:cstheme="majorBidi"/>
          <w:sz w:val="24"/>
          <w:szCs w:val="24"/>
        </w:rPr>
        <w:t xml:space="preserve"> This indicates that some ‘known-knowns’ are established, and by corollary, this information should have effects on management, legality and regulatory consequences.</w:t>
      </w:r>
      <w:r w:rsidR="00277D18">
        <w:rPr>
          <w:rFonts w:asciiTheme="majorBidi" w:hAnsiTheme="majorBidi" w:cstheme="majorBidi"/>
          <w:sz w:val="24"/>
          <w:szCs w:val="24"/>
        </w:rPr>
        <w:t xml:space="preserve">  It is also true that better information allows us to clarify the extent of States’ international law obligations and to discern with clarity what human rights issues are triggered by size and dimensions of the group. </w:t>
      </w:r>
      <w:r w:rsidRPr="000530F1">
        <w:rPr>
          <w:rFonts w:asciiTheme="majorBidi" w:hAnsiTheme="majorBidi" w:cstheme="majorBidi"/>
          <w:sz w:val="24"/>
          <w:szCs w:val="24"/>
        </w:rPr>
        <w:t xml:space="preserve"> </w:t>
      </w:r>
      <w:r w:rsidR="00365163">
        <w:rPr>
          <w:rFonts w:asciiTheme="majorBidi" w:hAnsiTheme="majorBidi" w:cstheme="majorBidi"/>
          <w:sz w:val="24"/>
          <w:szCs w:val="24"/>
        </w:rPr>
        <w:t>Yet</w:t>
      </w:r>
      <w:r w:rsidRPr="000530F1">
        <w:rPr>
          <w:rFonts w:asciiTheme="majorBidi" w:hAnsiTheme="majorBidi" w:cstheme="majorBidi"/>
          <w:sz w:val="24"/>
          <w:szCs w:val="24"/>
        </w:rPr>
        <w:t xml:space="preserve">, despite greater data and greater accuracy in that data, there is still a rather hyperbolic tone to much of the discourse, which occludes a more fact-based, intentional and pragmatic approach to the challenges.  </w:t>
      </w:r>
      <w:r w:rsidR="00277D18">
        <w:rPr>
          <w:rFonts w:asciiTheme="majorBidi" w:hAnsiTheme="majorBidi" w:cstheme="majorBidi"/>
          <w:sz w:val="24"/>
          <w:szCs w:val="24"/>
        </w:rPr>
        <w:t>It has also detracted attention from addressing the human rights obligations of States, including the consequences that follow from the threat or application of the death penalty.</w:t>
      </w:r>
    </w:p>
    <w:p w14:paraId="24F3F320" w14:textId="3DC2D922" w:rsidR="008444C1" w:rsidRDefault="008444C1" w:rsidP="000530F1">
      <w:pPr>
        <w:spacing w:line="480" w:lineRule="auto"/>
        <w:jc w:val="both"/>
        <w:rPr>
          <w:rFonts w:asciiTheme="majorBidi" w:hAnsiTheme="majorBidi" w:cstheme="majorBidi"/>
          <w:sz w:val="24"/>
          <w:szCs w:val="24"/>
        </w:rPr>
      </w:pPr>
    </w:p>
    <w:p w14:paraId="7710C444" w14:textId="4E8781EB" w:rsidR="008444C1" w:rsidRDefault="008444C1" w:rsidP="00BD51A9">
      <w:pPr>
        <w:spacing w:line="360" w:lineRule="auto"/>
        <w:jc w:val="both"/>
        <w:rPr>
          <w:rFonts w:asciiTheme="majorBidi" w:hAnsiTheme="majorBidi" w:cstheme="majorBidi"/>
          <w:i/>
          <w:iCs/>
          <w:sz w:val="24"/>
          <w:szCs w:val="24"/>
        </w:rPr>
      </w:pPr>
      <w:r w:rsidRPr="00BD51A9">
        <w:rPr>
          <w:rFonts w:asciiTheme="majorBidi" w:hAnsiTheme="majorBidi" w:cstheme="majorBidi"/>
          <w:i/>
          <w:iCs/>
          <w:sz w:val="24"/>
          <w:szCs w:val="24"/>
        </w:rPr>
        <w:t>Protecting the Right to Life in Complex Contexts</w:t>
      </w:r>
    </w:p>
    <w:p w14:paraId="3F900656" w14:textId="77777777" w:rsidR="00BD51A9" w:rsidRPr="00BD51A9" w:rsidRDefault="00BD51A9" w:rsidP="00BD51A9">
      <w:pPr>
        <w:spacing w:line="360" w:lineRule="auto"/>
        <w:jc w:val="both"/>
        <w:rPr>
          <w:rFonts w:asciiTheme="majorBidi" w:hAnsiTheme="majorBidi" w:cstheme="majorBidi"/>
          <w:i/>
          <w:iCs/>
          <w:sz w:val="24"/>
          <w:szCs w:val="24"/>
        </w:rPr>
      </w:pPr>
    </w:p>
    <w:p w14:paraId="7287B16A" w14:textId="795CC055" w:rsidR="00277D18" w:rsidRDefault="008444C1" w:rsidP="00277D18">
      <w:pPr>
        <w:spacing w:line="480" w:lineRule="auto"/>
        <w:jc w:val="both"/>
        <w:rPr>
          <w:rFonts w:asciiTheme="majorBidi" w:hAnsiTheme="majorBidi" w:cstheme="majorBidi"/>
          <w:sz w:val="24"/>
          <w:szCs w:val="24"/>
        </w:rPr>
      </w:pPr>
      <w:r w:rsidRPr="00BD51A9">
        <w:rPr>
          <w:rFonts w:asciiTheme="majorBidi" w:hAnsiTheme="majorBidi" w:cstheme="majorBidi"/>
          <w:sz w:val="24"/>
          <w:szCs w:val="24"/>
        </w:rPr>
        <w:lastRenderedPageBreak/>
        <w:t>My mandate and that of the Special Rapporteur on the Summary and Arbitrary Executions ha</w:t>
      </w:r>
      <w:r w:rsidR="00365163">
        <w:rPr>
          <w:rFonts w:asciiTheme="majorBidi" w:hAnsiTheme="majorBidi" w:cstheme="majorBidi"/>
          <w:sz w:val="24"/>
          <w:szCs w:val="24"/>
        </w:rPr>
        <w:t xml:space="preserve">s </w:t>
      </w:r>
      <w:r w:rsidRPr="00BD51A9">
        <w:rPr>
          <w:rFonts w:asciiTheme="majorBidi" w:hAnsiTheme="majorBidi" w:cstheme="majorBidi"/>
          <w:sz w:val="24"/>
          <w:szCs w:val="24"/>
        </w:rPr>
        <w:t xml:space="preserve">communicated with a number of governments concerning individuals </w:t>
      </w:r>
      <w:r w:rsidR="00BD51A9">
        <w:rPr>
          <w:rFonts w:asciiTheme="majorBidi" w:hAnsiTheme="majorBidi" w:cstheme="majorBidi"/>
          <w:sz w:val="24"/>
          <w:szCs w:val="24"/>
        </w:rPr>
        <w:t>and/or</w:t>
      </w:r>
      <w:r w:rsidRPr="00BD51A9">
        <w:rPr>
          <w:rFonts w:asciiTheme="majorBidi" w:hAnsiTheme="majorBidi" w:cstheme="majorBidi"/>
          <w:sz w:val="24"/>
          <w:szCs w:val="24"/>
        </w:rPr>
        <w:t xml:space="preserve"> their families being detained as Foreign Fighters in Iraq</w:t>
      </w:r>
      <w:r w:rsidR="00BE6844">
        <w:rPr>
          <w:rFonts w:asciiTheme="majorBidi" w:hAnsiTheme="majorBidi" w:cstheme="majorBidi"/>
          <w:sz w:val="24"/>
          <w:szCs w:val="24"/>
        </w:rPr>
        <w:t xml:space="preserve"> </w:t>
      </w:r>
      <w:r w:rsidRPr="00BD51A9">
        <w:rPr>
          <w:rFonts w:asciiTheme="majorBidi" w:hAnsiTheme="majorBidi" w:cstheme="majorBidi"/>
          <w:sz w:val="24"/>
          <w:szCs w:val="24"/>
        </w:rPr>
        <w:t>and/or in territories controlled by non-state actors in Syria.  These States include but are not limited to Azerbaijan, Belgium,</w:t>
      </w:r>
      <w:r w:rsidR="00277D18">
        <w:rPr>
          <w:rFonts w:asciiTheme="majorBidi" w:hAnsiTheme="majorBidi" w:cstheme="majorBidi"/>
          <w:sz w:val="24"/>
          <w:szCs w:val="24"/>
        </w:rPr>
        <w:t xml:space="preserve"> the United Kingdom,</w:t>
      </w:r>
      <w:r w:rsidRPr="00BD51A9">
        <w:rPr>
          <w:rFonts w:asciiTheme="majorBidi" w:hAnsiTheme="majorBidi" w:cstheme="majorBidi"/>
          <w:sz w:val="24"/>
          <w:szCs w:val="24"/>
        </w:rPr>
        <w:t xml:space="preserve"> Germany, Kyrgyzstan, France, Russia, and Turkey.  </w:t>
      </w:r>
      <w:r w:rsidR="00277D18">
        <w:rPr>
          <w:rFonts w:asciiTheme="majorBidi" w:hAnsiTheme="majorBidi" w:cstheme="majorBidi"/>
          <w:sz w:val="24"/>
          <w:szCs w:val="24"/>
        </w:rPr>
        <w:t xml:space="preserve">The States or territories in which fighters and their dependants are being held present complex features.  </w:t>
      </w:r>
      <w:r w:rsidR="00BE6844">
        <w:rPr>
          <w:rFonts w:asciiTheme="majorBidi" w:hAnsiTheme="majorBidi" w:cstheme="majorBidi"/>
          <w:sz w:val="24"/>
          <w:szCs w:val="24"/>
        </w:rPr>
        <w:t xml:space="preserve">In Iraq for instance, the State that has emerged from decades of conflict – foreign invasion and </w:t>
      </w:r>
      <w:r w:rsidR="0061715A">
        <w:rPr>
          <w:rFonts w:asciiTheme="majorBidi" w:hAnsiTheme="majorBidi" w:cstheme="majorBidi"/>
          <w:sz w:val="24"/>
          <w:szCs w:val="24"/>
        </w:rPr>
        <w:t xml:space="preserve">multiple </w:t>
      </w:r>
      <w:r w:rsidR="00BE6844">
        <w:rPr>
          <w:rFonts w:asciiTheme="majorBidi" w:hAnsiTheme="majorBidi" w:cstheme="majorBidi"/>
          <w:sz w:val="24"/>
          <w:szCs w:val="24"/>
        </w:rPr>
        <w:t xml:space="preserve">devastation – is </w:t>
      </w:r>
      <w:r w:rsidR="00277D18">
        <w:rPr>
          <w:rFonts w:asciiTheme="majorBidi" w:hAnsiTheme="majorBidi" w:cstheme="majorBidi"/>
          <w:sz w:val="24"/>
          <w:szCs w:val="24"/>
        </w:rPr>
        <w:t>fragile</w:t>
      </w:r>
      <w:r w:rsidR="00BE6844">
        <w:rPr>
          <w:rFonts w:asciiTheme="majorBidi" w:hAnsiTheme="majorBidi" w:cstheme="majorBidi"/>
          <w:sz w:val="24"/>
          <w:szCs w:val="24"/>
        </w:rPr>
        <w:t xml:space="preserve">, has </w:t>
      </w:r>
      <w:r w:rsidR="00277D18">
        <w:rPr>
          <w:rFonts w:asciiTheme="majorBidi" w:hAnsiTheme="majorBidi" w:cstheme="majorBidi"/>
          <w:sz w:val="24"/>
          <w:szCs w:val="24"/>
        </w:rPr>
        <w:t xml:space="preserve">poor rule of law capacity, limited institutional ability to manage a multifaceted prison population, </w:t>
      </w:r>
      <w:r w:rsidR="00BE6844">
        <w:rPr>
          <w:rFonts w:asciiTheme="majorBidi" w:hAnsiTheme="majorBidi" w:cstheme="majorBidi"/>
          <w:sz w:val="24"/>
          <w:szCs w:val="24"/>
        </w:rPr>
        <w:t>is</w:t>
      </w:r>
      <w:r w:rsidR="00277D18">
        <w:rPr>
          <w:rFonts w:asciiTheme="majorBidi" w:hAnsiTheme="majorBidi" w:cstheme="majorBidi"/>
          <w:sz w:val="24"/>
          <w:szCs w:val="24"/>
        </w:rPr>
        <w:t xml:space="preserve"> challenged by resource constraints, and does not have full and effective control of its territory.</w:t>
      </w:r>
      <w:r w:rsidR="00BE6844">
        <w:rPr>
          <w:rFonts w:asciiTheme="majorBidi" w:hAnsiTheme="majorBidi" w:cstheme="majorBidi"/>
          <w:sz w:val="24"/>
          <w:szCs w:val="24"/>
        </w:rPr>
        <w:t xml:space="preserve"> Other entities which hold foreign fighters or their families </w:t>
      </w:r>
      <w:r w:rsidR="0061715A">
        <w:rPr>
          <w:rFonts w:asciiTheme="majorBidi" w:hAnsiTheme="majorBidi" w:cstheme="majorBidi"/>
          <w:sz w:val="24"/>
          <w:szCs w:val="24"/>
        </w:rPr>
        <w:t xml:space="preserve">captured during combats </w:t>
      </w:r>
      <w:r w:rsidR="00BE6844">
        <w:rPr>
          <w:rFonts w:asciiTheme="majorBidi" w:hAnsiTheme="majorBidi" w:cstheme="majorBidi"/>
          <w:sz w:val="24"/>
          <w:szCs w:val="24"/>
        </w:rPr>
        <w:t xml:space="preserve">include armed groups </w:t>
      </w:r>
      <w:r w:rsidR="001B1D2D">
        <w:rPr>
          <w:rFonts w:asciiTheme="majorBidi" w:hAnsiTheme="majorBidi" w:cstheme="majorBidi"/>
          <w:sz w:val="24"/>
          <w:szCs w:val="24"/>
        </w:rPr>
        <w:t>situated within distinct</w:t>
      </w:r>
      <w:r w:rsidR="00BE6844">
        <w:rPr>
          <w:rFonts w:asciiTheme="majorBidi" w:hAnsiTheme="majorBidi" w:cstheme="majorBidi"/>
          <w:sz w:val="24"/>
          <w:szCs w:val="24"/>
        </w:rPr>
        <w:t xml:space="preserve"> </w:t>
      </w:r>
      <w:r w:rsidR="001B1D2D">
        <w:rPr>
          <w:rFonts w:asciiTheme="majorBidi" w:hAnsiTheme="majorBidi" w:cstheme="majorBidi"/>
          <w:sz w:val="24"/>
          <w:szCs w:val="24"/>
        </w:rPr>
        <w:t>geographies mapping onto the broader</w:t>
      </w:r>
      <w:r w:rsidR="00BE6844">
        <w:rPr>
          <w:rFonts w:asciiTheme="majorBidi" w:hAnsiTheme="majorBidi" w:cstheme="majorBidi"/>
          <w:sz w:val="24"/>
          <w:szCs w:val="24"/>
        </w:rPr>
        <w:t xml:space="preserve"> conflict in Syria. </w:t>
      </w:r>
    </w:p>
    <w:p w14:paraId="6829C246" w14:textId="77777777" w:rsidR="00277D18" w:rsidRDefault="00277D18" w:rsidP="00277D18">
      <w:pPr>
        <w:spacing w:line="480" w:lineRule="auto"/>
        <w:jc w:val="both"/>
        <w:rPr>
          <w:rFonts w:asciiTheme="majorBidi" w:hAnsiTheme="majorBidi" w:cstheme="majorBidi"/>
          <w:sz w:val="24"/>
          <w:szCs w:val="24"/>
        </w:rPr>
      </w:pPr>
    </w:p>
    <w:p w14:paraId="675C6746" w14:textId="5AAE34BB" w:rsidR="00BD51A9" w:rsidRDefault="008444C1" w:rsidP="00277D18">
      <w:pPr>
        <w:spacing w:line="480" w:lineRule="auto"/>
        <w:jc w:val="both"/>
        <w:rPr>
          <w:rFonts w:asciiTheme="majorBidi" w:hAnsiTheme="majorBidi" w:cstheme="majorBidi"/>
          <w:sz w:val="24"/>
          <w:szCs w:val="24"/>
        </w:rPr>
      </w:pPr>
      <w:r w:rsidRPr="00BD51A9">
        <w:rPr>
          <w:rFonts w:asciiTheme="majorBidi" w:hAnsiTheme="majorBidi" w:cstheme="majorBidi"/>
          <w:sz w:val="24"/>
          <w:szCs w:val="24"/>
        </w:rPr>
        <w:t>In respect of Iraq,</w:t>
      </w:r>
      <w:r w:rsidR="00BD51A9" w:rsidRPr="00BD51A9">
        <w:rPr>
          <w:rFonts w:asciiTheme="majorBidi" w:hAnsiTheme="majorBidi" w:cstheme="majorBidi"/>
          <w:sz w:val="24"/>
          <w:szCs w:val="24"/>
        </w:rPr>
        <w:t xml:space="preserve"> prosecutions of most foreign fighters fall under Iraq’s Anti-Terrorism Law.</w:t>
      </w:r>
      <w:r w:rsidR="00BD51A9" w:rsidRPr="00BD51A9">
        <w:rPr>
          <w:rStyle w:val="FootnoteReference"/>
          <w:rFonts w:asciiTheme="majorBidi" w:hAnsiTheme="majorBidi" w:cstheme="majorBidi"/>
          <w:sz w:val="24"/>
          <w:szCs w:val="24"/>
        </w:rPr>
        <w:footnoteReference w:id="10"/>
      </w:r>
      <w:r w:rsidR="00BD51A9" w:rsidRPr="00BD51A9">
        <w:rPr>
          <w:rFonts w:asciiTheme="majorBidi" w:hAnsiTheme="majorBidi" w:cstheme="majorBidi"/>
          <w:sz w:val="24"/>
          <w:szCs w:val="24"/>
        </w:rPr>
        <w:t xml:space="preserve"> </w:t>
      </w:r>
      <w:r w:rsidR="00BD51A9">
        <w:rPr>
          <w:rFonts w:asciiTheme="majorBidi" w:hAnsiTheme="majorBidi" w:cstheme="majorBidi"/>
          <w:sz w:val="24"/>
          <w:szCs w:val="24"/>
        </w:rPr>
        <w:t xml:space="preserve"> The death penalty is applicable to crimes contained in that law. My mandate has taken the position that the</w:t>
      </w:r>
      <w:r w:rsidR="00BD51A9" w:rsidRPr="00BD51A9">
        <w:rPr>
          <w:rFonts w:asciiTheme="majorBidi" w:hAnsiTheme="majorBidi" w:cstheme="majorBidi"/>
          <w:sz w:val="24"/>
          <w:szCs w:val="24"/>
        </w:rPr>
        <w:t xml:space="preserve"> law’s definition of terrorism is overly broad and ambiguous.</w:t>
      </w:r>
      <w:r w:rsidR="00BD51A9">
        <w:rPr>
          <w:rFonts w:asciiTheme="majorBidi" w:hAnsiTheme="majorBidi" w:cstheme="majorBidi"/>
          <w:sz w:val="24"/>
          <w:szCs w:val="24"/>
        </w:rPr>
        <w:t xml:space="preserve"> </w:t>
      </w:r>
      <w:r w:rsidR="00365163">
        <w:rPr>
          <w:sz w:val="24"/>
          <w:szCs w:val="24"/>
        </w:rPr>
        <w:t>As Special Rapporteur I have</w:t>
      </w:r>
      <w:r w:rsidR="00BD51A9">
        <w:rPr>
          <w:sz w:val="24"/>
          <w:szCs w:val="24"/>
        </w:rPr>
        <w:t xml:space="preserve"> consistently affirmed that the</w:t>
      </w:r>
      <w:r w:rsidR="00BD51A9" w:rsidRPr="00E71A08">
        <w:rPr>
          <w:rFonts w:asciiTheme="majorBidi" w:hAnsiTheme="majorBidi" w:cstheme="majorBidi"/>
          <w:sz w:val="24"/>
          <w:szCs w:val="24"/>
        </w:rPr>
        <w:t xml:space="preserve"> definition</w:t>
      </w:r>
      <w:r w:rsidR="00BD51A9">
        <w:rPr>
          <w:rFonts w:asciiTheme="majorBidi" w:hAnsiTheme="majorBidi" w:cstheme="majorBidi"/>
          <w:sz w:val="24"/>
          <w:szCs w:val="24"/>
        </w:rPr>
        <w:t xml:space="preserve"> of terrorism must</w:t>
      </w:r>
      <w:r w:rsidR="00BD51A9" w:rsidRPr="00E71A08">
        <w:rPr>
          <w:rFonts w:asciiTheme="majorBidi" w:hAnsiTheme="majorBidi" w:cstheme="majorBidi"/>
          <w:sz w:val="24"/>
          <w:szCs w:val="24"/>
        </w:rPr>
        <w:t xml:space="preserve"> be confined to acts that are ‘genuinely’ terrorist in nature.</w:t>
      </w:r>
      <w:r w:rsidR="00BD51A9" w:rsidRPr="00E71A08">
        <w:rPr>
          <w:rStyle w:val="FootnoteReference"/>
          <w:rFonts w:asciiTheme="majorBidi" w:hAnsiTheme="majorBidi" w:cstheme="majorBidi"/>
          <w:sz w:val="24"/>
          <w:szCs w:val="24"/>
        </w:rPr>
        <w:t xml:space="preserve"> </w:t>
      </w:r>
      <w:r w:rsidR="00BD51A9" w:rsidRPr="00E71A08">
        <w:rPr>
          <w:rFonts w:asciiTheme="majorBidi" w:hAnsiTheme="majorBidi" w:cstheme="majorBidi"/>
          <w:sz w:val="24"/>
          <w:szCs w:val="24"/>
        </w:rPr>
        <w:t xml:space="preserve">This is the only way to ensure that the principles of </w:t>
      </w:r>
      <w:r w:rsidR="00BD51A9">
        <w:rPr>
          <w:rFonts w:asciiTheme="majorBidi" w:hAnsiTheme="majorBidi" w:cstheme="majorBidi"/>
          <w:sz w:val="24"/>
          <w:szCs w:val="24"/>
        </w:rPr>
        <w:t xml:space="preserve">legality, </w:t>
      </w:r>
      <w:r w:rsidR="00BD51A9" w:rsidRPr="00E71A08">
        <w:rPr>
          <w:rFonts w:asciiTheme="majorBidi" w:hAnsiTheme="majorBidi" w:cstheme="majorBidi"/>
          <w:sz w:val="24"/>
          <w:szCs w:val="24"/>
        </w:rPr>
        <w:t>necessity and proportionality under international human rights law are complied with in assessing the permissibility of any restriction on human rights.</w:t>
      </w:r>
      <w:r w:rsidR="00BD51A9">
        <w:rPr>
          <w:rFonts w:asciiTheme="majorBidi" w:hAnsiTheme="majorBidi" w:cstheme="majorBidi"/>
          <w:sz w:val="24"/>
          <w:szCs w:val="24"/>
        </w:rPr>
        <w:t xml:space="preserve"> To this </w:t>
      </w:r>
      <w:r w:rsidR="00BD51A9">
        <w:rPr>
          <w:rFonts w:asciiTheme="majorBidi" w:hAnsiTheme="majorBidi" w:cstheme="majorBidi"/>
          <w:sz w:val="24"/>
          <w:szCs w:val="24"/>
        </w:rPr>
        <w:lastRenderedPageBreak/>
        <w:t xml:space="preserve">end, my predecessor Martin </w:t>
      </w:r>
      <w:proofErr w:type="spellStart"/>
      <w:r w:rsidR="00BD51A9">
        <w:rPr>
          <w:rFonts w:asciiTheme="majorBidi" w:hAnsiTheme="majorBidi" w:cstheme="majorBidi"/>
          <w:sz w:val="24"/>
          <w:szCs w:val="24"/>
        </w:rPr>
        <w:t>Scheinin</w:t>
      </w:r>
      <w:proofErr w:type="spellEnd"/>
      <w:r w:rsidR="00BD51A9">
        <w:rPr>
          <w:rFonts w:asciiTheme="majorBidi" w:hAnsiTheme="majorBidi" w:cstheme="majorBidi"/>
          <w:sz w:val="24"/>
          <w:szCs w:val="24"/>
        </w:rPr>
        <w:t xml:space="preserve"> provided a model definition of terrorism to enable States to advance precision in their domestic regulation.</w:t>
      </w:r>
      <w:r w:rsidR="00BD51A9">
        <w:rPr>
          <w:rStyle w:val="FootnoteReference"/>
          <w:rFonts w:asciiTheme="majorBidi" w:hAnsiTheme="majorBidi"/>
          <w:sz w:val="24"/>
          <w:szCs w:val="24"/>
        </w:rPr>
        <w:footnoteReference w:id="11"/>
      </w:r>
      <w:r w:rsidR="00BD51A9">
        <w:rPr>
          <w:rFonts w:asciiTheme="majorBidi" w:hAnsiTheme="majorBidi" w:cstheme="majorBidi"/>
          <w:sz w:val="24"/>
          <w:szCs w:val="24"/>
        </w:rPr>
        <w:t xml:space="preserve">  </w:t>
      </w:r>
      <w:r w:rsidR="00BD51A9" w:rsidRPr="008E2375">
        <w:rPr>
          <w:rFonts w:asciiTheme="majorBidi" w:hAnsiTheme="majorBidi" w:cstheme="majorBidi"/>
          <w:sz w:val="24"/>
          <w:szCs w:val="24"/>
        </w:rPr>
        <w:t>The definition of terrorism in national legislation should</w:t>
      </w:r>
      <w:r w:rsidR="00BD51A9">
        <w:rPr>
          <w:rFonts w:asciiTheme="majorBidi" w:hAnsiTheme="majorBidi" w:cstheme="majorBidi"/>
          <w:sz w:val="24"/>
          <w:szCs w:val="24"/>
        </w:rPr>
        <w:t xml:space="preserve"> also</w:t>
      </w:r>
      <w:r w:rsidR="00365163">
        <w:rPr>
          <w:rFonts w:asciiTheme="majorBidi" w:hAnsiTheme="majorBidi" w:cstheme="majorBidi"/>
          <w:sz w:val="24"/>
          <w:szCs w:val="24"/>
        </w:rPr>
        <w:t xml:space="preserve"> be</w:t>
      </w:r>
      <w:r w:rsidR="00BD51A9" w:rsidRPr="008E2375">
        <w:rPr>
          <w:rFonts w:asciiTheme="majorBidi" w:hAnsiTheme="majorBidi" w:cstheme="majorBidi"/>
          <w:sz w:val="24"/>
          <w:szCs w:val="24"/>
        </w:rPr>
        <w:t xml:space="preserve"> guided by the model definition proposed in Security Council resolution 1566 (2004) and also by the Declaration on Measures to Eliminate International Terrorism and the Declaration to Supplement the 1994 Declaration on Measures to Eliminate International Terrorism, which were approved by the General Assembly</w:t>
      </w:r>
      <w:r w:rsidR="00BD51A9">
        <w:rPr>
          <w:rFonts w:asciiTheme="majorBidi" w:hAnsiTheme="majorBidi" w:cstheme="majorBidi"/>
          <w:sz w:val="24"/>
          <w:szCs w:val="24"/>
        </w:rPr>
        <w:t xml:space="preserve">. </w:t>
      </w:r>
      <w:r w:rsidR="00BD51A9" w:rsidRPr="00BD51A9">
        <w:rPr>
          <w:rFonts w:asciiTheme="majorBidi" w:hAnsiTheme="majorBidi" w:cstheme="majorBidi"/>
          <w:sz w:val="24"/>
          <w:szCs w:val="24"/>
        </w:rPr>
        <w:t xml:space="preserve"> Under </w:t>
      </w:r>
      <w:r w:rsidR="00BD51A9">
        <w:rPr>
          <w:rFonts w:asciiTheme="majorBidi" w:hAnsiTheme="majorBidi" w:cstheme="majorBidi"/>
          <w:sz w:val="24"/>
          <w:szCs w:val="24"/>
        </w:rPr>
        <w:t>the existent Iraqi law</w:t>
      </w:r>
      <w:r w:rsidR="00BD51A9" w:rsidRPr="00BD51A9">
        <w:rPr>
          <w:rFonts w:asciiTheme="majorBidi" w:hAnsiTheme="majorBidi" w:cstheme="majorBidi"/>
          <w:sz w:val="24"/>
          <w:szCs w:val="24"/>
        </w:rPr>
        <w:t>, even petty crimes such as vandalism may be considered a terrorist act. Furthermore, the Law does not require proof of terrorist intent. Thus, an individual can be subject to the death penalty for a non-violent crime without intent to terrorize the population.</w:t>
      </w:r>
      <w:r w:rsidR="00BD51A9" w:rsidRPr="00BD51A9">
        <w:rPr>
          <w:rStyle w:val="FootnoteReference"/>
          <w:rFonts w:asciiTheme="majorBidi" w:hAnsiTheme="majorBidi" w:cstheme="majorBidi"/>
          <w:sz w:val="24"/>
          <w:szCs w:val="24"/>
        </w:rPr>
        <w:footnoteReference w:id="12"/>
      </w:r>
      <w:r w:rsidR="00BD51A9" w:rsidRPr="00BD51A9">
        <w:rPr>
          <w:rFonts w:asciiTheme="majorBidi" w:hAnsiTheme="majorBidi" w:cstheme="majorBidi"/>
          <w:sz w:val="24"/>
          <w:szCs w:val="24"/>
        </w:rPr>
        <w:t xml:space="preserve"> The penalties detailed in article 4 of the law are also of concern.  Those who “</w:t>
      </w:r>
      <w:proofErr w:type="gramStart"/>
      <w:r w:rsidR="00BD51A9" w:rsidRPr="00BD51A9">
        <w:rPr>
          <w:rFonts w:asciiTheme="majorBidi" w:hAnsiTheme="majorBidi" w:cstheme="majorBidi"/>
          <w:sz w:val="24"/>
          <w:szCs w:val="24"/>
        </w:rPr>
        <w:t>incite[</w:t>
      </w:r>
      <w:proofErr w:type="gramEnd"/>
      <w:r w:rsidR="00BD51A9" w:rsidRPr="00BD51A9">
        <w:rPr>
          <w:rFonts w:asciiTheme="majorBidi" w:hAnsiTheme="majorBidi" w:cstheme="majorBidi"/>
          <w:sz w:val="24"/>
          <w:szCs w:val="24"/>
        </w:rPr>
        <w:t>], plan[], finance[], or assist[] terrorists . . . shall face the same penalty as the main perpetrator”.</w:t>
      </w:r>
      <w:r w:rsidR="00BD51A9" w:rsidRPr="00BD51A9">
        <w:rPr>
          <w:rStyle w:val="FootnoteReference"/>
          <w:rFonts w:asciiTheme="majorBidi" w:hAnsiTheme="majorBidi" w:cstheme="majorBidi"/>
          <w:sz w:val="24"/>
          <w:szCs w:val="24"/>
        </w:rPr>
        <w:footnoteReference w:id="13"/>
      </w:r>
      <w:r w:rsidR="00BD51A9" w:rsidRPr="00BD51A9">
        <w:rPr>
          <w:rFonts w:asciiTheme="majorBidi" w:hAnsiTheme="majorBidi" w:cstheme="majorBidi"/>
          <w:sz w:val="24"/>
          <w:szCs w:val="24"/>
        </w:rPr>
        <w:t xml:space="preserve">  Given the broad and ambiguous definition of terrorism, this article fails to distinguish the level of involvement and severity of the act when rendering the death penalty. </w:t>
      </w:r>
    </w:p>
    <w:p w14:paraId="0BE422D6" w14:textId="4A191314" w:rsidR="00BA45D3" w:rsidRDefault="00BA45D3" w:rsidP="00BD51A9">
      <w:pPr>
        <w:spacing w:line="480" w:lineRule="auto"/>
        <w:jc w:val="both"/>
        <w:rPr>
          <w:rFonts w:asciiTheme="majorBidi" w:hAnsiTheme="majorBidi" w:cstheme="majorBidi"/>
          <w:sz w:val="24"/>
          <w:szCs w:val="24"/>
        </w:rPr>
      </w:pPr>
    </w:p>
    <w:p w14:paraId="6B17A59E" w14:textId="2032411B" w:rsidR="00BA45D3" w:rsidRPr="00BA45D3" w:rsidRDefault="00BA45D3" w:rsidP="00BA45D3">
      <w:pPr>
        <w:spacing w:line="480" w:lineRule="auto"/>
        <w:jc w:val="both"/>
        <w:rPr>
          <w:rFonts w:asciiTheme="majorBidi" w:hAnsiTheme="majorBidi" w:cstheme="majorBidi"/>
          <w:sz w:val="24"/>
          <w:szCs w:val="24"/>
        </w:rPr>
      </w:pPr>
      <w:r>
        <w:rPr>
          <w:rFonts w:asciiTheme="majorBidi" w:hAnsiTheme="majorBidi" w:cstheme="majorBidi"/>
          <w:sz w:val="24"/>
          <w:szCs w:val="24"/>
        </w:rPr>
        <w:t>A range of examples</w:t>
      </w:r>
      <w:r w:rsidRPr="00BA45D3">
        <w:rPr>
          <w:rFonts w:asciiTheme="majorBidi" w:hAnsiTheme="majorBidi" w:cstheme="majorBidi"/>
          <w:sz w:val="24"/>
          <w:szCs w:val="24"/>
        </w:rPr>
        <w:t xml:space="preserve"> brought to the attention of the mandate are worth </w:t>
      </w:r>
      <w:r>
        <w:rPr>
          <w:rFonts w:asciiTheme="majorBidi" w:hAnsiTheme="majorBidi" w:cstheme="majorBidi"/>
          <w:sz w:val="24"/>
          <w:szCs w:val="24"/>
        </w:rPr>
        <w:t>noting</w:t>
      </w:r>
      <w:r w:rsidRPr="00BA45D3">
        <w:rPr>
          <w:rFonts w:asciiTheme="majorBidi" w:hAnsiTheme="majorBidi" w:cstheme="majorBidi"/>
          <w:sz w:val="24"/>
          <w:szCs w:val="24"/>
        </w:rPr>
        <w:t xml:space="preserve"> in this context: </w:t>
      </w:r>
    </w:p>
    <w:p w14:paraId="05398E7F" w14:textId="1A4E89F6" w:rsidR="00BA45D3" w:rsidRPr="00BA45D3" w:rsidRDefault="00BA45D3" w:rsidP="00BA45D3">
      <w:pPr>
        <w:pStyle w:val="ListParagraph"/>
        <w:numPr>
          <w:ilvl w:val="0"/>
          <w:numId w:val="1"/>
        </w:numPr>
        <w:spacing w:after="0" w:line="276" w:lineRule="auto"/>
        <w:ind w:right="720"/>
        <w:jc w:val="both"/>
        <w:rPr>
          <w:rFonts w:asciiTheme="majorBidi" w:hAnsiTheme="majorBidi" w:cstheme="majorBidi"/>
          <w:sz w:val="24"/>
          <w:szCs w:val="24"/>
        </w:rPr>
      </w:pPr>
      <w:r w:rsidRPr="00BA45D3">
        <w:rPr>
          <w:rFonts w:asciiTheme="majorBidi" w:hAnsiTheme="majorBidi" w:cstheme="majorBidi"/>
          <w:sz w:val="24"/>
          <w:szCs w:val="24"/>
        </w:rPr>
        <w:t xml:space="preserve">In September 2017, </w:t>
      </w:r>
      <w:r>
        <w:rPr>
          <w:rFonts w:asciiTheme="majorBidi" w:hAnsiTheme="majorBidi" w:cstheme="majorBidi"/>
          <w:sz w:val="24"/>
          <w:szCs w:val="24"/>
        </w:rPr>
        <w:t xml:space="preserve">it was reported that </w:t>
      </w:r>
      <w:r w:rsidRPr="00BA45D3">
        <w:rPr>
          <w:rFonts w:asciiTheme="majorBidi" w:hAnsiTheme="majorBidi" w:cstheme="majorBidi"/>
          <w:sz w:val="24"/>
          <w:szCs w:val="24"/>
        </w:rPr>
        <w:t>a Russian man had been sentenced to death in Baghdad;</w:t>
      </w:r>
      <w:r w:rsidRPr="00BA45D3">
        <w:rPr>
          <w:rStyle w:val="FootnoteReference"/>
          <w:rFonts w:asciiTheme="majorBidi" w:hAnsiTheme="majorBidi" w:cstheme="majorBidi"/>
          <w:sz w:val="24"/>
          <w:szCs w:val="24"/>
        </w:rPr>
        <w:footnoteReference w:id="14"/>
      </w:r>
    </w:p>
    <w:p w14:paraId="0C1C476D" w14:textId="18F6CA99" w:rsidR="00BA45D3" w:rsidRPr="00BA45D3" w:rsidRDefault="00BA45D3" w:rsidP="00BA45D3">
      <w:pPr>
        <w:pStyle w:val="ListParagraph"/>
        <w:numPr>
          <w:ilvl w:val="0"/>
          <w:numId w:val="1"/>
        </w:numPr>
        <w:spacing w:after="0" w:line="276" w:lineRule="auto"/>
        <w:ind w:right="720"/>
        <w:jc w:val="both"/>
        <w:rPr>
          <w:rFonts w:asciiTheme="majorBidi" w:hAnsiTheme="majorBidi" w:cstheme="majorBidi"/>
          <w:sz w:val="24"/>
          <w:szCs w:val="24"/>
        </w:rPr>
      </w:pPr>
      <w:r w:rsidRPr="00BA45D3">
        <w:rPr>
          <w:rFonts w:asciiTheme="majorBidi" w:hAnsiTheme="majorBidi" w:cstheme="majorBidi"/>
          <w:sz w:val="24"/>
          <w:szCs w:val="24"/>
        </w:rPr>
        <w:lastRenderedPageBreak/>
        <w:t xml:space="preserve">On January 21, 2018, </w:t>
      </w:r>
      <w:r>
        <w:rPr>
          <w:rFonts w:asciiTheme="majorBidi" w:hAnsiTheme="majorBidi" w:cstheme="majorBidi"/>
          <w:sz w:val="24"/>
          <w:szCs w:val="24"/>
        </w:rPr>
        <w:t xml:space="preserve">it was reported that </w:t>
      </w:r>
      <w:r w:rsidRPr="00BA45D3">
        <w:rPr>
          <w:rFonts w:asciiTheme="majorBidi" w:hAnsiTheme="majorBidi" w:cstheme="majorBidi"/>
          <w:sz w:val="24"/>
          <w:szCs w:val="24"/>
        </w:rPr>
        <w:t>a German woman was sentenced to death by hanging;</w:t>
      </w:r>
      <w:r w:rsidRPr="00BA45D3">
        <w:rPr>
          <w:rStyle w:val="FootnoteReference"/>
          <w:rFonts w:asciiTheme="majorBidi" w:hAnsiTheme="majorBidi" w:cstheme="majorBidi"/>
          <w:sz w:val="24"/>
          <w:szCs w:val="24"/>
        </w:rPr>
        <w:footnoteReference w:id="15"/>
      </w:r>
    </w:p>
    <w:p w14:paraId="33ECD74C" w14:textId="43344626" w:rsidR="00BA45D3" w:rsidRPr="00BA45D3" w:rsidRDefault="00BA45D3" w:rsidP="00BA45D3">
      <w:pPr>
        <w:pStyle w:val="ListParagraph"/>
        <w:numPr>
          <w:ilvl w:val="0"/>
          <w:numId w:val="1"/>
        </w:numPr>
        <w:spacing w:after="0" w:line="276" w:lineRule="auto"/>
        <w:ind w:right="720"/>
        <w:jc w:val="both"/>
        <w:rPr>
          <w:rFonts w:asciiTheme="majorBidi" w:hAnsiTheme="majorBidi" w:cstheme="majorBidi"/>
          <w:sz w:val="24"/>
          <w:szCs w:val="24"/>
        </w:rPr>
      </w:pPr>
      <w:r w:rsidRPr="00BA45D3">
        <w:rPr>
          <w:rFonts w:asciiTheme="majorBidi" w:hAnsiTheme="majorBidi" w:cstheme="majorBidi"/>
          <w:sz w:val="24"/>
          <w:szCs w:val="24"/>
        </w:rPr>
        <w:t xml:space="preserve">In February 2018, </w:t>
      </w:r>
      <w:r>
        <w:rPr>
          <w:rFonts w:asciiTheme="majorBidi" w:hAnsiTheme="majorBidi" w:cstheme="majorBidi"/>
          <w:sz w:val="24"/>
          <w:szCs w:val="24"/>
        </w:rPr>
        <w:t xml:space="preserve">it was reported that </w:t>
      </w:r>
      <w:r w:rsidRPr="00BA45D3">
        <w:rPr>
          <w:rFonts w:asciiTheme="majorBidi" w:hAnsiTheme="majorBidi" w:cstheme="majorBidi"/>
          <w:sz w:val="24"/>
          <w:szCs w:val="24"/>
        </w:rPr>
        <w:t>at least 17 Turkish citizens had been sentenced to death</w:t>
      </w:r>
      <w:r w:rsidRPr="00BA45D3">
        <w:rPr>
          <w:rStyle w:val="FootnoteReference"/>
          <w:rFonts w:asciiTheme="majorBidi" w:hAnsiTheme="majorBidi" w:cstheme="majorBidi"/>
          <w:sz w:val="24"/>
          <w:szCs w:val="24"/>
        </w:rPr>
        <w:footnoteReference w:id="16"/>
      </w:r>
      <w:r w:rsidRPr="00BA45D3">
        <w:rPr>
          <w:rFonts w:asciiTheme="majorBidi" w:hAnsiTheme="majorBidi" w:cstheme="majorBidi"/>
          <w:sz w:val="24"/>
          <w:szCs w:val="24"/>
        </w:rPr>
        <w:t>;</w:t>
      </w:r>
    </w:p>
    <w:p w14:paraId="200C4904" w14:textId="070803DD" w:rsidR="00BA45D3" w:rsidRPr="00BA45D3" w:rsidRDefault="00BA45D3" w:rsidP="00BA45D3">
      <w:pPr>
        <w:pStyle w:val="ListParagraph"/>
        <w:numPr>
          <w:ilvl w:val="0"/>
          <w:numId w:val="1"/>
        </w:numPr>
        <w:spacing w:after="0" w:line="276" w:lineRule="auto"/>
        <w:ind w:right="720"/>
        <w:jc w:val="both"/>
        <w:rPr>
          <w:rFonts w:asciiTheme="majorBidi" w:hAnsiTheme="majorBidi" w:cstheme="majorBidi"/>
          <w:sz w:val="24"/>
          <w:szCs w:val="24"/>
        </w:rPr>
      </w:pPr>
      <w:r w:rsidRPr="00BA45D3">
        <w:rPr>
          <w:rFonts w:asciiTheme="majorBidi" w:hAnsiTheme="majorBidi" w:cstheme="majorBidi"/>
          <w:sz w:val="24"/>
          <w:szCs w:val="24"/>
        </w:rPr>
        <w:t>In April 2018,</w:t>
      </w:r>
      <w:r>
        <w:rPr>
          <w:rFonts w:asciiTheme="majorBidi" w:hAnsiTheme="majorBidi" w:cstheme="majorBidi"/>
          <w:sz w:val="24"/>
          <w:szCs w:val="24"/>
        </w:rPr>
        <w:t xml:space="preserve"> it was reported that</w:t>
      </w:r>
      <w:r w:rsidRPr="00BA45D3">
        <w:rPr>
          <w:rFonts w:asciiTheme="majorBidi" w:hAnsiTheme="majorBidi" w:cstheme="majorBidi"/>
          <w:sz w:val="24"/>
          <w:szCs w:val="24"/>
        </w:rPr>
        <w:t xml:space="preserve"> three Kyrgyz and two Azerbaijani women had been sentenced to death.</w:t>
      </w:r>
      <w:r w:rsidRPr="00BA45D3">
        <w:rPr>
          <w:rStyle w:val="FootnoteReference"/>
          <w:rFonts w:asciiTheme="majorBidi" w:hAnsiTheme="majorBidi" w:cstheme="majorBidi"/>
          <w:sz w:val="24"/>
          <w:szCs w:val="24"/>
        </w:rPr>
        <w:footnoteReference w:id="17"/>
      </w:r>
      <w:r w:rsidRPr="00BA45D3">
        <w:rPr>
          <w:rFonts w:asciiTheme="majorBidi" w:hAnsiTheme="majorBidi" w:cstheme="majorBidi"/>
          <w:sz w:val="24"/>
          <w:szCs w:val="24"/>
        </w:rPr>
        <w:t xml:space="preserve"> </w:t>
      </w:r>
    </w:p>
    <w:p w14:paraId="1259E018" w14:textId="1880E3ED" w:rsidR="00BA45D3" w:rsidRPr="00BA45D3" w:rsidRDefault="00BA45D3" w:rsidP="00BA45D3">
      <w:pPr>
        <w:pStyle w:val="ListParagraph"/>
        <w:numPr>
          <w:ilvl w:val="0"/>
          <w:numId w:val="1"/>
        </w:numPr>
        <w:spacing w:after="0" w:line="276" w:lineRule="auto"/>
        <w:ind w:right="720"/>
        <w:jc w:val="both"/>
        <w:rPr>
          <w:rFonts w:asciiTheme="majorBidi" w:hAnsiTheme="majorBidi" w:cstheme="majorBidi"/>
          <w:sz w:val="24"/>
          <w:szCs w:val="24"/>
        </w:rPr>
      </w:pPr>
      <w:r>
        <w:rPr>
          <w:rFonts w:asciiTheme="majorBidi" w:hAnsiTheme="majorBidi" w:cstheme="majorBidi"/>
          <w:sz w:val="24"/>
          <w:szCs w:val="24"/>
        </w:rPr>
        <w:t xml:space="preserve">It is reported that a number of </w:t>
      </w:r>
      <w:r w:rsidRPr="00BA45D3">
        <w:rPr>
          <w:rFonts w:asciiTheme="majorBidi" w:hAnsiTheme="majorBidi" w:cstheme="majorBidi"/>
          <w:sz w:val="24"/>
          <w:szCs w:val="24"/>
        </w:rPr>
        <w:t>Belgian ISIL fighters have been prosecuted in Iraq.</w:t>
      </w:r>
      <w:r w:rsidRPr="00BA45D3">
        <w:rPr>
          <w:rStyle w:val="FootnoteReference"/>
          <w:rFonts w:asciiTheme="majorBidi" w:hAnsiTheme="majorBidi" w:cstheme="majorBidi"/>
          <w:sz w:val="24"/>
          <w:szCs w:val="24"/>
        </w:rPr>
        <w:footnoteReference w:id="18"/>
      </w:r>
    </w:p>
    <w:p w14:paraId="37B3E842" w14:textId="77777777" w:rsidR="00F4476D" w:rsidRDefault="00F4476D" w:rsidP="00B8088F">
      <w:pPr>
        <w:spacing w:line="480" w:lineRule="auto"/>
        <w:jc w:val="both"/>
        <w:rPr>
          <w:rFonts w:asciiTheme="majorBidi" w:hAnsiTheme="majorBidi" w:cstheme="majorBidi"/>
          <w:sz w:val="24"/>
          <w:szCs w:val="24"/>
          <w:lang w:val="en-US"/>
        </w:rPr>
      </w:pPr>
    </w:p>
    <w:p w14:paraId="36020606" w14:textId="5477768E" w:rsidR="00B8088F" w:rsidRDefault="00BA45D3" w:rsidP="00F4476D">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 key aspect of the detention context for these individuals is that few states are actively pursuing consular access or consular protection for their nationals. </w:t>
      </w:r>
      <w:r w:rsidR="00A95D1B">
        <w:rPr>
          <w:rFonts w:asciiTheme="majorBidi" w:hAnsiTheme="majorBidi" w:cstheme="majorBidi"/>
          <w:sz w:val="24"/>
          <w:szCs w:val="24"/>
          <w:lang w:val="en-US"/>
        </w:rPr>
        <w:t xml:space="preserve"> </w:t>
      </w:r>
      <w:r w:rsidR="00B8088F">
        <w:rPr>
          <w:rFonts w:asciiTheme="majorBidi" w:hAnsiTheme="majorBidi" w:cstheme="majorBidi"/>
          <w:sz w:val="24"/>
          <w:szCs w:val="24"/>
          <w:lang w:val="en-US"/>
        </w:rPr>
        <w:t xml:space="preserve">Abolitionist states have argued that if </w:t>
      </w:r>
      <w:r w:rsidR="0061715A">
        <w:rPr>
          <w:rFonts w:asciiTheme="majorBidi" w:hAnsiTheme="majorBidi" w:cstheme="majorBidi"/>
          <w:sz w:val="24"/>
          <w:szCs w:val="24"/>
          <w:lang w:val="en-US"/>
        </w:rPr>
        <w:t xml:space="preserve">one of their </w:t>
      </w:r>
      <w:r w:rsidR="00B8088F">
        <w:rPr>
          <w:rFonts w:asciiTheme="majorBidi" w:hAnsiTheme="majorBidi" w:cstheme="majorBidi"/>
          <w:sz w:val="24"/>
          <w:szCs w:val="24"/>
          <w:lang w:val="en-US"/>
        </w:rPr>
        <w:t>national is being subjected to the death penalty, strenuous efforts will be made on their behalf.  But, in my view, the “minute to midnight” approach seems woefully inadequate to protect the fundamental rights that are engaged.</w:t>
      </w:r>
      <w:r w:rsidR="00F4476D">
        <w:rPr>
          <w:rFonts w:asciiTheme="majorBidi" w:hAnsiTheme="majorBidi" w:cstheme="majorBidi"/>
          <w:sz w:val="24"/>
          <w:szCs w:val="24"/>
          <w:lang w:val="en-US"/>
        </w:rPr>
        <w:t xml:space="preserve">  The large number of detainees in Iraq charged with terrorist offences is a profound challenge to the efficacy and capacity of the Iraqi legal system, but also challenges the rhetorical commitment of abolitionist states to fully protect their citizens who may be subject to the death penalty.  It also bears reminding that many of these individuals are being held in conditions that engage the prohibition on torture, inhuman and degrading treatment – a preemptory norm of international law.  All to say that there is an immediate and compelling case, </w:t>
      </w:r>
      <w:r w:rsidR="00F4476D">
        <w:rPr>
          <w:rFonts w:asciiTheme="majorBidi" w:hAnsiTheme="majorBidi" w:cstheme="majorBidi"/>
          <w:sz w:val="24"/>
          <w:szCs w:val="24"/>
          <w:lang w:val="en-US"/>
        </w:rPr>
        <w:lastRenderedPageBreak/>
        <w:t xml:space="preserve">consistently made by this mandate </w:t>
      </w:r>
      <w:r w:rsidR="0061715A">
        <w:rPr>
          <w:rFonts w:asciiTheme="majorBidi" w:hAnsiTheme="majorBidi" w:cstheme="majorBidi"/>
          <w:sz w:val="24"/>
          <w:szCs w:val="24"/>
          <w:lang w:val="en-US"/>
        </w:rPr>
        <w:t xml:space="preserve">and </w:t>
      </w:r>
      <w:r w:rsidR="009841B7">
        <w:rPr>
          <w:rFonts w:asciiTheme="majorBidi" w:hAnsiTheme="majorBidi" w:cstheme="majorBidi"/>
          <w:sz w:val="24"/>
          <w:szCs w:val="24"/>
          <w:lang w:val="en-US"/>
        </w:rPr>
        <w:t>several others</w:t>
      </w:r>
      <w:r w:rsidR="009841B7">
        <w:rPr>
          <w:rStyle w:val="FootnoteReference"/>
          <w:rFonts w:asciiTheme="majorBidi" w:hAnsiTheme="majorBidi"/>
          <w:sz w:val="24"/>
          <w:szCs w:val="24"/>
          <w:lang w:val="en-US"/>
        </w:rPr>
        <w:footnoteReference w:id="19"/>
      </w:r>
      <w:r w:rsidR="009841B7">
        <w:rPr>
          <w:rFonts w:asciiTheme="majorBidi" w:hAnsiTheme="majorBidi" w:cstheme="majorBidi"/>
          <w:sz w:val="24"/>
          <w:szCs w:val="24"/>
          <w:lang w:val="en-US"/>
        </w:rPr>
        <w:t xml:space="preserve"> </w:t>
      </w:r>
      <w:r w:rsidR="00F4476D">
        <w:rPr>
          <w:rFonts w:asciiTheme="majorBidi" w:hAnsiTheme="majorBidi" w:cstheme="majorBidi"/>
          <w:sz w:val="24"/>
          <w:szCs w:val="24"/>
          <w:lang w:val="en-US"/>
        </w:rPr>
        <w:t>for the repatriation of individuals to their home countries, the activation of trial as the evidence allows for persons who have committed serious breaches of international human rights and humanitarian law</w:t>
      </w:r>
      <w:r w:rsidR="009841B7">
        <w:rPr>
          <w:rFonts w:asciiTheme="majorBidi" w:hAnsiTheme="majorBidi" w:cstheme="majorBidi"/>
          <w:sz w:val="24"/>
          <w:szCs w:val="24"/>
          <w:lang w:val="en-US"/>
        </w:rPr>
        <w:t xml:space="preserve">, </w:t>
      </w:r>
      <w:r w:rsidR="00F4476D">
        <w:rPr>
          <w:rFonts w:asciiTheme="majorBidi" w:hAnsiTheme="majorBidi" w:cstheme="majorBidi"/>
          <w:sz w:val="24"/>
          <w:szCs w:val="24"/>
          <w:lang w:val="en-US"/>
        </w:rPr>
        <w:t>and positive interventions to support the rehabilitation and reintegration of children back to their countries of citizenship.</w:t>
      </w:r>
      <w:r w:rsidR="0061715A">
        <w:rPr>
          <w:rFonts w:asciiTheme="majorBidi" w:hAnsiTheme="majorBidi" w:cstheme="majorBidi"/>
          <w:sz w:val="24"/>
          <w:szCs w:val="24"/>
          <w:lang w:val="en-US"/>
        </w:rPr>
        <w:t xml:space="preserve"> </w:t>
      </w:r>
      <w:r w:rsidR="009841B7">
        <w:rPr>
          <w:rFonts w:asciiTheme="majorBidi" w:hAnsiTheme="majorBidi" w:cstheme="majorBidi"/>
          <w:sz w:val="24"/>
          <w:szCs w:val="24"/>
          <w:lang w:val="en-US"/>
        </w:rPr>
        <w:t xml:space="preserve">The human </w:t>
      </w:r>
      <w:r w:rsidR="0061715A">
        <w:rPr>
          <w:rFonts w:asciiTheme="majorBidi" w:hAnsiTheme="majorBidi" w:cstheme="majorBidi"/>
          <w:sz w:val="24"/>
          <w:szCs w:val="24"/>
          <w:lang w:val="en-US"/>
        </w:rPr>
        <w:t xml:space="preserve">rights protection under international law </w:t>
      </w:r>
      <w:r w:rsidR="009841B7">
        <w:rPr>
          <w:rFonts w:asciiTheme="majorBidi" w:hAnsiTheme="majorBidi" w:cstheme="majorBidi"/>
          <w:sz w:val="24"/>
          <w:szCs w:val="24"/>
          <w:lang w:val="en-US"/>
        </w:rPr>
        <w:t xml:space="preserve">applies to all, even to those who may have committed the worst crimes. </w:t>
      </w:r>
    </w:p>
    <w:p w14:paraId="0774317C" w14:textId="77777777" w:rsidR="00F4476D" w:rsidRDefault="00F4476D" w:rsidP="00F4476D">
      <w:pPr>
        <w:spacing w:line="480" w:lineRule="auto"/>
        <w:jc w:val="both"/>
        <w:rPr>
          <w:rFonts w:asciiTheme="majorBidi" w:hAnsiTheme="majorBidi" w:cstheme="majorBidi"/>
          <w:sz w:val="24"/>
          <w:szCs w:val="24"/>
          <w:lang w:val="en-US"/>
        </w:rPr>
      </w:pPr>
    </w:p>
    <w:p w14:paraId="7DEE3631" w14:textId="3503231B" w:rsidR="00B8088F" w:rsidRDefault="00BA45D3" w:rsidP="00B8088F">
      <w:pPr>
        <w:spacing w:line="480" w:lineRule="auto"/>
        <w:jc w:val="both"/>
        <w:rPr>
          <w:sz w:val="24"/>
          <w:szCs w:val="24"/>
        </w:rPr>
      </w:pPr>
      <w:r>
        <w:rPr>
          <w:rFonts w:asciiTheme="majorBidi" w:hAnsiTheme="majorBidi" w:cstheme="majorBidi"/>
          <w:sz w:val="24"/>
          <w:szCs w:val="24"/>
          <w:lang w:val="en-US"/>
        </w:rPr>
        <w:t xml:space="preserve">The issues of vulnerability to the death penalty </w:t>
      </w:r>
      <w:r w:rsidR="009841B7">
        <w:rPr>
          <w:rFonts w:asciiTheme="majorBidi" w:hAnsiTheme="majorBidi" w:cstheme="majorBidi"/>
          <w:sz w:val="24"/>
          <w:szCs w:val="24"/>
          <w:lang w:val="en-US"/>
        </w:rPr>
        <w:t xml:space="preserve">and other serious abuses </w:t>
      </w:r>
      <w:r>
        <w:rPr>
          <w:rFonts w:asciiTheme="majorBidi" w:hAnsiTheme="majorBidi" w:cstheme="majorBidi"/>
          <w:sz w:val="24"/>
          <w:szCs w:val="24"/>
          <w:lang w:val="en-US"/>
        </w:rPr>
        <w:t xml:space="preserve">are pressing in territories held by non-State actors (or </w:t>
      </w:r>
      <w:r w:rsidRPr="00CA563D">
        <w:rPr>
          <w:rFonts w:asciiTheme="majorBidi" w:hAnsiTheme="majorBidi" w:cstheme="majorBidi"/>
          <w:i/>
          <w:iCs/>
          <w:sz w:val="24"/>
          <w:szCs w:val="24"/>
          <w:lang w:val="en-US"/>
        </w:rPr>
        <w:t>de facto</w:t>
      </w:r>
      <w:r>
        <w:rPr>
          <w:rFonts w:asciiTheme="majorBidi" w:hAnsiTheme="majorBidi" w:cstheme="majorBidi"/>
          <w:sz w:val="24"/>
          <w:szCs w:val="24"/>
          <w:lang w:val="en-US"/>
        </w:rPr>
        <w:t xml:space="preserve"> authorities) in Syria.</w:t>
      </w:r>
      <w:r w:rsidR="00B8088F">
        <w:rPr>
          <w:rFonts w:asciiTheme="majorBidi" w:hAnsiTheme="majorBidi" w:cstheme="majorBidi"/>
          <w:sz w:val="24"/>
          <w:szCs w:val="24"/>
          <w:lang w:val="en-US"/>
        </w:rPr>
        <w:t xml:space="preserve"> States have argued that the lack of consular representation in such areas, the shortage of information on the whereabouts and conditions faced by nationals in armed conflict zones who find themselves in the power of </w:t>
      </w:r>
      <w:r w:rsidR="00B8088F">
        <w:rPr>
          <w:rFonts w:asciiTheme="majorBidi" w:hAnsiTheme="majorBidi" w:cstheme="majorBidi"/>
          <w:i/>
          <w:iCs/>
          <w:sz w:val="24"/>
          <w:szCs w:val="24"/>
          <w:lang w:val="en-US"/>
        </w:rPr>
        <w:t>de facto</w:t>
      </w:r>
      <w:r w:rsidR="00B8088F">
        <w:rPr>
          <w:rFonts w:asciiTheme="majorBidi" w:hAnsiTheme="majorBidi" w:cstheme="majorBidi"/>
          <w:sz w:val="24"/>
          <w:szCs w:val="24"/>
          <w:lang w:val="en-US"/>
        </w:rPr>
        <w:t xml:space="preserve"> authorities</w:t>
      </w:r>
      <w:r w:rsidR="009841B7">
        <w:rPr>
          <w:rFonts w:asciiTheme="majorBidi" w:hAnsiTheme="majorBidi" w:cstheme="majorBidi"/>
          <w:sz w:val="24"/>
          <w:szCs w:val="24"/>
          <w:lang w:val="en-US"/>
        </w:rPr>
        <w:t xml:space="preserve">, </w:t>
      </w:r>
      <w:r w:rsidR="00F4476D">
        <w:rPr>
          <w:rFonts w:asciiTheme="majorBidi" w:hAnsiTheme="majorBidi" w:cstheme="majorBidi"/>
          <w:sz w:val="24"/>
          <w:szCs w:val="24"/>
          <w:lang w:val="en-US"/>
        </w:rPr>
        <w:t>constrain their interventions.</w:t>
      </w:r>
      <w:r w:rsidR="00B8088F">
        <w:rPr>
          <w:rFonts w:asciiTheme="majorBidi" w:hAnsiTheme="majorBidi" w:cstheme="majorBidi"/>
          <w:sz w:val="24"/>
          <w:szCs w:val="24"/>
          <w:lang w:val="en-US"/>
        </w:rPr>
        <w:t xml:space="preserve">  I recognize these difficulties. Yet, I am very concerned that States are failing to take the measures they might reasonably take</w:t>
      </w:r>
      <w:r w:rsidR="008D2B5E">
        <w:rPr>
          <w:rFonts w:asciiTheme="majorBidi" w:hAnsiTheme="majorBidi" w:cstheme="majorBidi"/>
          <w:sz w:val="24"/>
          <w:szCs w:val="24"/>
          <w:lang w:val="en-US"/>
        </w:rPr>
        <w:t xml:space="preserve"> to ensure the </w:t>
      </w:r>
      <w:proofErr w:type="gramStart"/>
      <w:r w:rsidR="001B1D2D">
        <w:rPr>
          <w:rFonts w:asciiTheme="majorBidi" w:hAnsiTheme="majorBidi" w:cstheme="majorBidi"/>
          <w:sz w:val="24"/>
          <w:szCs w:val="24"/>
          <w:lang w:val="en-US"/>
        </w:rPr>
        <w:t xml:space="preserve">protection </w:t>
      </w:r>
      <w:r w:rsidR="008D2B5E">
        <w:rPr>
          <w:rFonts w:asciiTheme="majorBidi" w:hAnsiTheme="majorBidi" w:cstheme="majorBidi"/>
          <w:sz w:val="24"/>
          <w:szCs w:val="24"/>
          <w:lang w:val="en-US"/>
        </w:rPr>
        <w:t xml:space="preserve"> of</w:t>
      </w:r>
      <w:proofErr w:type="gramEnd"/>
      <w:r w:rsidR="008D2B5E">
        <w:rPr>
          <w:rFonts w:asciiTheme="majorBidi" w:hAnsiTheme="majorBidi" w:cstheme="majorBidi"/>
          <w:sz w:val="24"/>
          <w:szCs w:val="24"/>
          <w:lang w:val="en-US"/>
        </w:rPr>
        <w:t xml:space="preserve"> </w:t>
      </w:r>
      <w:r w:rsidR="009841B7">
        <w:rPr>
          <w:rFonts w:asciiTheme="majorBidi" w:hAnsiTheme="majorBidi" w:cstheme="majorBidi"/>
          <w:sz w:val="24"/>
          <w:szCs w:val="24"/>
          <w:lang w:val="en-US"/>
        </w:rPr>
        <w:t xml:space="preserve">their </w:t>
      </w:r>
      <w:r w:rsidR="008D2B5E">
        <w:rPr>
          <w:rFonts w:asciiTheme="majorBidi" w:hAnsiTheme="majorBidi" w:cstheme="majorBidi"/>
          <w:sz w:val="24"/>
          <w:szCs w:val="24"/>
          <w:lang w:val="en-US"/>
        </w:rPr>
        <w:t>nationals in situations of extremis.</w:t>
      </w:r>
      <w:r w:rsidR="00B8088F">
        <w:rPr>
          <w:rFonts w:asciiTheme="majorBidi" w:hAnsiTheme="majorBidi" w:cstheme="majorBidi"/>
          <w:sz w:val="24"/>
          <w:szCs w:val="24"/>
          <w:lang w:val="en-US"/>
        </w:rPr>
        <w:t xml:space="preserve">  For example, we are seeing modifications to Consular codes</w:t>
      </w:r>
      <w:r w:rsidR="00B8088F">
        <w:rPr>
          <w:rStyle w:val="FootnoteReference"/>
          <w:rFonts w:asciiTheme="majorBidi" w:hAnsiTheme="majorBidi"/>
          <w:sz w:val="24"/>
          <w:szCs w:val="24"/>
          <w:lang w:val="en-US"/>
        </w:rPr>
        <w:footnoteReference w:id="20"/>
      </w:r>
      <w:r w:rsidR="00B8088F">
        <w:rPr>
          <w:rFonts w:asciiTheme="majorBidi" w:hAnsiTheme="majorBidi" w:cstheme="majorBidi"/>
          <w:sz w:val="24"/>
          <w:szCs w:val="24"/>
          <w:lang w:val="en-US"/>
        </w:rPr>
        <w:t xml:space="preserve"> resulting in a loss of the right to claim consular assistance for </w:t>
      </w:r>
      <w:r w:rsidR="00B8088F" w:rsidRPr="00B8088F">
        <w:rPr>
          <w:sz w:val="24"/>
          <w:szCs w:val="24"/>
        </w:rPr>
        <w:t>persons who have travelled to an area of armed conflict or to a region for which authorities have issued a notice discouraging travel, or are deemed to take “disproportionate risks” without adequate insurance arrangements.</w:t>
      </w:r>
      <w:r w:rsidR="00B8088F" w:rsidRPr="00B8088F">
        <w:rPr>
          <w:rStyle w:val="FootnoteReference"/>
          <w:sz w:val="24"/>
          <w:szCs w:val="24"/>
        </w:rPr>
        <w:footnoteReference w:id="21"/>
      </w:r>
      <w:r w:rsidR="00B8088F" w:rsidRPr="00B8088F">
        <w:rPr>
          <w:sz w:val="24"/>
          <w:szCs w:val="24"/>
        </w:rPr>
        <w:t xml:space="preserve"> </w:t>
      </w:r>
      <w:r w:rsidR="00B8088F">
        <w:rPr>
          <w:sz w:val="24"/>
          <w:szCs w:val="24"/>
        </w:rPr>
        <w:t>I continue to</w:t>
      </w:r>
      <w:r w:rsidR="00B8088F" w:rsidRPr="00B8088F">
        <w:rPr>
          <w:sz w:val="24"/>
          <w:szCs w:val="24"/>
        </w:rPr>
        <w:t xml:space="preserve"> emphasize the important role that effective consular assistance plays as </w:t>
      </w:r>
      <w:r w:rsidR="00B8088F" w:rsidRPr="00B8088F">
        <w:rPr>
          <w:sz w:val="24"/>
          <w:szCs w:val="24"/>
        </w:rPr>
        <w:lastRenderedPageBreak/>
        <w:t>a preventive tool when faced with a risk of flagrant violations or abuses of human rights, while also noting that the remedial nature of diplomatic protection proceedings</w:t>
      </w:r>
      <w:r w:rsidR="00B8088F" w:rsidRPr="00B8088F">
        <w:rPr>
          <w:rStyle w:val="FootnoteReference"/>
          <w:sz w:val="24"/>
          <w:szCs w:val="24"/>
        </w:rPr>
        <w:footnoteReference w:id="22"/>
      </w:r>
      <w:r w:rsidR="00B8088F" w:rsidRPr="00B8088F">
        <w:rPr>
          <w:sz w:val="24"/>
          <w:szCs w:val="24"/>
        </w:rPr>
        <w:t xml:space="preserve"> frequently means that they cannot effectively prevent an irreparable harm</w:t>
      </w:r>
      <w:r w:rsidR="00F4476D">
        <w:rPr>
          <w:sz w:val="24"/>
          <w:szCs w:val="24"/>
        </w:rPr>
        <w:t xml:space="preserve"> (including but not limited to </w:t>
      </w:r>
      <w:r w:rsidR="006C6459">
        <w:rPr>
          <w:sz w:val="24"/>
          <w:szCs w:val="24"/>
        </w:rPr>
        <w:t xml:space="preserve">judicial </w:t>
      </w:r>
      <w:r w:rsidR="00F4476D">
        <w:rPr>
          <w:sz w:val="24"/>
          <w:szCs w:val="24"/>
        </w:rPr>
        <w:t>death penalty</w:t>
      </w:r>
      <w:r w:rsidR="006C6459">
        <w:rPr>
          <w:sz w:val="24"/>
          <w:szCs w:val="24"/>
        </w:rPr>
        <w:t xml:space="preserve"> or outright killing</w:t>
      </w:r>
      <w:r w:rsidR="00F4476D">
        <w:rPr>
          <w:sz w:val="24"/>
          <w:szCs w:val="24"/>
        </w:rPr>
        <w:t>)</w:t>
      </w:r>
      <w:r w:rsidR="00B8088F" w:rsidRPr="00B8088F">
        <w:rPr>
          <w:sz w:val="24"/>
          <w:szCs w:val="24"/>
        </w:rPr>
        <w:t xml:space="preserve"> being committed. </w:t>
      </w:r>
      <w:r w:rsidR="006C6459">
        <w:rPr>
          <w:sz w:val="24"/>
          <w:szCs w:val="24"/>
        </w:rPr>
        <w:t xml:space="preserve">While consular protection is a right recognized to States by international law, the protection of its own nationals by a state is a duty by virtue of the treaties that state has ratified. Consular protection is thus not just an option. </w:t>
      </w:r>
    </w:p>
    <w:p w14:paraId="78964496" w14:textId="37D22002" w:rsidR="009853C9" w:rsidRDefault="009853C9" w:rsidP="00B8088F">
      <w:pPr>
        <w:spacing w:line="480" w:lineRule="auto"/>
        <w:jc w:val="both"/>
        <w:rPr>
          <w:rFonts w:asciiTheme="majorBidi" w:hAnsiTheme="majorBidi" w:cstheme="majorBidi"/>
          <w:sz w:val="24"/>
          <w:szCs w:val="24"/>
          <w:lang w:val="en-US"/>
        </w:rPr>
      </w:pPr>
    </w:p>
    <w:p w14:paraId="2A5B12E8" w14:textId="15FBEF64" w:rsidR="008444C1" w:rsidRDefault="009853C9" w:rsidP="00277D18">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Another emergent issue in respect of persons </w:t>
      </w:r>
      <w:r w:rsidR="006C6459">
        <w:rPr>
          <w:rFonts w:asciiTheme="majorBidi" w:hAnsiTheme="majorBidi" w:cstheme="majorBidi"/>
          <w:sz w:val="24"/>
          <w:szCs w:val="24"/>
          <w:lang w:val="en-US"/>
        </w:rPr>
        <w:t>in the custody</w:t>
      </w:r>
      <w:r>
        <w:rPr>
          <w:rFonts w:asciiTheme="majorBidi" w:hAnsiTheme="majorBidi" w:cstheme="majorBidi"/>
          <w:sz w:val="24"/>
          <w:szCs w:val="24"/>
          <w:lang w:val="en-US"/>
        </w:rPr>
        <w:t xml:space="preserve"> of </w:t>
      </w:r>
      <w:r w:rsidR="006C6459">
        <w:rPr>
          <w:rFonts w:asciiTheme="majorBidi" w:hAnsiTheme="majorBidi" w:cstheme="majorBidi"/>
          <w:sz w:val="24"/>
          <w:szCs w:val="24"/>
          <w:lang w:val="en-US"/>
        </w:rPr>
        <w:t xml:space="preserve">armed groups </w:t>
      </w:r>
      <w:r>
        <w:rPr>
          <w:rFonts w:asciiTheme="majorBidi" w:hAnsiTheme="majorBidi" w:cstheme="majorBidi"/>
          <w:sz w:val="24"/>
          <w:szCs w:val="24"/>
          <w:lang w:val="en-US"/>
        </w:rPr>
        <w:t xml:space="preserve">is the sharing of intelligence information to third States who will not provide any assurances with respect to the application of the death penalty.  This matter has been brought into sharp relief by the decision in </w:t>
      </w:r>
      <w:proofErr w:type="spellStart"/>
      <w:r>
        <w:rPr>
          <w:rFonts w:asciiTheme="majorBidi" w:hAnsiTheme="majorBidi" w:cstheme="majorBidi"/>
          <w:sz w:val="24"/>
          <w:szCs w:val="24"/>
          <w:lang w:val="en-US"/>
        </w:rPr>
        <w:t>Maha</w:t>
      </w:r>
      <w:proofErr w:type="spellEnd"/>
      <w:r>
        <w:rPr>
          <w:rFonts w:asciiTheme="majorBidi" w:hAnsiTheme="majorBidi" w:cstheme="majorBidi"/>
          <w:sz w:val="24"/>
          <w:szCs w:val="24"/>
          <w:lang w:val="en-US"/>
        </w:rPr>
        <w:t xml:space="preserve"> El </w:t>
      </w:r>
      <w:proofErr w:type="spellStart"/>
      <w:r>
        <w:rPr>
          <w:rFonts w:asciiTheme="majorBidi" w:hAnsiTheme="majorBidi" w:cstheme="majorBidi"/>
          <w:sz w:val="24"/>
          <w:szCs w:val="24"/>
          <w:lang w:val="en-US"/>
        </w:rPr>
        <w:t>Gizouli</w:t>
      </w:r>
      <w:proofErr w:type="spellEnd"/>
      <w:r>
        <w:rPr>
          <w:rFonts w:asciiTheme="majorBidi" w:hAnsiTheme="majorBidi" w:cstheme="majorBidi"/>
          <w:sz w:val="24"/>
          <w:szCs w:val="24"/>
          <w:lang w:val="en-US"/>
        </w:rPr>
        <w:t>,</w:t>
      </w:r>
      <w:r>
        <w:rPr>
          <w:rStyle w:val="FootnoteReference"/>
          <w:rFonts w:asciiTheme="majorBidi" w:hAnsiTheme="majorBidi"/>
          <w:sz w:val="24"/>
          <w:szCs w:val="24"/>
          <w:lang w:val="en-US"/>
        </w:rPr>
        <w:footnoteReference w:id="23"/>
      </w:r>
      <w:r>
        <w:rPr>
          <w:rFonts w:asciiTheme="majorBidi" w:hAnsiTheme="majorBidi" w:cstheme="majorBidi"/>
          <w:sz w:val="24"/>
          <w:szCs w:val="24"/>
          <w:lang w:val="en-US"/>
        </w:rPr>
        <w:t xml:space="preserve"> which addresses whether it was lawful for the UK Home Secretary to authorize mutual legal assistance (“MLA”) to a foreign state in support of a criminal investigation which might lead to prosecution of offences </w:t>
      </w:r>
      <w:r w:rsidR="00CC1124">
        <w:rPr>
          <w:rFonts w:asciiTheme="majorBidi" w:hAnsiTheme="majorBidi" w:cstheme="majorBidi"/>
          <w:sz w:val="24"/>
          <w:szCs w:val="24"/>
          <w:lang w:val="en-US"/>
        </w:rPr>
        <w:t>carrying</w:t>
      </w:r>
      <w:r>
        <w:rPr>
          <w:rFonts w:asciiTheme="majorBidi" w:hAnsiTheme="majorBidi" w:cstheme="majorBidi"/>
          <w:sz w:val="24"/>
          <w:szCs w:val="24"/>
          <w:lang w:val="en-US"/>
        </w:rPr>
        <w:t xml:space="preserve"> the death penalty.</w:t>
      </w:r>
      <w:r w:rsidR="00CA563D">
        <w:rPr>
          <w:rStyle w:val="FootnoteReference"/>
          <w:rFonts w:asciiTheme="majorBidi" w:hAnsiTheme="majorBidi"/>
          <w:sz w:val="24"/>
          <w:szCs w:val="24"/>
          <w:lang w:val="en-US"/>
        </w:rPr>
        <w:footnoteReference w:id="24"/>
      </w:r>
      <w:r>
        <w:rPr>
          <w:rFonts w:asciiTheme="majorBidi" w:hAnsiTheme="majorBidi" w:cstheme="majorBidi"/>
          <w:sz w:val="24"/>
          <w:szCs w:val="24"/>
          <w:lang w:val="en-US"/>
        </w:rPr>
        <w:t xml:space="preserve">  The Queens’ Bench Division </w:t>
      </w:r>
      <w:r w:rsidR="00CC1124">
        <w:rPr>
          <w:rFonts w:asciiTheme="majorBidi" w:hAnsiTheme="majorBidi" w:cstheme="majorBidi"/>
          <w:sz w:val="24"/>
          <w:szCs w:val="24"/>
          <w:lang w:val="en-US"/>
        </w:rPr>
        <w:t xml:space="preserve">found that </w:t>
      </w:r>
      <w:r w:rsidR="00277D18">
        <w:rPr>
          <w:rFonts w:asciiTheme="majorBidi" w:hAnsiTheme="majorBidi" w:cstheme="majorBidi"/>
          <w:sz w:val="24"/>
          <w:szCs w:val="24"/>
          <w:lang w:val="en-US"/>
        </w:rPr>
        <w:t xml:space="preserve">the information sharing was lawful and not barred by </w:t>
      </w:r>
      <w:r w:rsidR="00CA563D">
        <w:rPr>
          <w:rFonts w:asciiTheme="majorBidi" w:hAnsiTheme="majorBidi" w:cstheme="majorBidi"/>
          <w:sz w:val="24"/>
          <w:szCs w:val="24"/>
          <w:lang w:val="en-US"/>
        </w:rPr>
        <w:t>exercise of the prerogative,</w:t>
      </w:r>
      <w:r>
        <w:rPr>
          <w:rFonts w:asciiTheme="majorBidi" w:hAnsiTheme="majorBidi" w:cstheme="majorBidi"/>
          <w:sz w:val="24"/>
          <w:szCs w:val="24"/>
          <w:lang w:val="en-US"/>
        </w:rPr>
        <w:t xml:space="preserve"> the </w:t>
      </w:r>
      <w:r w:rsidR="00277D18">
        <w:rPr>
          <w:rFonts w:asciiTheme="majorBidi" w:hAnsiTheme="majorBidi" w:cstheme="majorBidi"/>
          <w:sz w:val="24"/>
          <w:szCs w:val="24"/>
          <w:lang w:val="en-US"/>
        </w:rPr>
        <w:t xml:space="preserve">British </w:t>
      </w:r>
      <w:r>
        <w:rPr>
          <w:rFonts w:asciiTheme="majorBidi" w:hAnsiTheme="majorBidi" w:cstheme="majorBidi"/>
          <w:sz w:val="24"/>
          <w:szCs w:val="24"/>
          <w:lang w:val="en-US"/>
        </w:rPr>
        <w:t>common law or European Human Rights law</w:t>
      </w:r>
      <w:r w:rsidR="00277D18">
        <w:rPr>
          <w:rFonts w:asciiTheme="majorBidi" w:hAnsiTheme="majorBidi" w:cstheme="majorBidi"/>
          <w:sz w:val="24"/>
          <w:szCs w:val="24"/>
          <w:lang w:val="en-US"/>
        </w:rPr>
        <w:t>.</w:t>
      </w:r>
      <w:r w:rsidR="00F4476D">
        <w:rPr>
          <w:rFonts w:asciiTheme="majorBidi" w:hAnsiTheme="majorBidi" w:cstheme="majorBidi"/>
          <w:sz w:val="24"/>
          <w:szCs w:val="24"/>
          <w:lang w:val="en-US"/>
        </w:rPr>
        <w:t xml:space="preserve">  While acknowledging the independ</w:t>
      </w:r>
      <w:r w:rsidR="00F4476D">
        <w:rPr>
          <w:rFonts w:asciiTheme="majorBidi" w:hAnsiTheme="majorBidi" w:cstheme="majorBidi"/>
          <w:sz w:val="24"/>
          <w:szCs w:val="24"/>
          <w:lang w:val="en-US"/>
        </w:rPr>
        <w:lastRenderedPageBreak/>
        <w:t>ence of the Courts decision, I am particularly concerned about the information gleaned from this decision, that affirms the pressure being placed on abolitionist States by third countries, in ways that appear to undermine the broader international consensus on the abolition of the death penalty by political stealth.</w:t>
      </w:r>
      <w:r w:rsidR="00F4476D">
        <w:rPr>
          <w:rStyle w:val="FootnoteReference"/>
          <w:rFonts w:asciiTheme="majorBidi" w:hAnsiTheme="majorBidi"/>
          <w:sz w:val="24"/>
          <w:szCs w:val="24"/>
          <w:lang w:val="en-US"/>
        </w:rPr>
        <w:footnoteReference w:id="25"/>
      </w:r>
      <w:r w:rsidR="00F4476D">
        <w:rPr>
          <w:rFonts w:asciiTheme="majorBidi" w:hAnsiTheme="majorBidi" w:cstheme="majorBidi"/>
          <w:sz w:val="24"/>
          <w:szCs w:val="24"/>
          <w:lang w:val="en-US"/>
        </w:rPr>
        <w:t xml:space="preserve">  As Special Rapporteur I urge</w:t>
      </w:r>
      <w:r w:rsidR="00F75B49">
        <w:rPr>
          <w:rFonts w:asciiTheme="majorBidi" w:hAnsiTheme="majorBidi" w:cstheme="majorBidi"/>
          <w:sz w:val="24"/>
          <w:szCs w:val="24"/>
          <w:lang w:val="en-US"/>
        </w:rPr>
        <w:t xml:space="preserve"> that the procedure of mutual information shared be meaningfully “death penalty proof,” given the prescient danger that the unique but narrow challenge of Foreign Fighters be used to undo broader progress on the abolition of the death penalty.  Counter-terrorism must remain a human rights compliant zone of operation for States, not an excuse to avoid their human rights obligations.</w:t>
      </w:r>
    </w:p>
    <w:p w14:paraId="689A6B33" w14:textId="77777777" w:rsidR="00873CAD" w:rsidRPr="009853C9" w:rsidRDefault="00873CAD" w:rsidP="009853C9">
      <w:pPr>
        <w:spacing w:line="480" w:lineRule="auto"/>
        <w:jc w:val="both"/>
        <w:rPr>
          <w:rFonts w:asciiTheme="majorBidi" w:hAnsiTheme="majorBidi" w:cstheme="majorBidi"/>
          <w:sz w:val="24"/>
          <w:szCs w:val="24"/>
          <w:lang w:val="en-US"/>
        </w:rPr>
      </w:pPr>
    </w:p>
    <w:p w14:paraId="652DD06E" w14:textId="17C770FA" w:rsidR="00BA45D3" w:rsidRPr="00BA45D3" w:rsidRDefault="00A653D8" w:rsidP="00CA563D">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BA45D3" w:rsidRPr="00BA45D3">
        <w:rPr>
          <w:rFonts w:asciiTheme="majorBidi" w:hAnsiTheme="majorBidi" w:cstheme="majorBidi"/>
          <w:sz w:val="24"/>
          <w:szCs w:val="24"/>
        </w:rPr>
        <w:t xml:space="preserve">ICCPR sets out specific safeguards for ensuring that where national or international legal instruments do not totally prohibit the death penalty, it shall be exercised only in the most exceptional cases and under the strictest limits. The Human Rights Committee specifically stated that excessively vague definitions of crimes for which the death penalty may be imposed are inconsistent with article 6, paragraph 2, of </w:t>
      </w:r>
      <w:r w:rsidR="00BA45D3" w:rsidRPr="00BA45D3">
        <w:rPr>
          <w:rFonts w:asciiTheme="majorBidi" w:hAnsiTheme="majorBidi" w:cstheme="majorBidi"/>
          <w:sz w:val="24"/>
          <w:szCs w:val="24"/>
        </w:rPr>
        <w:lastRenderedPageBreak/>
        <w:t>the ICCPR which permits use of the death penalty only for “the most serious crimes.</w:t>
      </w:r>
      <w:r w:rsidR="00BA45D3" w:rsidRPr="00BA45D3">
        <w:rPr>
          <w:rStyle w:val="FootnoteReference"/>
          <w:rFonts w:asciiTheme="majorBidi" w:hAnsiTheme="majorBidi" w:cstheme="majorBidi"/>
          <w:sz w:val="24"/>
          <w:szCs w:val="24"/>
        </w:rPr>
        <w:footnoteReference w:id="26"/>
      </w:r>
      <w:r w:rsidR="00BA45D3" w:rsidRPr="00BA45D3">
        <w:rPr>
          <w:rFonts w:asciiTheme="majorBidi" w:hAnsiTheme="majorBidi" w:cstheme="majorBidi"/>
          <w:sz w:val="24"/>
          <w:szCs w:val="24"/>
        </w:rPr>
        <w:t xml:space="preserve"> </w:t>
      </w:r>
    </w:p>
    <w:p w14:paraId="7976EC04" w14:textId="77777777" w:rsidR="00873CAD" w:rsidRDefault="00873CAD" w:rsidP="00873CAD">
      <w:pPr>
        <w:spacing w:line="480" w:lineRule="auto"/>
        <w:jc w:val="both"/>
        <w:rPr>
          <w:sz w:val="24"/>
          <w:szCs w:val="24"/>
        </w:rPr>
      </w:pPr>
    </w:p>
    <w:p w14:paraId="29A1EE1E" w14:textId="1F187AE4" w:rsidR="00BA45D3" w:rsidRDefault="00BA45D3" w:rsidP="00873CAD">
      <w:pPr>
        <w:spacing w:line="480" w:lineRule="auto"/>
        <w:jc w:val="both"/>
        <w:rPr>
          <w:sz w:val="24"/>
          <w:szCs w:val="24"/>
        </w:rPr>
      </w:pPr>
      <w:r w:rsidRPr="009B39C7">
        <w:rPr>
          <w:sz w:val="24"/>
          <w:szCs w:val="24"/>
        </w:rPr>
        <w:t xml:space="preserve">Further, article 5 of the United Nations Safeguards Protecting the Rights of those Facing the Death Penalty (1984) provides that capital punishment may only be carried out pursuant to legal procedures which give all possible safeguards to ensure a fair trial, at least equal to those contained in article 14 of the ICCPR. This is so because only full respect for stringent due process guarantees distinguishes capital punishment as possibly permitted under international law from an arbitrary execution. </w:t>
      </w:r>
      <w:r w:rsidR="00F75B49">
        <w:rPr>
          <w:sz w:val="24"/>
          <w:szCs w:val="24"/>
        </w:rPr>
        <w:t xml:space="preserve"> The trial and detention conditions briefly outlined above </w:t>
      </w:r>
      <w:r w:rsidR="00DB53EF">
        <w:rPr>
          <w:sz w:val="24"/>
          <w:szCs w:val="24"/>
        </w:rPr>
        <w:t>demonstrate that the protection of fair trial standards for this group of detainees has not been adequately discharged.</w:t>
      </w:r>
    </w:p>
    <w:p w14:paraId="4B5FB7BC" w14:textId="77777777" w:rsidR="00F75B49" w:rsidRPr="009B39C7" w:rsidRDefault="00F75B49" w:rsidP="00873CAD">
      <w:pPr>
        <w:spacing w:line="480" w:lineRule="auto"/>
        <w:jc w:val="both"/>
        <w:rPr>
          <w:sz w:val="24"/>
          <w:szCs w:val="24"/>
        </w:rPr>
      </w:pPr>
    </w:p>
    <w:p w14:paraId="2A8C69AE" w14:textId="117F97D5" w:rsidR="008444C1" w:rsidRPr="00DB53EF" w:rsidRDefault="00BA45D3" w:rsidP="00DB53EF">
      <w:pPr>
        <w:spacing w:line="480" w:lineRule="auto"/>
        <w:jc w:val="both"/>
        <w:rPr>
          <w:sz w:val="24"/>
          <w:szCs w:val="24"/>
        </w:rPr>
      </w:pPr>
      <w:r w:rsidRPr="009B39C7">
        <w:rPr>
          <w:sz w:val="24"/>
          <w:szCs w:val="24"/>
        </w:rPr>
        <w:t xml:space="preserve">The UN Security Council Resolution 2178 of September 24, 2014, attempts to address the problem of the </w:t>
      </w:r>
      <w:r w:rsidR="00A04905">
        <w:rPr>
          <w:sz w:val="24"/>
          <w:szCs w:val="24"/>
        </w:rPr>
        <w:t>“</w:t>
      </w:r>
      <w:r w:rsidRPr="009B39C7">
        <w:rPr>
          <w:sz w:val="24"/>
          <w:szCs w:val="24"/>
        </w:rPr>
        <w:t>foreign terrorist fighter</w:t>
      </w:r>
      <w:r w:rsidR="00A04905">
        <w:rPr>
          <w:sz w:val="24"/>
          <w:szCs w:val="24"/>
        </w:rPr>
        <w:t>”</w:t>
      </w:r>
      <w:r w:rsidRPr="009B39C7">
        <w:rPr>
          <w:sz w:val="24"/>
          <w:szCs w:val="24"/>
        </w:rPr>
        <w:t xml:space="preserve"> threat and explicitly calls on States to ensure that international human rights law is respected in their responses to the threat.</w:t>
      </w:r>
      <w:r w:rsidR="001B1D2D">
        <w:rPr>
          <w:rStyle w:val="FootnoteReference"/>
          <w:sz w:val="24"/>
          <w:szCs w:val="24"/>
        </w:rPr>
        <w:footnoteReference w:id="27"/>
      </w:r>
      <w:r w:rsidRPr="009B39C7">
        <w:rPr>
          <w:sz w:val="24"/>
          <w:szCs w:val="24"/>
        </w:rPr>
        <w:t xml:space="preserve"> Similar calls for the respect for human rights are present in regional anti-terrorism legal in</w:t>
      </w:r>
      <w:r w:rsidRPr="009B39C7">
        <w:rPr>
          <w:sz w:val="24"/>
          <w:szCs w:val="24"/>
        </w:rPr>
        <w:lastRenderedPageBreak/>
        <w:t xml:space="preserve">struments. The Additional Protocol to the Council of Europe Convention on the Prevention of Terrorism adopted on May 19, 2015, demands that State parties ensure that “the implementation of this Protocol… is carried out while respecting human rights obligations…as set forth in the [European] Convention for the Protection of Human Rights and Fundamental Freedoms and the International Covenant on Civil and Political Rights and other obligations under international law.” The Declaration of the Organization for Security and Cooperation in Europe on its role in countering the phenomenon of foreign fighters adopted on December 5, 2014, too calls on States to respect their obligations under international law, including international human rights law, international refugee law and international humanitarian law when responding to the phenomenon. </w:t>
      </w:r>
    </w:p>
    <w:p w14:paraId="0B8912D4" w14:textId="48599897" w:rsidR="000530F1" w:rsidRDefault="000530F1" w:rsidP="00DB53EF">
      <w:pPr>
        <w:pStyle w:val="NormalWeb"/>
        <w:spacing w:line="480" w:lineRule="auto"/>
        <w:jc w:val="both"/>
        <w:rPr>
          <w:rFonts w:asciiTheme="majorBidi" w:hAnsiTheme="majorBidi" w:cstheme="majorBidi"/>
        </w:rPr>
      </w:pPr>
      <w:r w:rsidRPr="00AC770E">
        <w:rPr>
          <w:rFonts w:asciiTheme="majorBidi" w:hAnsiTheme="majorBidi" w:cstheme="majorBidi"/>
        </w:rPr>
        <w:t>Greater information on th</w:t>
      </w:r>
      <w:r w:rsidR="00E743A1">
        <w:rPr>
          <w:rFonts w:asciiTheme="majorBidi" w:hAnsiTheme="majorBidi" w:cstheme="majorBidi"/>
        </w:rPr>
        <w:t xml:space="preserve">e </w:t>
      </w:r>
      <w:r w:rsidRPr="00AC770E">
        <w:rPr>
          <w:rFonts w:asciiTheme="majorBidi" w:hAnsiTheme="majorBidi" w:cstheme="majorBidi"/>
        </w:rPr>
        <w:t>specific and contemporary challenge</w:t>
      </w:r>
      <w:r w:rsidR="00B210B0">
        <w:rPr>
          <w:rFonts w:asciiTheme="majorBidi" w:hAnsiTheme="majorBidi" w:cstheme="majorBidi"/>
        </w:rPr>
        <w:t xml:space="preserve">s </w:t>
      </w:r>
      <w:r w:rsidR="00E743A1">
        <w:rPr>
          <w:rFonts w:asciiTheme="majorBidi" w:hAnsiTheme="majorBidi" w:cstheme="majorBidi"/>
        </w:rPr>
        <w:t xml:space="preserve">posed by the detention and trial of these individuals accused of “terrorism” in Iraq, </w:t>
      </w:r>
      <w:r w:rsidRPr="00AC770E">
        <w:rPr>
          <w:rFonts w:asciiTheme="majorBidi" w:hAnsiTheme="majorBidi" w:cstheme="majorBidi"/>
        </w:rPr>
        <w:t>ought to provoke an evidence</w:t>
      </w:r>
      <w:r>
        <w:rPr>
          <w:rFonts w:asciiTheme="majorBidi" w:hAnsiTheme="majorBidi" w:cstheme="majorBidi"/>
        </w:rPr>
        <w:t>-</w:t>
      </w:r>
      <w:r w:rsidRPr="00AC770E">
        <w:rPr>
          <w:rFonts w:asciiTheme="majorBidi" w:hAnsiTheme="majorBidi" w:cstheme="majorBidi"/>
        </w:rPr>
        <w:t xml:space="preserve">based approach to </w:t>
      </w:r>
      <w:r w:rsidR="00B210B0">
        <w:rPr>
          <w:rFonts w:asciiTheme="majorBidi" w:hAnsiTheme="majorBidi" w:cstheme="majorBidi"/>
        </w:rPr>
        <w:t>regulation</w:t>
      </w:r>
      <w:r w:rsidRPr="00AC770E">
        <w:rPr>
          <w:rFonts w:asciiTheme="majorBidi" w:hAnsiTheme="majorBidi" w:cstheme="majorBidi"/>
        </w:rPr>
        <w:t>, and enable a greater integration of the rights and security discourse in positive ways</w:t>
      </w:r>
      <w:r w:rsidR="00DB53EF">
        <w:rPr>
          <w:rFonts w:asciiTheme="majorBidi" w:hAnsiTheme="majorBidi" w:cstheme="majorBidi"/>
        </w:rPr>
        <w:t>, especially in relation to the most fundamental of rights – the protection of the right to life from arbitrary deprivation</w:t>
      </w:r>
      <w:r w:rsidRPr="00AC770E">
        <w:rPr>
          <w:rFonts w:asciiTheme="majorBidi" w:hAnsiTheme="majorBidi" w:cstheme="majorBidi"/>
        </w:rPr>
        <w:t xml:space="preserve">. </w:t>
      </w:r>
      <w:r w:rsidR="00DB53EF">
        <w:rPr>
          <w:rFonts w:asciiTheme="majorBidi" w:hAnsiTheme="majorBidi" w:cstheme="majorBidi"/>
        </w:rPr>
        <w:t xml:space="preserve">In the context of foreign fighters, a group which is neither sympathetic nor benevolent, we are obliged to be consistent and forthright </w:t>
      </w:r>
      <w:r w:rsidR="00B210B0">
        <w:rPr>
          <w:rFonts w:asciiTheme="majorBidi" w:hAnsiTheme="majorBidi" w:cstheme="majorBidi"/>
        </w:rPr>
        <w:t>about the application of the right to life, and to avoid both the nullification of that right simply because it attaches to a group that has engaged in serious rights violation and/or using foreign fighters as a trojan horse to nullify this right from the inside out.</w:t>
      </w:r>
    </w:p>
    <w:p w14:paraId="2A3E2FC7" w14:textId="763F1815" w:rsidR="008A4056" w:rsidRPr="00AC770E" w:rsidRDefault="008A4056" w:rsidP="008A4056">
      <w:pPr>
        <w:pStyle w:val="NormalWeb"/>
        <w:spacing w:line="480" w:lineRule="auto"/>
        <w:jc w:val="both"/>
        <w:rPr>
          <w:rFonts w:asciiTheme="majorBidi" w:hAnsiTheme="majorBidi" w:cstheme="majorBidi"/>
        </w:rPr>
      </w:pPr>
      <w:r>
        <w:rPr>
          <w:rFonts w:asciiTheme="majorBidi" w:hAnsiTheme="majorBidi" w:cstheme="majorBidi"/>
        </w:rPr>
        <w:lastRenderedPageBreak/>
        <w:t xml:space="preserve">I thank you for your attention and welcome an open discussion on these difficult but important matters. </w:t>
      </w:r>
    </w:p>
    <w:p w14:paraId="44E077D9" w14:textId="77777777" w:rsidR="000530F1" w:rsidRPr="00CE7F81" w:rsidRDefault="000530F1" w:rsidP="000530F1">
      <w:pPr>
        <w:spacing w:line="480" w:lineRule="auto"/>
        <w:jc w:val="both"/>
        <w:rPr>
          <w:rFonts w:asciiTheme="majorBidi" w:hAnsiTheme="majorBidi" w:cstheme="majorBidi"/>
          <w:color w:val="000000" w:themeColor="text1"/>
          <w:shd w:val="clear" w:color="auto" w:fill="FFFFFF"/>
          <w:lang w:val="en-US"/>
        </w:rPr>
      </w:pPr>
    </w:p>
    <w:sectPr w:rsidR="000530F1" w:rsidRPr="00CE7F81" w:rsidSect="00BE39F2">
      <w:headerReference w:type="default" r:id="rId8"/>
      <w:footerReference w:type="default" r:id="rId9"/>
      <w:headerReference w:type="first" r:id="rId10"/>
      <w:footerReference w:type="first" r:id="rId11"/>
      <w:pgSz w:w="11906" w:h="16838" w:code="9"/>
      <w:pgMar w:top="1134" w:right="1133" w:bottom="1134" w:left="1701" w:header="284" w:footer="567" w:gutter="0"/>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9C8F3" w14:textId="77777777" w:rsidR="00BF2C38" w:rsidRDefault="00BF2C38" w:rsidP="0042427D">
      <w:r>
        <w:separator/>
      </w:r>
    </w:p>
  </w:endnote>
  <w:endnote w:type="continuationSeparator" w:id="0">
    <w:p w14:paraId="39DAA6F4" w14:textId="77777777" w:rsidR="00BF2C38" w:rsidRDefault="00BF2C38" w:rsidP="0042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charset w:val="00"/>
    <w:family w:val="roman"/>
    <w:pitch w:val="variable"/>
    <w:sig w:usb0="E0002AEF" w:usb1="C0007841"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48059" w14:textId="77777777" w:rsidR="00BE39F2" w:rsidRDefault="00BE39F2" w:rsidP="00BE39F2">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26BAC" w14:textId="77777777" w:rsidR="00BE39F2" w:rsidRDefault="00BE39F2" w:rsidP="00BE39F2">
    <w:pPr>
      <w:pStyle w:val="Footer"/>
    </w:pPr>
  </w:p>
  <w:p w14:paraId="2779761C" w14:textId="77777777" w:rsidR="00BE39F2" w:rsidRDefault="00BE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08514" w14:textId="77777777" w:rsidR="00BF2C38" w:rsidRDefault="00BF2C38" w:rsidP="0042427D">
      <w:r>
        <w:separator/>
      </w:r>
    </w:p>
  </w:footnote>
  <w:footnote w:type="continuationSeparator" w:id="0">
    <w:p w14:paraId="4DC747E3" w14:textId="77777777" w:rsidR="00BF2C38" w:rsidRDefault="00BF2C38" w:rsidP="0042427D">
      <w:r>
        <w:continuationSeparator/>
      </w:r>
    </w:p>
  </w:footnote>
  <w:footnote w:id="1">
    <w:p w14:paraId="72629B8B" w14:textId="77777777" w:rsidR="000530F1" w:rsidRPr="00C105E4" w:rsidRDefault="000530F1" w:rsidP="000530F1">
      <w:pPr>
        <w:pStyle w:val="FootnoteText"/>
        <w:rPr>
          <w:rFonts w:asciiTheme="majorBidi" w:hAnsiTheme="majorBidi" w:cstheme="majorBidi"/>
          <w:lang w:val="en-GB"/>
        </w:rPr>
      </w:pPr>
      <w:r w:rsidRPr="00C105E4">
        <w:rPr>
          <w:rStyle w:val="FootnoteReference"/>
          <w:rFonts w:asciiTheme="majorBidi" w:hAnsiTheme="majorBidi" w:cstheme="majorBidi"/>
        </w:rPr>
        <w:footnoteRef/>
      </w:r>
      <w:r>
        <w:rPr>
          <w:rFonts w:asciiTheme="majorBidi" w:hAnsiTheme="majorBidi" w:cstheme="majorBidi"/>
        </w:rPr>
        <w:t xml:space="preserve"> </w:t>
      </w:r>
      <w:r w:rsidRPr="00C105E4">
        <w:rPr>
          <w:rFonts w:asciiTheme="majorBidi" w:hAnsiTheme="majorBidi" w:cstheme="majorBidi"/>
        </w:rPr>
        <w:t xml:space="preserve">In its resolution 2178 (2014), the UN Security Council defines “foreign terrorist fighters” (FTFs) as </w:t>
      </w:r>
      <w:r w:rsidRPr="00390FBC">
        <w:rPr>
          <w:rFonts w:asciiTheme="majorBidi" w:hAnsiTheme="majorBidi" w:cstheme="majorBidi"/>
        </w:rPr>
        <w:t>“...individuals who travel to a State other than their State of residence or nationality for the purpose of the perpetration, planning or preparation of, or participation in, terrorist acts or the providing or receiving of terrorist training, including in connection with armed conflict</w:t>
      </w:r>
      <w:r>
        <w:rPr>
          <w:rFonts w:asciiTheme="majorBidi" w:hAnsiTheme="majorBidi" w:cstheme="majorBidi"/>
        </w:rPr>
        <w:t>.” S.C. Res.</w:t>
      </w:r>
      <w:r w:rsidRPr="00390FBC">
        <w:rPr>
          <w:rFonts w:asciiTheme="majorBidi" w:hAnsiTheme="majorBidi" w:cstheme="majorBidi"/>
        </w:rPr>
        <w:t xml:space="preserve"> 2178 </w:t>
      </w:r>
      <w:r>
        <w:rPr>
          <w:rFonts w:asciiTheme="majorBidi" w:hAnsiTheme="majorBidi" w:cstheme="majorBidi"/>
        </w:rPr>
        <w:t>(Sept. 24, 2014)</w:t>
      </w:r>
      <w:r w:rsidRPr="00C105E4">
        <w:rPr>
          <w:rFonts w:asciiTheme="majorBidi" w:hAnsiTheme="majorBidi" w:cstheme="majorBidi"/>
        </w:rPr>
        <w:t>.</w:t>
      </w:r>
    </w:p>
  </w:footnote>
  <w:footnote w:id="2">
    <w:p w14:paraId="4BF609EC" w14:textId="77777777" w:rsidR="000530F1" w:rsidRPr="002E6E75" w:rsidRDefault="000530F1" w:rsidP="000530F1">
      <w:pPr>
        <w:pStyle w:val="FootnoteText"/>
        <w:rPr>
          <w:rFonts w:asciiTheme="majorBidi" w:hAnsiTheme="majorBidi" w:cstheme="majorBidi"/>
        </w:rPr>
      </w:pPr>
      <w:r w:rsidRPr="002E6E75">
        <w:rPr>
          <w:rStyle w:val="FootnoteReference"/>
          <w:rFonts w:asciiTheme="majorBidi" w:hAnsiTheme="majorBidi" w:cstheme="majorBidi"/>
        </w:rPr>
        <w:footnoteRef/>
      </w:r>
      <w:r w:rsidRPr="002E6E75">
        <w:rPr>
          <w:rFonts w:asciiTheme="majorBidi" w:hAnsiTheme="majorBidi" w:cstheme="majorBidi"/>
        </w:rPr>
        <w:t xml:space="preserve"> </w:t>
      </w:r>
      <w:r w:rsidRPr="002E6E75">
        <w:rPr>
          <w:rFonts w:asciiTheme="majorBidi" w:hAnsiTheme="majorBidi" w:cstheme="majorBidi"/>
          <w:i/>
        </w:rPr>
        <w:t>See</w:t>
      </w:r>
      <w:r w:rsidRPr="002E6E75">
        <w:rPr>
          <w:rFonts w:asciiTheme="majorBidi" w:hAnsiTheme="majorBidi" w:cstheme="majorBidi"/>
        </w:rPr>
        <w:t xml:space="preserve"> </w:t>
      </w:r>
      <w:proofErr w:type="spellStart"/>
      <w:r w:rsidRPr="002E6E75">
        <w:rPr>
          <w:rFonts w:asciiTheme="majorBidi" w:hAnsiTheme="majorBidi" w:cstheme="majorBidi"/>
          <w:smallCaps/>
        </w:rPr>
        <w:t>Radicalisation</w:t>
      </w:r>
      <w:proofErr w:type="spellEnd"/>
      <w:r w:rsidRPr="002E6E75">
        <w:rPr>
          <w:rFonts w:asciiTheme="majorBidi" w:hAnsiTheme="majorBidi" w:cstheme="majorBidi"/>
          <w:smallCaps/>
        </w:rPr>
        <w:t xml:space="preserve"> Awareness Network, RAN Manual: Responses to Returnees: Foreign Terrorist Fighters and Their Families.</w:t>
      </w:r>
      <w:r w:rsidRPr="002E6E75">
        <w:rPr>
          <w:rFonts w:asciiTheme="majorBidi" w:hAnsiTheme="majorBidi" w:cstheme="majorBidi"/>
        </w:rPr>
        <w:t xml:space="preserve"> (July 2017), </w:t>
      </w:r>
      <w:hyperlink r:id="rId1" w:history="1">
        <w:r w:rsidRPr="002E6E75">
          <w:rPr>
            <w:rStyle w:val="Hyperlink"/>
            <w:rFonts w:asciiTheme="majorBidi" w:hAnsiTheme="majorBidi" w:cstheme="majorBidi"/>
          </w:rPr>
          <w:t>https://ec.europa.eu/home-affairs/sites/homeaffairs/files/ran_br_a4_m10_en.pdf</w:t>
        </w:r>
      </w:hyperlink>
      <w:r w:rsidRPr="002E6E75">
        <w:rPr>
          <w:rFonts w:asciiTheme="majorBidi" w:hAnsiTheme="majorBidi" w:cstheme="majorBidi"/>
        </w:rPr>
        <w:t xml:space="preserve">; </w:t>
      </w:r>
      <w:r w:rsidRPr="002E6E75">
        <w:rPr>
          <w:rFonts w:asciiTheme="majorBidi" w:hAnsiTheme="majorBidi" w:cstheme="majorBidi"/>
          <w:i/>
        </w:rPr>
        <w:t xml:space="preserve"> </w:t>
      </w:r>
      <w:r w:rsidRPr="002E6E75">
        <w:rPr>
          <w:rFonts w:asciiTheme="majorBidi" w:hAnsiTheme="majorBidi" w:cstheme="majorBidi"/>
          <w:smallCaps/>
        </w:rPr>
        <w:t xml:space="preserve">International Centre for the Study of </w:t>
      </w:r>
      <w:proofErr w:type="spellStart"/>
      <w:r w:rsidRPr="002E6E75">
        <w:rPr>
          <w:rFonts w:asciiTheme="majorBidi" w:hAnsiTheme="majorBidi" w:cstheme="majorBidi"/>
          <w:smallCaps/>
        </w:rPr>
        <w:t>Radicalisation</w:t>
      </w:r>
      <w:proofErr w:type="spellEnd"/>
      <w:r w:rsidRPr="002E6E75">
        <w:rPr>
          <w:rFonts w:asciiTheme="majorBidi" w:hAnsiTheme="majorBidi" w:cstheme="majorBidi"/>
          <w:smallCaps/>
        </w:rPr>
        <w:t xml:space="preserve">, From </w:t>
      </w:r>
      <w:proofErr w:type="spellStart"/>
      <w:r w:rsidRPr="002E6E75">
        <w:rPr>
          <w:rFonts w:asciiTheme="majorBidi" w:hAnsiTheme="majorBidi" w:cstheme="majorBidi"/>
          <w:smallCaps/>
        </w:rPr>
        <w:t>Daesh</w:t>
      </w:r>
      <w:proofErr w:type="spellEnd"/>
      <w:r w:rsidRPr="002E6E75">
        <w:rPr>
          <w:rFonts w:asciiTheme="majorBidi" w:hAnsiTheme="majorBidi" w:cstheme="majorBidi"/>
          <w:smallCaps/>
        </w:rPr>
        <w:t xml:space="preserve"> to ‘Diaspora’: Tracing the Women and Minors of Islamic State</w:t>
      </w:r>
      <w:r w:rsidRPr="002E6E75">
        <w:rPr>
          <w:rFonts w:asciiTheme="majorBidi" w:hAnsiTheme="majorBidi" w:cstheme="majorBidi"/>
        </w:rPr>
        <w:t xml:space="preserve"> (2018), https://icsr.info/wp-content/uploads/2018/07/ICSR-Report-From-Daesh-to-%E2%80%98Diaspora%E2%80%99-Tracing-the-Women-and-Minors-of-Islamic-State.pdf.</w:t>
      </w:r>
    </w:p>
  </w:footnote>
  <w:footnote w:id="3">
    <w:p w14:paraId="38E78843" w14:textId="77777777" w:rsidR="000530F1" w:rsidRPr="002E6E75" w:rsidRDefault="000530F1" w:rsidP="000530F1">
      <w:pPr>
        <w:pStyle w:val="FootnoteText"/>
        <w:rPr>
          <w:rFonts w:asciiTheme="majorBidi" w:hAnsiTheme="majorBidi" w:cstheme="majorBidi"/>
          <w:lang w:val="en-GB"/>
        </w:rPr>
      </w:pPr>
      <w:r w:rsidRPr="002E6E75">
        <w:rPr>
          <w:rStyle w:val="FootnoteReference"/>
          <w:rFonts w:asciiTheme="majorBidi" w:hAnsiTheme="majorBidi" w:cstheme="majorBidi"/>
        </w:rPr>
        <w:footnoteRef/>
      </w:r>
      <w:r w:rsidRPr="002E6E75">
        <w:rPr>
          <w:rFonts w:asciiTheme="majorBidi" w:hAnsiTheme="majorBidi" w:cstheme="majorBidi"/>
        </w:rPr>
        <w:t xml:space="preserve"> </w:t>
      </w:r>
      <w:r w:rsidRPr="002E6E75">
        <w:rPr>
          <w:rFonts w:asciiTheme="majorBidi" w:hAnsiTheme="majorBidi" w:cstheme="majorBidi"/>
          <w:i/>
        </w:rPr>
        <w:t>See</w:t>
      </w:r>
      <w:r w:rsidRPr="002E6E75">
        <w:rPr>
          <w:rFonts w:asciiTheme="majorBidi" w:hAnsiTheme="majorBidi" w:cstheme="majorBidi"/>
        </w:rPr>
        <w:t xml:space="preserve"> </w:t>
      </w:r>
      <w:r w:rsidRPr="002E6E75">
        <w:rPr>
          <w:rFonts w:asciiTheme="majorBidi" w:hAnsiTheme="majorBidi" w:cstheme="majorBidi"/>
          <w:smallCaps/>
          <w:lang w:val="en-GB"/>
        </w:rPr>
        <w:t>European Parliamentary Research Service, The Return of Foreign Fighters to EU Soil</w:t>
      </w:r>
      <w:r w:rsidRPr="002E6E75">
        <w:rPr>
          <w:rFonts w:asciiTheme="majorBidi" w:hAnsiTheme="majorBidi" w:cstheme="majorBidi"/>
          <w:lang w:val="en-GB"/>
        </w:rPr>
        <w:t xml:space="preserve"> (2018), </w:t>
      </w:r>
      <w:hyperlink r:id="rId2" w:history="1">
        <w:r w:rsidRPr="002E6E75">
          <w:rPr>
            <w:rStyle w:val="Hyperlink"/>
            <w:rFonts w:asciiTheme="majorBidi" w:hAnsiTheme="majorBidi" w:cstheme="majorBidi"/>
          </w:rPr>
          <w:t>http://www.europarl.europa.eu/RegData/etudes/STUD/2018/621811/EPRS_STU(2018)621811_EN.pdf</w:t>
        </w:r>
      </w:hyperlink>
      <w:r w:rsidRPr="002E6E75">
        <w:rPr>
          <w:rFonts w:asciiTheme="majorBidi" w:hAnsiTheme="majorBidi" w:cstheme="majorBidi"/>
          <w:lang w:val="en-GB"/>
        </w:rPr>
        <w:t xml:space="preserve">. </w:t>
      </w:r>
    </w:p>
  </w:footnote>
  <w:footnote w:id="4">
    <w:p w14:paraId="256350E7" w14:textId="77777777" w:rsidR="000530F1" w:rsidRPr="00C105E4" w:rsidRDefault="000530F1" w:rsidP="000530F1">
      <w:pPr>
        <w:pStyle w:val="NormalWeb"/>
        <w:spacing w:before="0" w:beforeAutospacing="0" w:after="0" w:afterAutospacing="0"/>
        <w:jc w:val="both"/>
        <w:rPr>
          <w:rFonts w:asciiTheme="majorBidi" w:hAnsiTheme="majorBidi" w:cstheme="majorBidi"/>
          <w:sz w:val="20"/>
          <w:szCs w:val="20"/>
        </w:rPr>
      </w:pPr>
      <w:r w:rsidRPr="002E6E75">
        <w:rPr>
          <w:rStyle w:val="FootnoteReference"/>
          <w:rFonts w:asciiTheme="majorBidi" w:hAnsiTheme="majorBidi" w:cstheme="majorBidi"/>
          <w:sz w:val="20"/>
          <w:szCs w:val="20"/>
        </w:rPr>
        <w:footnoteRef/>
      </w:r>
      <w:r w:rsidRPr="002E6E75">
        <w:rPr>
          <w:rFonts w:asciiTheme="majorBidi" w:hAnsiTheme="majorBidi" w:cstheme="majorBidi"/>
          <w:sz w:val="20"/>
          <w:szCs w:val="20"/>
        </w:rPr>
        <w:t xml:space="preserve"> </w:t>
      </w:r>
      <w:r w:rsidRPr="002E6E75">
        <w:rPr>
          <w:rFonts w:asciiTheme="majorBidi" w:hAnsiTheme="majorBidi" w:cstheme="majorBidi"/>
          <w:sz w:val="20"/>
          <w:szCs w:val="20"/>
          <w:shd w:val="clear" w:color="auto" w:fill="FFFFFF" w:themeFill="background1"/>
        </w:rPr>
        <w:t xml:space="preserve">U.S. intelligence assessments suggested that the number of foreign fighters crossing the border from Turkey fell from 2000 each month to about 50 in September 2016.  </w:t>
      </w:r>
    </w:p>
  </w:footnote>
  <w:footnote w:id="5">
    <w:p w14:paraId="6E236A3C" w14:textId="77777777" w:rsidR="000530F1" w:rsidRPr="00C105E4" w:rsidRDefault="000530F1" w:rsidP="000530F1">
      <w:pPr>
        <w:pStyle w:val="NormalWeb"/>
        <w:spacing w:before="0" w:beforeAutospacing="0" w:after="0" w:afterAutospacing="0"/>
        <w:jc w:val="both"/>
        <w:rPr>
          <w:rFonts w:asciiTheme="majorBidi" w:hAnsiTheme="majorBidi" w:cstheme="majorBidi"/>
          <w:sz w:val="20"/>
          <w:szCs w:val="20"/>
        </w:rPr>
      </w:pPr>
      <w:r w:rsidRPr="00C105E4">
        <w:rPr>
          <w:rStyle w:val="FootnoteReference"/>
          <w:rFonts w:asciiTheme="majorBidi" w:hAnsiTheme="majorBidi" w:cstheme="majorBidi"/>
          <w:sz w:val="20"/>
          <w:szCs w:val="20"/>
        </w:rPr>
        <w:footnoteRef/>
      </w:r>
      <w:r w:rsidRPr="00C105E4">
        <w:rPr>
          <w:rFonts w:asciiTheme="majorBidi" w:hAnsiTheme="majorBidi" w:cstheme="majorBidi"/>
          <w:sz w:val="20"/>
          <w:szCs w:val="20"/>
        </w:rPr>
        <w:t xml:space="preserve"> With the obvious emergence of a bulge occurrence to be explained as well as having more consistent methodology on baseline data and honesty about data gaps and extrapolation of results from poor or limited data or making conclusions based on poor to limited data.  A key point for competent data analysis is the use of mixed methods and systematic integration of quantitative and qualitative methodologies and methods at all stages of an evaluation, a feature notably missing from the data production we are seeing in the FF field. </w:t>
      </w:r>
      <w:r w:rsidRPr="00C105E4">
        <w:rPr>
          <w:rFonts w:asciiTheme="majorBidi" w:hAnsiTheme="majorBidi" w:cstheme="majorBidi"/>
          <w:i/>
          <w:iCs/>
          <w:sz w:val="20"/>
          <w:szCs w:val="20"/>
        </w:rPr>
        <w:t>See e.g.</w:t>
      </w:r>
      <w:r>
        <w:rPr>
          <w:rFonts w:asciiTheme="majorBidi" w:hAnsiTheme="majorBidi" w:cstheme="majorBidi"/>
          <w:iCs/>
          <w:sz w:val="20"/>
          <w:szCs w:val="20"/>
        </w:rPr>
        <w:t>,</w:t>
      </w:r>
      <w:r w:rsidRPr="00C105E4">
        <w:rPr>
          <w:rFonts w:asciiTheme="majorBidi" w:hAnsiTheme="majorBidi" w:cstheme="majorBidi"/>
          <w:sz w:val="20"/>
          <w:szCs w:val="20"/>
        </w:rPr>
        <w:t xml:space="preserve"> </w:t>
      </w:r>
      <w:r w:rsidRPr="002E6E75">
        <w:rPr>
          <w:rFonts w:asciiTheme="majorBidi" w:hAnsiTheme="majorBidi" w:cstheme="majorBidi"/>
          <w:smallCaps/>
          <w:sz w:val="20"/>
          <w:szCs w:val="20"/>
        </w:rPr>
        <w:t xml:space="preserve">Greet </w:t>
      </w:r>
      <w:proofErr w:type="spellStart"/>
      <w:r w:rsidRPr="002E6E75">
        <w:rPr>
          <w:rFonts w:asciiTheme="majorBidi" w:hAnsiTheme="majorBidi" w:cstheme="majorBidi"/>
          <w:smallCaps/>
          <w:sz w:val="20"/>
          <w:szCs w:val="20"/>
        </w:rPr>
        <w:t>Peersman</w:t>
      </w:r>
      <w:proofErr w:type="spellEnd"/>
      <w:r w:rsidRPr="002E6E75">
        <w:rPr>
          <w:rFonts w:asciiTheme="majorBidi" w:hAnsiTheme="majorBidi" w:cstheme="majorBidi"/>
          <w:smallCaps/>
          <w:sz w:val="20"/>
          <w:szCs w:val="20"/>
        </w:rPr>
        <w:t>, Overview, Data Collection and Analysis Methods in Impact Evaluation</w:t>
      </w:r>
      <w:r w:rsidRPr="00C105E4">
        <w:rPr>
          <w:rFonts w:asciiTheme="majorBidi" w:hAnsiTheme="majorBidi" w:cstheme="majorBidi"/>
          <w:sz w:val="20"/>
          <w:szCs w:val="20"/>
        </w:rPr>
        <w:t xml:space="preserve"> (2014) https://www.unicef-irc.org/publications/pdf/brief_10_data_collection_analysis_eng.pdf</w:t>
      </w:r>
      <w:r>
        <w:rPr>
          <w:rFonts w:asciiTheme="majorBidi" w:hAnsiTheme="majorBidi" w:cstheme="majorBidi"/>
          <w:sz w:val="20"/>
          <w:szCs w:val="20"/>
        </w:rPr>
        <w:t>.</w:t>
      </w:r>
    </w:p>
  </w:footnote>
  <w:footnote w:id="6">
    <w:p w14:paraId="5FAF621A" w14:textId="77777777" w:rsidR="000530F1" w:rsidRPr="00C105E4" w:rsidRDefault="000530F1" w:rsidP="000530F1">
      <w:pPr>
        <w:pStyle w:val="NormalWeb"/>
        <w:spacing w:before="0" w:beforeAutospacing="0" w:after="0" w:afterAutospacing="0"/>
        <w:jc w:val="both"/>
        <w:rPr>
          <w:rFonts w:asciiTheme="majorBidi" w:hAnsiTheme="majorBidi" w:cstheme="majorBidi"/>
          <w:sz w:val="20"/>
          <w:szCs w:val="20"/>
        </w:rPr>
      </w:pPr>
      <w:r w:rsidRPr="00C105E4">
        <w:rPr>
          <w:rStyle w:val="FootnoteReference"/>
          <w:rFonts w:asciiTheme="majorBidi" w:hAnsiTheme="majorBidi" w:cstheme="majorBidi"/>
          <w:sz w:val="20"/>
          <w:szCs w:val="20"/>
        </w:rPr>
        <w:footnoteRef/>
      </w:r>
      <w:r w:rsidRPr="00C105E4">
        <w:rPr>
          <w:rFonts w:asciiTheme="majorBidi" w:hAnsiTheme="majorBidi" w:cstheme="majorBidi"/>
          <w:sz w:val="20"/>
          <w:szCs w:val="20"/>
        </w:rPr>
        <w:t xml:space="preserve"> </w:t>
      </w:r>
      <w:r>
        <w:rPr>
          <w:rFonts w:asciiTheme="majorBidi" w:hAnsiTheme="majorBidi" w:cstheme="majorBidi"/>
          <w:sz w:val="20"/>
          <w:szCs w:val="20"/>
        </w:rPr>
        <w:t>At</w:t>
      </w:r>
      <w:r w:rsidRPr="00C105E4">
        <w:rPr>
          <w:rFonts w:asciiTheme="majorBidi" w:hAnsiTheme="majorBidi" w:cstheme="majorBidi"/>
          <w:sz w:val="20"/>
          <w:szCs w:val="20"/>
        </w:rPr>
        <w:t xml:space="preserve"> least 5,6000 citizens or residents from 33 countries </w:t>
      </w:r>
      <w:r>
        <w:rPr>
          <w:rFonts w:asciiTheme="majorBidi" w:hAnsiTheme="majorBidi" w:cstheme="majorBidi"/>
          <w:sz w:val="20"/>
          <w:szCs w:val="20"/>
        </w:rPr>
        <w:t xml:space="preserve">are estimated to have </w:t>
      </w:r>
      <w:r w:rsidRPr="00C105E4">
        <w:rPr>
          <w:rFonts w:asciiTheme="majorBidi" w:hAnsiTheme="majorBidi" w:cstheme="majorBidi"/>
          <w:sz w:val="20"/>
          <w:szCs w:val="20"/>
        </w:rPr>
        <w:t xml:space="preserve">returned to countries of origin. </w:t>
      </w:r>
      <w:r w:rsidRPr="002E6E75">
        <w:rPr>
          <w:rFonts w:asciiTheme="majorBidi" w:hAnsiTheme="majorBidi" w:cstheme="majorBidi"/>
          <w:smallCaps/>
          <w:sz w:val="20"/>
          <w:szCs w:val="20"/>
        </w:rPr>
        <w:t xml:space="preserve">The </w:t>
      </w:r>
      <w:proofErr w:type="spellStart"/>
      <w:r w:rsidRPr="002E6E75">
        <w:rPr>
          <w:rFonts w:asciiTheme="majorBidi" w:hAnsiTheme="majorBidi" w:cstheme="majorBidi"/>
          <w:smallCaps/>
          <w:sz w:val="20"/>
          <w:szCs w:val="20"/>
        </w:rPr>
        <w:t>Soufan</w:t>
      </w:r>
      <w:proofErr w:type="spellEnd"/>
      <w:r w:rsidRPr="002E6E75">
        <w:rPr>
          <w:rFonts w:asciiTheme="majorBidi" w:hAnsiTheme="majorBidi" w:cstheme="majorBidi"/>
          <w:smallCaps/>
          <w:sz w:val="20"/>
          <w:szCs w:val="20"/>
        </w:rPr>
        <w:t xml:space="preserve"> Center, </w:t>
      </w:r>
      <w:r w:rsidRPr="002E6E75">
        <w:rPr>
          <w:rFonts w:asciiTheme="majorBidi" w:hAnsiTheme="majorBidi" w:cstheme="majorBidi"/>
          <w:iCs/>
          <w:smallCaps/>
          <w:sz w:val="20"/>
          <w:szCs w:val="20"/>
        </w:rPr>
        <w:t>Beyond the Caliphate: Foreign Fighters and the Threat of Returnees</w:t>
      </w:r>
      <w:r w:rsidRPr="00C105E4">
        <w:rPr>
          <w:rFonts w:asciiTheme="majorBidi" w:hAnsiTheme="majorBidi" w:cstheme="majorBidi"/>
          <w:sz w:val="20"/>
          <w:szCs w:val="20"/>
        </w:rPr>
        <w:t xml:space="preserve"> (2017)</w:t>
      </w:r>
      <w:r>
        <w:rPr>
          <w:rFonts w:asciiTheme="majorBidi" w:hAnsiTheme="majorBidi" w:cstheme="majorBidi"/>
          <w:sz w:val="20"/>
          <w:szCs w:val="20"/>
        </w:rPr>
        <w:t xml:space="preserve">, </w:t>
      </w:r>
      <w:r w:rsidRPr="008479D6">
        <w:rPr>
          <w:rFonts w:asciiTheme="majorBidi" w:hAnsiTheme="majorBidi" w:cstheme="majorBidi"/>
          <w:sz w:val="20"/>
          <w:szCs w:val="20"/>
        </w:rPr>
        <w:t>http://thesoufancenter.org/wp-content/uploads/2017/11/Beyond-the-Caliphate-Foreign-Fighters-and-the-Threat-of-Returnees-TSC-Report-October-2017-v3.pdf</w:t>
      </w:r>
      <w:r>
        <w:rPr>
          <w:rFonts w:asciiTheme="majorBidi" w:hAnsiTheme="majorBidi" w:cstheme="majorBidi"/>
          <w:sz w:val="20"/>
          <w:szCs w:val="20"/>
        </w:rPr>
        <w:t xml:space="preserve">. </w:t>
      </w:r>
      <w:r w:rsidRPr="00C105E4">
        <w:rPr>
          <w:rFonts w:asciiTheme="majorBidi" w:hAnsiTheme="majorBidi" w:cstheme="majorBidi"/>
          <w:sz w:val="20"/>
          <w:szCs w:val="20"/>
          <w:lang w:val="en-GB"/>
        </w:rPr>
        <w:t xml:space="preserve">It is worth noting data addressing the complex roles that returnees may play on return.  Data of direct participation in violence shows a small but deadly reengagement cycle. In parallel, however evidence suggests that a sizeable number may remain </w:t>
      </w:r>
      <w:r w:rsidRPr="00C105E4">
        <w:rPr>
          <w:rFonts w:asciiTheme="majorBidi" w:hAnsiTheme="majorBidi" w:cstheme="majorBidi"/>
          <w:sz w:val="20"/>
          <w:szCs w:val="20"/>
        </w:rPr>
        <w:t xml:space="preserve">engaged in extremist or Salafist environments and/or that they return as high-status bridge-builders to external networks and hey may continue to pose a threat by upholding and performing secondary functions within extremist networks.  Also worth noting that despite the strong emphasis on threat in European countries, the regions with the highest number of fighters are estimated to be Former Soviet Republics (8717), the Middle East (7054), Western Europe (5778), The Maghreb (5,356) and S and SE Asia (1568). </w:t>
      </w:r>
      <w:r>
        <w:rPr>
          <w:rFonts w:asciiTheme="majorBidi" w:hAnsiTheme="majorBidi" w:cstheme="majorBidi"/>
          <w:i/>
          <w:iCs/>
          <w:sz w:val="20"/>
          <w:szCs w:val="20"/>
        </w:rPr>
        <w:t>I</w:t>
      </w:r>
      <w:r w:rsidRPr="00C105E4">
        <w:rPr>
          <w:rFonts w:asciiTheme="majorBidi" w:hAnsiTheme="majorBidi" w:cstheme="majorBidi"/>
          <w:i/>
          <w:iCs/>
          <w:sz w:val="20"/>
          <w:szCs w:val="20"/>
        </w:rPr>
        <w:t>d</w:t>
      </w:r>
      <w:r>
        <w:rPr>
          <w:rFonts w:asciiTheme="majorBidi" w:hAnsiTheme="majorBidi" w:cstheme="majorBidi"/>
          <w:i/>
          <w:iCs/>
          <w:sz w:val="20"/>
          <w:szCs w:val="20"/>
        </w:rPr>
        <w:t>.</w:t>
      </w:r>
      <w:r w:rsidRPr="00C105E4">
        <w:rPr>
          <w:rFonts w:asciiTheme="majorBidi" w:hAnsiTheme="majorBidi" w:cstheme="majorBidi"/>
          <w:sz w:val="20"/>
          <w:szCs w:val="20"/>
        </w:rPr>
        <w:t xml:space="preserve"> at 11.</w:t>
      </w:r>
    </w:p>
  </w:footnote>
  <w:footnote w:id="7">
    <w:p w14:paraId="66536545" w14:textId="77777777" w:rsidR="000530F1" w:rsidRPr="00C105E4" w:rsidRDefault="000530F1" w:rsidP="000530F1">
      <w:pPr>
        <w:pStyle w:val="FootnoteText"/>
        <w:rPr>
          <w:rFonts w:asciiTheme="majorBidi" w:hAnsiTheme="majorBidi" w:cstheme="majorBidi"/>
          <w:lang w:val="en-GB"/>
        </w:rPr>
      </w:pPr>
      <w:r w:rsidRPr="00C105E4">
        <w:rPr>
          <w:rStyle w:val="FootnoteReference"/>
          <w:rFonts w:asciiTheme="majorBidi" w:hAnsiTheme="majorBidi" w:cstheme="majorBidi"/>
        </w:rPr>
        <w:footnoteRef/>
      </w:r>
      <w:r w:rsidRPr="00C105E4">
        <w:rPr>
          <w:rFonts w:asciiTheme="majorBidi" w:hAnsiTheme="majorBidi" w:cstheme="majorBidi"/>
        </w:rPr>
        <w:t xml:space="preserve"> </w:t>
      </w:r>
      <w:r w:rsidRPr="002E6E75">
        <w:rPr>
          <w:rFonts w:asciiTheme="majorBidi" w:hAnsiTheme="majorBidi" w:cstheme="majorBidi"/>
          <w:smallCaps/>
        </w:rPr>
        <w:t>CTED Trends Report, The Challenge of Returning and Relocating Foreign Terrorist Fighters: Research Perspectives</w:t>
      </w:r>
      <w:r>
        <w:rPr>
          <w:rFonts w:asciiTheme="majorBidi" w:hAnsiTheme="majorBidi" w:cstheme="majorBidi"/>
        </w:rPr>
        <w:t xml:space="preserve"> 4 (</w:t>
      </w:r>
      <w:r w:rsidRPr="00C105E4">
        <w:rPr>
          <w:rFonts w:asciiTheme="majorBidi" w:hAnsiTheme="majorBidi" w:cstheme="majorBidi"/>
        </w:rPr>
        <w:t>Mar</w:t>
      </w:r>
      <w:r>
        <w:rPr>
          <w:rFonts w:asciiTheme="majorBidi" w:hAnsiTheme="majorBidi" w:cstheme="majorBidi"/>
        </w:rPr>
        <w:t>.</w:t>
      </w:r>
      <w:r w:rsidRPr="00C105E4">
        <w:rPr>
          <w:rFonts w:asciiTheme="majorBidi" w:hAnsiTheme="majorBidi" w:cstheme="majorBidi"/>
        </w:rPr>
        <w:t xml:space="preserve"> 2018</w:t>
      </w:r>
      <w:r>
        <w:rPr>
          <w:rFonts w:asciiTheme="majorBidi" w:hAnsiTheme="majorBidi" w:cstheme="majorBidi"/>
        </w:rPr>
        <w:t xml:space="preserve">), </w:t>
      </w:r>
      <w:hyperlink r:id="rId3" w:history="1">
        <w:r w:rsidRPr="00C105E4">
          <w:rPr>
            <w:rStyle w:val="Hyperlink"/>
            <w:rFonts w:asciiTheme="majorBidi" w:hAnsiTheme="majorBidi" w:cstheme="majorBidi"/>
          </w:rPr>
          <w:t>https://www.un.org/sc/ctc/wp-content/uploads/2018/04/CTED-Trends-Report-March-2018.pdf</w:t>
        </w:r>
      </w:hyperlink>
      <w:r w:rsidRPr="00C105E4">
        <w:rPr>
          <w:rFonts w:asciiTheme="majorBidi" w:hAnsiTheme="majorBidi" w:cstheme="majorBidi"/>
        </w:rPr>
        <w:t>.</w:t>
      </w:r>
    </w:p>
  </w:footnote>
  <w:footnote w:id="8">
    <w:p w14:paraId="28610280" w14:textId="77777777" w:rsidR="000530F1" w:rsidRPr="00520DDB" w:rsidRDefault="000530F1" w:rsidP="000530F1">
      <w:pPr>
        <w:pStyle w:val="FootnoteText"/>
        <w:shd w:val="clear" w:color="auto" w:fill="FFFFFF" w:themeFill="background1"/>
        <w:rPr>
          <w:rFonts w:asciiTheme="majorBidi" w:hAnsiTheme="majorBidi" w:cstheme="majorBidi"/>
        </w:rPr>
      </w:pPr>
      <w:r w:rsidRPr="002E6E75">
        <w:rPr>
          <w:rStyle w:val="FootnoteReference"/>
          <w:rFonts w:asciiTheme="majorBidi" w:hAnsiTheme="majorBidi" w:cstheme="majorBidi"/>
          <w:shd w:val="clear" w:color="auto" w:fill="FFFFFF" w:themeFill="background1"/>
        </w:rPr>
        <w:footnoteRef/>
      </w:r>
      <w:r w:rsidRPr="002E6E75">
        <w:rPr>
          <w:rFonts w:asciiTheme="majorBidi" w:hAnsiTheme="majorBidi" w:cstheme="majorBidi"/>
          <w:shd w:val="clear" w:color="auto" w:fill="FFFFFF" w:themeFill="background1"/>
        </w:rPr>
        <w:t xml:space="preserve"> Towards the end of 2017, it was </w:t>
      </w:r>
      <w:r w:rsidRPr="002E6E75">
        <w:rPr>
          <w:rFonts w:asciiTheme="majorBidi" w:hAnsiTheme="majorBidi" w:cstheme="majorBidi"/>
          <w:bCs/>
          <w:shd w:val="clear" w:color="auto" w:fill="FFFFFF" w:themeFill="background1"/>
        </w:rPr>
        <w:t xml:space="preserve">estimated that over 2,000 foreign individuals under the age of 18, representing about twenty different nationalities, were present in the conflict zones of Iraq and the Syrian Arab Republic. </w:t>
      </w:r>
      <w:r w:rsidRPr="002E6E75">
        <w:rPr>
          <w:rFonts w:asciiTheme="majorBidi" w:hAnsiTheme="majorBidi" w:cstheme="majorBidi"/>
          <w:shd w:val="clear" w:color="auto" w:fill="FFFFFF" w:themeFill="background1"/>
        </w:rPr>
        <w:t xml:space="preserve">Half of those individuals may have been under the age of five, at the time. </w:t>
      </w:r>
      <w:r w:rsidRPr="002E6E75">
        <w:rPr>
          <w:rFonts w:asciiTheme="majorBidi" w:hAnsiTheme="majorBidi" w:cstheme="majorBidi"/>
          <w:bCs/>
          <w:shd w:val="clear" w:color="auto" w:fill="FFFFFF" w:themeFill="background1"/>
        </w:rPr>
        <w:t xml:space="preserve">Some of those children had travelled to the conflict zones whereas others were born there. </w:t>
      </w:r>
      <w:r w:rsidRPr="002E6E75">
        <w:rPr>
          <w:rFonts w:asciiTheme="majorBidi" w:hAnsiTheme="majorBidi" w:cstheme="majorBidi"/>
          <w:shd w:val="clear" w:color="auto" w:fill="FFFFFF" w:themeFill="background1"/>
        </w:rPr>
        <w:t xml:space="preserve">General Intelligence and Security Service of the Ministry of the Interior and Kingdom Relations of the Netherlands; </w:t>
      </w:r>
      <w:proofErr w:type="spellStart"/>
      <w:r w:rsidRPr="002E6E75">
        <w:rPr>
          <w:rFonts w:asciiTheme="majorBidi" w:hAnsiTheme="majorBidi" w:cstheme="majorBidi"/>
          <w:smallCaps/>
          <w:shd w:val="clear" w:color="auto" w:fill="FFFFFF" w:themeFill="background1"/>
        </w:rPr>
        <w:t>Vlado</w:t>
      </w:r>
      <w:proofErr w:type="spellEnd"/>
      <w:r w:rsidRPr="002E6E75">
        <w:rPr>
          <w:rFonts w:asciiTheme="majorBidi" w:hAnsiTheme="majorBidi" w:cstheme="majorBidi"/>
          <w:smallCaps/>
          <w:shd w:val="clear" w:color="auto" w:fill="FFFFFF" w:themeFill="background1"/>
        </w:rPr>
        <w:t xml:space="preserve"> </w:t>
      </w:r>
      <w:proofErr w:type="spellStart"/>
      <w:r w:rsidRPr="002E6E75">
        <w:rPr>
          <w:rFonts w:asciiTheme="majorBidi" w:eastAsia="Times New Roman" w:hAnsiTheme="majorBidi" w:cstheme="majorBidi"/>
          <w:iCs/>
          <w:smallCaps/>
          <w:shd w:val="clear" w:color="auto" w:fill="FFFFFF" w:themeFill="background1"/>
        </w:rPr>
        <w:t>Azinovic</w:t>
      </w:r>
      <w:proofErr w:type="spellEnd"/>
      <w:r w:rsidRPr="002E6E75">
        <w:rPr>
          <w:rFonts w:asciiTheme="majorBidi" w:eastAsia="Times New Roman" w:hAnsiTheme="majorBidi" w:cstheme="majorBidi"/>
          <w:iCs/>
          <w:smallCaps/>
          <w:shd w:val="clear" w:color="auto" w:fill="FFFFFF" w:themeFill="background1"/>
        </w:rPr>
        <w:t xml:space="preserve"> &amp; Edina </w:t>
      </w:r>
      <w:proofErr w:type="spellStart"/>
      <w:r w:rsidRPr="002E6E75">
        <w:rPr>
          <w:rFonts w:asciiTheme="majorBidi" w:eastAsia="Times New Roman" w:hAnsiTheme="majorBidi" w:cstheme="majorBidi"/>
          <w:iCs/>
          <w:smallCaps/>
          <w:shd w:val="clear" w:color="auto" w:fill="FFFFFF" w:themeFill="background1"/>
        </w:rPr>
        <w:t>Becirevic</w:t>
      </w:r>
      <w:proofErr w:type="spellEnd"/>
      <w:r w:rsidRPr="002E6E75">
        <w:rPr>
          <w:rFonts w:asciiTheme="majorBidi" w:eastAsia="Times New Roman" w:hAnsiTheme="majorBidi" w:cstheme="majorBidi"/>
          <w:iCs/>
          <w:smallCaps/>
          <w:shd w:val="clear" w:color="auto" w:fill="FFFFFF" w:themeFill="background1"/>
        </w:rPr>
        <w:t xml:space="preserve"> </w:t>
      </w:r>
      <w:r w:rsidRPr="002E6E75">
        <w:rPr>
          <w:rFonts w:asciiTheme="majorBidi" w:eastAsia="Times New Roman" w:hAnsiTheme="majorBidi" w:cstheme="majorBidi"/>
          <w:smallCaps/>
          <w:shd w:val="clear" w:color="auto" w:fill="FFFFFF" w:themeFill="background1"/>
        </w:rPr>
        <w:t>A Waiting Game: Assessing and Responding to the Threat from Returning Foreign Fighters in the Western Balkans, Regional Cooperation Council</w:t>
      </w:r>
      <w:r w:rsidRPr="002E6E75">
        <w:rPr>
          <w:rFonts w:asciiTheme="majorBidi" w:eastAsia="Times New Roman" w:hAnsiTheme="majorBidi" w:cstheme="majorBidi"/>
          <w:shd w:val="clear" w:color="auto" w:fill="FFFFFF" w:themeFill="background1"/>
        </w:rPr>
        <w:t xml:space="preserve"> (Nov. 30, 2017), https://www.rcc.int/pubs/54/a-waiting-game-assessing-and-responding-to-the-threat-from-returning-foreign-fighters-in-the-western-balkans; </w:t>
      </w:r>
      <w:r w:rsidRPr="002E6E75">
        <w:rPr>
          <w:rFonts w:asciiTheme="majorBidi" w:eastAsia="Times New Roman" w:hAnsiTheme="majorBidi" w:cstheme="majorBidi"/>
          <w:smallCaps/>
          <w:shd w:val="clear" w:color="auto" w:fill="FFFFFF" w:themeFill="background1"/>
        </w:rPr>
        <w:t xml:space="preserve">General Intelligence and Security Service: Ministry of the Interior and Kingdom Relations, </w:t>
      </w:r>
      <w:r w:rsidRPr="002E6E75">
        <w:rPr>
          <w:rFonts w:asciiTheme="majorBidi" w:hAnsiTheme="majorBidi" w:cstheme="majorBidi"/>
          <w:iCs/>
          <w:smallCaps/>
          <w:shd w:val="clear" w:color="auto" w:fill="FFFFFF" w:themeFill="background1"/>
        </w:rPr>
        <w:t xml:space="preserve">Life with ISIS: The Myth </w:t>
      </w:r>
      <w:proofErr w:type="spellStart"/>
      <w:r w:rsidRPr="002E6E75">
        <w:rPr>
          <w:rFonts w:asciiTheme="majorBidi" w:hAnsiTheme="majorBidi" w:cstheme="majorBidi"/>
          <w:iCs/>
          <w:smallCaps/>
          <w:shd w:val="clear" w:color="auto" w:fill="FFFFFF" w:themeFill="background1"/>
        </w:rPr>
        <w:t>Unravelled</w:t>
      </w:r>
      <w:proofErr w:type="spellEnd"/>
      <w:r w:rsidRPr="002E6E75">
        <w:rPr>
          <w:rFonts w:asciiTheme="majorBidi" w:hAnsiTheme="majorBidi" w:cstheme="majorBidi"/>
          <w:iCs/>
          <w:shd w:val="clear" w:color="auto" w:fill="FFFFFF" w:themeFill="background1"/>
        </w:rPr>
        <w:t>, (Jan. 2016), https://english.nctv.nl/binaries/Life%20with%20ISIS%20-%20the%20Myth%20Unravelled_tcm32-90366.pdf</w:t>
      </w:r>
      <w:r w:rsidRPr="002E6E75">
        <w:rPr>
          <w:rFonts w:asciiTheme="majorBidi" w:hAnsiTheme="majorBidi" w:cstheme="majorBidi"/>
          <w:shd w:val="clear" w:color="auto" w:fill="FFFFFF" w:themeFill="background1"/>
        </w:rPr>
        <w:t>;</w:t>
      </w:r>
      <w:r w:rsidRPr="00B33D1C">
        <w:rPr>
          <w:rFonts w:asciiTheme="majorBidi" w:hAnsiTheme="majorBidi" w:cstheme="majorBidi"/>
        </w:rPr>
        <w:t xml:space="preserve"> </w:t>
      </w:r>
      <w:r w:rsidRPr="002E6E75">
        <w:rPr>
          <w:rFonts w:asciiTheme="majorBidi" w:hAnsiTheme="majorBidi" w:cstheme="majorBidi"/>
          <w:smallCaps/>
        </w:rPr>
        <w:t xml:space="preserve">Richard Barrett. </w:t>
      </w:r>
      <w:r w:rsidRPr="002E6E75">
        <w:rPr>
          <w:rFonts w:asciiTheme="majorBidi" w:hAnsiTheme="majorBidi" w:cstheme="majorBidi"/>
          <w:i/>
          <w:iCs/>
          <w:smallCaps/>
        </w:rPr>
        <w:t>Beyond the Caliphate: Foreign Fighters and the Threat of Returnees,</w:t>
      </w:r>
      <w:r w:rsidRPr="002E6E75">
        <w:rPr>
          <w:rFonts w:asciiTheme="majorBidi" w:hAnsiTheme="majorBidi" w:cstheme="majorBidi"/>
          <w:smallCaps/>
        </w:rPr>
        <w:t xml:space="preserve"> The </w:t>
      </w:r>
      <w:proofErr w:type="spellStart"/>
      <w:r w:rsidRPr="002E6E75">
        <w:rPr>
          <w:rFonts w:asciiTheme="majorBidi" w:hAnsiTheme="majorBidi" w:cstheme="majorBidi"/>
          <w:smallCaps/>
        </w:rPr>
        <w:t>Soufan</w:t>
      </w:r>
      <w:proofErr w:type="spellEnd"/>
      <w:r w:rsidRPr="002E6E75">
        <w:rPr>
          <w:rFonts w:asciiTheme="majorBidi" w:hAnsiTheme="majorBidi" w:cstheme="majorBidi"/>
          <w:smallCaps/>
        </w:rPr>
        <w:t xml:space="preserve"> Center</w:t>
      </w:r>
      <w:r w:rsidRPr="00B33D1C">
        <w:rPr>
          <w:rFonts w:asciiTheme="majorBidi" w:hAnsiTheme="majorBidi" w:cstheme="majorBidi"/>
        </w:rPr>
        <w:t xml:space="preserve"> (2017)</w:t>
      </w:r>
      <w:r>
        <w:rPr>
          <w:rFonts w:asciiTheme="majorBidi" w:hAnsiTheme="majorBidi" w:cstheme="majorBidi"/>
        </w:rPr>
        <w:t xml:space="preserve">, </w:t>
      </w:r>
      <w:r w:rsidRPr="00520DDB">
        <w:rPr>
          <w:rFonts w:asciiTheme="majorBidi" w:hAnsiTheme="majorBidi" w:cstheme="majorBidi"/>
        </w:rPr>
        <w:t>http://thesoufancenter.org/wp-content/uploads/2017/11/Beyond-the-Caliphate-Foreign-Fighters-and-the-Threat-of-Returnees-TSC-Report-October-2017-v3.pdf</w:t>
      </w:r>
      <w:r w:rsidRPr="00B33D1C">
        <w:rPr>
          <w:rFonts w:asciiTheme="majorBidi" w:hAnsiTheme="majorBidi" w:cstheme="majorBidi"/>
        </w:rPr>
        <w:t xml:space="preserve">; and ICRC </w:t>
      </w:r>
      <w:r w:rsidRPr="00B33D1C">
        <w:rPr>
          <w:rFonts w:asciiTheme="majorBidi" w:hAnsiTheme="majorBidi" w:cstheme="majorBidi"/>
          <w:i/>
          <w:iCs/>
        </w:rPr>
        <w:t>Position paper on the treatment of “foreign fighters” and their families in the Middle East and beyond</w:t>
      </w:r>
      <w:r>
        <w:rPr>
          <w:rFonts w:asciiTheme="majorBidi" w:hAnsiTheme="majorBidi" w:cstheme="majorBidi"/>
          <w:iCs/>
        </w:rPr>
        <w:t>.</w:t>
      </w:r>
    </w:p>
  </w:footnote>
  <w:footnote w:id="9">
    <w:p w14:paraId="2CA9BAB3" w14:textId="77777777" w:rsidR="000530F1" w:rsidRPr="002201EB" w:rsidRDefault="000530F1" w:rsidP="000530F1">
      <w:pPr>
        <w:pStyle w:val="FootnoteText"/>
        <w:rPr>
          <w:rFonts w:asciiTheme="majorBidi" w:hAnsiTheme="majorBidi" w:cstheme="majorBidi"/>
        </w:rPr>
      </w:pPr>
      <w:r w:rsidRPr="002201EB">
        <w:rPr>
          <w:rStyle w:val="FootnoteReference"/>
          <w:rFonts w:asciiTheme="majorBidi" w:hAnsiTheme="majorBidi" w:cstheme="majorBidi"/>
        </w:rPr>
        <w:footnoteRef/>
      </w:r>
      <w:r w:rsidRPr="002201EB">
        <w:rPr>
          <w:rFonts w:asciiTheme="majorBidi" w:hAnsiTheme="majorBidi" w:cstheme="majorBidi"/>
        </w:rPr>
        <w:t xml:space="preserve"> Kim </w:t>
      </w:r>
      <w:proofErr w:type="spellStart"/>
      <w:r w:rsidRPr="002201EB">
        <w:rPr>
          <w:rFonts w:asciiTheme="majorBidi" w:hAnsiTheme="majorBidi" w:cstheme="majorBidi"/>
        </w:rPr>
        <w:t>Cragin</w:t>
      </w:r>
      <w:proofErr w:type="spellEnd"/>
      <w:r w:rsidRPr="002201EB">
        <w:rPr>
          <w:rFonts w:asciiTheme="majorBidi" w:hAnsiTheme="majorBidi" w:cstheme="majorBidi"/>
        </w:rPr>
        <w:t xml:space="preserve">, </w:t>
      </w:r>
      <w:r w:rsidRPr="002201EB">
        <w:rPr>
          <w:rFonts w:asciiTheme="majorBidi" w:hAnsiTheme="majorBidi" w:cstheme="majorBidi"/>
          <w:i/>
        </w:rPr>
        <w:t>Foreign Fighter ‘Hot Potato</w:t>
      </w:r>
      <w:r w:rsidRPr="002201EB">
        <w:rPr>
          <w:rFonts w:asciiTheme="majorBidi" w:hAnsiTheme="majorBidi" w:cstheme="majorBidi"/>
        </w:rPr>
        <w:t xml:space="preserve">, </w:t>
      </w:r>
      <w:r w:rsidRPr="002201EB">
        <w:rPr>
          <w:rFonts w:asciiTheme="majorBidi" w:hAnsiTheme="majorBidi" w:cs="Times New Roman (Headings CS)"/>
          <w:smallCaps/>
        </w:rPr>
        <w:t>Lawfare</w:t>
      </w:r>
      <w:r w:rsidRPr="002201EB">
        <w:rPr>
          <w:rFonts w:asciiTheme="majorBidi" w:hAnsiTheme="majorBidi" w:cstheme="majorBidi"/>
        </w:rPr>
        <w:t xml:space="preserve"> (Nov. 26, 2017, 10:00 AM), </w:t>
      </w:r>
      <w:hyperlink r:id="rId4" w:history="1">
        <w:r w:rsidRPr="002201EB">
          <w:rPr>
            <w:rStyle w:val="Hyperlink"/>
            <w:rFonts w:asciiTheme="majorBidi" w:hAnsiTheme="majorBidi" w:cstheme="majorBidi"/>
          </w:rPr>
          <w:t>https://bit.ly/2iXW1nV</w:t>
        </w:r>
      </w:hyperlink>
      <w:r w:rsidRPr="002201EB">
        <w:rPr>
          <w:rFonts w:asciiTheme="majorBidi" w:hAnsiTheme="majorBidi" w:cstheme="majorBidi"/>
        </w:rPr>
        <w:t xml:space="preserve">. According to figures published by the </w:t>
      </w:r>
      <w:proofErr w:type="spellStart"/>
      <w:r w:rsidRPr="002201EB">
        <w:rPr>
          <w:rFonts w:asciiTheme="majorBidi" w:hAnsiTheme="majorBidi" w:cstheme="majorBidi"/>
          <w:i/>
        </w:rPr>
        <w:t>Soufan</w:t>
      </w:r>
      <w:proofErr w:type="spellEnd"/>
      <w:r w:rsidRPr="002201EB">
        <w:rPr>
          <w:rFonts w:asciiTheme="majorBidi" w:hAnsiTheme="majorBidi" w:cstheme="majorBidi"/>
          <w:i/>
        </w:rPr>
        <w:t xml:space="preserve"> Group</w:t>
      </w:r>
      <w:r w:rsidRPr="002201EB">
        <w:rPr>
          <w:rFonts w:asciiTheme="majorBidi" w:hAnsiTheme="majorBidi" w:cstheme="majorBidi"/>
        </w:rPr>
        <w:t xml:space="preserve"> in October 2017 for 33 countries impacted by the FTF phenomenon, the number of FTFs who had returned to their country of citizenship or residence was 5,600. See, Richard Barrett, </w:t>
      </w:r>
      <w:proofErr w:type="spellStart"/>
      <w:r w:rsidRPr="002201EB">
        <w:rPr>
          <w:rFonts w:asciiTheme="majorBidi" w:hAnsiTheme="majorBidi" w:cstheme="majorBidi"/>
        </w:rPr>
        <w:t>Soufan</w:t>
      </w:r>
      <w:proofErr w:type="spellEnd"/>
      <w:r w:rsidRPr="002201EB">
        <w:rPr>
          <w:rFonts w:asciiTheme="majorBidi" w:hAnsiTheme="majorBidi" w:cstheme="majorBidi"/>
        </w:rPr>
        <w:t xml:space="preserve"> Group, </w:t>
      </w:r>
      <w:r w:rsidRPr="002201EB">
        <w:rPr>
          <w:rFonts w:asciiTheme="majorBidi" w:hAnsiTheme="majorBidi" w:cstheme="majorBidi"/>
          <w:i/>
        </w:rPr>
        <w:t xml:space="preserve">Beyond the Caliphate: Foreign Fighters and the Threat of Returnees, </w:t>
      </w:r>
      <w:r w:rsidRPr="002201EB">
        <w:rPr>
          <w:rFonts w:asciiTheme="majorBidi" w:hAnsiTheme="majorBidi" w:cstheme="majorBidi"/>
        </w:rPr>
        <w:t xml:space="preserve">24 October 2017, </w:t>
      </w:r>
      <w:hyperlink r:id="rId5" w:history="1">
        <w:r w:rsidRPr="002201EB">
          <w:rPr>
            <w:rStyle w:val="Hyperlink"/>
            <w:rFonts w:asciiTheme="majorBidi" w:hAnsiTheme="majorBidi" w:cstheme="majorBidi"/>
          </w:rPr>
          <w:t>http://thesoufancenter.org/research/beyond-caliphate/</w:t>
        </w:r>
      </w:hyperlink>
      <w:r w:rsidRPr="002201EB">
        <w:rPr>
          <w:rFonts w:asciiTheme="majorBidi" w:hAnsiTheme="majorBidi" w:cstheme="majorBidi"/>
        </w:rPr>
        <w:t>.</w:t>
      </w:r>
    </w:p>
  </w:footnote>
  <w:footnote w:id="10">
    <w:p w14:paraId="1C4A8564" w14:textId="3FF1703C" w:rsidR="00BD51A9" w:rsidRPr="002201EB" w:rsidRDefault="00BD51A9">
      <w:pPr>
        <w:pStyle w:val="FootnoteText"/>
      </w:pPr>
      <w:r w:rsidRPr="002201EB">
        <w:rPr>
          <w:rStyle w:val="FootnoteReference"/>
        </w:rPr>
        <w:footnoteRef/>
      </w:r>
      <w:r w:rsidRPr="002201EB">
        <w:t xml:space="preserve"> </w:t>
      </w:r>
      <w:r w:rsidRPr="002201EB">
        <w:rPr>
          <w:rFonts w:cstheme="minorHAnsi"/>
        </w:rPr>
        <w:t>No. 13 of 2005.</w:t>
      </w:r>
    </w:p>
  </w:footnote>
  <w:footnote w:id="11">
    <w:p w14:paraId="48053F70" w14:textId="30A0BA19" w:rsidR="00BD51A9" w:rsidRPr="002201EB" w:rsidRDefault="00BD51A9" w:rsidP="00BD51A9">
      <w:pPr>
        <w:rPr>
          <w:rFonts w:asciiTheme="majorBidi" w:hAnsiTheme="majorBidi" w:cstheme="majorBidi"/>
          <w:lang w:bidi="he-IL"/>
        </w:rPr>
      </w:pPr>
      <w:r w:rsidRPr="002201EB">
        <w:rPr>
          <w:rStyle w:val="FootnoteReference"/>
          <w:rFonts w:asciiTheme="majorBidi" w:hAnsiTheme="majorBidi" w:cstheme="majorBidi"/>
        </w:rPr>
        <w:footnoteRef/>
      </w:r>
      <w:r w:rsidRPr="002201EB">
        <w:rPr>
          <w:rFonts w:asciiTheme="majorBidi" w:hAnsiTheme="majorBidi" w:cstheme="majorBidi"/>
        </w:rPr>
        <w:t>A/HRC/26/51</w:t>
      </w:r>
    </w:p>
    <w:p w14:paraId="3385A9F9" w14:textId="2624B537" w:rsidR="00BD51A9" w:rsidRPr="00BD51A9" w:rsidRDefault="00BD51A9">
      <w:pPr>
        <w:pStyle w:val="FootnoteText"/>
        <w:rPr>
          <w:lang w:val="en-GB"/>
        </w:rPr>
      </w:pPr>
    </w:p>
  </w:footnote>
  <w:footnote w:id="12">
    <w:p w14:paraId="5EF2D9CB" w14:textId="77777777" w:rsidR="00BD51A9" w:rsidRPr="00432089" w:rsidRDefault="00BD51A9" w:rsidP="00BD51A9">
      <w:pPr>
        <w:pStyle w:val="FootnoteText"/>
        <w:ind w:left="180" w:hanging="144"/>
      </w:pPr>
      <w:r>
        <w:rPr>
          <w:rStyle w:val="FootnoteReference"/>
        </w:rPr>
        <w:footnoteRef/>
      </w:r>
      <w:hyperlink r:id="rId6" w:history="1">
        <w:r w:rsidRPr="00264114">
          <w:rPr>
            <w:rStyle w:val="Hyperlink"/>
          </w:rPr>
          <w:t>https://www.americanbar.org/content/dam/aba/administrative/human_rights/ABA%20Center%20for%20Human%20Rights%20Analysis%20of%20Iraq%20CT%20Law.authcheckdam.pdf</w:t>
        </w:r>
      </w:hyperlink>
      <w:r>
        <w:t xml:space="preserve"> </w:t>
      </w:r>
    </w:p>
  </w:footnote>
  <w:footnote w:id="13">
    <w:p w14:paraId="259A3A22" w14:textId="77777777" w:rsidR="00BD51A9" w:rsidRPr="00EA17D1" w:rsidRDefault="00BD51A9" w:rsidP="00BD51A9">
      <w:pPr>
        <w:pStyle w:val="FootnoteText"/>
      </w:pPr>
      <w:r>
        <w:rPr>
          <w:rStyle w:val="FootnoteReference"/>
        </w:rPr>
        <w:footnoteRef/>
      </w:r>
      <w:r>
        <w:t xml:space="preserve"> </w:t>
      </w:r>
      <w:r w:rsidRPr="00892E6A">
        <w:t>http://www.vertic.org/media/National%20Legislation/Iraq/IQ_Anti-Terrorism_Law.pdf</w:t>
      </w:r>
    </w:p>
  </w:footnote>
  <w:footnote w:id="14">
    <w:p w14:paraId="1CF6B0B1" w14:textId="77777777" w:rsidR="00BA45D3" w:rsidRPr="006D7442" w:rsidRDefault="00BA45D3" w:rsidP="00BA45D3">
      <w:pPr>
        <w:pStyle w:val="FootnoteText"/>
      </w:pPr>
      <w:r>
        <w:rPr>
          <w:rStyle w:val="FootnoteReference"/>
        </w:rPr>
        <w:footnoteRef/>
      </w:r>
      <w:r>
        <w:t xml:space="preserve"> </w:t>
      </w:r>
      <w:hyperlink r:id="rId7" w:history="1">
        <w:r w:rsidRPr="00264114">
          <w:rPr>
            <w:rStyle w:val="Hyperlink"/>
          </w:rPr>
          <w:t>https://www.novayagazeta.ru/news/2017/09/12/135206-rossiyanina-prigovorili-k-smertnoy-kazni-v-irake</w:t>
        </w:r>
      </w:hyperlink>
      <w:r>
        <w:t xml:space="preserve"> </w:t>
      </w:r>
    </w:p>
  </w:footnote>
  <w:footnote w:id="15">
    <w:p w14:paraId="3EE54414" w14:textId="77777777" w:rsidR="00BA45D3" w:rsidRPr="009B39C7" w:rsidRDefault="00BA45D3" w:rsidP="00BA45D3">
      <w:pPr>
        <w:pStyle w:val="FootnoteText"/>
        <w:ind w:left="144" w:right="1138" w:hanging="144"/>
      </w:pPr>
      <w:r>
        <w:rPr>
          <w:rStyle w:val="FootnoteReference"/>
        </w:rPr>
        <w:footnoteRef/>
      </w:r>
      <w:r>
        <w:t xml:space="preserve"> </w:t>
      </w:r>
      <w:hyperlink r:id="rId8" w:history="1">
        <w:r w:rsidRPr="00A249D1">
          <w:rPr>
            <w:rStyle w:val="Hyperlink"/>
          </w:rPr>
          <w:t>https://www.reuters.com/article/us-mideast-crisis-iraq-germany/iraqi-court-sentences-to-death-german-woman</w:t>
        </w:r>
      </w:hyperlink>
      <w:r>
        <w:t xml:space="preserve"> </w:t>
      </w:r>
      <w:r w:rsidRPr="00372755">
        <w:t>who-joined-islamic-state-idUSKBN1FA0EF</w:t>
      </w:r>
    </w:p>
  </w:footnote>
  <w:footnote w:id="16">
    <w:p w14:paraId="7C717B91" w14:textId="63CB4ABD" w:rsidR="00BA45D3" w:rsidRPr="00E55BFE" w:rsidRDefault="00BA45D3" w:rsidP="00BA45D3">
      <w:pPr>
        <w:pStyle w:val="FootnoteText"/>
        <w:ind w:left="180" w:hanging="144"/>
      </w:pPr>
      <w:r>
        <w:rPr>
          <w:rStyle w:val="FootnoteReference"/>
        </w:rPr>
        <w:footnoteRef/>
      </w:r>
      <w:hyperlink r:id="rId9" w:history="1">
        <w:r w:rsidRPr="009377FB">
          <w:rPr>
            <w:rStyle w:val="Hyperlink"/>
          </w:rPr>
          <w:t>https://www.reuters.com/article/us-mideast-crISIL-syria-camp/syrian-army-tightens-noose-around-palestinian-camp-idUSKBN1I00KG</w:t>
        </w:r>
      </w:hyperlink>
      <w:r>
        <w:t xml:space="preserve"> ; </w:t>
      </w:r>
      <w:hyperlink r:id="rId10" w:history="1">
        <w:r w:rsidRPr="00264114">
          <w:rPr>
            <w:rStyle w:val="Hyperlink"/>
          </w:rPr>
          <w:t>https://www.aljazeera.com/news/2018/02/12-isil-widows-sentenced-death-life-iraqi-court-180218172230088.html</w:t>
        </w:r>
      </w:hyperlink>
      <w:r>
        <w:t xml:space="preserve"> </w:t>
      </w:r>
    </w:p>
  </w:footnote>
  <w:footnote w:id="17">
    <w:p w14:paraId="289E74BF" w14:textId="77777777" w:rsidR="00BA45D3" w:rsidRPr="006D7442" w:rsidRDefault="00BA45D3" w:rsidP="00BA45D3">
      <w:pPr>
        <w:pStyle w:val="FootnoteText"/>
      </w:pPr>
      <w:r>
        <w:rPr>
          <w:rStyle w:val="FootnoteReference"/>
        </w:rPr>
        <w:footnoteRef/>
      </w:r>
      <w:r>
        <w:t xml:space="preserve"> </w:t>
      </w:r>
      <w:hyperlink r:id="rId11" w:history="1">
        <w:r w:rsidRPr="00264114">
          <w:rPr>
            <w:rStyle w:val="Hyperlink"/>
          </w:rPr>
          <w:t>http://www.xinhuanet.com/english/2018-04/26/c_137139154.htm</w:t>
        </w:r>
      </w:hyperlink>
      <w:r>
        <w:t xml:space="preserve"> </w:t>
      </w:r>
    </w:p>
  </w:footnote>
  <w:footnote w:id="18">
    <w:p w14:paraId="61F17BA8" w14:textId="77777777" w:rsidR="00BA45D3" w:rsidRPr="006D7442" w:rsidRDefault="00BA45D3" w:rsidP="00BA45D3">
      <w:pPr>
        <w:pStyle w:val="FootnoteText"/>
      </w:pPr>
      <w:r>
        <w:rPr>
          <w:rStyle w:val="FootnoteReference"/>
        </w:rPr>
        <w:footnoteRef/>
      </w:r>
      <w:r>
        <w:t xml:space="preserve"> </w:t>
      </w:r>
      <w:hyperlink r:id="rId12" w:history="1">
        <w:r w:rsidRPr="00264114">
          <w:rPr>
            <w:rStyle w:val="Hyperlink"/>
          </w:rPr>
          <w:t>https://www.independent.co.uk/news/world/middle-east/</w:t>
        </w:r>
        <w:r>
          <w:rPr>
            <w:rStyle w:val="Hyperlink"/>
          </w:rPr>
          <w:t>ISIL</w:t>
        </w:r>
        <w:r w:rsidRPr="00264114">
          <w:rPr>
            <w:rStyle w:val="Hyperlink"/>
          </w:rPr>
          <w:t>-foreign-fighters-iraq-prosecuted-death-penalty-families-mosul-a7987831.html</w:t>
        </w:r>
      </w:hyperlink>
      <w:r>
        <w:t xml:space="preserve"> </w:t>
      </w:r>
    </w:p>
  </w:footnote>
  <w:footnote w:id="19">
    <w:p w14:paraId="49BCB97A" w14:textId="6080DDE4" w:rsidR="009841B7" w:rsidRPr="001B1D2D" w:rsidRDefault="009841B7">
      <w:pPr>
        <w:pStyle w:val="FootnoteText"/>
        <w:rPr>
          <w:lang w:val="en-GB"/>
        </w:rPr>
      </w:pPr>
      <w:r>
        <w:rPr>
          <w:rStyle w:val="FootnoteReference"/>
        </w:rPr>
        <w:footnoteRef/>
      </w:r>
      <w:r>
        <w:t xml:space="preserve"> The Special Rapporteur on extrajudicial executions; the Special Rapporteur on torture; the Working group on arbitrary detention; and the Working group on mercenaries. </w:t>
      </w:r>
    </w:p>
  </w:footnote>
  <w:footnote w:id="20">
    <w:p w14:paraId="479EC456" w14:textId="44A61D0D" w:rsidR="00B8088F" w:rsidRPr="00B8088F" w:rsidRDefault="00B8088F">
      <w:pPr>
        <w:pStyle w:val="FootnoteText"/>
        <w:rPr>
          <w:lang w:val="en-GB"/>
        </w:rPr>
      </w:pPr>
      <w:r>
        <w:rPr>
          <w:rStyle w:val="FootnoteReference"/>
        </w:rPr>
        <w:footnoteRef/>
      </w:r>
      <w:r>
        <w:t xml:space="preserve"> Belgium: </w:t>
      </w:r>
      <w:r w:rsidRPr="008A5049">
        <w:rPr>
          <w:bCs/>
          <w:color w:val="000000"/>
        </w:rPr>
        <w:t xml:space="preserve">L </w:t>
      </w:r>
      <w:hyperlink r:id="rId13" w:history="1">
        <w:r w:rsidRPr="008A5049">
          <w:rPr>
            <w:rStyle w:val="Hyperlink"/>
            <w:bCs/>
          </w:rPr>
          <w:t>2018-05-09/06</w:t>
        </w:r>
      </w:hyperlink>
      <w:r w:rsidRPr="008A5049">
        <w:rPr>
          <w:bCs/>
          <w:color w:val="000000"/>
        </w:rPr>
        <w:t>.</w:t>
      </w:r>
    </w:p>
  </w:footnote>
  <w:footnote w:id="21">
    <w:p w14:paraId="36A1F40E" w14:textId="427EC723" w:rsidR="00B8088F" w:rsidRPr="00765F38" w:rsidRDefault="00B8088F" w:rsidP="00B8088F">
      <w:r w:rsidRPr="00765F38">
        <w:rPr>
          <w:rStyle w:val="FootnoteReference"/>
        </w:rPr>
        <w:footnoteRef/>
      </w:r>
      <w:r w:rsidRPr="00765F38">
        <w:t xml:space="preserve"> </w:t>
      </w:r>
      <w:r>
        <w:t xml:space="preserve">Belgium: </w:t>
      </w:r>
      <w:r w:rsidRPr="00765F38">
        <w:t xml:space="preserve">L </w:t>
      </w:r>
      <w:hyperlink r:id="rId14" w:history="1">
        <w:r w:rsidRPr="00765F38">
          <w:rPr>
            <w:rStyle w:val="Hyperlink"/>
            <w:bCs/>
          </w:rPr>
          <w:t>013-12-21/52</w:t>
        </w:r>
      </w:hyperlink>
      <w:r w:rsidRPr="00765F38">
        <w:t>, Art. 83</w:t>
      </w:r>
      <w:r w:rsidRPr="00765F38">
        <w:rPr>
          <w:bCs/>
          <w:color w:val="000000"/>
        </w:rPr>
        <w:t xml:space="preserve">. </w:t>
      </w:r>
    </w:p>
  </w:footnote>
  <w:footnote w:id="22">
    <w:p w14:paraId="7E1C9978" w14:textId="77777777" w:rsidR="00B8088F" w:rsidRPr="00765F38" w:rsidRDefault="00B8088F" w:rsidP="00B8088F">
      <w:pPr>
        <w:pStyle w:val="NormalWeb"/>
        <w:shd w:val="clear" w:color="auto" w:fill="FFFFFF"/>
        <w:spacing w:before="0" w:beforeAutospacing="0" w:after="0" w:afterAutospacing="0"/>
        <w:rPr>
          <w:sz w:val="20"/>
          <w:szCs w:val="20"/>
        </w:rPr>
      </w:pPr>
      <w:r w:rsidRPr="00765F38">
        <w:rPr>
          <w:rStyle w:val="FootnoteReference"/>
          <w:sz w:val="20"/>
          <w:szCs w:val="20"/>
        </w:rPr>
        <w:footnoteRef/>
      </w:r>
      <w:r w:rsidRPr="00765F38">
        <w:rPr>
          <w:sz w:val="20"/>
          <w:szCs w:val="20"/>
        </w:rPr>
        <w:t xml:space="preserve"> Art. 1, International Law Commission, Draft Articles on diplomatic protection, A/61/10. </w:t>
      </w:r>
    </w:p>
  </w:footnote>
  <w:footnote w:id="23">
    <w:p w14:paraId="6AE6444D" w14:textId="314AB355" w:rsidR="009853C9" w:rsidRPr="00F4476D" w:rsidRDefault="009853C9" w:rsidP="00F4476D">
      <w:pPr>
        <w:pStyle w:val="NormalWeb"/>
        <w:spacing w:before="0" w:beforeAutospacing="0" w:after="0" w:afterAutospacing="0"/>
        <w:jc w:val="both"/>
        <w:rPr>
          <w:rFonts w:asciiTheme="majorBidi" w:eastAsia="Times New Roman" w:hAnsiTheme="majorBidi" w:cstheme="majorBidi"/>
          <w:sz w:val="20"/>
          <w:szCs w:val="20"/>
          <w:lang w:val="en-GB" w:bidi="he-IL"/>
        </w:rPr>
      </w:pPr>
      <w:r w:rsidRPr="009853C9">
        <w:rPr>
          <w:rStyle w:val="FootnoteReference"/>
          <w:rFonts w:asciiTheme="majorBidi" w:hAnsiTheme="majorBidi" w:cstheme="majorBidi"/>
          <w:sz w:val="20"/>
          <w:szCs w:val="20"/>
        </w:rPr>
        <w:footnoteRef/>
      </w:r>
      <w:r w:rsidRPr="009853C9">
        <w:rPr>
          <w:rFonts w:asciiTheme="majorBidi" w:hAnsiTheme="majorBidi" w:cstheme="majorBidi"/>
          <w:sz w:val="20"/>
          <w:szCs w:val="20"/>
        </w:rPr>
        <w:t xml:space="preserve"> </w:t>
      </w:r>
      <w:r w:rsidRPr="009853C9">
        <w:rPr>
          <w:rFonts w:asciiTheme="majorBidi" w:hAnsiTheme="majorBidi" w:cstheme="majorBidi"/>
          <w:sz w:val="20"/>
          <w:szCs w:val="20"/>
          <w:lang w:val="en-GB"/>
        </w:rPr>
        <w:t xml:space="preserve">The Queen on the Application of </w:t>
      </w:r>
      <w:r w:rsidRPr="009853C9">
        <w:rPr>
          <w:rFonts w:asciiTheme="majorBidi" w:hAnsiTheme="majorBidi" w:cstheme="majorBidi"/>
          <w:sz w:val="20"/>
          <w:szCs w:val="20"/>
          <w:lang w:bidi="he-IL"/>
        </w:rPr>
        <w:t xml:space="preserve">of MAHA EL GIZOULI 12/01/2019, QBD. </w:t>
      </w:r>
      <w:r w:rsidRPr="009853C9">
        <w:rPr>
          <w:rFonts w:asciiTheme="majorBidi" w:eastAsia="Times New Roman" w:hAnsiTheme="majorBidi" w:cstheme="majorBidi"/>
          <w:sz w:val="20"/>
          <w:szCs w:val="20"/>
          <w:lang w:val="en-GB" w:bidi="he-IL"/>
        </w:rPr>
        <w:t xml:space="preserve">claimant is the mother of </w:t>
      </w:r>
      <w:proofErr w:type="spellStart"/>
      <w:r w:rsidRPr="009853C9">
        <w:rPr>
          <w:rFonts w:asciiTheme="majorBidi" w:eastAsia="Times New Roman" w:hAnsiTheme="majorBidi" w:cstheme="majorBidi"/>
          <w:sz w:val="20"/>
          <w:szCs w:val="20"/>
          <w:lang w:val="en-GB" w:bidi="he-IL"/>
        </w:rPr>
        <w:t>Shafee</w:t>
      </w:r>
      <w:proofErr w:type="spellEnd"/>
      <w:r w:rsidRPr="009853C9">
        <w:rPr>
          <w:rFonts w:asciiTheme="majorBidi" w:eastAsia="Times New Roman" w:hAnsiTheme="majorBidi" w:cstheme="majorBidi"/>
          <w:sz w:val="20"/>
          <w:szCs w:val="20"/>
          <w:lang w:val="en-GB" w:bidi="he-IL"/>
        </w:rPr>
        <w:t xml:space="preserve"> El Sheikh. Mr El Sheikh is believed to be detained by Kurdish forces in northern Syria. Mr El Sheikh, along with </w:t>
      </w:r>
      <w:proofErr w:type="spellStart"/>
      <w:r w:rsidRPr="009853C9">
        <w:rPr>
          <w:rFonts w:asciiTheme="majorBidi" w:eastAsia="Times New Roman" w:hAnsiTheme="majorBidi" w:cstheme="majorBidi"/>
          <w:sz w:val="20"/>
          <w:szCs w:val="20"/>
          <w:lang w:val="en-GB" w:bidi="he-IL"/>
        </w:rPr>
        <w:t>Alexanda</w:t>
      </w:r>
      <w:proofErr w:type="spellEnd"/>
      <w:r w:rsidRPr="009853C9">
        <w:rPr>
          <w:rFonts w:asciiTheme="majorBidi" w:eastAsia="Times New Roman" w:hAnsiTheme="majorBidi" w:cstheme="majorBidi"/>
          <w:sz w:val="20"/>
          <w:szCs w:val="20"/>
          <w:lang w:val="en-GB" w:bidi="he-IL"/>
        </w:rPr>
        <w:t xml:space="preserve"> </w:t>
      </w:r>
      <w:proofErr w:type="spellStart"/>
      <w:r w:rsidRPr="009853C9">
        <w:rPr>
          <w:rFonts w:asciiTheme="majorBidi" w:eastAsia="Times New Roman" w:hAnsiTheme="majorBidi" w:cstheme="majorBidi"/>
          <w:sz w:val="20"/>
          <w:szCs w:val="20"/>
          <w:lang w:val="en-GB" w:bidi="he-IL"/>
        </w:rPr>
        <w:t>Kotey</w:t>
      </w:r>
      <w:proofErr w:type="spellEnd"/>
      <w:r w:rsidRPr="009853C9">
        <w:rPr>
          <w:rFonts w:asciiTheme="majorBidi" w:eastAsia="Times New Roman" w:hAnsiTheme="majorBidi" w:cstheme="majorBidi"/>
          <w:sz w:val="20"/>
          <w:szCs w:val="20"/>
          <w:lang w:val="en-GB" w:bidi="he-IL"/>
        </w:rPr>
        <w:t xml:space="preserve">, have been accused of involvement in acts of barbaric terrorism in Syria (including the murder </w:t>
      </w:r>
      <w:r w:rsidRPr="00F4476D">
        <w:rPr>
          <w:rFonts w:asciiTheme="majorBidi" w:eastAsia="Times New Roman" w:hAnsiTheme="majorBidi" w:cstheme="majorBidi"/>
          <w:sz w:val="20"/>
          <w:szCs w:val="20"/>
          <w:lang w:val="en-GB" w:bidi="he-IL"/>
        </w:rPr>
        <w:t xml:space="preserve">of American nationals) and of participating in the conflict there as fighters on behalf of ISIS (the two men are also colloquially known with others as “The Beatles”). </w:t>
      </w:r>
    </w:p>
  </w:footnote>
  <w:footnote w:id="24">
    <w:p w14:paraId="417CC0CF" w14:textId="12DF493D" w:rsidR="00CA563D" w:rsidRPr="00F4476D" w:rsidRDefault="00CA563D" w:rsidP="00F4476D">
      <w:pPr>
        <w:pStyle w:val="NormalWeb"/>
        <w:spacing w:before="0" w:beforeAutospacing="0" w:after="0" w:afterAutospacing="0"/>
        <w:jc w:val="both"/>
        <w:rPr>
          <w:rFonts w:asciiTheme="majorBidi" w:eastAsia="Times New Roman" w:hAnsiTheme="majorBidi" w:cstheme="majorBidi"/>
          <w:sz w:val="20"/>
          <w:szCs w:val="20"/>
          <w:lang w:val="en-GB" w:bidi="he-IL"/>
        </w:rPr>
      </w:pPr>
      <w:r w:rsidRPr="00F4476D">
        <w:rPr>
          <w:rStyle w:val="FootnoteReference"/>
          <w:rFonts w:asciiTheme="majorBidi" w:hAnsiTheme="majorBidi" w:cstheme="majorBidi"/>
          <w:sz w:val="20"/>
          <w:szCs w:val="20"/>
        </w:rPr>
        <w:footnoteRef/>
      </w:r>
      <w:r w:rsidRPr="00F4476D">
        <w:rPr>
          <w:rFonts w:asciiTheme="majorBidi" w:hAnsiTheme="majorBidi" w:cstheme="majorBidi"/>
          <w:sz w:val="20"/>
          <w:szCs w:val="20"/>
        </w:rPr>
        <w:t xml:space="preserve"> </w:t>
      </w:r>
      <w:r w:rsidRPr="00F4476D">
        <w:rPr>
          <w:rFonts w:asciiTheme="majorBidi" w:eastAsia="Times New Roman" w:hAnsiTheme="majorBidi" w:cstheme="majorBidi"/>
          <w:sz w:val="20"/>
          <w:szCs w:val="20"/>
          <w:lang w:val="en-GB" w:bidi="he-IL"/>
        </w:rPr>
        <w:t xml:space="preserve">The request was made pursuant to the 1994 Treaty of Mutual Legal Assistance in Criminal Matters between the US and the UK. </w:t>
      </w:r>
    </w:p>
  </w:footnote>
  <w:footnote w:id="25">
    <w:p w14:paraId="6793D2AE" w14:textId="7A813600" w:rsidR="00F4476D" w:rsidRPr="00F4476D" w:rsidRDefault="00F4476D" w:rsidP="00F4476D">
      <w:pPr>
        <w:pStyle w:val="NormalWeb"/>
        <w:spacing w:before="0" w:beforeAutospacing="0" w:after="0" w:afterAutospacing="0"/>
        <w:jc w:val="both"/>
        <w:rPr>
          <w:rFonts w:asciiTheme="majorBidi" w:eastAsia="Times New Roman" w:hAnsiTheme="majorBidi" w:cstheme="majorBidi"/>
          <w:sz w:val="20"/>
          <w:szCs w:val="20"/>
          <w:lang w:val="en-GB" w:bidi="he-IL"/>
        </w:rPr>
      </w:pPr>
      <w:r w:rsidRPr="00F4476D">
        <w:rPr>
          <w:rStyle w:val="FootnoteReference"/>
          <w:rFonts w:asciiTheme="majorBidi" w:hAnsiTheme="majorBidi" w:cstheme="majorBidi"/>
          <w:sz w:val="20"/>
          <w:szCs w:val="20"/>
        </w:rPr>
        <w:footnoteRef/>
      </w:r>
      <w:r w:rsidRPr="00F4476D">
        <w:rPr>
          <w:rFonts w:asciiTheme="majorBidi" w:hAnsiTheme="majorBidi" w:cstheme="majorBidi"/>
          <w:sz w:val="20"/>
          <w:szCs w:val="20"/>
        </w:rPr>
        <w:t xml:space="preserve"> </w:t>
      </w:r>
      <w:r w:rsidRPr="009853C9">
        <w:rPr>
          <w:rFonts w:asciiTheme="majorBidi" w:hAnsiTheme="majorBidi" w:cstheme="majorBidi"/>
          <w:sz w:val="20"/>
          <w:szCs w:val="20"/>
          <w:lang w:val="en-GB"/>
        </w:rPr>
        <w:t xml:space="preserve">The Queen on the Application of </w:t>
      </w:r>
      <w:r w:rsidRPr="009853C9">
        <w:rPr>
          <w:rFonts w:asciiTheme="majorBidi" w:hAnsiTheme="majorBidi" w:cstheme="majorBidi"/>
          <w:sz w:val="20"/>
          <w:szCs w:val="20"/>
          <w:lang w:bidi="he-IL"/>
        </w:rPr>
        <w:t>MAHA EL GIZOULI 12/01/2019</w:t>
      </w:r>
      <w:r>
        <w:rPr>
          <w:rFonts w:asciiTheme="majorBidi" w:hAnsiTheme="majorBidi" w:cstheme="majorBidi"/>
          <w:sz w:val="20"/>
          <w:szCs w:val="20"/>
          <w:lang w:bidi="he-IL"/>
        </w:rPr>
        <w:t xml:space="preserve"> at para 17: “</w:t>
      </w:r>
      <w:r w:rsidRPr="00F4476D">
        <w:rPr>
          <w:rFonts w:asciiTheme="majorBidi" w:eastAsia="Times New Roman" w:hAnsiTheme="majorBidi" w:cstheme="majorBidi"/>
          <w:sz w:val="20"/>
          <w:szCs w:val="20"/>
          <w:lang w:val="en-GB" w:bidi="he-IL"/>
        </w:rPr>
        <w:t xml:space="preserve">On 15 May 2018, the British Embassy in Washington was asked about the “likely response from the US Administration if the UK were to seek full or partial assurances on the death penalty” and, in particular, whether the request for such assurances would be critical in Mr Sessions’ decision whether or not to prosecute in the US. In answer to the specific question “What if we ask for death penalty assurances?” the Ambassador provided the following response: </w:t>
      </w:r>
    </w:p>
    <w:p w14:paraId="6409659E" w14:textId="7F9DA771" w:rsidR="00F4476D" w:rsidRPr="00F4476D" w:rsidRDefault="00F4476D" w:rsidP="00F4476D">
      <w:pPr>
        <w:pStyle w:val="NormalWeb"/>
        <w:spacing w:before="0" w:beforeAutospacing="0" w:after="0" w:afterAutospacing="0"/>
        <w:jc w:val="both"/>
        <w:rPr>
          <w:rFonts w:eastAsia="Times New Roman"/>
          <w:sz w:val="20"/>
          <w:szCs w:val="20"/>
          <w:lang w:val="en-GB" w:bidi="he-IL"/>
        </w:rPr>
      </w:pPr>
      <w:r w:rsidRPr="00F4476D">
        <w:rPr>
          <w:rFonts w:asciiTheme="majorBidi" w:eastAsia="Times New Roman" w:hAnsiTheme="majorBidi" w:cstheme="majorBidi"/>
          <w:sz w:val="20"/>
          <w:szCs w:val="20"/>
          <w:lang w:val="en-GB" w:bidi="he-IL"/>
        </w:rPr>
        <w:t>“...parts of the US machinery - notably career DOJ officials - would not be surprised if we asked for death</w:t>
      </w:r>
      <w:r w:rsidRPr="00F4476D">
        <w:rPr>
          <w:rFonts w:ascii="TimesNewRomanPSMT" w:eastAsia="Times New Roman" w:hAnsi="TimesNewRomanPSMT"/>
          <w:sz w:val="20"/>
          <w:szCs w:val="20"/>
          <w:lang w:val="en-GB" w:bidi="he-IL"/>
        </w:rPr>
        <w:t xml:space="preserve"> penalty assurances. It is what they expect of us. But that doesn’t go for the senior political levels of this administration: Cabinet Secretaries like Sessions, </w:t>
      </w:r>
      <w:proofErr w:type="spellStart"/>
      <w:r w:rsidRPr="00F4476D">
        <w:rPr>
          <w:rFonts w:ascii="TimesNewRomanPSMT" w:eastAsia="Times New Roman" w:hAnsi="TimesNewRomanPSMT"/>
          <w:sz w:val="20"/>
          <w:szCs w:val="20"/>
          <w:lang w:val="en-GB" w:bidi="he-IL"/>
        </w:rPr>
        <w:t>Mattis</w:t>
      </w:r>
      <w:proofErr w:type="spellEnd"/>
      <w:r w:rsidRPr="00F4476D">
        <w:rPr>
          <w:rFonts w:ascii="TimesNewRomanPSMT" w:eastAsia="Times New Roman" w:hAnsi="TimesNewRomanPSMT"/>
          <w:sz w:val="20"/>
          <w:szCs w:val="20"/>
          <w:lang w:val="en-GB" w:bidi="he-IL"/>
        </w:rPr>
        <w:t xml:space="preserve"> and Pompeo, and senior political appointees in their departments. Their reaction is likely to be something close to outrage. They already feel that we are dumping on them a problem for which we should take responsibility. They have been signalling to us for weeks now that we are in no position to attach any conditions to this. At best they will think we have tin ears. At worst, they will wind the President up to complain to the PM and, potentially, to hold a grudge. We might argue that the UK position on this is well known and that we were simply behaving in a way consistent with our long-term policy. There might be some understanding of this. But I have to warn that there might also be some damage to the bilateral relationship.” </w:t>
      </w:r>
    </w:p>
  </w:footnote>
  <w:footnote w:id="26">
    <w:p w14:paraId="52153DB2" w14:textId="77777777" w:rsidR="00BA45D3" w:rsidRPr="00783855" w:rsidRDefault="00BA45D3" w:rsidP="00F4476D">
      <w:pPr>
        <w:pStyle w:val="FootnoteText"/>
      </w:pPr>
      <w:r w:rsidRPr="00F4476D">
        <w:rPr>
          <w:rStyle w:val="FootnoteReference"/>
          <w:rFonts w:asciiTheme="majorBidi" w:hAnsiTheme="majorBidi" w:cstheme="majorBidi"/>
        </w:rPr>
        <w:footnoteRef/>
      </w:r>
      <w:r w:rsidRPr="00F4476D">
        <w:rPr>
          <w:rFonts w:asciiTheme="majorBidi" w:hAnsiTheme="majorBidi" w:cstheme="majorBidi"/>
        </w:rPr>
        <w:t xml:space="preserve"> CCPR</w:t>
      </w:r>
      <w:r w:rsidRPr="00CA563D">
        <w:rPr>
          <w:rFonts w:asciiTheme="majorBidi" w:hAnsiTheme="majorBidi" w:cstheme="majorBidi"/>
        </w:rPr>
        <w:t>/CO/75/VNM, para 7</w:t>
      </w:r>
    </w:p>
  </w:footnote>
  <w:footnote w:id="27">
    <w:p w14:paraId="346C8E86" w14:textId="2AA3098E" w:rsidR="001B1D2D" w:rsidRPr="001B1D2D" w:rsidRDefault="001B1D2D" w:rsidP="001B1D2D">
      <w:pPr>
        <w:pStyle w:val="NormalWeb"/>
        <w:jc w:val="both"/>
        <w:rPr>
          <w:rFonts w:asciiTheme="majorBidi" w:eastAsia="Times New Roman" w:hAnsiTheme="majorBidi" w:cstheme="majorBidi"/>
          <w:sz w:val="20"/>
          <w:szCs w:val="20"/>
          <w:lang w:val="en-GB" w:bidi="he-IL"/>
        </w:rPr>
      </w:pPr>
      <w:r w:rsidRPr="001B1D2D">
        <w:rPr>
          <w:rStyle w:val="FootnoteReference"/>
          <w:rFonts w:asciiTheme="majorBidi" w:hAnsiTheme="majorBidi" w:cstheme="majorBidi"/>
          <w:sz w:val="20"/>
          <w:szCs w:val="20"/>
        </w:rPr>
        <w:footnoteRef/>
      </w:r>
      <w:r w:rsidRPr="001B1D2D">
        <w:rPr>
          <w:rFonts w:asciiTheme="majorBidi" w:hAnsiTheme="majorBidi" w:cstheme="majorBidi"/>
          <w:sz w:val="20"/>
          <w:szCs w:val="20"/>
        </w:rPr>
        <w:t xml:space="preserve"> </w:t>
      </w:r>
      <w:r w:rsidRPr="001B1D2D">
        <w:rPr>
          <w:rFonts w:asciiTheme="majorBidi" w:hAnsiTheme="majorBidi" w:cstheme="majorBidi"/>
          <w:sz w:val="20"/>
          <w:szCs w:val="20"/>
          <w:lang w:val="en-GB"/>
        </w:rPr>
        <w:t xml:space="preserve">The Mandate of the Special Rapporteur consistently uses the term Foreign Fighters in addressing the rights, duties and regulation of individuals in this category. </w:t>
      </w:r>
      <w:r w:rsidRPr="001B1D2D">
        <w:rPr>
          <w:rFonts w:asciiTheme="majorBidi" w:eastAsia="Times New Roman" w:hAnsiTheme="majorBidi" w:cstheme="majorBidi"/>
          <w:sz w:val="20"/>
          <w:szCs w:val="20"/>
          <w:lang w:val="en-GB" w:bidi="he-IL"/>
        </w:rPr>
        <w:t xml:space="preserve">Concerns have been raised over the labelling of individuals as well as their families, by association, as </w:t>
      </w:r>
      <w:r>
        <w:rPr>
          <w:rFonts w:asciiTheme="majorBidi" w:eastAsia="Times New Roman" w:hAnsiTheme="majorBidi" w:cstheme="majorBidi"/>
          <w:sz w:val="20"/>
          <w:szCs w:val="20"/>
          <w:lang w:val="en-GB" w:bidi="he-IL"/>
        </w:rPr>
        <w:t>“</w:t>
      </w:r>
      <w:r w:rsidRPr="001B1D2D">
        <w:rPr>
          <w:rFonts w:asciiTheme="majorBidi" w:eastAsia="Times New Roman" w:hAnsiTheme="majorBidi" w:cstheme="majorBidi"/>
          <w:sz w:val="20"/>
          <w:szCs w:val="20"/>
          <w:lang w:val="en-GB" w:bidi="he-IL"/>
        </w:rPr>
        <w:t>foreign terrorist fighters</w:t>
      </w:r>
      <w:r>
        <w:rPr>
          <w:rFonts w:asciiTheme="majorBidi" w:eastAsia="Times New Roman" w:hAnsiTheme="majorBidi" w:cstheme="majorBidi"/>
          <w:sz w:val="20"/>
          <w:szCs w:val="20"/>
          <w:lang w:val="en-GB" w:bidi="he-IL"/>
        </w:rPr>
        <w:t>”</w:t>
      </w:r>
      <w:r w:rsidRPr="001B1D2D">
        <w:rPr>
          <w:rFonts w:asciiTheme="majorBidi" w:eastAsia="Times New Roman" w:hAnsiTheme="majorBidi" w:cstheme="majorBidi"/>
          <w:sz w:val="20"/>
          <w:szCs w:val="20"/>
          <w:lang w:val="en-GB" w:bidi="he-IL"/>
        </w:rPr>
        <w:t xml:space="preserve"> (as defined in resolution 2178 (2014)); difficulties related to the criminal regulation of individuals’ intentions; as well as the blurring of lines between terrorism and armed conflict, with consequences for human rights protection and the protection regime under international humanitarian law. </w:t>
      </w:r>
      <w:r>
        <w:rPr>
          <w:rFonts w:asciiTheme="majorBidi" w:eastAsia="Times New Roman" w:hAnsiTheme="majorBidi" w:cstheme="majorBidi"/>
          <w:sz w:val="20"/>
          <w:szCs w:val="20"/>
          <w:lang w:val="en-GB" w:bidi="he-IL"/>
        </w:rPr>
        <w:t>I</w:t>
      </w:r>
      <w:r w:rsidRPr="001B1D2D">
        <w:rPr>
          <w:rFonts w:asciiTheme="majorBidi" w:eastAsia="Times New Roman" w:hAnsiTheme="majorBidi" w:cstheme="majorBidi"/>
          <w:sz w:val="20"/>
          <w:szCs w:val="20"/>
          <w:lang w:val="en-GB" w:bidi="he-IL"/>
        </w:rPr>
        <w:t xml:space="preserve"> use</w:t>
      </w:r>
      <w:r>
        <w:rPr>
          <w:rFonts w:asciiTheme="majorBidi" w:eastAsia="Times New Roman" w:hAnsiTheme="majorBidi" w:cstheme="majorBidi"/>
          <w:sz w:val="20"/>
          <w:szCs w:val="20"/>
          <w:lang w:val="en-GB" w:bidi="he-IL"/>
        </w:rPr>
        <w:t xml:space="preserve"> </w:t>
      </w:r>
      <w:r w:rsidRPr="001B1D2D">
        <w:rPr>
          <w:rFonts w:asciiTheme="majorBidi" w:eastAsia="Times New Roman" w:hAnsiTheme="majorBidi" w:cstheme="majorBidi"/>
          <w:sz w:val="20"/>
          <w:szCs w:val="20"/>
          <w:lang w:val="en-GB" w:bidi="he-IL"/>
        </w:rPr>
        <w:t xml:space="preserve">the term “foreign terrorist fighters” when referring to the use of this term as reflected in the relevant Security Council resolutions. </w:t>
      </w:r>
    </w:p>
    <w:p w14:paraId="66F092F4" w14:textId="07D71D92" w:rsidR="001B1D2D" w:rsidRPr="00CE7F81" w:rsidRDefault="001B1D2D">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0DE3B" w14:textId="3E77604F" w:rsidR="00BE39F2" w:rsidRPr="00AD4CA9" w:rsidRDefault="0072345D" w:rsidP="00BE39F2">
    <w:pPr>
      <w:pStyle w:val="Header"/>
      <w:tabs>
        <w:tab w:val="clear" w:pos="4153"/>
        <w:tab w:val="clear" w:pos="8306"/>
        <w:tab w:val="left" w:pos="4275"/>
        <w:tab w:val="right" w:pos="9214"/>
      </w:tabs>
      <w:spacing w:before="360" w:after="840"/>
      <w:rPr>
        <w:sz w:val="14"/>
        <w:szCs w:val="14"/>
        <w:lang w:val="en-GB"/>
      </w:rPr>
    </w:pPr>
    <w:r>
      <w:rPr>
        <w:sz w:val="14"/>
        <w:szCs w:val="14"/>
        <w:lang w:val="en-GB"/>
      </w:rPr>
      <w:tab/>
    </w:r>
    <w:r>
      <w:rPr>
        <w:sz w:val="14"/>
        <w:szCs w:val="14"/>
        <w:lang w:val="en-GB"/>
      </w:rPr>
      <w:tab/>
      <w:t xml:space="preserve">PAGE </w:t>
    </w:r>
    <w:r>
      <w:rPr>
        <w:sz w:val="14"/>
        <w:szCs w:val="14"/>
        <w:lang w:val="en-GB"/>
      </w:rPr>
      <w:fldChar w:fldCharType="begin"/>
    </w:r>
    <w:r>
      <w:rPr>
        <w:sz w:val="14"/>
        <w:szCs w:val="14"/>
        <w:lang w:val="en-GB"/>
      </w:rPr>
      <w:instrText xml:space="preserve"> PAGE  \* MERGEFORMAT </w:instrText>
    </w:r>
    <w:r>
      <w:rPr>
        <w:sz w:val="14"/>
        <w:szCs w:val="14"/>
        <w:lang w:val="en-GB"/>
      </w:rPr>
      <w:fldChar w:fldCharType="separate"/>
    </w:r>
    <w:r w:rsidR="00D07587">
      <w:rPr>
        <w:noProof/>
        <w:sz w:val="14"/>
        <w:szCs w:val="14"/>
        <w:lang w:val="en-GB"/>
      </w:rPr>
      <w:t>9</w:t>
    </w:r>
    <w:r>
      <w:rPr>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Spec="center" w:tblpY="466"/>
      <w:tblW w:w="9039" w:type="dxa"/>
      <w:tblLayout w:type="fixed"/>
      <w:tblLook w:val="01E0" w:firstRow="1" w:lastRow="1" w:firstColumn="1" w:lastColumn="1" w:noHBand="0" w:noVBand="0"/>
    </w:tblPr>
    <w:tblGrid>
      <w:gridCol w:w="9039"/>
    </w:tblGrid>
    <w:tr w:rsidR="00BE39F2" w:rsidRPr="00C30AAE" w14:paraId="1BA20562" w14:textId="77777777" w:rsidTr="00BE39F2">
      <w:trPr>
        <w:trHeight w:val="1984"/>
      </w:trPr>
      <w:tc>
        <w:tcPr>
          <w:tcW w:w="9039" w:type="dxa"/>
          <w:vAlign w:val="center"/>
        </w:tcPr>
        <w:p w14:paraId="534BBD17" w14:textId="77777777" w:rsidR="00BE39F2" w:rsidRPr="00C30AAE" w:rsidRDefault="0072345D" w:rsidP="00BE39F2">
          <w:pPr>
            <w:pStyle w:val="Header"/>
            <w:tabs>
              <w:tab w:val="clear" w:pos="4153"/>
              <w:tab w:val="clear" w:pos="8306"/>
            </w:tabs>
            <w:spacing w:after="60"/>
            <w:jc w:val="center"/>
            <w:rPr>
              <w:sz w:val="16"/>
              <w:szCs w:val="16"/>
              <w:lang w:val="en-GB"/>
            </w:rPr>
          </w:pPr>
          <w:r>
            <w:rPr>
              <w:noProof/>
              <w:snapToGrid/>
              <w:sz w:val="16"/>
              <w:szCs w:val="16"/>
              <w:lang w:val="en-GB" w:eastAsia="en-GB"/>
            </w:rPr>
            <w:drawing>
              <wp:anchor distT="0" distB="0" distL="114300" distR="114300" simplePos="0" relativeHeight="251659264" behindDoc="0" locked="0" layoutInCell="1" allowOverlap="1" wp14:anchorId="46C4076E" wp14:editId="695DEBD0">
                <wp:simplePos x="0" y="0"/>
                <wp:positionH relativeFrom="margin">
                  <wp:align>center</wp:align>
                </wp:positionH>
                <wp:positionV relativeFrom="margin">
                  <wp:align>top</wp:align>
                </wp:positionV>
                <wp:extent cx="2368550" cy="1029335"/>
                <wp:effectExtent l="0" t="0" r="0" b="0"/>
                <wp:wrapNone/>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englis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1029335"/>
                        </a:xfrm>
                        <a:prstGeom prst="rect">
                          <a:avLst/>
                        </a:prstGeom>
                        <a:noFill/>
                      </pic:spPr>
                    </pic:pic>
                  </a:graphicData>
                </a:graphic>
                <wp14:sizeRelH relativeFrom="page">
                  <wp14:pctWidth>0</wp14:pctWidth>
                </wp14:sizeRelH>
                <wp14:sizeRelV relativeFrom="page">
                  <wp14:pctHeight>0</wp14:pctHeight>
                </wp14:sizeRelV>
              </wp:anchor>
            </w:drawing>
          </w:r>
        </w:p>
      </w:tc>
    </w:tr>
    <w:tr w:rsidR="00BE39F2" w14:paraId="0FBB5385" w14:textId="77777777" w:rsidTr="00BE39F2">
      <w:trPr>
        <w:trHeight w:val="70"/>
      </w:trPr>
      <w:tc>
        <w:tcPr>
          <w:tcW w:w="9039" w:type="dxa"/>
        </w:tcPr>
        <w:p w14:paraId="31B534E7" w14:textId="77777777" w:rsidR="00BE39F2" w:rsidRDefault="00BE39F2" w:rsidP="00BE39F2">
          <w:pPr>
            <w:pStyle w:val="Header"/>
            <w:tabs>
              <w:tab w:val="clear" w:pos="4153"/>
              <w:tab w:val="clear" w:pos="8306"/>
            </w:tabs>
            <w:jc w:val="center"/>
            <w:rPr>
              <w:noProof/>
            </w:rPr>
          </w:pPr>
        </w:p>
      </w:tc>
    </w:tr>
    <w:tr w:rsidR="00BE39F2" w:rsidRPr="003770E5" w14:paraId="602A5238" w14:textId="77777777" w:rsidTr="00BE39F2">
      <w:trPr>
        <w:trHeight w:val="80"/>
      </w:trPr>
      <w:tc>
        <w:tcPr>
          <w:tcW w:w="9039" w:type="dxa"/>
        </w:tcPr>
        <w:p w14:paraId="207FC160" w14:textId="77777777" w:rsidR="00BE39F2" w:rsidRDefault="0072345D" w:rsidP="00BE39F2">
          <w:pPr>
            <w:pStyle w:val="Header"/>
            <w:tabs>
              <w:tab w:val="clear" w:pos="4153"/>
              <w:tab w:val="right" w:pos="3686"/>
              <w:tab w:val="left" w:pos="5812"/>
            </w:tabs>
            <w:jc w:val="center"/>
            <w:rPr>
              <w:sz w:val="14"/>
              <w:szCs w:val="14"/>
              <w:lang w:val="fr-CH"/>
            </w:rPr>
          </w:pPr>
          <w:r>
            <w:rPr>
              <w:sz w:val="14"/>
              <w:szCs w:val="14"/>
              <w:lang w:val="fr-CH"/>
            </w:rPr>
            <w:t>PALAIS DES NATIONS • 1211 GENEVA 10, SWITZERLAND</w:t>
          </w:r>
        </w:p>
      </w:tc>
    </w:tr>
    <w:tr w:rsidR="00BE39F2" w14:paraId="091D9FE7" w14:textId="77777777" w:rsidTr="00BE39F2">
      <w:trPr>
        <w:trHeight w:val="70"/>
      </w:trPr>
      <w:tc>
        <w:tcPr>
          <w:tcW w:w="9039" w:type="dxa"/>
        </w:tcPr>
        <w:p w14:paraId="52A12016" w14:textId="77777777" w:rsidR="00BE39F2" w:rsidRDefault="0072345D" w:rsidP="00BE39F2">
          <w:pPr>
            <w:pStyle w:val="Header"/>
            <w:tabs>
              <w:tab w:val="clear" w:pos="4153"/>
              <w:tab w:val="clear" w:pos="8306"/>
              <w:tab w:val="right" w:pos="3686"/>
              <w:tab w:val="left" w:pos="5812"/>
            </w:tabs>
            <w:jc w:val="center"/>
            <w:rPr>
              <w:rStyle w:val="Hyperlink"/>
              <w:sz w:val="14"/>
              <w:szCs w:val="14"/>
              <w:lang w:val="pt-PT"/>
            </w:rPr>
          </w:pPr>
          <w:bookmarkStart w:id="1" w:name="ContactLine"/>
          <w:r>
            <w:rPr>
              <w:sz w:val="14"/>
              <w:szCs w:val="14"/>
              <w:lang w:val="pt-PT"/>
            </w:rPr>
            <w:t xml:space="preserve">www.ohchr.org • TEL: +41 22 917 9543 / +41 22 917 9738 • FAX:  +41 22 917 9008 • E-MAIL:  </w:t>
          </w:r>
          <w:hyperlink r:id="rId2" w:history="1">
            <w:r>
              <w:rPr>
                <w:rStyle w:val="Hyperlink"/>
                <w:sz w:val="14"/>
                <w:szCs w:val="14"/>
                <w:lang w:val="pt-PT"/>
              </w:rPr>
              <w:t>registry@ohchr.org</w:t>
            </w:r>
          </w:hyperlink>
          <w:bookmarkEnd w:id="1"/>
        </w:p>
        <w:p w14:paraId="0A58BB7F" w14:textId="77777777" w:rsidR="00BE39F2" w:rsidRDefault="00BE39F2" w:rsidP="00BE39F2">
          <w:pPr>
            <w:pStyle w:val="Header"/>
            <w:tabs>
              <w:tab w:val="clear" w:pos="4153"/>
              <w:tab w:val="clear" w:pos="8306"/>
              <w:tab w:val="right" w:pos="3686"/>
              <w:tab w:val="left" w:pos="5812"/>
            </w:tabs>
            <w:jc w:val="center"/>
            <w:rPr>
              <w:sz w:val="14"/>
              <w:szCs w:val="14"/>
              <w:lang w:val="pt-PT"/>
            </w:rPr>
          </w:pPr>
        </w:p>
      </w:tc>
    </w:tr>
  </w:tbl>
  <w:p w14:paraId="508C0D33" w14:textId="77777777" w:rsidR="00BE39F2" w:rsidRPr="006D43F4" w:rsidRDefault="00BE39F2" w:rsidP="00BE39F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B7AFC"/>
    <w:multiLevelType w:val="multilevel"/>
    <w:tmpl w:val="D86E9CC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7E75A5"/>
    <w:multiLevelType w:val="multilevel"/>
    <w:tmpl w:val="3838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EA6049"/>
    <w:multiLevelType w:val="hybridMultilevel"/>
    <w:tmpl w:val="A3E03F46"/>
    <w:lvl w:ilvl="0" w:tplc="41E423E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9C7A77"/>
    <w:multiLevelType w:val="multilevel"/>
    <w:tmpl w:val="F2F68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D5"/>
    <w:rsid w:val="00014CC5"/>
    <w:rsid w:val="00015770"/>
    <w:rsid w:val="00020D56"/>
    <w:rsid w:val="00031969"/>
    <w:rsid w:val="00036DCD"/>
    <w:rsid w:val="00046E16"/>
    <w:rsid w:val="000530F1"/>
    <w:rsid w:val="00065B44"/>
    <w:rsid w:val="00077A36"/>
    <w:rsid w:val="000804B6"/>
    <w:rsid w:val="000821E4"/>
    <w:rsid w:val="000845F6"/>
    <w:rsid w:val="00087CC5"/>
    <w:rsid w:val="00090101"/>
    <w:rsid w:val="000913CB"/>
    <w:rsid w:val="000A10FB"/>
    <w:rsid w:val="000A649A"/>
    <w:rsid w:val="000A6C5F"/>
    <w:rsid w:val="000C0E0E"/>
    <w:rsid w:val="000D0CC9"/>
    <w:rsid w:val="000F7344"/>
    <w:rsid w:val="00143453"/>
    <w:rsid w:val="0015671A"/>
    <w:rsid w:val="001656D9"/>
    <w:rsid w:val="00173698"/>
    <w:rsid w:val="00183C7E"/>
    <w:rsid w:val="0019534E"/>
    <w:rsid w:val="001A29F5"/>
    <w:rsid w:val="001B01C3"/>
    <w:rsid w:val="001B1213"/>
    <w:rsid w:val="001B1D2D"/>
    <w:rsid w:val="001B4779"/>
    <w:rsid w:val="001C13D4"/>
    <w:rsid w:val="001E2C1C"/>
    <w:rsid w:val="001F328E"/>
    <w:rsid w:val="001F4B01"/>
    <w:rsid w:val="001F6EFB"/>
    <w:rsid w:val="002201EB"/>
    <w:rsid w:val="0022351F"/>
    <w:rsid w:val="002260C8"/>
    <w:rsid w:val="00246F82"/>
    <w:rsid w:val="0025550E"/>
    <w:rsid w:val="00262D42"/>
    <w:rsid w:val="00275043"/>
    <w:rsid w:val="00277D18"/>
    <w:rsid w:val="002B2F8E"/>
    <w:rsid w:val="002B5EE8"/>
    <w:rsid w:val="002F1160"/>
    <w:rsid w:val="00321DB7"/>
    <w:rsid w:val="0035202E"/>
    <w:rsid w:val="00365163"/>
    <w:rsid w:val="003770E5"/>
    <w:rsid w:val="003B2746"/>
    <w:rsid w:val="003B51DB"/>
    <w:rsid w:val="003C2B30"/>
    <w:rsid w:val="003C6DF8"/>
    <w:rsid w:val="003D540D"/>
    <w:rsid w:val="003E630C"/>
    <w:rsid w:val="003F2CFA"/>
    <w:rsid w:val="00402961"/>
    <w:rsid w:val="00422A6E"/>
    <w:rsid w:val="0042427D"/>
    <w:rsid w:val="00446AE7"/>
    <w:rsid w:val="00453265"/>
    <w:rsid w:val="00457E27"/>
    <w:rsid w:val="0046593D"/>
    <w:rsid w:val="004669B4"/>
    <w:rsid w:val="0047137D"/>
    <w:rsid w:val="00473FB3"/>
    <w:rsid w:val="00481A54"/>
    <w:rsid w:val="004A393E"/>
    <w:rsid w:val="004A4B78"/>
    <w:rsid w:val="004A5778"/>
    <w:rsid w:val="004B743E"/>
    <w:rsid w:val="004C4466"/>
    <w:rsid w:val="004D0143"/>
    <w:rsid w:val="004E2960"/>
    <w:rsid w:val="004F2C0C"/>
    <w:rsid w:val="00514DC6"/>
    <w:rsid w:val="00517796"/>
    <w:rsid w:val="005213AF"/>
    <w:rsid w:val="00522759"/>
    <w:rsid w:val="005240CB"/>
    <w:rsid w:val="00531FC1"/>
    <w:rsid w:val="005644D5"/>
    <w:rsid w:val="00564DB5"/>
    <w:rsid w:val="005747FF"/>
    <w:rsid w:val="00583756"/>
    <w:rsid w:val="005A19BA"/>
    <w:rsid w:val="005A5946"/>
    <w:rsid w:val="005B4EB7"/>
    <w:rsid w:val="005C552C"/>
    <w:rsid w:val="005D1027"/>
    <w:rsid w:val="005D610C"/>
    <w:rsid w:val="0061715A"/>
    <w:rsid w:val="006249E6"/>
    <w:rsid w:val="00640757"/>
    <w:rsid w:val="006A42F2"/>
    <w:rsid w:val="006A62FA"/>
    <w:rsid w:val="006B6E9A"/>
    <w:rsid w:val="006C0F1E"/>
    <w:rsid w:val="006C6459"/>
    <w:rsid w:val="006D29AC"/>
    <w:rsid w:val="006D6FED"/>
    <w:rsid w:val="006F20A7"/>
    <w:rsid w:val="006F63BA"/>
    <w:rsid w:val="007011A4"/>
    <w:rsid w:val="007169BD"/>
    <w:rsid w:val="007220B1"/>
    <w:rsid w:val="0072345D"/>
    <w:rsid w:val="00757C0D"/>
    <w:rsid w:val="00786260"/>
    <w:rsid w:val="007A2083"/>
    <w:rsid w:val="007A2AC5"/>
    <w:rsid w:val="007B358B"/>
    <w:rsid w:val="007C0D54"/>
    <w:rsid w:val="007F7653"/>
    <w:rsid w:val="00826550"/>
    <w:rsid w:val="00827B2A"/>
    <w:rsid w:val="008370F7"/>
    <w:rsid w:val="008444C1"/>
    <w:rsid w:val="0084525B"/>
    <w:rsid w:val="00873CAD"/>
    <w:rsid w:val="00896DC0"/>
    <w:rsid w:val="008A4056"/>
    <w:rsid w:val="008A7BCE"/>
    <w:rsid w:val="008B5102"/>
    <w:rsid w:val="008D2B5E"/>
    <w:rsid w:val="008D35F2"/>
    <w:rsid w:val="008E5136"/>
    <w:rsid w:val="008E564F"/>
    <w:rsid w:val="00904E1A"/>
    <w:rsid w:val="009064FC"/>
    <w:rsid w:val="009220A9"/>
    <w:rsid w:val="00936AF0"/>
    <w:rsid w:val="00967348"/>
    <w:rsid w:val="009841B7"/>
    <w:rsid w:val="009853C9"/>
    <w:rsid w:val="00987884"/>
    <w:rsid w:val="00995785"/>
    <w:rsid w:val="009A540C"/>
    <w:rsid w:val="009D2FC3"/>
    <w:rsid w:val="009F0F54"/>
    <w:rsid w:val="00A04905"/>
    <w:rsid w:val="00A11ADD"/>
    <w:rsid w:val="00A303A8"/>
    <w:rsid w:val="00A653D8"/>
    <w:rsid w:val="00A95D1B"/>
    <w:rsid w:val="00AA41EE"/>
    <w:rsid w:val="00AB7BC7"/>
    <w:rsid w:val="00AC7D8F"/>
    <w:rsid w:val="00AE4B2F"/>
    <w:rsid w:val="00AE60A9"/>
    <w:rsid w:val="00AF5D78"/>
    <w:rsid w:val="00B06439"/>
    <w:rsid w:val="00B12D8F"/>
    <w:rsid w:val="00B210B0"/>
    <w:rsid w:val="00B21D1F"/>
    <w:rsid w:val="00B314FD"/>
    <w:rsid w:val="00B407B5"/>
    <w:rsid w:val="00B43F36"/>
    <w:rsid w:val="00B50567"/>
    <w:rsid w:val="00B57163"/>
    <w:rsid w:val="00B8088F"/>
    <w:rsid w:val="00BA45D3"/>
    <w:rsid w:val="00BC3FC2"/>
    <w:rsid w:val="00BC49F3"/>
    <w:rsid w:val="00BD3850"/>
    <w:rsid w:val="00BD51A9"/>
    <w:rsid w:val="00BE2C47"/>
    <w:rsid w:val="00BE39F2"/>
    <w:rsid w:val="00BE6844"/>
    <w:rsid w:val="00BF1E6C"/>
    <w:rsid w:val="00BF2C38"/>
    <w:rsid w:val="00C10C1A"/>
    <w:rsid w:val="00C371D4"/>
    <w:rsid w:val="00C63DDF"/>
    <w:rsid w:val="00C65723"/>
    <w:rsid w:val="00C73C57"/>
    <w:rsid w:val="00C75FC1"/>
    <w:rsid w:val="00CA563D"/>
    <w:rsid w:val="00CC1124"/>
    <w:rsid w:val="00CD56D0"/>
    <w:rsid w:val="00CE7F81"/>
    <w:rsid w:val="00CF2461"/>
    <w:rsid w:val="00CF64E1"/>
    <w:rsid w:val="00D07587"/>
    <w:rsid w:val="00D24BC9"/>
    <w:rsid w:val="00D267C1"/>
    <w:rsid w:val="00D26DB8"/>
    <w:rsid w:val="00D46EC6"/>
    <w:rsid w:val="00D47BF7"/>
    <w:rsid w:val="00D52E84"/>
    <w:rsid w:val="00D55C63"/>
    <w:rsid w:val="00D63DC7"/>
    <w:rsid w:val="00D90C88"/>
    <w:rsid w:val="00D92983"/>
    <w:rsid w:val="00D96432"/>
    <w:rsid w:val="00DA01E7"/>
    <w:rsid w:val="00DB53EF"/>
    <w:rsid w:val="00DD69BE"/>
    <w:rsid w:val="00DE1061"/>
    <w:rsid w:val="00DF232C"/>
    <w:rsid w:val="00E0085D"/>
    <w:rsid w:val="00E04A74"/>
    <w:rsid w:val="00E053B1"/>
    <w:rsid w:val="00E34A17"/>
    <w:rsid w:val="00E469A7"/>
    <w:rsid w:val="00E51CE1"/>
    <w:rsid w:val="00E7245E"/>
    <w:rsid w:val="00E743A1"/>
    <w:rsid w:val="00EB705A"/>
    <w:rsid w:val="00EC003C"/>
    <w:rsid w:val="00EC7770"/>
    <w:rsid w:val="00ED5E5F"/>
    <w:rsid w:val="00EE5882"/>
    <w:rsid w:val="00EF2DEF"/>
    <w:rsid w:val="00F1217B"/>
    <w:rsid w:val="00F14030"/>
    <w:rsid w:val="00F22E7E"/>
    <w:rsid w:val="00F24B87"/>
    <w:rsid w:val="00F4476D"/>
    <w:rsid w:val="00F64254"/>
    <w:rsid w:val="00F70A9C"/>
    <w:rsid w:val="00F75B49"/>
    <w:rsid w:val="00F81E31"/>
    <w:rsid w:val="00FA2FA6"/>
    <w:rsid w:val="00FC5D51"/>
    <w:rsid w:val="00FD4AA5"/>
    <w:rsid w:val="00FF4D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34C2"/>
  <w15:chartTrackingRefBased/>
  <w15:docId w15:val="{1AF938FD-D258-0C4A-BC2E-9CB05395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4D5"/>
    <w:rPr>
      <w:rFonts w:ascii="Times New Roman" w:eastAsia="Times New Roman" w:hAnsi="Times New Roman" w:cs="Times New Roman"/>
      <w:sz w:val="20"/>
      <w:szCs w:val="20"/>
      <w:lang w:val="en-GB"/>
    </w:rPr>
  </w:style>
  <w:style w:type="paragraph" w:styleId="Heading3">
    <w:name w:val="heading 3"/>
    <w:basedOn w:val="Normal"/>
    <w:link w:val="Heading3Char"/>
    <w:uiPriority w:val="9"/>
    <w:qFormat/>
    <w:rsid w:val="003F2CFA"/>
    <w:pPr>
      <w:spacing w:before="100" w:beforeAutospacing="1" w:after="100" w:afterAutospacing="1"/>
      <w:outlineLvl w:val="2"/>
    </w:pPr>
    <w:rPr>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4D5"/>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5644D5"/>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5644D5"/>
    <w:pPr>
      <w:tabs>
        <w:tab w:val="center" w:pos="4153"/>
        <w:tab w:val="right" w:pos="8306"/>
      </w:tabs>
    </w:pPr>
  </w:style>
  <w:style w:type="character" w:customStyle="1" w:styleId="FooterChar">
    <w:name w:val="Footer Char"/>
    <w:basedOn w:val="DefaultParagraphFont"/>
    <w:link w:val="Footer"/>
    <w:uiPriority w:val="99"/>
    <w:rsid w:val="005644D5"/>
    <w:rPr>
      <w:rFonts w:ascii="Times New Roman" w:eastAsia="Times New Roman" w:hAnsi="Times New Roman" w:cs="Times New Roman"/>
      <w:sz w:val="20"/>
      <w:szCs w:val="20"/>
      <w:lang w:val="en-GB"/>
    </w:rPr>
  </w:style>
  <w:style w:type="character" w:styleId="Hyperlink">
    <w:name w:val="Hyperlink"/>
    <w:uiPriority w:val="99"/>
    <w:rsid w:val="005644D5"/>
    <w:rPr>
      <w:color w:val="0000FF"/>
      <w:u w:val="single"/>
    </w:rPr>
  </w:style>
  <w:style w:type="paragraph" w:customStyle="1" w:styleId="Default">
    <w:name w:val="Default"/>
    <w:rsid w:val="003C6DF8"/>
    <w:pPr>
      <w:autoSpaceDE w:val="0"/>
      <w:autoSpaceDN w:val="0"/>
      <w:adjustRightInd w:val="0"/>
    </w:pPr>
    <w:rPr>
      <w:rFonts w:ascii="Arial" w:hAnsi="Arial" w:cs="Arial"/>
      <w:color w:val="000000"/>
    </w:rPr>
  </w:style>
  <w:style w:type="character" w:styleId="Strong">
    <w:name w:val="Strong"/>
    <w:basedOn w:val="DefaultParagraphFont"/>
    <w:uiPriority w:val="22"/>
    <w:qFormat/>
    <w:rsid w:val="003C6DF8"/>
    <w:rPr>
      <w:b/>
      <w:bCs/>
    </w:rPr>
  </w:style>
  <w:style w:type="character" w:styleId="FootnoteReference">
    <w:name w:val="footnote reference"/>
    <w:aliases w:val="4_G,a Footnote Reference,FZ,Appel note de bas de page,Footnotes refss,Footnote Ref,16 Point,Superscript 6 Point,Appel note de bas de p.,Footnote Refernece,Footnote number,ftref,Footnote text,Style 10,Fago Fu?notenzeichen,Ref,ftref1,f"/>
    <w:link w:val="BVIfnr"/>
    <w:uiPriority w:val="99"/>
    <w:qFormat/>
    <w:rsid w:val="00473FB3"/>
    <w:rPr>
      <w:rFonts w:cs="Times New Roman"/>
      <w:vertAlign w:val="superscript"/>
    </w:rPr>
  </w:style>
  <w:style w:type="paragraph" w:styleId="FootnoteText">
    <w:name w:val="footnote text"/>
    <w:aliases w:val="5_G,Footnote Text Char1,Footnote Text Char Char,Footnote Text Char1 Char Char,Footnote Text Char Char Char Char,Footnote Text Char Char1,FA,FA Fußnotentext,Note de bas de page Car Car,Footnote Text Char3,Text pozn. pod čarou Char,Footnotes"/>
    <w:basedOn w:val="Normal"/>
    <w:link w:val="FootnoteTextChar"/>
    <w:uiPriority w:val="99"/>
    <w:unhideWhenUsed/>
    <w:qFormat/>
    <w:rsid w:val="00473FB3"/>
    <w:pPr>
      <w:jc w:val="both"/>
    </w:pPr>
    <w:rPr>
      <w:rFonts w:eastAsia="Calibri" w:cs="Arial"/>
      <w:lang w:val="en-US"/>
    </w:rPr>
  </w:style>
  <w:style w:type="character" w:customStyle="1" w:styleId="FootnoteTextChar">
    <w:name w:val="Footnote Text Char"/>
    <w:aliases w:val="5_G Char,Footnote Text Char1 Char,Footnote Text Char Char Char,Footnote Text Char1 Char Char Char,Footnote Text Char Char Char Char Char,Footnote Text Char Char1 Char,FA Char,FA Fußnotentext Char,Note de bas de page Car Car Char"/>
    <w:basedOn w:val="DefaultParagraphFont"/>
    <w:link w:val="FootnoteText"/>
    <w:uiPriority w:val="99"/>
    <w:rsid w:val="00473FB3"/>
    <w:rPr>
      <w:rFonts w:ascii="Times New Roman" w:eastAsia="Calibri" w:hAnsi="Times New Roman" w:cs="Arial"/>
      <w:sz w:val="20"/>
      <w:szCs w:val="20"/>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473FB3"/>
    <w:pPr>
      <w:spacing w:after="160" w:line="240" w:lineRule="exact"/>
      <w:jc w:val="both"/>
    </w:pPr>
    <w:rPr>
      <w:rFonts w:asciiTheme="minorHAnsi" w:eastAsiaTheme="minorHAnsi" w:hAnsiTheme="minorHAnsi"/>
      <w:sz w:val="24"/>
      <w:szCs w:val="24"/>
      <w:vertAlign w:val="superscript"/>
      <w:lang w:val="en-US"/>
    </w:rPr>
  </w:style>
  <w:style w:type="character" w:styleId="CommentReference">
    <w:name w:val="annotation reference"/>
    <w:basedOn w:val="DefaultParagraphFont"/>
    <w:uiPriority w:val="99"/>
    <w:semiHidden/>
    <w:unhideWhenUsed/>
    <w:rsid w:val="00473FB3"/>
    <w:rPr>
      <w:sz w:val="18"/>
      <w:szCs w:val="18"/>
    </w:rPr>
  </w:style>
  <w:style w:type="character" w:styleId="FollowedHyperlink">
    <w:name w:val="FollowedHyperlink"/>
    <w:basedOn w:val="DefaultParagraphFont"/>
    <w:uiPriority w:val="99"/>
    <w:semiHidden/>
    <w:unhideWhenUsed/>
    <w:rsid w:val="00473FB3"/>
    <w:rPr>
      <w:color w:val="954F72" w:themeColor="followedHyperlink"/>
      <w:u w:val="single"/>
    </w:rPr>
  </w:style>
  <w:style w:type="paragraph" w:styleId="CommentText">
    <w:name w:val="annotation text"/>
    <w:basedOn w:val="Normal"/>
    <w:link w:val="CommentTextChar"/>
    <w:uiPriority w:val="99"/>
    <w:semiHidden/>
    <w:unhideWhenUsed/>
    <w:rsid w:val="003B2746"/>
    <w:rPr>
      <w:sz w:val="24"/>
      <w:szCs w:val="24"/>
    </w:rPr>
  </w:style>
  <w:style w:type="character" w:customStyle="1" w:styleId="CommentTextChar">
    <w:name w:val="Comment Text Char"/>
    <w:basedOn w:val="DefaultParagraphFont"/>
    <w:link w:val="CommentText"/>
    <w:uiPriority w:val="99"/>
    <w:semiHidden/>
    <w:rsid w:val="003B2746"/>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3B2746"/>
    <w:rPr>
      <w:b/>
      <w:bCs/>
      <w:sz w:val="20"/>
      <w:szCs w:val="20"/>
    </w:rPr>
  </w:style>
  <w:style w:type="character" w:customStyle="1" w:styleId="CommentSubjectChar">
    <w:name w:val="Comment Subject Char"/>
    <w:basedOn w:val="CommentTextChar"/>
    <w:link w:val="CommentSubject"/>
    <w:uiPriority w:val="99"/>
    <w:semiHidden/>
    <w:rsid w:val="003B274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B2746"/>
    <w:rPr>
      <w:sz w:val="18"/>
      <w:szCs w:val="18"/>
    </w:rPr>
  </w:style>
  <w:style w:type="character" w:customStyle="1" w:styleId="BalloonTextChar">
    <w:name w:val="Balloon Text Char"/>
    <w:basedOn w:val="DefaultParagraphFont"/>
    <w:link w:val="BalloonText"/>
    <w:uiPriority w:val="99"/>
    <w:semiHidden/>
    <w:rsid w:val="003B2746"/>
    <w:rPr>
      <w:rFonts w:ascii="Times New Roman" w:eastAsia="Times New Roman" w:hAnsi="Times New Roman" w:cs="Times New Roman"/>
      <w:sz w:val="18"/>
      <w:szCs w:val="18"/>
      <w:lang w:val="en-GB"/>
    </w:rPr>
  </w:style>
  <w:style w:type="character" w:styleId="PageNumber">
    <w:name w:val="page number"/>
    <w:basedOn w:val="DefaultParagraphFont"/>
    <w:uiPriority w:val="99"/>
    <w:semiHidden/>
    <w:unhideWhenUsed/>
    <w:rsid w:val="004A393E"/>
  </w:style>
  <w:style w:type="character" w:customStyle="1" w:styleId="Heading3Char">
    <w:name w:val="Heading 3 Char"/>
    <w:basedOn w:val="DefaultParagraphFont"/>
    <w:link w:val="Heading3"/>
    <w:uiPriority w:val="9"/>
    <w:rsid w:val="003F2CFA"/>
    <w:rPr>
      <w:rFonts w:ascii="Times New Roman" w:eastAsia="Times New Roman" w:hAnsi="Times New Roman" w:cs="Times New Roman"/>
      <w:b/>
      <w:bCs/>
      <w:sz w:val="27"/>
      <w:szCs w:val="27"/>
      <w:lang w:val="en-GB" w:bidi="he-IL"/>
    </w:rPr>
  </w:style>
  <w:style w:type="character" w:styleId="HTMLCite">
    <w:name w:val="HTML Cite"/>
    <w:basedOn w:val="DefaultParagraphFont"/>
    <w:uiPriority w:val="99"/>
    <w:semiHidden/>
    <w:unhideWhenUsed/>
    <w:rsid w:val="001B4779"/>
    <w:rPr>
      <w:i/>
      <w:iCs/>
    </w:rPr>
  </w:style>
  <w:style w:type="character" w:customStyle="1" w:styleId="UnresolvedMention1">
    <w:name w:val="Unresolved Mention1"/>
    <w:basedOn w:val="DefaultParagraphFont"/>
    <w:uiPriority w:val="99"/>
    <w:rsid w:val="001B4779"/>
    <w:rPr>
      <w:color w:val="605E5C"/>
      <w:shd w:val="clear" w:color="auto" w:fill="E1DFDD"/>
    </w:rPr>
  </w:style>
  <w:style w:type="paragraph" w:styleId="NormalWeb">
    <w:name w:val="Normal (Web)"/>
    <w:basedOn w:val="Normal"/>
    <w:uiPriority w:val="99"/>
    <w:unhideWhenUsed/>
    <w:rsid w:val="000530F1"/>
    <w:pPr>
      <w:spacing w:before="100" w:beforeAutospacing="1" w:after="100" w:afterAutospacing="1"/>
    </w:pPr>
    <w:rPr>
      <w:rFonts w:eastAsiaTheme="minorHAnsi"/>
      <w:sz w:val="24"/>
      <w:szCs w:val="24"/>
      <w:lang w:val="en-US"/>
    </w:rPr>
  </w:style>
  <w:style w:type="paragraph" w:customStyle="1" w:styleId="BVIfnrCharCharCharChar">
    <w:name w:val="BVI fnr Char Char Char Char"/>
    <w:aliases w:val="BVI fnr Car Car Char Char Char Char,BVI fnr Car Char Char Char Char,BVI fnr Car Car Car Car Char Char Char Char"/>
    <w:basedOn w:val="Normal"/>
    <w:uiPriority w:val="99"/>
    <w:rsid w:val="000530F1"/>
    <w:pPr>
      <w:spacing w:after="160" w:line="240" w:lineRule="exact"/>
    </w:pPr>
    <w:rPr>
      <w:rFonts w:asciiTheme="minorHAnsi" w:eastAsiaTheme="minorHAnsi" w:hAnsiTheme="minorHAnsi" w:cstheme="minorBidi"/>
      <w:sz w:val="24"/>
      <w:szCs w:val="24"/>
      <w:vertAlign w:val="superscript"/>
      <w:lang w:val="en-US"/>
    </w:rPr>
  </w:style>
  <w:style w:type="paragraph" w:styleId="ListParagraph">
    <w:name w:val="List Paragraph"/>
    <w:basedOn w:val="Normal"/>
    <w:uiPriority w:val="34"/>
    <w:qFormat/>
    <w:rsid w:val="00BA45D3"/>
    <w:pP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0474">
      <w:bodyDiv w:val="1"/>
      <w:marLeft w:val="0"/>
      <w:marRight w:val="0"/>
      <w:marTop w:val="0"/>
      <w:marBottom w:val="0"/>
      <w:divBdr>
        <w:top w:val="none" w:sz="0" w:space="0" w:color="auto"/>
        <w:left w:val="none" w:sz="0" w:space="0" w:color="auto"/>
        <w:bottom w:val="none" w:sz="0" w:space="0" w:color="auto"/>
        <w:right w:val="none" w:sz="0" w:space="0" w:color="auto"/>
      </w:divBdr>
      <w:divsChild>
        <w:div w:id="1821387816">
          <w:marLeft w:val="0"/>
          <w:marRight w:val="0"/>
          <w:marTop w:val="0"/>
          <w:marBottom w:val="0"/>
          <w:divBdr>
            <w:top w:val="none" w:sz="0" w:space="0" w:color="auto"/>
            <w:left w:val="none" w:sz="0" w:space="0" w:color="auto"/>
            <w:bottom w:val="none" w:sz="0" w:space="0" w:color="auto"/>
            <w:right w:val="none" w:sz="0" w:space="0" w:color="auto"/>
          </w:divBdr>
          <w:divsChild>
            <w:div w:id="1441535991">
              <w:marLeft w:val="0"/>
              <w:marRight w:val="0"/>
              <w:marTop w:val="0"/>
              <w:marBottom w:val="0"/>
              <w:divBdr>
                <w:top w:val="none" w:sz="0" w:space="0" w:color="auto"/>
                <w:left w:val="none" w:sz="0" w:space="0" w:color="auto"/>
                <w:bottom w:val="none" w:sz="0" w:space="0" w:color="auto"/>
                <w:right w:val="none" w:sz="0" w:space="0" w:color="auto"/>
              </w:divBdr>
              <w:divsChild>
                <w:div w:id="5914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1365">
      <w:bodyDiv w:val="1"/>
      <w:marLeft w:val="0"/>
      <w:marRight w:val="0"/>
      <w:marTop w:val="0"/>
      <w:marBottom w:val="0"/>
      <w:divBdr>
        <w:top w:val="none" w:sz="0" w:space="0" w:color="auto"/>
        <w:left w:val="none" w:sz="0" w:space="0" w:color="auto"/>
        <w:bottom w:val="none" w:sz="0" w:space="0" w:color="auto"/>
        <w:right w:val="none" w:sz="0" w:space="0" w:color="auto"/>
      </w:divBdr>
      <w:divsChild>
        <w:div w:id="76093595">
          <w:marLeft w:val="0"/>
          <w:marRight w:val="0"/>
          <w:marTop w:val="0"/>
          <w:marBottom w:val="0"/>
          <w:divBdr>
            <w:top w:val="none" w:sz="0" w:space="0" w:color="auto"/>
            <w:left w:val="none" w:sz="0" w:space="0" w:color="auto"/>
            <w:bottom w:val="none" w:sz="0" w:space="0" w:color="auto"/>
            <w:right w:val="none" w:sz="0" w:space="0" w:color="auto"/>
          </w:divBdr>
          <w:divsChild>
            <w:div w:id="298196671">
              <w:marLeft w:val="0"/>
              <w:marRight w:val="0"/>
              <w:marTop w:val="0"/>
              <w:marBottom w:val="0"/>
              <w:divBdr>
                <w:top w:val="none" w:sz="0" w:space="0" w:color="auto"/>
                <w:left w:val="none" w:sz="0" w:space="0" w:color="auto"/>
                <w:bottom w:val="none" w:sz="0" w:space="0" w:color="auto"/>
                <w:right w:val="none" w:sz="0" w:space="0" w:color="auto"/>
              </w:divBdr>
              <w:divsChild>
                <w:div w:id="11462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0755">
      <w:bodyDiv w:val="1"/>
      <w:marLeft w:val="0"/>
      <w:marRight w:val="0"/>
      <w:marTop w:val="0"/>
      <w:marBottom w:val="0"/>
      <w:divBdr>
        <w:top w:val="none" w:sz="0" w:space="0" w:color="auto"/>
        <w:left w:val="none" w:sz="0" w:space="0" w:color="auto"/>
        <w:bottom w:val="none" w:sz="0" w:space="0" w:color="auto"/>
        <w:right w:val="none" w:sz="0" w:space="0" w:color="auto"/>
      </w:divBdr>
      <w:divsChild>
        <w:div w:id="1076056480">
          <w:marLeft w:val="0"/>
          <w:marRight w:val="0"/>
          <w:marTop w:val="0"/>
          <w:marBottom w:val="0"/>
          <w:divBdr>
            <w:top w:val="none" w:sz="0" w:space="0" w:color="auto"/>
            <w:left w:val="none" w:sz="0" w:space="0" w:color="auto"/>
            <w:bottom w:val="none" w:sz="0" w:space="0" w:color="auto"/>
            <w:right w:val="none" w:sz="0" w:space="0" w:color="auto"/>
          </w:divBdr>
          <w:divsChild>
            <w:div w:id="658536832">
              <w:marLeft w:val="0"/>
              <w:marRight w:val="0"/>
              <w:marTop w:val="0"/>
              <w:marBottom w:val="0"/>
              <w:divBdr>
                <w:top w:val="none" w:sz="0" w:space="0" w:color="auto"/>
                <w:left w:val="none" w:sz="0" w:space="0" w:color="auto"/>
                <w:bottom w:val="none" w:sz="0" w:space="0" w:color="auto"/>
                <w:right w:val="none" w:sz="0" w:space="0" w:color="auto"/>
              </w:divBdr>
              <w:divsChild>
                <w:div w:id="726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55850">
      <w:bodyDiv w:val="1"/>
      <w:marLeft w:val="0"/>
      <w:marRight w:val="0"/>
      <w:marTop w:val="0"/>
      <w:marBottom w:val="0"/>
      <w:divBdr>
        <w:top w:val="none" w:sz="0" w:space="0" w:color="auto"/>
        <w:left w:val="none" w:sz="0" w:space="0" w:color="auto"/>
        <w:bottom w:val="none" w:sz="0" w:space="0" w:color="auto"/>
        <w:right w:val="none" w:sz="0" w:space="0" w:color="auto"/>
      </w:divBdr>
      <w:divsChild>
        <w:div w:id="17853698">
          <w:marLeft w:val="0"/>
          <w:marRight w:val="0"/>
          <w:marTop w:val="0"/>
          <w:marBottom w:val="0"/>
          <w:divBdr>
            <w:top w:val="none" w:sz="0" w:space="0" w:color="auto"/>
            <w:left w:val="none" w:sz="0" w:space="0" w:color="auto"/>
            <w:bottom w:val="none" w:sz="0" w:space="0" w:color="auto"/>
            <w:right w:val="none" w:sz="0" w:space="0" w:color="auto"/>
          </w:divBdr>
          <w:divsChild>
            <w:div w:id="38017980">
              <w:marLeft w:val="0"/>
              <w:marRight w:val="0"/>
              <w:marTop w:val="0"/>
              <w:marBottom w:val="0"/>
              <w:divBdr>
                <w:top w:val="none" w:sz="0" w:space="0" w:color="auto"/>
                <w:left w:val="none" w:sz="0" w:space="0" w:color="auto"/>
                <w:bottom w:val="none" w:sz="0" w:space="0" w:color="auto"/>
                <w:right w:val="none" w:sz="0" w:space="0" w:color="auto"/>
              </w:divBdr>
              <w:divsChild>
                <w:div w:id="20209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371">
      <w:bodyDiv w:val="1"/>
      <w:marLeft w:val="0"/>
      <w:marRight w:val="0"/>
      <w:marTop w:val="0"/>
      <w:marBottom w:val="0"/>
      <w:divBdr>
        <w:top w:val="none" w:sz="0" w:space="0" w:color="auto"/>
        <w:left w:val="none" w:sz="0" w:space="0" w:color="auto"/>
        <w:bottom w:val="none" w:sz="0" w:space="0" w:color="auto"/>
        <w:right w:val="none" w:sz="0" w:space="0" w:color="auto"/>
      </w:divBdr>
    </w:div>
    <w:div w:id="683018430">
      <w:bodyDiv w:val="1"/>
      <w:marLeft w:val="0"/>
      <w:marRight w:val="0"/>
      <w:marTop w:val="0"/>
      <w:marBottom w:val="0"/>
      <w:divBdr>
        <w:top w:val="none" w:sz="0" w:space="0" w:color="auto"/>
        <w:left w:val="none" w:sz="0" w:space="0" w:color="auto"/>
        <w:bottom w:val="none" w:sz="0" w:space="0" w:color="auto"/>
        <w:right w:val="none" w:sz="0" w:space="0" w:color="auto"/>
      </w:divBdr>
      <w:divsChild>
        <w:div w:id="1356807300">
          <w:marLeft w:val="0"/>
          <w:marRight w:val="0"/>
          <w:marTop w:val="0"/>
          <w:marBottom w:val="0"/>
          <w:divBdr>
            <w:top w:val="none" w:sz="0" w:space="0" w:color="auto"/>
            <w:left w:val="none" w:sz="0" w:space="0" w:color="auto"/>
            <w:bottom w:val="none" w:sz="0" w:space="0" w:color="auto"/>
            <w:right w:val="none" w:sz="0" w:space="0" w:color="auto"/>
          </w:divBdr>
        </w:div>
      </w:divsChild>
    </w:div>
    <w:div w:id="886182897">
      <w:bodyDiv w:val="1"/>
      <w:marLeft w:val="0"/>
      <w:marRight w:val="0"/>
      <w:marTop w:val="0"/>
      <w:marBottom w:val="0"/>
      <w:divBdr>
        <w:top w:val="none" w:sz="0" w:space="0" w:color="auto"/>
        <w:left w:val="none" w:sz="0" w:space="0" w:color="auto"/>
        <w:bottom w:val="none" w:sz="0" w:space="0" w:color="auto"/>
        <w:right w:val="none" w:sz="0" w:space="0" w:color="auto"/>
      </w:divBdr>
    </w:div>
    <w:div w:id="1077167548">
      <w:bodyDiv w:val="1"/>
      <w:marLeft w:val="0"/>
      <w:marRight w:val="0"/>
      <w:marTop w:val="0"/>
      <w:marBottom w:val="0"/>
      <w:divBdr>
        <w:top w:val="none" w:sz="0" w:space="0" w:color="auto"/>
        <w:left w:val="none" w:sz="0" w:space="0" w:color="auto"/>
        <w:bottom w:val="none" w:sz="0" w:space="0" w:color="auto"/>
        <w:right w:val="none" w:sz="0" w:space="0" w:color="auto"/>
      </w:divBdr>
      <w:divsChild>
        <w:div w:id="1492334401">
          <w:marLeft w:val="0"/>
          <w:marRight w:val="0"/>
          <w:marTop w:val="0"/>
          <w:marBottom w:val="0"/>
          <w:divBdr>
            <w:top w:val="none" w:sz="0" w:space="0" w:color="auto"/>
            <w:left w:val="none" w:sz="0" w:space="0" w:color="auto"/>
            <w:bottom w:val="none" w:sz="0" w:space="0" w:color="auto"/>
            <w:right w:val="none" w:sz="0" w:space="0" w:color="auto"/>
          </w:divBdr>
          <w:divsChild>
            <w:div w:id="1929655105">
              <w:marLeft w:val="0"/>
              <w:marRight w:val="0"/>
              <w:marTop w:val="0"/>
              <w:marBottom w:val="0"/>
              <w:divBdr>
                <w:top w:val="none" w:sz="0" w:space="0" w:color="auto"/>
                <w:left w:val="none" w:sz="0" w:space="0" w:color="auto"/>
                <w:bottom w:val="none" w:sz="0" w:space="0" w:color="auto"/>
                <w:right w:val="none" w:sz="0" w:space="0" w:color="auto"/>
              </w:divBdr>
              <w:divsChild>
                <w:div w:id="13795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5108">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0">
          <w:marLeft w:val="0"/>
          <w:marRight w:val="0"/>
          <w:marTop w:val="0"/>
          <w:marBottom w:val="0"/>
          <w:divBdr>
            <w:top w:val="none" w:sz="0" w:space="0" w:color="auto"/>
            <w:left w:val="none" w:sz="0" w:space="0" w:color="auto"/>
            <w:bottom w:val="none" w:sz="0" w:space="0" w:color="auto"/>
            <w:right w:val="none" w:sz="0" w:space="0" w:color="auto"/>
          </w:divBdr>
        </w:div>
      </w:divsChild>
    </w:div>
    <w:div w:id="1153719759">
      <w:bodyDiv w:val="1"/>
      <w:marLeft w:val="0"/>
      <w:marRight w:val="0"/>
      <w:marTop w:val="0"/>
      <w:marBottom w:val="0"/>
      <w:divBdr>
        <w:top w:val="none" w:sz="0" w:space="0" w:color="auto"/>
        <w:left w:val="none" w:sz="0" w:space="0" w:color="auto"/>
        <w:bottom w:val="none" w:sz="0" w:space="0" w:color="auto"/>
        <w:right w:val="none" w:sz="0" w:space="0" w:color="auto"/>
      </w:divBdr>
      <w:divsChild>
        <w:div w:id="1004357539">
          <w:marLeft w:val="0"/>
          <w:marRight w:val="0"/>
          <w:marTop w:val="0"/>
          <w:marBottom w:val="0"/>
          <w:divBdr>
            <w:top w:val="none" w:sz="0" w:space="0" w:color="auto"/>
            <w:left w:val="none" w:sz="0" w:space="0" w:color="auto"/>
            <w:bottom w:val="none" w:sz="0" w:space="0" w:color="auto"/>
            <w:right w:val="none" w:sz="0" w:space="0" w:color="auto"/>
          </w:divBdr>
        </w:div>
      </w:divsChild>
    </w:div>
    <w:div w:id="1201474704">
      <w:bodyDiv w:val="1"/>
      <w:marLeft w:val="0"/>
      <w:marRight w:val="0"/>
      <w:marTop w:val="0"/>
      <w:marBottom w:val="0"/>
      <w:divBdr>
        <w:top w:val="none" w:sz="0" w:space="0" w:color="auto"/>
        <w:left w:val="none" w:sz="0" w:space="0" w:color="auto"/>
        <w:bottom w:val="none" w:sz="0" w:space="0" w:color="auto"/>
        <w:right w:val="none" w:sz="0" w:space="0" w:color="auto"/>
      </w:divBdr>
    </w:div>
    <w:div w:id="1212693097">
      <w:bodyDiv w:val="1"/>
      <w:marLeft w:val="0"/>
      <w:marRight w:val="0"/>
      <w:marTop w:val="0"/>
      <w:marBottom w:val="0"/>
      <w:divBdr>
        <w:top w:val="none" w:sz="0" w:space="0" w:color="auto"/>
        <w:left w:val="none" w:sz="0" w:space="0" w:color="auto"/>
        <w:bottom w:val="none" w:sz="0" w:space="0" w:color="auto"/>
        <w:right w:val="none" w:sz="0" w:space="0" w:color="auto"/>
      </w:divBdr>
      <w:divsChild>
        <w:div w:id="739904204">
          <w:marLeft w:val="0"/>
          <w:marRight w:val="0"/>
          <w:marTop w:val="0"/>
          <w:marBottom w:val="0"/>
          <w:divBdr>
            <w:top w:val="none" w:sz="0" w:space="0" w:color="auto"/>
            <w:left w:val="none" w:sz="0" w:space="0" w:color="auto"/>
            <w:bottom w:val="none" w:sz="0" w:space="0" w:color="auto"/>
            <w:right w:val="none" w:sz="0" w:space="0" w:color="auto"/>
          </w:divBdr>
        </w:div>
      </w:divsChild>
    </w:div>
    <w:div w:id="1647083249">
      <w:bodyDiv w:val="1"/>
      <w:marLeft w:val="0"/>
      <w:marRight w:val="0"/>
      <w:marTop w:val="0"/>
      <w:marBottom w:val="0"/>
      <w:divBdr>
        <w:top w:val="none" w:sz="0" w:space="0" w:color="auto"/>
        <w:left w:val="none" w:sz="0" w:space="0" w:color="auto"/>
        <w:bottom w:val="none" w:sz="0" w:space="0" w:color="auto"/>
        <w:right w:val="none" w:sz="0" w:space="0" w:color="auto"/>
      </w:divBdr>
      <w:divsChild>
        <w:div w:id="1997611827">
          <w:marLeft w:val="0"/>
          <w:marRight w:val="0"/>
          <w:marTop w:val="0"/>
          <w:marBottom w:val="0"/>
          <w:divBdr>
            <w:top w:val="none" w:sz="0" w:space="0" w:color="auto"/>
            <w:left w:val="none" w:sz="0" w:space="0" w:color="auto"/>
            <w:bottom w:val="none" w:sz="0" w:space="0" w:color="auto"/>
            <w:right w:val="none" w:sz="0" w:space="0" w:color="auto"/>
          </w:divBdr>
          <w:divsChild>
            <w:div w:id="29304284">
              <w:marLeft w:val="0"/>
              <w:marRight w:val="0"/>
              <w:marTop w:val="0"/>
              <w:marBottom w:val="0"/>
              <w:divBdr>
                <w:top w:val="none" w:sz="0" w:space="0" w:color="auto"/>
                <w:left w:val="none" w:sz="0" w:space="0" w:color="auto"/>
                <w:bottom w:val="none" w:sz="0" w:space="0" w:color="auto"/>
                <w:right w:val="none" w:sz="0" w:space="0" w:color="auto"/>
              </w:divBdr>
              <w:divsChild>
                <w:div w:id="2230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18776">
      <w:bodyDiv w:val="1"/>
      <w:marLeft w:val="0"/>
      <w:marRight w:val="0"/>
      <w:marTop w:val="0"/>
      <w:marBottom w:val="0"/>
      <w:divBdr>
        <w:top w:val="none" w:sz="0" w:space="0" w:color="auto"/>
        <w:left w:val="none" w:sz="0" w:space="0" w:color="auto"/>
        <w:bottom w:val="none" w:sz="0" w:space="0" w:color="auto"/>
        <w:right w:val="none" w:sz="0" w:space="0" w:color="auto"/>
      </w:divBdr>
      <w:divsChild>
        <w:div w:id="100608015">
          <w:marLeft w:val="0"/>
          <w:marRight w:val="0"/>
          <w:marTop w:val="0"/>
          <w:marBottom w:val="0"/>
          <w:divBdr>
            <w:top w:val="none" w:sz="0" w:space="0" w:color="auto"/>
            <w:left w:val="none" w:sz="0" w:space="0" w:color="auto"/>
            <w:bottom w:val="none" w:sz="0" w:space="0" w:color="auto"/>
            <w:right w:val="none" w:sz="0" w:space="0" w:color="auto"/>
          </w:divBdr>
        </w:div>
      </w:divsChild>
    </w:div>
    <w:div w:id="2088259813">
      <w:bodyDiv w:val="1"/>
      <w:marLeft w:val="0"/>
      <w:marRight w:val="0"/>
      <w:marTop w:val="0"/>
      <w:marBottom w:val="0"/>
      <w:divBdr>
        <w:top w:val="none" w:sz="0" w:space="0" w:color="auto"/>
        <w:left w:val="none" w:sz="0" w:space="0" w:color="auto"/>
        <w:bottom w:val="none" w:sz="0" w:space="0" w:color="auto"/>
        <w:right w:val="none" w:sz="0" w:space="0" w:color="auto"/>
      </w:divBdr>
      <w:divsChild>
        <w:div w:id="1718119865">
          <w:marLeft w:val="0"/>
          <w:marRight w:val="0"/>
          <w:marTop w:val="0"/>
          <w:marBottom w:val="0"/>
          <w:divBdr>
            <w:top w:val="none" w:sz="0" w:space="0" w:color="auto"/>
            <w:left w:val="none" w:sz="0" w:space="0" w:color="auto"/>
            <w:bottom w:val="none" w:sz="0" w:space="0" w:color="auto"/>
            <w:right w:val="none" w:sz="0" w:space="0" w:color="auto"/>
          </w:divBdr>
          <w:divsChild>
            <w:div w:id="70592484">
              <w:marLeft w:val="0"/>
              <w:marRight w:val="0"/>
              <w:marTop w:val="0"/>
              <w:marBottom w:val="0"/>
              <w:divBdr>
                <w:top w:val="none" w:sz="0" w:space="0" w:color="auto"/>
                <w:left w:val="none" w:sz="0" w:space="0" w:color="auto"/>
                <w:bottom w:val="none" w:sz="0" w:space="0" w:color="auto"/>
                <w:right w:val="none" w:sz="0" w:space="0" w:color="auto"/>
              </w:divBdr>
              <w:divsChild>
                <w:div w:id="587807705">
                  <w:marLeft w:val="0"/>
                  <w:marRight w:val="0"/>
                  <w:marTop w:val="0"/>
                  <w:marBottom w:val="0"/>
                  <w:divBdr>
                    <w:top w:val="none" w:sz="0" w:space="0" w:color="auto"/>
                    <w:left w:val="none" w:sz="0" w:space="0" w:color="auto"/>
                    <w:bottom w:val="none" w:sz="0" w:space="0" w:color="auto"/>
                    <w:right w:val="none" w:sz="0" w:space="0" w:color="auto"/>
                  </w:divBdr>
                  <w:divsChild>
                    <w:div w:id="17188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reuters.com/article/us-mideast-crisis-iraq-germany/iraqi-court-sentences-to-death-german-woman" TargetMode="External"/><Relationship Id="rId13" Type="http://schemas.openxmlformats.org/officeDocument/2006/relationships/hyperlink" Target="http://www.ejustice.just.fgov.be/cgi_loi/change_lg.pl?language=fr&amp;la=F&amp;cn=2018050906&amp;table_name=loi" TargetMode="External"/><Relationship Id="rId3" Type="http://schemas.openxmlformats.org/officeDocument/2006/relationships/hyperlink" Target="https://www.un.org/sc/ctc/wp-content/uploads/2018/04/CTED-Trends-Report-March-2018.pdf" TargetMode="External"/><Relationship Id="rId7" Type="http://schemas.openxmlformats.org/officeDocument/2006/relationships/hyperlink" Target="https://www.novayagazeta.ru/news/2017/09/12/135206-rossiyanina-prigovorili-k-smertnoy-kazni-v-irake" TargetMode="External"/><Relationship Id="rId12" Type="http://schemas.openxmlformats.org/officeDocument/2006/relationships/hyperlink" Target="https://www.independent.co.uk/news/world/middle-east/isis-foreign-fighters-iraq-prosecuted-death-penalty-families-mosul-a7987831.html" TargetMode="External"/><Relationship Id="rId2" Type="http://schemas.openxmlformats.org/officeDocument/2006/relationships/hyperlink" Target="http://www.europarl.europa.eu/RegData/etudes/STUD/2018/621811/EPRS_STU(2018)621811_EN.pdf" TargetMode="External"/><Relationship Id="rId1" Type="http://schemas.openxmlformats.org/officeDocument/2006/relationships/hyperlink" Target="https://ec.europa.eu/home-affairs/sites/homeaffairs/files/ran_br_a4_m10_en.pdf" TargetMode="External"/><Relationship Id="rId6" Type="http://schemas.openxmlformats.org/officeDocument/2006/relationships/hyperlink" Target="https://www.americanbar.org/content/dam/aba/administrative/human_rights/ABA%20Center%20for%20Human%20Rights%20Analysis%20of%20Iraq%20CT%20Law.authcheckdam.pdf" TargetMode="External"/><Relationship Id="rId11" Type="http://schemas.openxmlformats.org/officeDocument/2006/relationships/hyperlink" Target="http://www.xinhuanet.com/english/2018-04/26/c_137139154.htm" TargetMode="External"/><Relationship Id="rId5" Type="http://schemas.openxmlformats.org/officeDocument/2006/relationships/hyperlink" Target="http://thesoufancenter.org/research/beyond-caliphate/" TargetMode="External"/><Relationship Id="rId10" Type="http://schemas.openxmlformats.org/officeDocument/2006/relationships/hyperlink" Target="https://www.aljazeera.com/news/2018/02/12-isil-widows-sentenced-death-life-iraqi-court-180218172230088.html" TargetMode="External"/><Relationship Id="rId4" Type="http://schemas.openxmlformats.org/officeDocument/2006/relationships/hyperlink" Target="https://bit.ly/2iXW1nV" TargetMode="External"/><Relationship Id="rId9" Type="http://schemas.openxmlformats.org/officeDocument/2006/relationships/hyperlink" Target="https://www.reuters.com/article/us-mideast-crISIL-syria-camp/syrian-army-tightens-noose-around-palestinian-camp-idUSKBN1I00KG" TargetMode="External"/><Relationship Id="rId14" Type="http://schemas.openxmlformats.org/officeDocument/2006/relationships/hyperlink" Target="http://www.ejustice.just.fgov.be/eli/loi/2013/12/21/2014A15009/justel"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registry@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264375-D9A6-436C-A67E-B4A995F0BAE2}">
  <ds:schemaRefs>
    <ds:schemaRef ds:uri="http://schemas.openxmlformats.org/officeDocument/2006/bibliography"/>
  </ds:schemaRefs>
</ds:datastoreItem>
</file>

<file path=customXml/itemProps2.xml><?xml version="1.0" encoding="utf-8"?>
<ds:datastoreItem xmlns:ds="http://schemas.openxmlformats.org/officeDocument/2006/customXml" ds:itemID="{AD6F5C38-7229-4BD5-80C6-FEE94AF8BEFF}"/>
</file>

<file path=customXml/itemProps3.xml><?xml version="1.0" encoding="utf-8"?>
<ds:datastoreItem xmlns:ds="http://schemas.openxmlformats.org/officeDocument/2006/customXml" ds:itemID="{A495F06F-567B-4D19-95FF-65881C914BB2}"/>
</file>

<file path=customXml/itemProps4.xml><?xml version="1.0" encoding="utf-8"?>
<ds:datastoreItem xmlns:ds="http://schemas.openxmlformats.org/officeDocument/2006/customXml" ds:itemID="{228BE0B6-2236-4127-A040-740A94846AE7}"/>
</file>

<file path=docProps/app.xml><?xml version="1.0" encoding="utf-8"?>
<Properties xmlns="http://schemas.openxmlformats.org/officeDocument/2006/extended-properties" xmlns:vt="http://schemas.openxmlformats.org/officeDocument/2006/docPropsVTypes">
  <Template>Normal.dotm</Template>
  <TotalTime>4</TotalTime>
  <Pages>10</Pages>
  <Words>2156</Words>
  <Characters>12294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Huszti-Orban</dc:creator>
  <cp:keywords/>
  <dc:description/>
  <cp:lastModifiedBy>ERAZO Michelle</cp:lastModifiedBy>
  <cp:revision>2</cp:revision>
  <cp:lastPrinted>2018-07-11T13:59:00Z</cp:lastPrinted>
  <dcterms:created xsi:type="dcterms:W3CDTF">2020-03-30T07:33:00Z</dcterms:created>
  <dcterms:modified xsi:type="dcterms:W3CDTF">2020-03-30T07:33:00Z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