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92513" w14:textId="77777777" w:rsidR="00AD235A" w:rsidRPr="00E026DB" w:rsidRDefault="00AD235A" w:rsidP="00AD235A">
      <w:pPr>
        <w:pStyle w:val="Heading3"/>
        <w:spacing w:line="360" w:lineRule="auto"/>
        <w:ind w:left="2880" w:firstLine="720"/>
        <w:jc w:val="right"/>
        <w:rPr>
          <w:rFonts w:asciiTheme="majorBidi" w:hAnsiTheme="majorBidi"/>
          <w:b/>
        </w:rPr>
      </w:pPr>
      <w:r w:rsidRPr="00E026DB">
        <w:rPr>
          <w:rFonts w:asciiTheme="majorBidi" w:hAnsiTheme="majorBidi"/>
          <w:b/>
        </w:rPr>
        <w:t>Check against delivery</w:t>
      </w:r>
    </w:p>
    <w:p w14:paraId="21B0150F" w14:textId="77777777" w:rsidR="00AD235A" w:rsidRPr="00E026DB" w:rsidRDefault="00AD235A" w:rsidP="00AD235A">
      <w:pPr>
        <w:spacing w:line="360" w:lineRule="auto"/>
        <w:rPr>
          <w:rFonts w:asciiTheme="majorBidi" w:hAnsiTheme="majorBidi" w:cstheme="majorBidi"/>
          <w:sz w:val="24"/>
          <w:szCs w:val="24"/>
          <w:lang w:val="en-GB"/>
        </w:rPr>
      </w:pPr>
      <w:r w:rsidRPr="00E026DB">
        <w:rPr>
          <w:rFonts w:asciiTheme="majorBidi" w:hAnsiTheme="majorBidi" w:cstheme="majorBidi"/>
          <w:noProof/>
          <w:sz w:val="24"/>
          <w:szCs w:val="24"/>
        </w:rPr>
        <mc:AlternateContent>
          <mc:Choice Requires="wps">
            <w:drawing>
              <wp:anchor distT="0" distB="0" distL="114300" distR="114300" simplePos="0" relativeHeight="251659264" behindDoc="1" locked="1" layoutInCell="0" allowOverlap="1" wp14:anchorId="1B748E40" wp14:editId="6181F541">
                <wp:simplePos x="0" y="0"/>
                <wp:positionH relativeFrom="margin">
                  <wp:posOffset>2230120</wp:posOffset>
                </wp:positionH>
                <wp:positionV relativeFrom="paragraph">
                  <wp:posOffset>116840</wp:posOffset>
                </wp:positionV>
                <wp:extent cx="1150620" cy="8712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1BD621" w14:textId="77777777" w:rsidR="00AD235A" w:rsidRDefault="00AD235A" w:rsidP="00AD235A">
                            <w:pPr>
                              <w:pBdr>
                                <w:top w:val="single" w:sz="6" w:space="0" w:color="FFFFFF"/>
                                <w:left w:val="single" w:sz="6" w:space="0" w:color="FFFFFF"/>
                                <w:bottom w:val="single" w:sz="6" w:space="0" w:color="FFFFFF"/>
                                <w:right w:val="single" w:sz="6" w:space="16" w:color="FFFFFF"/>
                              </w:pBdr>
                              <w:ind w:left="90"/>
                            </w:pPr>
                            <w:r>
                              <w:rPr>
                                <w:noProof/>
                              </w:rPr>
                              <w:drawing>
                                <wp:inline distT="0" distB="0" distL="0" distR="0" wp14:anchorId="42F74C2B" wp14:editId="2431EB35">
                                  <wp:extent cx="114808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48E40"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" o:allowincell="f" filled="f" stroked="f" strokeweight="0">
                <v:textbox inset="0,0,0,0">
                  <w:txbxContent>
                    <w:p w14:paraId="601BD621" w14:textId="77777777" w:rsidR="00AD235A" w:rsidRDefault="00AD235A" w:rsidP="00AD235A">
                      <w:pPr>
                        <w:pBdr>
                          <w:top w:val="single" w:sz="6" w:space="0" w:color="FFFFFF"/>
                          <w:left w:val="single" w:sz="6" w:space="0" w:color="FFFFFF"/>
                          <w:bottom w:val="single" w:sz="6" w:space="0" w:color="FFFFFF"/>
                          <w:right w:val="single" w:sz="6" w:space="16" w:color="FFFFFF"/>
                        </w:pBdr>
                        <w:ind w:left="90"/>
                      </w:pPr>
                      <w:r>
                        <w:rPr>
                          <w:noProof/>
                        </w:rPr>
                        <w:drawing>
                          <wp:inline distT="0" distB="0" distL="0" distR="0" wp14:anchorId="42F74C2B" wp14:editId="2431EB35">
                            <wp:extent cx="1148080" cy="871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48080" cy="871855"/>
                                    </a:xfrm>
                                    <a:prstGeom prst="rect">
                                      <a:avLst/>
                                    </a:prstGeom>
                                    <a:noFill/>
                                    <a:ln>
                                      <a:noFill/>
                                    </a:ln>
                                  </pic:spPr>
                                </pic:pic>
                              </a:graphicData>
                            </a:graphic>
                          </wp:inline>
                        </w:drawing>
                      </w:r>
                    </w:p>
                  </w:txbxContent>
                </v:textbox>
                <w10:wrap anchorx="margin"/>
                <w10:anchorlock/>
              </v:rect>
            </w:pict>
          </mc:Fallback>
        </mc:AlternateContent>
      </w:r>
    </w:p>
    <w:p w14:paraId="7B249B0A" w14:textId="77777777" w:rsidR="00AD235A" w:rsidRPr="00E026DB" w:rsidRDefault="00AD235A" w:rsidP="00AD235A">
      <w:pPr>
        <w:spacing w:line="360" w:lineRule="auto"/>
        <w:rPr>
          <w:rFonts w:asciiTheme="majorBidi" w:hAnsiTheme="majorBidi" w:cstheme="majorBidi"/>
          <w:sz w:val="24"/>
          <w:szCs w:val="24"/>
          <w:lang w:val="en-GB"/>
        </w:rPr>
      </w:pPr>
    </w:p>
    <w:p w14:paraId="465CD07C" w14:textId="77777777" w:rsidR="00AD235A" w:rsidRPr="00E026DB" w:rsidRDefault="00AD235A" w:rsidP="00AD235A">
      <w:pPr>
        <w:spacing w:line="360" w:lineRule="auto"/>
        <w:rPr>
          <w:rFonts w:asciiTheme="majorBidi" w:hAnsiTheme="majorBidi" w:cstheme="majorBidi"/>
          <w:sz w:val="24"/>
          <w:szCs w:val="24"/>
          <w:lang w:val="en-GB"/>
        </w:rPr>
      </w:pPr>
    </w:p>
    <w:p w14:paraId="71B6F6A4" w14:textId="77777777" w:rsidR="00AD235A" w:rsidRPr="00E026DB" w:rsidRDefault="00AD235A" w:rsidP="00AD235A">
      <w:pPr>
        <w:autoSpaceDE w:val="0"/>
        <w:autoSpaceDN w:val="0"/>
        <w:adjustRightInd w:val="0"/>
        <w:spacing w:line="360" w:lineRule="auto"/>
        <w:rPr>
          <w:rFonts w:asciiTheme="majorBidi" w:hAnsiTheme="majorBidi" w:cstheme="majorBidi"/>
          <w:b/>
          <w:sz w:val="24"/>
          <w:szCs w:val="24"/>
        </w:rPr>
      </w:pPr>
    </w:p>
    <w:p w14:paraId="1320EA5E" w14:textId="77777777" w:rsidR="00AD235A" w:rsidRPr="00E026DB" w:rsidRDefault="00AD235A" w:rsidP="00AD235A">
      <w:pPr>
        <w:autoSpaceDE w:val="0"/>
        <w:autoSpaceDN w:val="0"/>
        <w:adjustRightInd w:val="0"/>
        <w:spacing w:line="360" w:lineRule="auto"/>
        <w:jc w:val="center"/>
        <w:rPr>
          <w:rFonts w:asciiTheme="majorBidi" w:hAnsiTheme="majorBidi" w:cstheme="majorBidi"/>
          <w:b/>
          <w:sz w:val="24"/>
          <w:szCs w:val="24"/>
        </w:rPr>
      </w:pPr>
    </w:p>
    <w:p w14:paraId="70CBC421" w14:textId="77777777" w:rsidR="00AD235A" w:rsidRPr="00E026DB" w:rsidRDefault="00AD235A" w:rsidP="00AD235A">
      <w:pPr>
        <w:autoSpaceDE w:val="0"/>
        <w:autoSpaceDN w:val="0"/>
        <w:adjustRightInd w:val="0"/>
        <w:spacing w:line="360" w:lineRule="auto"/>
        <w:jc w:val="center"/>
        <w:rPr>
          <w:rFonts w:asciiTheme="majorBidi" w:hAnsiTheme="majorBidi" w:cstheme="majorBidi"/>
          <w:b/>
          <w:sz w:val="24"/>
          <w:szCs w:val="24"/>
        </w:rPr>
      </w:pPr>
    </w:p>
    <w:p w14:paraId="543017BB" w14:textId="77777777" w:rsidR="00AD235A" w:rsidRPr="00E026DB" w:rsidRDefault="00AD235A" w:rsidP="00AD235A">
      <w:pPr>
        <w:autoSpaceDE w:val="0"/>
        <w:autoSpaceDN w:val="0"/>
        <w:adjustRightInd w:val="0"/>
        <w:spacing w:line="360" w:lineRule="auto"/>
        <w:jc w:val="center"/>
        <w:rPr>
          <w:rFonts w:asciiTheme="majorBidi" w:hAnsiTheme="majorBidi" w:cstheme="majorBidi"/>
          <w:b/>
          <w:sz w:val="24"/>
          <w:szCs w:val="24"/>
        </w:rPr>
      </w:pPr>
    </w:p>
    <w:p w14:paraId="540B3095" w14:textId="77777777" w:rsidR="00AD235A" w:rsidRPr="00E026DB" w:rsidRDefault="00AD235A" w:rsidP="00AD235A">
      <w:pPr>
        <w:autoSpaceDE w:val="0"/>
        <w:autoSpaceDN w:val="0"/>
        <w:adjustRightInd w:val="0"/>
        <w:spacing w:line="360" w:lineRule="auto"/>
        <w:jc w:val="center"/>
        <w:rPr>
          <w:rFonts w:asciiTheme="majorBidi" w:hAnsiTheme="majorBidi" w:cstheme="majorBidi"/>
          <w:b/>
          <w:bCs/>
          <w:sz w:val="24"/>
          <w:szCs w:val="24"/>
        </w:rPr>
      </w:pPr>
      <w:r w:rsidRPr="00E026DB">
        <w:rPr>
          <w:rFonts w:asciiTheme="majorBidi" w:hAnsiTheme="majorBidi" w:cstheme="majorBidi"/>
          <w:b/>
          <w:sz w:val="24"/>
          <w:szCs w:val="24"/>
        </w:rPr>
        <w:t>Statement by Ms. Fionnuala Ní Aoláin</w:t>
      </w:r>
    </w:p>
    <w:p w14:paraId="4C53A130" w14:textId="77777777" w:rsidR="00AD235A" w:rsidRPr="00E026DB" w:rsidRDefault="00AD235A" w:rsidP="00AD235A">
      <w:pPr>
        <w:autoSpaceDE w:val="0"/>
        <w:autoSpaceDN w:val="0"/>
        <w:adjustRightInd w:val="0"/>
        <w:spacing w:line="360" w:lineRule="auto"/>
        <w:jc w:val="center"/>
        <w:rPr>
          <w:rFonts w:asciiTheme="majorBidi" w:hAnsiTheme="majorBidi" w:cstheme="majorBidi"/>
          <w:b/>
          <w:bCs/>
          <w:sz w:val="24"/>
          <w:szCs w:val="24"/>
        </w:rPr>
      </w:pPr>
      <w:r w:rsidRPr="00E026DB">
        <w:rPr>
          <w:rFonts w:asciiTheme="majorBidi" w:hAnsiTheme="majorBidi" w:cstheme="majorBidi"/>
          <w:b/>
          <w:bCs/>
          <w:sz w:val="24"/>
          <w:szCs w:val="24"/>
        </w:rPr>
        <w:t>SPECIAL RAPPORTEUR ON THE PROMOTION AND PROTECTION OF HUMAN RIGHTS AND FUNDAMENTAL FREEDOMS WHILE COUNTERING TERRORISM</w:t>
      </w:r>
    </w:p>
    <w:p w14:paraId="3F5B9F34" w14:textId="77777777" w:rsidR="00AD235A" w:rsidRPr="00E026DB" w:rsidRDefault="00AD235A" w:rsidP="00AD235A">
      <w:pPr>
        <w:pStyle w:val="Heading2"/>
        <w:spacing w:line="360" w:lineRule="auto"/>
        <w:rPr>
          <w:rFonts w:asciiTheme="majorBidi" w:hAnsiTheme="majorBidi" w:cstheme="majorBidi"/>
          <w:sz w:val="24"/>
          <w:szCs w:val="24"/>
        </w:rPr>
      </w:pPr>
    </w:p>
    <w:p w14:paraId="38F775E4" w14:textId="77777777" w:rsidR="00AD235A" w:rsidRPr="00E026DB" w:rsidRDefault="00AD235A" w:rsidP="00AD235A">
      <w:pPr>
        <w:spacing w:line="360" w:lineRule="auto"/>
        <w:jc w:val="center"/>
        <w:rPr>
          <w:rFonts w:asciiTheme="majorBidi" w:hAnsiTheme="majorBidi" w:cstheme="majorBidi"/>
          <w:sz w:val="24"/>
          <w:szCs w:val="24"/>
        </w:rPr>
      </w:pPr>
    </w:p>
    <w:p w14:paraId="08728A2B" w14:textId="0E067498" w:rsidR="00AD235A" w:rsidRPr="00E026DB" w:rsidRDefault="00AD235A" w:rsidP="00AD235A">
      <w:pPr>
        <w:spacing w:line="360" w:lineRule="auto"/>
        <w:jc w:val="center"/>
        <w:rPr>
          <w:rFonts w:asciiTheme="majorBidi" w:hAnsiTheme="majorBidi" w:cstheme="majorBidi"/>
          <w:sz w:val="24"/>
          <w:szCs w:val="24"/>
          <w:lang w:val="en-GB"/>
        </w:rPr>
      </w:pPr>
      <w:r w:rsidRPr="00E026DB">
        <w:rPr>
          <w:rFonts w:asciiTheme="majorBidi" w:hAnsiTheme="majorBidi" w:cstheme="majorBidi"/>
          <w:sz w:val="24"/>
          <w:szCs w:val="24"/>
          <w:lang w:val="en-GB"/>
        </w:rPr>
        <w:t xml:space="preserve">Initiative on Ensuring the Effective Implementation of Countering the Financing of Terrorism Measures while Safeguarding Civic Space </w:t>
      </w:r>
    </w:p>
    <w:p w14:paraId="2D2B3B09" w14:textId="77777777" w:rsidR="00AD235A" w:rsidRPr="00E026DB" w:rsidRDefault="00AD235A" w:rsidP="00AD235A">
      <w:pPr>
        <w:spacing w:line="360" w:lineRule="auto"/>
        <w:jc w:val="center"/>
        <w:rPr>
          <w:rFonts w:asciiTheme="majorBidi" w:hAnsiTheme="majorBidi" w:cstheme="majorBidi"/>
          <w:sz w:val="24"/>
          <w:szCs w:val="24"/>
          <w:lang w:val="en-GB"/>
        </w:rPr>
      </w:pPr>
    </w:p>
    <w:p w14:paraId="6E849093" w14:textId="77777777" w:rsidR="00AD235A" w:rsidRPr="00E026DB" w:rsidRDefault="00AD235A" w:rsidP="00AD235A">
      <w:pPr>
        <w:spacing w:line="360" w:lineRule="auto"/>
        <w:jc w:val="center"/>
        <w:rPr>
          <w:rFonts w:asciiTheme="majorBidi" w:hAnsiTheme="majorBidi" w:cstheme="majorBidi"/>
          <w:sz w:val="24"/>
          <w:szCs w:val="24"/>
          <w:lang w:val="en-GB"/>
        </w:rPr>
      </w:pPr>
    </w:p>
    <w:p w14:paraId="6EAB3C1A" w14:textId="7B196EE4" w:rsidR="00AD235A" w:rsidRPr="00E026DB" w:rsidRDefault="00AD235A" w:rsidP="00AD235A">
      <w:pPr>
        <w:spacing w:line="360" w:lineRule="auto"/>
        <w:jc w:val="center"/>
        <w:rPr>
          <w:rFonts w:asciiTheme="majorBidi" w:hAnsiTheme="majorBidi" w:cstheme="majorBidi"/>
          <w:sz w:val="24"/>
          <w:szCs w:val="24"/>
          <w:lang w:val="en-GB"/>
        </w:rPr>
      </w:pPr>
      <w:r w:rsidRPr="00E026DB">
        <w:rPr>
          <w:rFonts w:asciiTheme="majorBidi" w:hAnsiTheme="majorBidi" w:cstheme="majorBidi"/>
          <w:sz w:val="24"/>
          <w:szCs w:val="24"/>
          <w:lang w:val="en-GB"/>
        </w:rPr>
        <w:t>13 October 2020</w:t>
      </w:r>
    </w:p>
    <w:p w14:paraId="06BCF6C7" w14:textId="77777777" w:rsidR="00AD235A" w:rsidRPr="00E026DB" w:rsidRDefault="00AD235A" w:rsidP="00AD235A">
      <w:pPr>
        <w:spacing w:line="360" w:lineRule="auto"/>
        <w:jc w:val="center"/>
        <w:rPr>
          <w:rFonts w:asciiTheme="majorBidi" w:hAnsiTheme="majorBidi" w:cstheme="majorBidi"/>
          <w:sz w:val="24"/>
          <w:szCs w:val="24"/>
          <w:lang w:val="en-GB"/>
        </w:rPr>
      </w:pPr>
    </w:p>
    <w:p w14:paraId="1A53EF16" w14:textId="77777777" w:rsidR="00AD235A" w:rsidRPr="00E026DB" w:rsidRDefault="00AD235A" w:rsidP="00AD235A">
      <w:pPr>
        <w:spacing w:line="360" w:lineRule="auto"/>
        <w:jc w:val="center"/>
        <w:rPr>
          <w:rFonts w:asciiTheme="majorBidi" w:hAnsiTheme="majorBidi" w:cstheme="majorBidi"/>
          <w:sz w:val="24"/>
          <w:szCs w:val="24"/>
          <w:lang w:val="en-GB"/>
        </w:rPr>
      </w:pPr>
    </w:p>
    <w:p w14:paraId="2107DAB6" w14:textId="77777777" w:rsidR="00AD235A" w:rsidRPr="00E026DB" w:rsidRDefault="00AD235A" w:rsidP="00AD235A">
      <w:pPr>
        <w:spacing w:line="360" w:lineRule="auto"/>
        <w:jc w:val="center"/>
        <w:rPr>
          <w:rFonts w:asciiTheme="majorBidi" w:hAnsiTheme="majorBidi" w:cstheme="majorBidi"/>
          <w:sz w:val="24"/>
          <w:szCs w:val="24"/>
          <w:lang w:val="en-GB"/>
        </w:rPr>
      </w:pPr>
    </w:p>
    <w:p w14:paraId="455E490A" w14:textId="77777777" w:rsidR="00AD235A" w:rsidRPr="00E026DB" w:rsidRDefault="00AD235A" w:rsidP="00AD235A">
      <w:pPr>
        <w:spacing w:line="360" w:lineRule="auto"/>
        <w:jc w:val="center"/>
        <w:rPr>
          <w:rFonts w:asciiTheme="majorBidi" w:hAnsiTheme="majorBidi" w:cstheme="majorBidi"/>
          <w:sz w:val="24"/>
          <w:szCs w:val="24"/>
          <w:lang w:val="en-GB"/>
        </w:rPr>
      </w:pPr>
    </w:p>
    <w:p w14:paraId="4D24E511" w14:textId="77777777" w:rsidR="00AD235A" w:rsidRPr="00E026DB" w:rsidRDefault="00AD235A" w:rsidP="00AD235A">
      <w:pPr>
        <w:spacing w:line="360" w:lineRule="auto"/>
        <w:jc w:val="center"/>
        <w:rPr>
          <w:rFonts w:asciiTheme="majorBidi" w:hAnsiTheme="majorBidi" w:cstheme="majorBidi"/>
          <w:sz w:val="24"/>
          <w:szCs w:val="24"/>
          <w:lang w:val="en-GB"/>
        </w:rPr>
      </w:pPr>
    </w:p>
    <w:p w14:paraId="5C5E937B" w14:textId="1F46777F" w:rsidR="009120AA" w:rsidRPr="00E026DB" w:rsidRDefault="00A16B08">
      <w:pPr>
        <w:rPr>
          <w:rFonts w:asciiTheme="majorBidi" w:hAnsiTheme="majorBidi" w:cstheme="majorBidi"/>
          <w:sz w:val="24"/>
          <w:szCs w:val="24"/>
        </w:rPr>
      </w:pPr>
    </w:p>
    <w:p w14:paraId="6D6307D8" w14:textId="0B30D8F7" w:rsidR="00E50D8D" w:rsidRPr="00E026DB" w:rsidRDefault="00E50D8D">
      <w:pPr>
        <w:rPr>
          <w:rFonts w:asciiTheme="majorBidi" w:hAnsiTheme="majorBidi" w:cstheme="majorBidi"/>
          <w:sz w:val="24"/>
          <w:szCs w:val="24"/>
        </w:rPr>
      </w:pPr>
    </w:p>
    <w:p w14:paraId="6C0039FE" w14:textId="5FBDC34D" w:rsidR="00E50D8D" w:rsidRPr="00E026DB" w:rsidRDefault="00E50D8D">
      <w:pPr>
        <w:rPr>
          <w:rFonts w:asciiTheme="majorBidi" w:hAnsiTheme="majorBidi" w:cstheme="majorBidi"/>
          <w:sz w:val="24"/>
          <w:szCs w:val="24"/>
        </w:rPr>
      </w:pPr>
    </w:p>
    <w:p w14:paraId="0DFA4EE5" w14:textId="56B16C93" w:rsidR="00E50D8D" w:rsidRPr="00E026DB" w:rsidRDefault="00E50D8D">
      <w:pPr>
        <w:rPr>
          <w:rFonts w:asciiTheme="majorBidi" w:hAnsiTheme="majorBidi" w:cstheme="majorBidi"/>
          <w:sz w:val="24"/>
          <w:szCs w:val="24"/>
        </w:rPr>
      </w:pPr>
    </w:p>
    <w:p w14:paraId="6F9F24E2" w14:textId="4756D801" w:rsidR="00E50D8D" w:rsidRPr="00E026DB" w:rsidRDefault="00E50D8D">
      <w:pPr>
        <w:rPr>
          <w:rFonts w:asciiTheme="majorBidi" w:hAnsiTheme="majorBidi" w:cstheme="majorBidi"/>
          <w:sz w:val="24"/>
          <w:szCs w:val="24"/>
        </w:rPr>
      </w:pPr>
    </w:p>
    <w:p w14:paraId="69A97966" w14:textId="25A3327F" w:rsidR="00E50D8D" w:rsidRPr="00E026DB" w:rsidRDefault="00E50D8D">
      <w:pPr>
        <w:rPr>
          <w:rFonts w:asciiTheme="majorBidi" w:hAnsiTheme="majorBidi" w:cstheme="majorBidi"/>
          <w:sz w:val="24"/>
          <w:szCs w:val="24"/>
        </w:rPr>
      </w:pPr>
    </w:p>
    <w:p w14:paraId="00D4EFF5" w14:textId="040637DD" w:rsidR="00E50D8D" w:rsidRPr="00E026DB" w:rsidRDefault="00E50D8D">
      <w:pPr>
        <w:rPr>
          <w:rFonts w:asciiTheme="majorBidi" w:hAnsiTheme="majorBidi" w:cstheme="majorBidi"/>
          <w:sz w:val="24"/>
          <w:szCs w:val="24"/>
        </w:rPr>
      </w:pPr>
    </w:p>
    <w:p w14:paraId="7D99D30D" w14:textId="1142A726" w:rsidR="00E50D8D" w:rsidRPr="00E026DB" w:rsidRDefault="00E50D8D">
      <w:pPr>
        <w:rPr>
          <w:rFonts w:asciiTheme="majorBidi" w:hAnsiTheme="majorBidi" w:cstheme="majorBidi"/>
          <w:sz w:val="24"/>
          <w:szCs w:val="24"/>
        </w:rPr>
      </w:pPr>
    </w:p>
    <w:p w14:paraId="451315FA" w14:textId="083EE201" w:rsidR="00E50D8D" w:rsidRPr="00E026DB" w:rsidRDefault="00E50D8D">
      <w:pPr>
        <w:rPr>
          <w:rFonts w:asciiTheme="majorBidi" w:hAnsiTheme="majorBidi" w:cstheme="majorBidi"/>
          <w:sz w:val="24"/>
          <w:szCs w:val="24"/>
        </w:rPr>
      </w:pPr>
    </w:p>
    <w:p w14:paraId="6F70ED18" w14:textId="5A449C6A" w:rsidR="00E50D8D" w:rsidRPr="00E026DB" w:rsidRDefault="00E50D8D">
      <w:pPr>
        <w:rPr>
          <w:rFonts w:asciiTheme="majorBidi" w:hAnsiTheme="majorBidi" w:cstheme="majorBidi"/>
          <w:sz w:val="24"/>
          <w:szCs w:val="24"/>
        </w:rPr>
      </w:pPr>
    </w:p>
    <w:p w14:paraId="15318187" w14:textId="2742C48D" w:rsidR="00E50D8D" w:rsidRPr="00E026DB" w:rsidRDefault="00E50D8D">
      <w:pPr>
        <w:rPr>
          <w:rFonts w:asciiTheme="majorBidi" w:hAnsiTheme="majorBidi" w:cstheme="majorBidi"/>
          <w:sz w:val="24"/>
          <w:szCs w:val="24"/>
        </w:rPr>
      </w:pPr>
    </w:p>
    <w:p w14:paraId="477B2B04" w14:textId="5B2E1177" w:rsidR="00E50D8D" w:rsidRPr="00E026DB" w:rsidRDefault="00E50D8D">
      <w:pPr>
        <w:rPr>
          <w:rFonts w:asciiTheme="majorBidi" w:hAnsiTheme="majorBidi" w:cstheme="majorBidi"/>
          <w:sz w:val="24"/>
          <w:szCs w:val="24"/>
        </w:rPr>
      </w:pPr>
    </w:p>
    <w:p w14:paraId="1160FA58" w14:textId="5070BBF6" w:rsidR="00E50D8D" w:rsidRPr="00E026DB" w:rsidRDefault="00E50D8D">
      <w:pPr>
        <w:rPr>
          <w:rFonts w:asciiTheme="majorBidi" w:hAnsiTheme="majorBidi" w:cstheme="majorBidi"/>
          <w:sz w:val="24"/>
          <w:szCs w:val="24"/>
        </w:rPr>
      </w:pPr>
    </w:p>
    <w:p w14:paraId="0FE7BCD6" w14:textId="484429DF" w:rsidR="00E50D8D" w:rsidRPr="00E026DB" w:rsidRDefault="00E50D8D">
      <w:pPr>
        <w:rPr>
          <w:rFonts w:asciiTheme="majorBidi" w:hAnsiTheme="majorBidi" w:cstheme="majorBidi"/>
          <w:sz w:val="24"/>
          <w:szCs w:val="24"/>
        </w:rPr>
      </w:pPr>
    </w:p>
    <w:p w14:paraId="7A071877" w14:textId="7D427FDE" w:rsidR="00E50D8D" w:rsidRPr="00E026DB" w:rsidRDefault="00E50D8D">
      <w:pPr>
        <w:rPr>
          <w:rFonts w:asciiTheme="majorBidi" w:hAnsiTheme="majorBidi" w:cstheme="majorBidi"/>
          <w:sz w:val="24"/>
          <w:szCs w:val="24"/>
        </w:rPr>
      </w:pPr>
    </w:p>
    <w:p w14:paraId="7B30648D" w14:textId="3A7EA402" w:rsidR="00E50D8D" w:rsidRPr="00E026DB" w:rsidRDefault="00E50D8D">
      <w:pPr>
        <w:rPr>
          <w:rFonts w:asciiTheme="majorBidi" w:hAnsiTheme="majorBidi" w:cstheme="majorBidi"/>
          <w:i/>
          <w:iCs/>
          <w:sz w:val="24"/>
          <w:szCs w:val="24"/>
        </w:rPr>
      </w:pPr>
      <w:r w:rsidRPr="00E026DB">
        <w:rPr>
          <w:rFonts w:asciiTheme="majorBidi" w:hAnsiTheme="majorBidi" w:cstheme="majorBidi"/>
          <w:i/>
          <w:iCs/>
          <w:sz w:val="24"/>
          <w:szCs w:val="24"/>
        </w:rPr>
        <w:t>Excellencies, Ladies and Gentlemen</w:t>
      </w:r>
    </w:p>
    <w:p w14:paraId="2766AA28" w14:textId="289A9AAC" w:rsidR="00E50D8D" w:rsidRPr="00E026DB" w:rsidRDefault="00E50D8D">
      <w:pPr>
        <w:rPr>
          <w:rFonts w:asciiTheme="majorBidi" w:hAnsiTheme="majorBidi" w:cstheme="majorBidi"/>
          <w:i/>
          <w:iCs/>
          <w:sz w:val="24"/>
          <w:szCs w:val="24"/>
        </w:rPr>
      </w:pPr>
    </w:p>
    <w:p w14:paraId="4156CFDA" w14:textId="05CBC272" w:rsidR="00467A88" w:rsidRPr="00E026DB" w:rsidRDefault="00E50D8D" w:rsidP="00467A88">
      <w:pPr>
        <w:spacing w:line="360" w:lineRule="auto"/>
        <w:ind w:firstLine="720"/>
        <w:rPr>
          <w:rFonts w:asciiTheme="majorBidi" w:hAnsiTheme="majorBidi" w:cstheme="majorBidi"/>
          <w:sz w:val="24"/>
          <w:szCs w:val="24"/>
        </w:rPr>
      </w:pPr>
      <w:r w:rsidRPr="00E026DB">
        <w:rPr>
          <w:rFonts w:asciiTheme="majorBidi" w:hAnsiTheme="majorBidi" w:cstheme="majorBidi"/>
          <w:sz w:val="24"/>
          <w:szCs w:val="24"/>
        </w:rPr>
        <w:t>As Special Rapporteur on the Protection and Promotion of Human Rights and Fundamental Freedoms while Countering Terrorism I am very pleased to join this initiative and reflect on the crucially important intersection between effective countering terrorism financing and safeguarding civic space.  There is a consensus that disrupting and preventing terrorist organization</w:t>
      </w:r>
      <w:r w:rsidR="007B507C">
        <w:rPr>
          <w:rFonts w:asciiTheme="majorBidi" w:hAnsiTheme="majorBidi" w:cstheme="majorBidi"/>
          <w:sz w:val="24"/>
          <w:szCs w:val="24"/>
        </w:rPr>
        <w:t>s</w:t>
      </w:r>
      <w:r w:rsidRPr="00E026DB">
        <w:rPr>
          <w:rFonts w:asciiTheme="majorBidi" w:hAnsiTheme="majorBidi" w:cstheme="majorBidi"/>
          <w:sz w:val="24"/>
          <w:szCs w:val="24"/>
        </w:rPr>
        <w:t xml:space="preserve"> from raising, storage, moving and using funds is essential to counter-terrorism efforts, a motif that has been plain in global counter-terrorism efforts since UNSCR 1373. </w:t>
      </w:r>
    </w:p>
    <w:p w14:paraId="5F5CA0E2" w14:textId="426A5F03" w:rsidR="00C76E1B" w:rsidRPr="00E026DB" w:rsidRDefault="00E50D8D" w:rsidP="00467A88">
      <w:pPr>
        <w:spacing w:line="360" w:lineRule="auto"/>
        <w:ind w:firstLine="720"/>
        <w:rPr>
          <w:rFonts w:asciiTheme="majorBidi" w:hAnsiTheme="majorBidi" w:cstheme="majorBidi"/>
          <w:sz w:val="24"/>
          <w:szCs w:val="24"/>
        </w:rPr>
      </w:pPr>
      <w:r w:rsidRPr="00E026DB">
        <w:rPr>
          <w:rFonts w:asciiTheme="majorBidi" w:hAnsiTheme="majorBidi" w:cstheme="majorBidi"/>
          <w:sz w:val="24"/>
          <w:szCs w:val="24"/>
        </w:rPr>
        <w:t>It would be fair to say however, that it has taken long</w:t>
      </w:r>
      <w:r w:rsidR="007B507C">
        <w:rPr>
          <w:rFonts w:asciiTheme="majorBidi" w:hAnsiTheme="majorBidi" w:cstheme="majorBidi"/>
          <w:sz w:val="24"/>
          <w:szCs w:val="24"/>
        </w:rPr>
        <w:t>er</w:t>
      </w:r>
      <w:r w:rsidRPr="00E026DB">
        <w:rPr>
          <w:rFonts w:asciiTheme="majorBidi" w:hAnsiTheme="majorBidi" w:cstheme="majorBidi"/>
          <w:sz w:val="24"/>
          <w:szCs w:val="24"/>
        </w:rPr>
        <w:t xml:space="preserve"> for us to agree that civil society is a vital and essential partner in counter-terrorism but more so, that a healthy</w:t>
      </w:r>
      <w:r w:rsidR="006F0035" w:rsidRPr="00E026DB">
        <w:rPr>
          <w:rFonts w:asciiTheme="majorBidi" w:hAnsiTheme="majorBidi" w:cstheme="majorBidi"/>
          <w:sz w:val="24"/>
          <w:szCs w:val="24"/>
        </w:rPr>
        <w:t>,</w:t>
      </w:r>
      <w:r w:rsidRPr="00E026DB">
        <w:rPr>
          <w:rFonts w:asciiTheme="majorBidi" w:hAnsiTheme="majorBidi" w:cstheme="majorBidi"/>
          <w:sz w:val="24"/>
          <w:szCs w:val="24"/>
        </w:rPr>
        <w:t xml:space="preserve"> functional and resilient </w:t>
      </w:r>
      <w:r w:rsidR="007B507C">
        <w:rPr>
          <w:rFonts w:asciiTheme="majorBidi" w:hAnsiTheme="majorBidi" w:cstheme="majorBidi"/>
          <w:sz w:val="24"/>
          <w:szCs w:val="24"/>
        </w:rPr>
        <w:t xml:space="preserve">civil </w:t>
      </w:r>
      <w:r w:rsidRPr="00E026DB">
        <w:rPr>
          <w:rFonts w:asciiTheme="majorBidi" w:hAnsiTheme="majorBidi" w:cstheme="majorBidi"/>
          <w:sz w:val="24"/>
          <w:szCs w:val="24"/>
        </w:rPr>
        <w:t>society, is less likely to engage in protracted violence and produce the conditions conducive to terrorism</w:t>
      </w:r>
      <w:r w:rsidR="006F0035" w:rsidRPr="00E026DB">
        <w:rPr>
          <w:rFonts w:asciiTheme="majorBidi" w:hAnsiTheme="majorBidi" w:cstheme="majorBidi"/>
          <w:sz w:val="24"/>
          <w:szCs w:val="24"/>
        </w:rPr>
        <w:t xml:space="preserve"> than</w:t>
      </w:r>
      <w:r w:rsidRPr="00E026DB">
        <w:rPr>
          <w:rFonts w:asciiTheme="majorBidi" w:hAnsiTheme="majorBidi" w:cstheme="majorBidi"/>
          <w:sz w:val="24"/>
          <w:szCs w:val="24"/>
        </w:rPr>
        <w:t xml:space="preserve"> a society </w:t>
      </w:r>
      <w:r w:rsidR="00AA3BB6" w:rsidRPr="00E026DB">
        <w:rPr>
          <w:rFonts w:asciiTheme="majorBidi" w:hAnsiTheme="majorBidi" w:cstheme="majorBidi"/>
          <w:sz w:val="24"/>
          <w:szCs w:val="24"/>
        </w:rPr>
        <w:t>than one in which civil society is stifled and marginali</w:t>
      </w:r>
      <w:r w:rsidR="006F0035" w:rsidRPr="00E026DB">
        <w:rPr>
          <w:rFonts w:asciiTheme="majorBidi" w:hAnsiTheme="majorBidi" w:cstheme="majorBidi"/>
          <w:sz w:val="24"/>
          <w:szCs w:val="24"/>
        </w:rPr>
        <w:t>z</w:t>
      </w:r>
      <w:r w:rsidR="00AA3BB6" w:rsidRPr="00E026DB">
        <w:rPr>
          <w:rFonts w:asciiTheme="majorBidi" w:hAnsiTheme="majorBidi" w:cstheme="majorBidi"/>
          <w:sz w:val="24"/>
          <w:szCs w:val="24"/>
        </w:rPr>
        <w:t>ed</w:t>
      </w:r>
      <w:r w:rsidRPr="00E026DB">
        <w:rPr>
          <w:rFonts w:asciiTheme="majorBidi" w:hAnsiTheme="majorBidi" w:cstheme="majorBidi"/>
          <w:sz w:val="24"/>
          <w:szCs w:val="24"/>
        </w:rPr>
        <w:t>.</w:t>
      </w:r>
      <w:r w:rsidR="00E26076">
        <w:rPr>
          <w:rStyle w:val="FootnoteReference"/>
          <w:rFonts w:asciiTheme="majorBidi" w:hAnsiTheme="majorBidi" w:cstheme="majorBidi"/>
          <w:sz w:val="24"/>
          <w:szCs w:val="24"/>
        </w:rPr>
        <w:footnoteReference w:id="1"/>
      </w:r>
      <w:r w:rsidRPr="00E026DB">
        <w:rPr>
          <w:rFonts w:asciiTheme="majorBidi" w:hAnsiTheme="majorBidi" w:cstheme="majorBidi"/>
          <w:sz w:val="24"/>
          <w:szCs w:val="24"/>
        </w:rPr>
        <w:t xml:space="preserve">  </w:t>
      </w:r>
      <w:r w:rsidR="00C76E1B" w:rsidRPr="00E026DB">
        <w:rPr>
          <w:rFonts w:asciiTheme="majorBidi" w:hAnsiTheme="majorBidi" w:cstheme="majorBidi"/>
          <w:sz w:val="24"/>
          <w:szCs w:val="24"/>
        </w:rPr>
        <w:t xml:space="preserve">The value of civil society is well-articulated in human rights discourses </w:t>
      </w:r>
      <w:r w:rsidR="00AA3BB6" w:rsidRPr="00E026DB">
        <w:rPr>
          <w:rFonts w:asciiTheme="majorBidi" w:hAnsiTheme="majorBidi" w:cstheme="majorBidi"/>
          <w:sz w:val="24"/>
          <w:szCs w:val="24"/>
        </w:rPr>
        <w:t xml:space="preserve">including </w:t>
      </w:r>
      <w:r w:rsidR="00C76E1B" w:rsidRPr="00E026DB">
        <w:rPr>
          <w:rFonts w:asciiTheme="majorBidi" w:hAnsiTheme="majorBidi" w:cstheme="majorBidi"/>
          <w:sz w:val="24"/>
          <w:szCs w:val="24"/>
        </w:rPr>
        <w:t>in UN Human Rights Council resolution A/HRC/ 24</w:t>
      </w:r>
      <w:r w:rsidR="00AA3BB6" w:rsidRPr="00E026DB">
        <w:rPr>
          <w:rFonts w:asciiTheme="majorBidi" w:hAnsiTheme="majorBidi" w:cstheme="majorBidi"/>
          <w:sz w:val="24"/>
          <w:szCs w:val="24"/>
        </w:rPr>
        <w:t>.</w:t>
      </w:r>
      <w:r w:rsidR="00C76E1B" w:rsidRPr="00E026DB">
        <w:rPr>
          <w:rStyle w:val="FootnoteReference"/>
          <w:rFonts w:asciiTheme="majorBidi" w:hAnsiTheme="majorBidi" w:cstheme="majorBidi"/>
          <w:sz w:val="24"/>
          <w:szCs w:val="24"/>
        </w:rPr>
        <w:footnoteReference w:id="2"/>
      </w:r>
      <w:r w:rsidR="00C76E1B" w:rsidRPr="00E026DB">
        <w:rPr>
          <w:rFonts w:asciiTheme="majorBidi" w:hAnsiTheme="majorBidi" w:cstheme="majorBidi"/>
          <w:sz w:val="24"/>
          <w:szCs w:val="24"/>
        </w:rPr>
        <w:t xml:space="preserve"> </w:t>
      </w:r>
      <w:r w:rsidR="00AA3BB6" w:rsidRPr="00E026DB">
        <w:rPr>
          <w:rFonts w:asciiTheme="majorBidi" w:hAnsiTheme="majorBidi" w:cstheme="majorBidi"/>
          <w:sz w:val="24"/>
          <w:szCs w:val="24"/>
        </w:rPr>
        <w:t>The value proposition of civil society’s engagement is</w:t>
      </w:r>
      <w:r w:rsidR="00C76E1B" w:rsidRPr="00E026DB">
        <w:rPr>
          <w:rFonts w:asciiTheme="majorBidi" w:hAnsiTheme="majorBidi" w:cstheme="majorBidi"/>
          <w:sz w:val="24"/>
          <w:szCs w:val="24"/>
        </w:rPr>
        <w:t xml:space="preserve"> captured by the words of the current High-Commissioner for Human Rights Michelle Bachelet when she noted that:</w:t>
      </w:r>
    </w:p>
    <w:p w14:paraId="6F980930" w14:textId="05206F86" w:rsidR="00C76E1B" w:rsidRPr="00E026DB" w:rsidRDefault="00C76E1B" w:rsidP="007B507C">
      <w:pPr>
        <w:spacing w:line="360" w:lineRule="auto"/>
        <w:ind w:left="720"/>
        <w:rPr>
          <w:rStyle w:val="Emphasis"/>
          <w:rFonts w:asciiTheme="majorBidi" w:hAnsiTheme="majorBidi" w:cstheme="majorBidi"/>
          <w:color w:val="000000"/>
          <w:sz w:val="24"/>
          <w:szCs w:val="24"/>
        </w:rPr>
      </w:pPr>
      <w:r w:rsidRPr="00E026DB">
        <w:rPr>
          <w:rStyle w:val="Emphasis"/>
          <w:rFonts w:asciiTheme="majorBidi" w:hAnsiTheme="majorBidi" w:cstheme="majorBidi"/>
          <w:color w:val="000000"/>
          <w:sz w:val="24"/>
          <w:szCs w:val="24"/>
        </w:rPr>
        <w:t>“Civil society participation is the lifeblood of any healthy democracy and society. When civil society channels flow freely, it means vibrant debate, freedom of thought and opinion, and public engagement in policy.</w:t>
      </w:r>
      <w:r w:rsidRPr="00E026DB">
        <w:rPr>
          <w:rStyle w:val="FootnoteReference"/>
          <w:rFonts w:asciiTheme="majorBidi" w:hAnsiTheme="majorBidi" w:cstheme="majorBidi"/>
          <w:i/>
          <w:iCs/>
          <w:color w:val="000000"/>
          <w:sz w:val="24"/>
          <w:szCs w:val="24"/>
        </w:rPr>
        <w:footnoteReference w:id="3"/>
      </w:r>
      <w:r w:rsidRPr="00E026DB">
        <w:rPr>
          <w:rStyle w:val="Emphasis"/>
          <w:rFonts w:asciiTheme="majorBidi" w:hAnsiTheme="majorBidi" w:cstheme="majorBidi"/>
          <w:color w:val="000000"/>
          <w:sz w:val="24"/>
          <w:szCs w:val="24"/>
        </w:rPr>
        <w:t>”</w:t>
      </w:r>
    </w:p>
    <w:p w14:paraId="48632BA4" w14:textId="1F8E02C1" w:rsidR="00AA3BB6" w:rsidRPr="00E026DB" w:rsidRDefault="00AA3BB6" w:rsidP="00C76E1B">
      <w:pPr>
        <w:spacing w:line="360" w:lineRule="auto"/>
        <w:rPr>
          <w:rStyle w:val="Emphasis"/>
          <w:rFonts w:asciiTheme="majorBidi" w:hAnsiTheme="majorBidi" w:cstheme="majorBidi"/>
          <w:color w:val="000000"/>
          <w:sz w:val="24"/>
          <w:szCs w:val="24"/>
        </w:rPr>
      </w:pPr>
    </w:p>
    <w:p w14:paraId="38A9560F" w14:textId="399D1F47" w:rsidR="002E35EE" w:rsidRPr="00E026DB" w:rsidRDefault="00AA3BB6" w:rsidP="00231C73">
      <w:pPr>
        <w:spacing w:line="360" w:lineRule="auto"/>
        <w:rPr>
          <w:rFonts w:asciiTheme="majorBidi" w:hAnsiTheme="majorBidi" w:cstheme="majorBidi"/>
          <w:sz w:val="24"/>
          <w:szCs w:val="24"/>
        </w:rPr>
      </w:pPr>
      <w:r w:rsidRPr="00E026DB">
        <w:rPr>
          <w:rStyle w:val="Emphasis"/>
          <w:rFonts w:asciiTheme="majorBidi" w:hAnsiTheme="majorBidi" w:cstheme="majorBidi"/>
          <w:color w:val="000000"/>
          <w:sz w:val="24"/>
          <w:szCs w:val="24"/>
        </w:rPr>
        <w:tab/>
      </w:r>
      <w:r w:rsidRPr="00E026DB">
        <w:rPr>
          <w:rStyle w:val="Emphasis"/>
          <w:rFonts w:asciiTheme="majorBidi" w:hAnsiTheme="majorBidi" w:cstheme="majorBidi"/>
          <w:i w:val="0"/>
          <w:iCs w:val="0"/>
          <w:color w:val="000000"/>
          <w:sz w:val="24"/>
          <w:szCs w:val="24"/>
        </w:rPr>
        <w:t>But civil society is under stress in many parts of the globe.</w:t>
      </w:r>
      <w:r w:rsidRPr="00E026DB">
        <w:rPr>
          <w:rFonts w:asciiTheme="majorBidi" w:hAnsiTheme="majorBidi" w:cstheme="majorBidi"/>
          <w:sz w:val="24"/>
          <w:szCs w:val="24"/>
        </w:rPr>
        <w:t xml:space="preserve">   It is estimated that civic space is restricted or impaired in its operations in 111 countries.</w:t>
      </w:r>
      <w:r w:rsidRPr="00E026DB">
        <w:rPr>
          <w:rStyle w:val="FootnoteReference"/>
          <w:rFonts w:asciiTheme="majorBidi" w:hAnsiTheme="majorBidi" w:cstheme="majorBidi"/>
          <w:sz w:val="24"/>
          <w:szCs w:val="24"/>
        </w:rPr>
        <w:footnoteReference w:id="4"/>
      </w:r>
      <w:r w:rsidRPr="00E026DB">
        <w:rPr>
          <w:rFonts w:asciiTheme="majorBidi" w:hAnsiTheme="majorBidi" w:cstheme="majorBidi"/>
          <w:sz w:val="24"/>
          <w:szCs w:val="24"/>
        </w:rPr>
        <w:t xml:space="preserve"> In 2019, 300 human rights defenders were killed, including a rising number of women human rights defenders who lost their lives.</w:t>
      </w:r>
      <w:r w:rsidRPr="00E026DB">
        <w:rPr>
          <w:rStyle w:val="FootnoteReference"/>
          <w:rFonts w:asciiTheme="majorBidi" w:hAnsiTheme="majorBidi" w:cstheme="majorBidi"/>
          <w:sz w:val="24"/>
          <w:szCs w:val="24"/>
        </w:rPr>
        <w:footnoteReference w:id="5"/>
      </w:r>
      <w:r w:rsidRPr="00E026DB">
        <w:rPr>
          <w:rFonts w:asciiTheme="majorBidi" w:hAnsiTheme="majorBidi" w:cstheme="majorBidi"/>
          <w:sz w:val="24"/>
          <w:szCs w:val="24"/>
        </w:rPr>
        <w:t xml:space="preserve"> As my 2019 Report to the Human Rights Council meticulously documented,</w:t>
      </w:r>
      <w:r w:rsidR="001A1806">
        <w:rPr>
          <w:rStyle w:val="FootnoteReference"/>
          <w:rFonts w:asciiTheme="majorBidi" w:hAnsiTheme="majorBidi" w:cstheme="majorBidi"/>
          <w:sz w:val="24"/>
          <w:szCs w:val="24"/>
        </w:rPr>
        <w:footnoteReference w:id="6"/>
      </w:r>
      <w:r w:rsidRPr="00E026DB">
        <w:rPr>
          <w:rFonts w:asciiTheme="majorBidi" w:hAnsiTheme="majorBidi" w:cstheme="majorBidi"/>
          <w:sz w:val="24"/>
          <w:szCs w:val="24"/>
        </w:rPr>
        <w:t xml:space="preserve"> counter-terrorism and securitization plays a</w:t>
      </w:r>
      <w:r w:rsidR="006F0035" w:rsidRPr="00E026DB">
        <w:rPr>
          <w:rFonts w:asciiTheme="majorBidi" w:hAnsiTheme="majorBidi" w:cstheme="majorBidi"/>
          <w:sz w:val="24"/>
          <w:szCs w:val="24"/>
        </w:rPr>
        <w:t xml:space="preserve">n outsize role in choking civil society in multiple </w:t>
      </w:r>
      <w:r w:rsidR="006F0035" w:rsidRPr="00E026DB">
        <w:rPr>
          <w:rFonts w:asciiTheme="majorBidi" w:hAnsiTheme="majorBidi" w:cstheme="majorBidi"/>
          <w:sz w:val="24"/>
          <w:szCs w:val="24"/>
        </w:rPr>
        <w:lastRenderedPageBreak/>
        <w:t xml:space="preserve">countries; the extremely wide and opaque definitions of terrorism and extremism in many </w:t>
      </w:r>
      <w:r w:rsidR="002E35EE" w:rsidRPr="00E026DB">
        <w:rPr>
          <w:rFonts w:asciiTheme="majorBidi" w:hAnsiTheme="majorBidi" w:cstheme="majorBidi"/>
          <w:sz w:val="24"/>
          <w:szCs w:val="24"/>
        </w:rPr>
        <w:t>States</w:t>
      </w:r>
      <w:r w:rsidR="006F0035" w:rsidRPr="00E026DB">
        <w:rPr>
          <w:rFonts w:asciiTheme="majorBidi" w:hAnsiTheme="majorBidi" w:cstheme="majorBidi"/>
          <w:sz w:val="24"/>
          <w:szCs w:val="24"/>
        </w:rPr>
        <w:t xml:space="preserve"> function to criminalize that which is protected by international law; and terrorism finance regulation </w:t>
      </w:r>
      <w:r w:rsidR="002E35EE" w:rsidRPr="00E026DB">
        <w:rPr>
          <w:rFonts w:asciiTheme="majorBidi" w:hAnsiTheme="majorBidi" w:cstheme="majorBidi"/>
          <w:sz w:val="24"/>
          <w:szCs w:val="24"/>
        </w:rPr>
        <w:t>plays</w:t>
      </w:r>
      <w:r w:rsidR="006F0035" w:rsidRPr="00E026DB">
        <w:rPr>
          <w:rFonts w:asciiTheme="majorBidi" w:hAnsiTheme="majorBidi" w:cstheme="majorBidi"/>
          <w:sz w:val="24"/>
          <w:szCs w:val="24"/>
        </w:rPr>
        <w:t xml:space="preserve"> a particularly harsh role in limiting the role of civil society in fragile and complex humanitarian crisis and conflict arenas. </w:t>
      </w:r>
      <w:r w:rsidR="002E35EE" w:rsidRPr="00E026DB">
        <w:rPr>
          <w:rFonts w:asciiTheme="majorBidi" w:hAnsiTheme="majorBidi" w:cstheme="majorBidi"/>
          <w:sz w:val="24"/>
          <w:szCs w:val="24"/>
        </w:rPr>
        <w:t>My most recent report made public this week to the General Assembly</w:t>
      </w:r>
      <w:r w:rsidR="00061E3F">
        <w:rPr>
          <w:rFonts w:asciiTheme="majorBidi" w:hAnsiTheme="majorBidi" w:cstheme="majorBidi"/>
          <w:sz w:val="24"/>
          <w:szCs w:val="24"/>
        </w:rPr>
        <w:t xml:space="preserve"> (A/75/337),</w:t>
      </w:r>
      <w:r w:rsidR="00061E3F">
        <w:rPr>
          <w:rStyle w:val="FootnoteReference"/>
          <w:rFonts w:asciiTheme="majorBidi" w:hAnsiTheme="majorBidi" w:cstheme="majorBidi"/>
          <w:sz w:val="24"/>
          <w:szCs w:val="24"/>
        </w:rPr>
        <w:footnoteReference w:id="7"/>
      </w:r>
      <w:r w:rsidR="002E35EE" w:rsidRPr="00E026DB">
        <w:rPr>
          <w:rFonts w:asciiTheme="majorBidi" w:hAnsiTheme="majorBidi" w:cstheme="majorBidi"/>
          <w:sz w:val="24"/>
          <w:szCs w:val="24"/>
        </w:rPr>
        <w:t xml:space="preserve"> is focused on </w:t>
      </w:r>
      <w:r w:rsidR="00061E3F">
        <w:rPr>
          <w:rFonts w:asciiTheme="majorBidi" w:hAnsiTheme="majorBidi" w:cstheme="majorBidi"/>
          <w:sz w:val="24"/>
          <w:szCs w:val="24"/>
        </w:rPr>
        <w:t>international humanitarian law</w:t>
      </w:r>
      <w:r w:rsidR="002E35EE" w:rsidRPr="00E026DB">
        <w:rPr>
          <w:rFonts w:asciiTheme="majorBidi" w:hAnsiTheme="majorBidi" w:cstheme="majorBidi"/>
          <w:sz w:val="24"/>
          <w:szCs w:val="24"/>
        </w:rPr>
        <w:t xml:space="preserve"> and </w:t>
      </w:r>
      <w:r w:rsidR="00061E3F">
        <w:rPr>
          <w:rFonts w:asciiTheme="majorBidi" w:hAnsiTheme="majorBidi" w:cstheme="majorBidi"/>
          <w:sz w:val="24"/>
          <w:szCs w:val="24"/>
        </w:rPr>
        <w:t>human rights</w:t>
      </w:r>
      <w:r w:rsidR="002E35EE" w:rsidRPr="00E026DB">
        <w:rPr>
          <w:rFonts w:asciiTheme="majorBidi" w:hAnsiTheme="majorBidi" w:cstheme="majorBidi"/>
          <w:sz w:val="24"/>
          <w:szCs w:val="24"/>
        </w:rPr>
        <w:t xml:space="preserve"> interfaces but pays close attention to the work of humanitarians, essential civil society actors of unique importance in crisis and humanitarian settings</w:t>
      </w:r>
      <w:r w:rsidR="00061E3F">
        <w:rPr>
          <w:rFonts w:asciiTheme="majorBidi" w:hAnsiTheme="majorBidi" w:cstheme="majorBidi"/>
          <w:sz w:val="24"/>
          <w:szCs w:val="24"/>
        </w:rPr>
        <w:t xml:space="preserve">. </w:t>
      </w:r>
      <w:r w:rsidR="00E026DB" w:rsidRPr="00E026DB">
        <w:rPr>
          <w:rFonts w:asciiTheme="majorBidi" w:hAnsiTheme="majorBidi" w:cstheme="majorBidi"/>
          <w:sz w:val="24"/>
          <w:szCs w:val="24"/>
        </w:rPr>
        <w:t xml:space="preserve">I establish </w:t>
      </w:r>
      <w:r w:rsidR="002E35EE" w:rsidRPr="00E026DB">
        <w:rPr>
          <w:rFonts w:asciiTheme="majorBidi" w:hAnsiTheme="majorBidi" w:cstheme="majorBidi"/>
          <w:sz w:val="24"/>
          <w:szCs w:val="24"/>
        </w:rPr>
        <w:t xml:space="preserve">that current matrixes do not permit humanitarian actors to carry out their mandates in a way that complies with international humanitarian law thus compromising the fundamental rights and dignity of </w:t>
      </w:r>
      <w:r w:rsidR="00E026DB" w:rsidRPr="00E026DB">
        <w:rPr>
          <w:rFonts w:asciiTheme="majorBidi" w:hAnsiTheme="majorBidi" w:cstheme="majorBidi"/>
          <w:sz w:val="24"/>
          <w:szCs w:val="24"/>
        </w:rPr>
        <w:t xml:space="preserve">highly </w:t>
      </w:r>
      <w:r w:rsidR="002E35EE" w:rsidRPr="00E026DB">
        <w:rPr>
          <w:rFonts w:asciiTheme="majorBidi" w:hAnsiTheme="majorBidi" w:cstheme="majorBidi"/>
          <w:sz w:val="24"/>
          <w:szCs w:val="24"/>
        </w:rPr>
        <w:t>vulnerable people</w:t>
      </w:r>
      <w:r w:rsidR="00061E3F">
        <w:rPr>
          <w:rFonts w:asciiTheme="majorBidi" w:hAnsiTheme="majorBidi" w:cstheme="majorBidi"/>
          <w:sz w:val="24"/>
          <w:szCs w:val="24"/>
        </w:rPr>
        <w:t>, and CTF regulation is one of the most significant obstacles encountered by these actors</w:t>
      </w:r>
      <w:r w:rsidR="002E35EE" w:rsidRPr="00E026DB">
        <w:rPr>
          <w:rFonts w:asciiTheme="majorBidi" w:hAnsiTheme="majorBidi" w:cstheme="majorBidi"/>
          <w:sz w:val="24"/>
          <w:szCs w:val="24"/>
        </w:rPr>
        <w:t>.</w:t>
      </w:r>
      <w:r w:rsidR="002E35EE" w:rsidRPr="00E026DB">
        <w:rPr>
          <w:rStyle w:val="FootnoteReference"/>
          <w:rFonts w:asciiTheme="majorBidi" w:hAnsiTheme="majorBidi" w:cstheme="majorBidi"/>
          <w:sz w:val="24"/>
          <w:szCs w:val="24"/>
        </w:rPr>
        <w:footnoteReference w:id="8"/>
      </w:r>
      <w:r w:rsidR="002E35EE" w:rsidRPr="00E026DB">
        <w:rPr>
          <w:rFonts w:asciiTheme="majorBidi" w:hAnsiTheme="majorBidi" w:cstheme="majorBidi"/>
          <w:sz w:val="24"/>
          <w:szCs w:val="24"/>
        </w:rPr>
        <w:t xml:space="preserve">  One concerning aspect </w:t>
      </w:r>
      <w:r w:rsidR="00E026DB" w:rsidRPr="00E026DB">
        <w:rPr>
          <w:rFonts w:asciiTheme="majorBidi" w:hAnsiTheme="majorBidi" w:cstheme="majorBidi"/>
          <w:sz w:val="24"/>
          <w:szCs w:val="24"/>
        </w:rPr>
        <w:t>emerging from</w:t>
      </w:r>
      <w:r w:rsidR="002E35EE" w:rsidRPr="00E026DB">
        <w:rPr>
          <w:rFonts w:asciiTheme="majorBidi" w:hAnsiTheme="majorBidi" w:cstheme="majorBidi"/>
          <w:sz w:val="24"/>
          <w:szCs w:val="24"/>
        </w:rPr>
        <w:t xml:space="preserve"> my </w:t>
      </w:r>
      <w:r w:rsidR="00E026DB" w:rsidRPr="00E026DB">
        <w:rPr>
          <w:rFonts w:asciiTheme="majorBidi" w:hAnsiTheme="majorBidi" w:cstheme="majorBidi"/>
          <w:sz w:val="24"/>
          <w:szCs w:val="24"/>
        </w:rPr>
        <w:t xml:space="preserve">GA </w:t>
      </w:r>
      <w:r w:rsidR="002E35EE" w:rsidRPr="00E026DB">
        <w:rPr>
          <w:rFonts w:asciiTheme="majorBidi" w:hAnsiTheme="majorBidi" w:cstheme="majorBidi"/>
          <w:sz w:val="24"/>
          <w:szCs w:val="24"/>
        </w:rPr>
        <w:t xml:space="preserve">Report was </w:t>
      </w:r>
      <w:r w:rsidR="00E026DB" w:rsidRPr="00E026DB">
        <w:rPr>
          <w:rFonts w:asciiTheme="majorBidi" w:hAnsiTheme="majorBidi" w:cstheme="majorBidi"/>
          <w:sz w:val="24"/>
          <w:szCs w:val="24"/>
        </w:rPr>
        <w:t xml:space="preserve">that </w:t>
      </w:r>
      <w:r w:rsidR="002E35EE" w:rsidRPr="00E026DB">
        <w:rPr>
          <w:rFonts w:asciiTheme="majorBidi" w:hAnsiTheme="majorBidi" w:cstheme="majorBidi"/>
          <w:sz w:val="24"/>
          <w:szCs w:val="24"/>
        </w:rPr>
        <w:t xml:space="preserve">in the consultation phase for the </w:t>
      </w:r>
      <w:r w:rsidR="00061E3F">
        <w:rPr>
          <w:rFonts w:asciiTheme="majorBidi" w:hAnsiTheme="majorBidi" w:cstheme="majorBidi"/>
          <w:sz w:val="24"/>
          <w:szCs w:val="24"/>
        </w:rPr>
        <w:t>Report</w:t>
      </w:r>
      <w:r w:rsidR="002E35EE" w:rsidRPr="00E026DB">
        <w:rPr>
          <w:rFonts w:asciiTheme="majorBidi" w:hAnsiTheme="majorBidi" w:cstheme="majorBidi"/>
          <w:sz w:val="24"/>
          <w:szCs w:val="24"/>
        </w:rPr>
        <w:t xml:space="preserve"> we engaged with multiple </w:t>
      </w:r>
      <w:r w:rsidR="00E026DB" w:rsidRPr="00E026DB">
        <w:rPr>
          <w:rFonts w:asciiTheme="majorBidi" w:hAnsiTheme="majorBidi" w:cstheme="majorBidi"/>
          <w:sz w:val="24"/>
          <w:szCs w:val="24"/>
        </w:rPr>
        <w:t>(</w:t>
      </w:r>
      <w:r w:rsidR="002E35EE" w:rsidRPr="00E026DB">
        <w:rPr>
          <w:rFonts w:asciiTheme="majorBidi" w:hAnsiTheme="majorBidi" w:cstheme="majorBidi"/>
          <w:sz w:val="24"/>
          <w:szCs w:val="24"/>
        </w:rPr>
        <w:t>large and small</w:t>
      </w:r>
      <w:r w:rsidR="00E026DB" w:rsidRPr="00E026DB">
        <w:rPr>
          <w:rFonts w:asciiTheme="majorBidi" w:hAnsiTheme="majorBidi" w:cstheme="majorBidi"/>
          <w:sz w:val="24"/>
          <w:szCs w:val="24"/>
        </w:rPr>
        <w:t>)</w:t>
      </w:r>
      <w:r w:rsidR="002E35EE" w:rsidRPr="00E026DB">
        <w:rPr>
          <w:rFonts w:asciiTheme="majorBidi" w:hAnsiTheme="majorBidi" w:cstheme="majorBidi"/>
          <w:sz w:val="24"/>
          <w:szCs w:val="24"/>
        </w:rPr>
        <w:t xml:space="preserve"> impartial humanitarian organizations</w:t>
      </w:r>
      <w:r w:rsidR="00A93CFE" w:rsidRPr="00E026DB">
        <w:rPr>
          <w:rFonts w:asciiTheme="majorBidi" w:hAnsiTheme="majorBidi" w:cstheme="majorBidi"/>
          <w:sz w:val="24"/>
          <w:szCs w:val="24"/>
        </w:rPr>
        <w:t xml:space="preserve"> and m</w:t>
      </w:r>
      <w:r w:rsidR="002E35EE" w:rsidRPr="00E026DB">
        <w:rPr>
          <w:rFonts w:asciiTheme="majorBidi" w:hAnsiTheme="majorBidi" w:cstheme="majorBidi"/>
          <w:sz w:val="24"/>
          <w:szCs w:val="24"/>
        </w:rPr>
        <w:t xml:space="preserve">any attested to the costs in practice that terrorism financing requirements were placing on their capacity to deliver their mandates in some of the most wretched places on earth. Few would place their views ‘on the record’ for the fear of retaliation by States </w:t>
      </w:r>
      <w:r w:rsidR="00E026DB" w:rsidRPr="00E026DB">
        <w:rPr>
          <w:rFonts w:asciiTheme="majorBidi" w:hAnsiTheme="majorBidi" w:cstheme="majorBidi"/>
          <w:sz w:val="24"/>
          <w:szCs w:val="24"/>
        </w:rPr>
        <w:t>– essentially</w:t>
      </w:r>
      <w:r w:rsidR="00E26076">
        <w:rPr>
          <w:rFonts w:asciiTheme="majorBidi" w:hAnsiTheme="majorBidi" w:cstheme="majorBidi"/>
          <w:sz w:val="24"/>
          <w:szCs w:val="24"/>
        </w:rPr>
        <w:t>,</w:t>
      </w:r>
      <w:r w:rsidR="00E026DB" w:rsidRPr="00E026DB">
        <w:rPr>
          <w:rFonts w:asciiTheme="majorBidi" w:hAnsiTheme="majorBidi" w:cstheme="majorBidi"/>
          <w:sz w:val="24"/>
          <w:szCs w:val="24"/>
        </w:rPr>
        <w:t xml:space="preserve"> they understood that there would be costs </w:t>
      </w:r>
      <w:r w:rsidR="002E35EE" w:rsidRPr="00E026DB">
        <w:rPr>
          <w:rFonts w:asciiTheme="majorBidi" w:hAnsiTheme="majorBidi" w:cstheme="majorBidi"/>
          <w:sz w:val="24"/>
          <w:szCs w:val="24"/>
        </w:rPr>
        <w:t>for saying out loud what is well understood by all to be the status quo in practice.</w:t>
      </w:r>
      <w:r w:rsidR="002E35EE" w:rsidRPr="00E026DB">
        <w:rPr>
          <w:rStyle w:val="FootnoteReference"/>
          <w:rFonts w:asciiTheme="majorBidi" w:hAnsiTheme="majorBidi" w:cstheme="majorBidi"/>
          <w:sz w:val="24"/>
          <w:szCs w:val="24"/>
        </w:rPr>
        <w:footnoteReference w:id="9"/>
      </w:r>
      <w:r w:rsidR="002E35EE" w:rsidRPr="00E026DB">
        <w:rPr>
          <w:rFonts w:asciiTheme="majorBidi" w:hAnsiTheme="majorBidi" w:cstheme="majorBidi"/>
          <w:sz w:val="24"/>
          <w:szCs w:val="24"/>
        </w:rPr>
        <w:t xml:space="preserve"> </w:t>
      </w:r>
      <w:r w:rsidR="00061E3F">
        <w:rPr>
          <w:rFonts w:asciiTheme="majorBidi" w:hAnsiTheme="majorBidi" w:cstheme="majorBidi"/>
          <w:sz w:val="24"/>
          <w:szCs w:val="24"/>
        </w:rPr>
        <w:t xml:space="preserve">To state the obvious, when these entities are unable to articulate the concerns and challenges they face in practice, we are facing a </w:t>
      </w:r>
      <w:r w:rsidR="005F76B3">
        <w:rPr>
          <w:rFonts w:asciiTheme="majorBidi" w:hAnsiTheme="majorBidi" w:cstheme="majorBidi"/>
          <w:sz w:val="24"/>
          <w:szCs w:val="24"/>
        </w:rPr>
        <w:t>profound conundrum</w:t>
      </w:r>
      <w:r w:rsidR="00061E3F">
        <w:rPr>
          <w:rFonts w:asciiTheme="majorBidi" w:hAnsiTheme="majorBidi" w:cstheme="majorBidi"/>
          <w:sz w:val="24"/>
          <w:szCs w:val="24"/>
        </w:rPr>
        <w:t xml:space="preserve"> to ensure meaningful engagement of civil society, and particularly those on the ground, in </w:t>
      </w:r>
      <w:r w:rsidR="005F76B3">
        <w:rPr>
          <w:rFonts w:asciiTheme="majorBidi" w:hAnsiTheme="majorBidi" w:cstheme="majorBidi"/>
          <w:sz w:val="24"/>
          <w:szCs w:val="24"/>
        </w:rPr>
        <w:t>countering terrorism financing contexts.</w:t>
      </w:r>
    </w:p>
    <w:p w14:paraId="69883806" w14:textId="3089310E" w:rsidR="00A93CFE" w:rsidRPr="00E026DB" w:rsidRDefault="00A93CFE" w:rsidP="00231C73">
      <w:pPr>
        <w:spacing w:line="360" w:lineRule="auto"/>
        <w:rPr>
          <w:rFonts w:asciiTheme="majorBidi" w:hAnsiTheme="majorBidi" w:cstheme="majorBidi"/>
          <w:sz w:val="24"/>
          <w:szCs w:val="24"/>
        </w:rPr>
      </w:pPr>
    </w:p>
    <w:p w14:paraId="1A2BABEC" w14:textId="363D8CEC" w:rsidR="00A93CFE" w:rsidRPr="00E026DB" w:rsidRDefault="00A93CFE" w:rsidP="00A93CFE">
      <w:pPr>
        <w:spacing w:line="360" w:lineRule="auto"/>
        <w:rPr>
          <w:rFonts w:asciiTheme="majorBidi" w:hAnsiTheme="majorBidi" w:cstheme="majorBidi"/>
          <w:b/>
          <w:bCs/>
          <w:sz w:val="24"/>
          <w:szCs w:val="24"/>
        </w:rPr>
      </w:pPr>
      <w:r w:rsidRPr="00E026DB">
        <w:rPr>
          <w:rFonts w:asciiTheme="majorBidi" w:hAnsiTheme="majorBidi" w:cstheme="majorBidi"/>
          <w:b/>
          <w:bCs/>
          <w:sz w:val="24"/>
          <w:szCs w:val="24"/>
        </w:rPr>
        <w:t>Implementing a ‘risk’ based approach</w:t>
      </w:r>
      <w:r w:rsidR="00E026DB" w:rsidRPr="00E026DB">
        <w:rPr>
          <w:rFonts w:asciiTheme="majorBidi" w:hAnsiTheme="majorBidi" w:cstheme="majorBidi"/>
          <w:b/>
          <w:bCs/>
          <w:sz w:val="24"/>
          <w:szCs w:val="24"/>
        </w:rPr>
        <w:t xml:space="preserve"> in a human </w:t>
      </w:r>
      <w:proofErr w:type="gramStart"/>
      <w:r w:rsidR="00E026DB" w:rsidRPr="00E026DB">
        <w:rPr>
          <w:rFonts w:asciiTheme="majorBidi" w:hAnsiTheme="majorBidi" w:cstheme="majorBidi"/>
          <w:b/>
          <w:bCs/>
          <w:sz w:val="24"/>
          <w:szCs w:val="24"/>
        </w:rPr>
        <w:t>rights</w:t>
      </w:r>
      <w:proofErr w:type="gramEnd"/>
      <w:r w:rsidR="00E026DB" w:rsidRPr="00E026DB">
        <w:rPr>
          <w:rFonts w:asciiTheme="majorBidi" w:hAnsiTheme="majorBidi" w:cstheme="majorBidi"/>
          <w:b/>
          <w:bCs/>
          <w:sz w:val="24"/>
          <w:szCs w:val="24"/>
        </w:rPr>
        <w:t xml:space="preserve"> compliant manner</w:t>
      </w:r>
    </w:p>
    <w:p w14:paraId="39D560CF" w14:textId="49EFBDB0" w:rsidR="00A93CFE" w:rsidRPr="00E026DB" w:rsidRDefault="00A93CFE" w:rsidP="00231C73">
      <w:pPr>
        <w:spacing w:line="360" w:lineRule="auto"/>
        <w:rPr>
          <w:rFonts w:asciiTheme="majorBidi" w:hAnsiTheme="majorBidi" w:cstheme="majorBidi"/>
          <w:sz w:val="24"/>
          <w:szCs w:val="24"/>
        </w:rPr>
      </w:pPr>
    </w:p>
    <w:p w14:paraId="27FAF17D" w14:textId="157186FF" w:rsidR="002E35EE" w:rsidRPr="002E35EE" w:rsidRDefault="00A93CFE" w:rsidP="00A93CFE">
      <w:pPr>
        <w:spacing w:line="360" w:lineRule="auto"/>
        <w:rPr>
          <w:rFonts w:asciiTheme="majorBidi" w:hAnsiTheme="majorBidi" w:cstheme="majorBidi"/>
          <w:sz w:val="24"/>
          <w:szCs w:val="24"/>
        </w:rPr>
      </w:pPr>
      <w:r w:rsidRPr="00E026DB">
        <w:rPr>
          <w:rFonts w:asciiTheme="majorBidi" w:hAnsiTheme="majorBidi" w:cstheme="majorBidi"/>
          <w:sz w:val="24"/>
          <w:szCs w:val="24"/>
        </w:rPr>
        <w:t>The trajectory of entrenching CT financing requirements for States,</w:t>
      </w:r>
      <w:r w:rsidR="006465D6">
        <w:rPr>
          <w:rStyle w:val="FootnoteReference"/>
          <w:rFonts w:asciiTheme="majorBidi" w:hAnsiTheme="majorBidi" w:cstheme="majorBidi"/>
          <w:sz w:val="24"/>
          <w:szCs w:val="24"/>
        </w:rPr>
        <w:footnoteReference w:id="10"/>
      </w:r>
      <w:r w:rsidRPr="00E026DB">
        <w:rPr>
          <w:rFonts w:asciiTheme="majorBidi" w:hAnsiTheme="majorBidi" w:cstheme="majorBidi"/>
          <w:sz w:val="24"/>
          <w:szCs w:val="24"/>
        </w:rPr>
        <w:t xml:space="preserve"> FATF assessment and ratings and the definition of civil society ‘risk’ are familiar to all in this conversation.</w:t>
      </w:r>
      <w:r w:rsidR="005F76B3">
        <w:rPr>
          <w:rStyle w:val="FootnoteReference"/>
          <w:rFonts w:asciiTheme="majorBidi" w:hAnsiTheme="majorBidi" w:cstheme="majorBidi"/>
          <w:sz w:val="24"/>
          <w:szCs w:val="24"/>
        </w:rPr>
        <w:footnoteReference w:id="11"/>
      </w:r>
      <w:r w:rsidRPr="00E026DB">
        <w:rPr>
          <w:rFonts w:asciiTheme="majorBidi" w:hAnsiTheme="majorBidi" w:cstheme="majorBidi"/>
          <w:sz w:val="24"/>
          <w:szCs w:val="24"/>
        </w:rPr>
        <w:t xml:space="preserve">  The </w:t>
      </w:r>
      <w:r w:rsidRPr="00E026DB">
        <w:rPr>
          <w:rFonts w:asciiTheme="majorBidi" w:hAnsiTheme="majorBidi" w:cstheme="majorBidi"/>
          <w:sz w:val="24"/>
          <w:szCs w:val="24"/>
        </w:rPr>
        <w:lastRenderedPageBreak/>
        <w:t xml:space="preserve">question I turn to ask is if we have moved to a ‘risk-based’ assessment how do we protect human rights in this process and </w:t>
      </w:r>
      <w:r w:rsidR="005F76B3">
        <w:rPr>
          <w:rFonts w:asciiTheme="majorBidi" w:hAnsiTheme="majorBidi" w:cstheme="majorBidi"/>
          <w:sz w:val="24"/>
          <w:szCs w:val="24"/>
        </w:rPr>
        <w:t xml:space="preserve">how are the rights and values of </w:t>
      </w:r>
      <w:r w:rsidRPr="00E026DB">
        <w:rPr>
          <w:rFonts w:asciiTheme="majorBidi" w:hAnsiTheme="majorBidi" w:cstheme="majorBidi"/>
          <w:sz w:val="24"/>
          <w:szCs w:val="24"/>
        </w:rPr>
        <w:t>civil society</w:t>
      </w:r>
      <w:r w:rsidR="005F76B3">
        <w:rPr>
          <w:rFonts w:asciiTheme="majorBidi" w:hAnsiTheme="majorBidi" w:cstheme="majorBidi"/>
          <w:sz w:val="24"/>
          <w:szCs w:val="24"/>
        </w:rPr>
        <w:t xml:space="preserve"> advanced and protected</w:t>
      </w:r>
      <w:r w:rsidRPr="00E026DB">
        <w:rPr>
          <w:rFonts w:asciiTheme="majorBidi" w:hAnsiTheme="majorBidi" w:cstheme="majorBidi"/>
          <w:sz w:val="24"/>
          <w:szCs w:val="24"/>
        </w:rPr>
        <w:t xml:space="preserve"> in the ‘risk’ universe</w:t>
      </w:r>
      <w:r w:rsidR="00E026DB" w:rsidRPr="00E026DB">
        <w:rPr>
          <w:rFonts w:asciiTheme="majorBidi" w:hAnsiTheme="majorBidi" w:cstheme="majorBidi"/>
          <w:sz w:val="24"/>
          <w:szCs w:val="24"/>
        </w:rPr>
        <w:t>?</w:t>
      </w:r>
      <w:r w:rsidRPr="00E026DB">
        <w:rPr>
          <w:rFonts w:asciiTheme="majorBidi" w:hAnsiTheme="majorBidi" w:cstheme="majorBidi"/>
          <w:sz w:val="24"/>
          <w:szCs w:val="24"/>
        </w:rPr>
        <w:t xml:space="preserve">  In some sense the UN system itself, has provided some overarching answers.  </w:t>
      </w:r>
      <w:r w:rsidR="002E35EE" w:rsidRPr="00E026DB">
        <w:rPr>
          <w:rFonts w:asciiTheme="majorBidi" w:hAnsiTheme="majorBidi" w:cstheme="majorBidi"/>
          <w:color w:val="000000"/>
          <w:sz w:val="24"/>
          <w:szCs w:val="24"/>
          <w:lang w:val="en-GB" w:eastAsia="en-GB" w:bidi="he-IL"/>
        </w:rPr>
        <w:t xml:space="preserve">UN efforts led by </w:t>
      </w:r>
      <w:r w:rsidR="005F76B3">
        <w:rPr>
          <w:rFonts w:asciiTheme="majorBidi" w:hAnsiTheme="majorBidi" w:cstheme="majorBidi"/>
          <w:color w:val="000000"/>
          <w:sz w:val="24"/>
          <w:szCs w:val="24"/>
          <w:lang w:val="en-GB" w:eastAsia="en-GB" w:bidi="he-IL"/>
        </w:rPr>
        <w:t>Secretary-General</w:t>
      </w:r>
      <w:r w:rsidR="002E35EE" w:rsidRPr="00E026DB">
        <w:rPr>
          <w:rFonts w:asciiTheme="majorBidi" w:hAnsiTheme="majorBidi" w:cstheme="majorBidi"/>
          <w:color w:val="000000"/>
          <w:sz w:val="24"/>
          <w:szCs w:val="24"/>
          <w:lang w:val="en-GB" w:eastAsia="en-GB" w:bidi="he-IL"/>
        </w:rPr>
        <w:t xml:space="preserve"> have focused on the 3Ps;</w:t>
      </w:r>
      <w:r w:rsidR="002E35EE" w:rsidRPr="00E026DB">
        <w:rPr>
          <w:rStyle w:val="FootnoteReference"/>
          <w:rFonts w:asciiTheme="majorBidi" w:hAnsiTheme="majorBidi" w:cstheme="majorBidi"/>
          <w:color w:val="000000"/>
          <w:sz w:val="24"/>
          <w:szCs w:val="24"/>
          <w:lang w:val="en-GB" w:eastAsia="en-GB" w:bidi="he-IL"/>
        </w:rPr>
        <w:footnoteReference w:id="12"/>
      </w:r>
    </w:p>
    <w:p w14:paraId="610F15F6" w14:textId="77777777" w:rsidR="002E35EE" w:rsidRPr="002E35EE" w:rsidRDefault="002E35EE" w:rsidP="002E35EE">
      <w:pPr>
        <w:numPr>
          <w:ilvl w:val="0"/>
          <w:numId w:val="2"/>
        </w:numPr>
        <w:spacing w:after="150"/>
        <w:rPr>
          <w:rFonts w:asciiTheme="majorBidi" w:hAnsiTheme="majorBidi" w:cstheme="majorBidi"/>
          <w:color w:val="000000"/>
          <w:sz w:val="24"/>
          <w:szCs w:val="24"/>
          <w:lang w:val="en-GB" w:eastAsia="en-GB" w:bidi="he-IL"/>
        </w:rPr>
      </w:pPr>
      <w:r w:rsidRPr="002E35EE">
        <w:rPr>
          <w:rFonts w:asciiTheme="majorBidi" w:hAnsiTheme="majorBidi" w:cstheme="majorBidi"/>
          <w:b/>
          <w:bCs/>
          <w:color w:val="000000"/>
          <w:sz w:val="24"/>
          <w:szCs w:val="24"/>
          <w:lang w:val="en-GB" w:eastAsia="en-GB" w:bidi="he-IL"/>
        </w:rPr>
        <w:t>Promoting civic space</w:t>
      </w:r>
      <w:r w:rsidRPr="002E35EE">
        <w:rPr>
          <w:rFonts w:asciiTheme="majorBidi" w:hAnsiTheme="majorBidi" w:cstheme="majorBidi"/>
          <w:color w:val="000000"/>
          <w:sz w:val="24"/>
          <w:szCs w:val="24"/>
          <w:lang w:val="en-GB" w:eastAsia="en-GB" w:bidi="he-IL"/>
        </w:rPr>
        <w:t>: advise on, and proactively advocate for, safe participation of diverse civil society groups in national decision-making processes, including through protests; seize opportunities to expand the space for civil societies and systematically highlight the positive contributions of civil society.</w:t>
      </w:r>
    </w:p>
    <w:p w14:paraId="1ACA5822" w14:textId="7D06EAF6" w:rsidR="002E35EE" w:rsidRPr="002E35EE" w:rsidRDefault="002E35EE" w:rsidP="002E35EE">
      <w:pPr>
        <w:numPr>
          <w:ilvl w:val="0"/>
          <w:numId w:val="2"/>
        </w:numPr>
        <w:spacing w:after="150"/>
        <w:rPr>
          <w:rFonts w:asciiTheme="majorBidi" w:hAnsiTheme="majorBidi" w:cstheme="majorBidi"/>
          <w:color w:val="000000"/>
          <w:sz w:val="24"/>
          <w:szCs w:val="24"/>
          <w:lang w:val="en-GB" w:eastAsia="en-GB" w:bidi="he-IL"/>
        </w:rPr>
      </w:pPr>
      <w:r w:rsidRPr="002E35EE">
        <w:rPr>
          <w:rFonts w:asciiTheme="majorBidi" w:hAnsiTheme="majorBidi" w:cstheme="majorBidi"/>
          <w:b/>
          <w:bCs/>
          <w:color w:val="000000"/>
          <w:sz w:val="24"/>
          <w:szCs w:val="24"/>
          <w:lang w:val="en-GB" w:eastAsia="en-GB" w:bidi="he-IL"/>
        </w:rPr>
        <w:t>Ensuring civil society participation</w:t>
      </w:r>
      <w:r w:rsidRPr="002E35EE">
        <w:rPr>
          <w:rFonts w:asciiTheme="majorBidi" w:hAnsiTheme="majorBidi" w:cstheme="majorBidi"/>
          <w:color w:val="000000"/>
          <w:sz w:val="24"/>
          <w:szCs w:val="24"/>
          <w:lang w:val="en-GB" w:eastAsia="en-GB" w:bidi="he-IL"/>
        </w:rPr>
        <w:t xml:space="preserve">: enhance civil society engagement </w:t>
      </w:r>
      <w:r w:rsidR="007B507C">
        <w:rPr>
          <w:rFonts w:asciiTheme="majorBidi" w:hAnsiTheme="majorBidi" w:cstheme="majorBidi"/>
          <w:color w:val="000000"/>
          <w:sz w:val="24"/>
          <w:szCs w:val="24"/>
          <w:lang w:val="en-GB" w:eastAsia="en-GB" w:bidi="he-IL"/>
        </w:rPr>
        <w:t>…</w:t>
      </w:r>
      <w:r w:rsidRPr="002E35EE">
        <w:rPr>
          <w:rFonts w:asciiTheme="majorBidi" w:hAnsiTheme="majorBidi" w:cstheme="majorBidi"/>
          <w:color w:val="000000"/>
          <w:sz w:val="24"/>
          <w:szCs w:val="24"/>
          <w:lang w:val="en-GB" w:eastAsia="en-GB" w:bidi="he-IL"/>
        </w:rPr>
        <w:t xml:space="preserve"> and strengthen policies and practices on participation of / partnerships with civil society, drawing on examples of good practice from across the UN system.</w:t>
      </w:r>
    </w:p>
    <w:p w14:paraId="7B29281C" w14:textId="3FF1EE8E" w:rsidR="002E35EE" w:rsidRDefault="002E35EE" w:rsidP="00E26076">
      <w:pPr>
        <w:numPr>
          <w:ilvl w:val="0"/>
          <w:numId w:val="2"/>
        </w:numPr>
        <w:spacing w:after="150"/>
        <w:rPr>
          <w:rFonts w:asciiTheme="majorBidi" w:hAnsiTheme="majorBidi" w:cstheme="majorBidi"/>
          <w:color w:val="000000"/>
          <w:sz w:val="24"/>
          <w:szCs w:val="24"/>
          <w:lang w:val="en-GB" w:eastAsia="en-GB" w:bidi="he-IL"/>
        </w:rPr>
      </w:pPr>
      <w:r w:rsidRPr="002E35EE">
        <w:rPr>
          <w:rFonts w:asciiTheme="majorBidi" w:hAnsiTheme="majorBidi" w:cstheme="majorBidi"/>
          <w:b/>
          <w:bCs/>
          <w:color w:val="000000"/>
          <w:sz w:val="24"/>
          <w:szCs w:val="24"/>
          <w:lang w:val="en-GB" w:eastAsia="en-GB" w:bidi="he-IL"/>
        </w:rPr>
        <w:t>Protecting civil society actors</w:t>
      </w:r>
      <w:r w:rsidRPr="002E35EE">
        <w:rPr>
          <w:rFonts w:asciiTheme="majorBidi" w:hAnsiTheme="majorBidi" w:cstheme="majorBidi"/>
          <w:color w:val="000000"/>
          <w:sz w:val="24"/>
          <w:szCs w:val="24"/>
          <w:lang w:val="en-GB" w:eastAsia="en-GB" w:bidi="he-IL"/>
        </w:rPr>
        <w:t>: coordinate and strengthen UN responses to protect civil society actors effectively, including from reprisals against those who cooperate with the UN and by identifying and disseminating examples of good practice across the UN system.</w:t>
      </w:r>
    </w:p>
    <w:p w14:paraId="3F599CBF" w14:textId="6BDF1916" w:rsidR="005F76B3" w:rsidRDefault="005F76B3" w:rsidP="005F76B3">
      <w:pPr>
        <w:spacing w:after="150"/>
        <w:rPr>
          <w:rFonts w:asciiTheme="majorBidi" w:hAnsiTheme="majorBidi" w:cstheme="majorBidi"/>
          <w:color w:val="000000"/>
          <w:sz w:val="24"/>
          <w:szCs w:val="24"/>
          <w:lang w:val="en-GB" w:eastAsia="en-GB" w:bidi="he-IL"/>
        </w:rPr>
      </w:pPr>
    </w:p>
    <w:p w14:paraId="68D248B1" w14:textId="156945E1" w:rsidR="005F76B3" w:rsidRDefault="005F76B3" w:rsidP="0013122A">
      <w:pPr>
        <w:spacing w:after="150" w:line="360" w:lineRule="auto"/>
        <w:rPr>
          <w:rFonts w:asciiTheme="majorBidi" w:hAnsiTheme="majorBidi" w:cstheme="majorBidi"/>
          <w:color w:val="000000"/>
          <w:sz w:val="24"/>
          <w:szCs w:val="24"/>
          <w:lang w:val="en-GB" w:eastAsia="en-GB" w:bidi="he-IL"/>
        </w:rPr>
      </w:pPr>
      <w:r>
        <w:rPr>
          <w:rFonts w:asciiTheme="majorBidi" w:hAnsiTheme="majorBidi" w:cstheme="majorBidi"/>
          <w:color w:val="000000"/>
          <w:sz w:val="24"/>
          <w:szCs w:val="24"/>
          <w:lang w:val="en-GB" w:eastAsia="en-GB" w:bidi="he-IL"/>
        </w:rPr>
        <w:t>If countering terrorism financing is a ‘civil society lite’ space, efforts to change that will require sustained engagement and changes of practice by States, but the push to do that should I think be prompted by self-interest</w:t>
      </w:r>
      <w:r w:rsidR="0013122A">
        <w:rPr>
          <w:rFonts w:asciiTheme="majorBidi" w:hAnsiTheme="majorBidi" w:cstheme="majorBidi"/>
          <w:color w:val="000000"/>
          <w:sz w:val="24"/>
          <w:szCs w:val="24"/>
          <w:lang w:val="en-GB" w:eastAsia="en-GB" w:bidi="he-IL"/>
        </w:rPr>
        <w:t>.</w:t>
      </w:r>
      <w:r>
        <w:rPr>
          <w:rFonts w:asciiTheme="majorBidi" w:hAnsiTheme="majorBidi" w:cstheme="majorBidi"/>
          <w:color w:val="000000"/>
          <w:sz w:val="24"/>
          <w:szCs w:val="24"/>
          <w:lang w:val="en-GB" w:eastAsia="en-GB" w:bidi="he-IL"/>
        </w:rPr>
        <w:t xml:space="preserve"> </w:t>
      </w:r>
      <w:r w:rsidR="0013122A">
        <w:rPr>
          <w:rFonts w:asciiTheme="majorBidi" w:hAnsiTheme="majorBidi" w:cstheme="majorBidi"/>
          <w:color w:val="000000"/>
          <w:sz w:val="24"/>
          <w:szCs w:val="24"/>
          <w:lang w:val="en-GB" w:eastAsia="en-GB" w:bidi="he-IL"/>
        </w:rPr>
        <w:t>Na</w:t>
      </w:r>
      <w:r>
        <w:rPr>
          <w:rFonts w:asciiTheme="majorBidi" w:hAnsiTheme="majorBidi" w:cstheme="majorBidi"/>
          <w:color w:val="000000"/>
          <w:sz w:val="24"/>
          <w:szCs w:val="24"/>
          <w:lang w:val="en-GB" w:eastAsia="en-GB" w:bidi="he-IL"/>
        </w:rPr>
        <w:t>mely</w:t>
      </w:r>
      <w:r w:rsidR="00AB4F2F">
        <w:rPr>
          <w:rFonts w:asciiTheme="majorBidi" w:hAnsiTheme="majorBidi" w:cstheme="majorBidi"/>
          <w:color w:val="000000"/>
          <w:sz w:val="24"/>
          <w:szCs w:val="24"/>
          <w:lang w:val="en-GB" w:eastAsia="en-GB" w:bidi="he-IL"/>
        </w:rPr>
        <w:t>,</w:t>
      </w:r>
      <w:r w:rsidR="0013122A">
        <w:rPr>
          <w:rFonts w:asciiTheme="majorBidi" w:hAnsiTheme="majorBidi" w:cstheme="majorBidi"/>
          <w:color w:val="000000"/>
          <w:sz w:val="24"/>
          <w:szCs w:val="24"/>
          <w:lang w:val="en-GB" w:eastAsia="en-GB" w:bidi="he-IL"/>
        </w:rPr>
        <w:t xml:space="preserve"> recognizing</w:t>
      </w:r>
      <w:r>
        <w:rPr>
          <w:rFonts w:asciiTheme="majorBidi" w:hAnsiTheme="majorBidi" w:cstheme="majorBidi"/>
          <w:color w:val="000000"/>
          <w:sz w:val="24"/>
          <w:szCs w:val="24"/>
          <w:lang w:val="en-GB" w:eastAsia="en-GB" w:bidi="he-IL"/>
        </w:rPr>
        <w:t xml:space="preserve"> that without positive engagement of civil society</w:t>
      </w:r>
      <w:r w:rsidR="0013122A">
        <w:rPr>
          <w:rFonts w:asciiTheme="majorBidi" w:hAnsiTheme="majorBidi" w:cstheme="majorBidi"/>
          <w:color w:val="000000"/>
          <w:sz w:val="24"/>
          <w:szCs w:val="24"/>
          <w:lang w:val="en-GB" w:eastAsia="en-GB" w:bidi="he-IL"/>
        </w:rPr>
        <w:t xml:space="preserve"> it will prove impossible in practice to</w:t>
      </w:r>
      <w:r>
        <w:rPr>
          <w:rFonts w:asciiTheme="majorBidi" w:hAnsiTheme="majorBidi" w:cstheme="majorBidi"/>
          <w:color w:val="000000"/>
          <w:sz w:val="24"/>
          <w:szCs w:val="24"/>
          <w:lang w:val="en-GB" w:eastAsia="en-GB" w:bidi="he-IL"/>
        </w:rPr>
        <w:t xml:space="preserve"> chang</w:t>
      </w:r>
      <w:r w:rsidR="0013122A">
        <w:rPr>
          <w:rFonts w:asciiTheme="majorBidi" w:hAnsiTheme="majorBidi" w:cstheme="majorBidi"/>
          <w:color w:val="000000"/>
          <w:sz w:val="24"/>
          <w:szCs w:val="24"/>
          <w:lang w:val="en-GB" w:eastAsia="en-GB" w:bidi="he-IL"/>
        </w:rPr>
        <w:t>e</w:t>
      </w:r>
      <w:r>
        <w:rPr>
          <w:rFonts w:asciiTheme="majorBidi" w:hAnsiTheme="majorBidi" w:cstheme="majorBidi"/>
          <w:color w:val="000000"/>
          <w:sz w:val="24"/>
          <w:szCs w:val="24"/>
          <w:lang w:val="en-GB" w:eastAsia="en-GB" w:bidi="he-IL"/>
        </w:rPr>
        <w:t xml:space="preserve"> the underlying factors that produce and sustain violence on the ground</w:t>
      </w:r>
      <w:r w:rsidR="0013122A">
        <w:rPr>
          <w:rFonts w:asciiTheme="majorBidi" w:hAnsiTheme="majorBidi" w:cstheme="majorBidi"/>
          <w:color w:val="000000"/>
          <w:sz w:val="24"/>
          <w:szCs w:val="24"/>
          <w:lang w:val="en-GB" w:eastAsia="en-GB" w:bidi="he-IL"/>
        </w:rPr>
        <w:t xml:space="preserve">, as evidenced by geographies and sites of conflict and challenge that remain inherently intractable over extended periods. </w:t>
      </w:r>
    </w:p>
    <w:p w14:paraId="6026FDCD" w14:textId="1F94182E" w:rsidR="005F76B3" w:rsidRPr="00E26076" w:rsidRDefault="006465D6" w:rsidP="00AB4F2F">
      <w:pPr>
        <w:spacing w:after="150" w:line="360" w:lineRule="auto"/>
        <w:rPr>
          <w:rFonts w:asciiTheme="majorBidi" w:hAnsiTheme="majorBidi" w:cstheme="majorBidi"/>
          <w:color w:val="000000"/>
          <w:sz w:val="24"/>
          <w:szCs w:val="24"/>
          <w:lang w:val="en-GB" w:eastAsia="en-GB" w:bidi="he-IL"/>
        </w:rPr>
      </w:pPr>
      <w:r>
        <w:rPr>
          <w:rFonts w:asciiTheme="majorBidi" w:hAnsiTheme="majorBidi" w:cstheme="majorBidi"/>
          <w:color w:val="000000"/>
          <w:sz w:val="24"/>
          <w:szCs w:val="24"/>
          <w:lang w:val="en-GB" w:eastAsia="en-GB" w:bidi="he-IL"/>
        </w:rPr>
        <w:t>It may be useful to recall that participation in public affairs is a right protected by international human rights treaties</w:t>
      </w:r>
      <w:r w:rsidR="00AB4F2F">
        <w:rPr>
          <w:rFonts w:asciiTheme="majorBidi" w:hAnsiTheme="majorBidi" w:cstheme="majorBidi"/>
          <w:color w:val="000000"/>
          <w:sz w:val="24"/>
          <w:szCs w:val="24"/>
          <w:lang w:val="en-GB" w:eastAsia="en-GB" w:bidi="he-IL"/>
        </w:rPr>
        <w:t xml:space="preserve"> (Article 25, ICCPR), and it is the realization of that right in this context that is at the heart of including civil society. This means in practice creating clear pathways to inclusion for civil society that are accessible, transparent, have ‘feedback’ </w:t>
      </w:r>
      <w:r w:rsidR="00AB4F2F">
        <w:rPr>
          <w:rFonts w:asciiTheme="majorBidi" w:hAnsiTheme="majorBidi" w:cstheme="majorBidi"/>
          <w:color w:val="000000"/>
          <w:sz w:val="24"/>
          <w:szCs w:val="24"/>
          <w:lang w:val="en-GB" w:eastAsia="en-GB" w:bidi="he-IL"/>
        </w:rPr>
        <w:lastRenderedPageBreak/>
        <w:t>loops, both at the state and international institutional level, including in those organization that are regulating and overseeing the terrorism financing compliance by States.</w:t>
      </w:r>
    </w:p>
    <w:p w14:paraId="6689C786" w14:textId="77777777" w:rsidR="00AB4F2F" w:rsidRDefault="00AB4F2F" w:rsidP="002E35EE">
      <w:pPr>
        <w:spacing w:line="360" w:lineRule="auto"/>
        <w:rPr>
          <w:rFonts w:asciiTheme="majorBidi" w:hAnsiTheme="majorBidi" w:cstheme="majorBidi"/>
          <w:b/>
          <w:bCs/>
          <w:sz w:val="24"/>
          <w:szCs w:val="24"/>
          <w:lang w:val="en-GB"/>
        </w:rPr>
      </w:pPr>
    </w:p>
    <w:p w14:paraId="68F6895F" w14:textId="0D70CF04" w:rsidR="00A93CFE" w:rsidRDefault="00AB4F2F" w:rsidP="002E35EE">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Some final Remarks: </w:t>
      </w:r>
      <w:r w:rsidR="00A93CFE" w:rsidRPr="00E026DB">
        <w:rPr>
          <w:rFonts w:asciiTheme="majorBidi" w:hAnsiTheme="majorBidi" w:cstheme="majorBidi"/>
          <w:b/>
          <w:bCs/>
          <w:sz w:val="24"/>
          <w:szCs w:val="24"/>
          <w:lang w:val="en-GB"/>
        </w:rPr>
        <w:t>Who is in the conversation?</w:t>
      </w:r>
    </w:p>
    <w:p w14:paraId="3BC27271" w14:textId="77777777" w:rsidR="007B507C" w:rsidRPr="00E026DB" w:rsidRDefault="007B507C" w:rsidP="002E35EE">
      <w:pPr>
        <w:spacing w:line="360" w:lineRule="auto"/>
        <w:rPr>
          <w:rFonts w:asciiTheme="majorBidi" w:hAnsiTheme="majorBidi" w:cstheme="majorBidi"/>
          <w:b/>
          <w:bCs/>
          <w:sz w:val="24"/>
          <w:szCs w:val="24"/>
          <w:lang w:val="en-GB"/>
        </w:rPr>
      </w:pPr>
    </w:p>
    <w:p w14:paraId="6BB5C47E" w14:textId="3D571A8E" w:rsidR="00A93CFE" w:rsidRPr="00E026DB" w:rsidRDefault="00A93CFE" w:rsidP="002E35EE">
      <w:pPr>
        <w:spacing w:line="360" w:lineRule="auto"/>
        <w:rPr>
          <w:rFonts w:asciiTheme="majorBidi" w:hAnsiTheme="majorBidi" w:cstheme="majorBidi"/>
          <w:sz w:val="24"/>
          <w:szCs w:val="24"/>
          <w:lang w:val="en-GB"/>
        </w:rPr>
      </w:pPr>
      <w:r w:rsidRPr="00E026DB">
        <w:rPr>
          <w:rFonts w:asciiTheme="majorBidi" w:hAnsiTheme="majorBidi" w:cstheme="majorBidi"/>
          <w:sz w:val="24"/>
          <w:szCs w:val="24"/>
          <w:lang w:val="en-GB"/>
        </w:rPr>
        <w:t>One of the lesser understood aspects of the CFT space is the range and diversity of actors in it.  From my perspective as SR, when I am in country discussing terrorism financing and human rights obligations I am in conversation with ministries of finance, supervision authorities, sometime private actors (including banks, insurance companies).  To state the obvious</w:t>
      </w:r>
      <w:r w:rsidR="00E026DB" w:rsidRPr="00E026DB">
        <w:rPr>
          <w:rFonts w:asciiTheme="majorBidi" w:hAnsiTheme="majorBidi" w:cstheme="majorBidi"/>
          <w:sz w:val="24"/>
          <w:szCs w:val="24"/>
          <w:lang w:val="en-GB"/>
        </w:rPr>
        <w:t>,</w:t>
      </w:r>
      <w:r w:rsidRPr="00E026DB">
        <w:rPr>
          <w:rFonts w:asciiTheme="majorBidi" w:hAnsiTheme="majorBidi" w:cstheme="majorBidi"/>
          <w:sz w:val="24"/>
          <w:szCs w:val="24"/>
          <w:lang w:val="en-GB"/>
        </w:rPr>
        <w:t xml:space="preserve"> these are not sectors well-known for their human rights deep dives, or communities of practice well-versed in human rights obligations, including human rights obligations that can be derived by corporate entities.</w:t>
      </w:r>
      <w:r w:rsidR="00E026DB" w:rsidRPr="00E026DB">
        <w:rPr>
          <w:rStyle w:val="FootnoteReference"/>
          <w:rFonts w:asciiTheme="majorBidi" w:hAnsiTheme="majorBidi" w:cstheme="majorBidi"/>
          <w:sz w:val="24"/>
          <w:szCs w:val="24"/>
          <w:lang w:val="en-GB"/>
        </w:rPr>
        <w:footnoteReference w:id="13"/>
      </w:r>
      <w:r w:rsidRPr="00E026DB">
        <w:rPr>
          <w:rFonts w:asciiTheme="majorBidi" w:hAnsiTheme="majorBidi" w:cstheme="majorBidi"/>
          <w:sz w:val="24"/>
          <w:szCs w:val="24"/>
          <w:lang w:val="en-GB"/>
        </w:rPr>
        <w:t xml:space="preserve"> These entities are often ‘conservative’ in the sense that they view such matters as rights enforcement outside of their sphere of competence or inherently political and not legal obligations in the formal, traditional sense.  These constitutes are often risk-averse, meaning what when one speaks of a risk</w:t>
      </w:r>
      <w:r w:rsidR="00E026DB" w:rsidRPr="00E026DB">
        <w:rPr>
          <w:rFonts w:asciiTheme="majorBidi" w:hAnsiTheme="majorBidi" w:cstheme="majorBidi"/>
          <w:sz w:val="24"/>
          <w:szCs w:val="24"/>
          <w:lang w:val="en-GB"/>
        </w:rPr>
        <w:t>-</w:t>
      </w:r>
      <w:r w:rsidRPr="00E026DB">
        <w:rPr>
          <w:rFonts w:asciiTheme="majorBidi" w:hAnsiTheme="majorBidi" w:cstheme="majorBidi"/>
          <w:sz w:val="24"/>
          <w:szCs w:val="24"/>
          <w:lang w:val="en-GB"/>
        </w:rPr>
        <w:t xml:space="preserve">based approach this can be translated into a ‘take no risk’ (over-inclusive) approach.  One clear element then is to educate and address the understanding of these constituencies of the value, norms and need to address civil society impacts, including the specific human rights consequences of </w:t>
      </w:r>
      <w:r w:rsidR="00B84F74" w:rsidRPr="00E026DB">
        <w:rPr>
          <w:rFonts w:asciiTheme="majorBidi" w:hAnsiTheme="majorBidi" w:cstheme="majorBidi"/>
          <w:sz w:val="24"/>
          <w:szCs w:val="24"/>
          <w:lang w:val="en-GB"/>
        </w:rPr>
        <w:t xml:space="preserve">over-inclusive risk approaches. </w:t>
      </w:r>
    </w:p>
    <w:p w14:paraId="51A295BF" w14:textId="6557AA42" w:rsidR="00E026DB" w:rsidRPr="00E026DB" w:rsidRDefault="00E026DB" w:rsidP="002E35EE">
      <w:pPr>
        <w:spacing w:line="360" w:lineRule="auto"/>
        <w:rPr>
          <w:rFonts w:asciiTheme="majorBidi" w:hAnsiTheme="majorBidi" w:cstheme="majorBidi"/>
          <w:sz w:val="24"/>
          <w:szCs w:val="24"/>
          <w:lang w:val="en-GB"/>
        </w:rPr>
      </w:pPr>
    </w:p>
    <w:p w14:paraId="690D406B" w14:textId="77777777" w:rsidR="007B507C" w:rsidRDefault="00E026DB" w:rsidP="00E026DB">
      <w:pPr>
        <w:spacing w:line="360" w:lineRule="auto"/>
        <w:rPr>
          <w:rFonts w:asciiTheme="majorBidi" w:hAnsiTheme="majorBidi" w:cstheme="majorBidi"/>
          <w:b/>
          <w:bCs/>
          <w:color w:val="000000" w:themeColor="text1"/>
          <w:sz w:val="24"/>
          <w:szCs w:val="24"/>
          <w:lang w:val="en-GB"/>
        </w:rPr>
      </w:pPr>
      <w:r w:rsidRPr="00E026DB">
        <w:rPr>
          <w:rFonts w:asciiTheme="majorBidi" w:hAnsiTheme="majorBidi" w:cstheme="majorBidi"/>
          <w:b/>
          <w:bCs/>
          <w:color w:val="000000" w:themeColor="text1"/>
          <w:sz w:val="24"/>
          <w:szCs w:val="24"/>
          <w:lang w:val="en-GB"/>
        </w:rPr>
        <w:t>Examples of Good Practice</w:t>
      </w:r>
    </w:p>
    <w:p w14:paraId="75DBEFEE" w14:textId="2DAD366A" w:rsidR="00E026DB" w:rsidRDefault="00E026DB" w:rsidP="00E026DB">
      <w:pPr>
        <w:spacing w:line="360" w:lineRule="auto"/>
        <w:rPr>
          <w:rStyle w:val="Strong"/>
          <w:rFonts w:asciiTheme="majorBidi" w:eastAsiaTheme="majorEastAsia" w:hAnsiTheme="majorBidi" w:cstheme="majorBidi"/>
          <w:b w:val="0"/>
          <w:bCs w:val="0"/>
          <w:color w:val="000000" w:themeColor="text1"/>
          <w:sz w:val="24"/>
          <w:szCs w:val="24"/>
        </w:rPr>
      </w:pPr>
      <w:r w:rsidRPr="00E026DB">
        <w:rPr>
          <w:rFonts w:asciiTheme="majorBidi" w:hAnsiTheme="majorBidi" w:cstheme="majorBidi"/>
          <w:b/>
          <w:bCs/>
          <w:color w:val="000000" w:themeColor="text1"/>
          <w:sz w:val="24"/>
          <w:szCs w:val="24"/>
        </w:rPr>
        <w:br/>
      </w:r>
      <w:r w:rsidR="00AB4F2F">
        <w:rPr>
          <w:rStyle w:val="Strong"/>
          <w:rFonts w:asciiTheme="majorBidi" w:eastAsiaTheme="majorEastAsia" w:hAnsiTheme="majorBidi" w:cstheme="majorBidi"/>
          <w:b w:val="0"/>
          <w:bCs w:val="0"/>
          <w:color w:val="000000" w:themeColor="text1"/>
          <w:sz w:val="24"/>
          <w:szCs w:val="24"/>
        </w:rPr>
        <w:t>Given the focus on the challenges we face, I thought it would be helpful to point out areas of good practice where, as Special Rapporteur, I have observed States to be taking positive and well-directed action to include civil society.</w:t>
      </w:r>
    </w:p>
    <w:p w14:paraId="1912EBC3" w14:textId="77777777" w:rsidR="00AB4F2F" w:rsidRPr="00AB4F2F" w:rsidRDefault="00AB4F2F" w:rsidP="00E026DB">
      <w:pPr>
        <w:spacing w:line="360" w:lineRule="auto"/>
        <w:rPr>
          <w:rStyle w:val="Strong"/>
          <w:rFonts w:asciiTheme="majorBidi" w:eastAsiaTheme="majorEastAsia" w:hAnsiTheme="majorBidi" w:cstheme="majorBidi"/>
          <w:b w:val="0"/>
          <w:bCs w:val="0"/>
          <w:color w:val="000000" w:themeColor="text1"/>
          <w:sz w:val="24"/>
          <w:szCs w:val="24"/>
        </w:rPr>
      </w:pPr>
    </w:p>
    <w:p w14:paraId="1F233EB7" w14:textId="2D471282" w:rsidR="00E026DB" w:rsidRPr="00E26076" w:rsidRDefault="00E026DB" w:rsidP="00E26076">
      <w:pPr>
        <w:spacing w:line="360" w:lineRule="auto"/>
        <w:rPr>
          <w:rFonts w:asciiTheme="majorBidi" w:hAnsiTheme="majorBidi" w:cstheme="majorBidi"/>
          <w:b/>
          <w:bCs/>
          <w:color w:val="000000" w:themeColor="text1"/>
          <w:sz w:val="24"/>
          <w:szCs w:val="24"/>
          <w:lang w:val="en-GB"/>
        </w:rPr>
      </w:pPr>
      <w:r w:rsidRPr="00E026DB">
        <w:rPr>
          <w:rStyle w:val="Strong"/>
          <w:rFonts w:asciiTheme="majorBidi" w:eastAsiaTheme="majorEastAsia" w:hAnsiTheme="majorBidi" w:cstheme="majorBidi"/>
          <w:color w:val="000000" w:themeColor="text1"/>
          <w:sz w:val="24"/>
          <w:szCs w:val="24"/>
        </w:rPr>
        <w:t>Tunisia</w:t>
      </w:r>
      <w:r w:rsidRPr="00E026DB">
        <w:rPr>
          <w:rFonts w:asciiTheme="majorBidi" w:hAnsiTheme="majorBidi" w:cstheme="majorBidi"/>
          <w:color w:val="000000" w:themeColor="text1"/>
          <w:sz w:val="24"/>
          <w:szCs w:val="24"/>
        </w:rPr>
        <w:t>: State institutions (including the FIU, the General Directorate of Associations and Political Parties at the Presidency of the Government, the Anti-Terrorism Commission) and local NPOs collaborated effectively to update the risk assessment of the sector using a methodology provided by a Global NPO Coalition member</w:t>
      </w:r>
      <w:r w:rsidR="00AB4F2F">
        <w:rPr>
          <w:rFonts w:asciiTheme="majorBidi" w:hAnsiTheme="majorBidi" w:cstheme="majorBidi"/>
          <w:color w:val="000000" w:themeColor="text1"/>
          <w:sz w:val="24"/>
          <w:szCs w:val="24"/>
        </w:rPr>
        <w:t xml:space="preserve">. </w:t>
      </w:r>
      <w:r w:rsidRPr="00E026DB">
        <w:rPr>
          <w:rFonts w:asciiTheme="majorBidi" w:hAnsiTheme="majorBidi" w:cstheme="majorBidi"/>
          <w:color w:val="000000" w:themeColor="text1"/>
          <w:sz w:val="24"/>
          <w:szCs w:val="24"/>
        </w:rPr>
        <w:t xml:space="preserve">The collaboration, and the work done on implementing Recommendation 8 in a way which protects civil society freedoms, </w:t>
      </w:r>
      <w:r w:rsidRPr="00E026DB">
        <w:rPr>
          <w:rFonts w:asciiTheme="majorBidi" w:hAnsiTheme="majorBidi" w:cstheme="majorBidi"/>
          <w:color w:val="000000" w:themeColor="text1"/>
          <w:sz w:val="24"/>
          <w:szCs w:val="24"/>
        </w:rPr>
        <w:lastRenderedPageBreak/>
        <w:t>has been much valued all round</w:t>
      </w:r>
      <w:r w:rsidR="00AB4F2F">
        <w:rPr>
          <w:rFonts w:asciiTheme="majorBidi" w:hAnsiTheme="majorBidi" w:cstheme="majorBidi"/>
          <w:color w:val="000000" w:themeColor="text1"/>
          <w:sz w:val="24"/>
          <w:szCs w:val="24"/>
        </w:rPr>
        <w:t xml:space="preserve"> --</w:t>
      </w:r>
      <w:r w:rsidRPr="00E026DB">
        <w:rPr>
          <w:rFonts w:asciiTheme="majorBidi" w:hAnsiTheme="majorBidi" w:cstheme="majorBidi"/>
          <w:color w:val="000000" w:themeColor="text1"/>
          <w:sz w:val="24"/>
          <w:szCs w:val="24"/>
        </w:rPr>
        <w:t xml:space="preserve"> leading to Tunisia being found Compliant with Recommendation 8 in 2019 – one of only six countries globally to be rated so. Just as importantly, there is now</w:t>
      </w:r>
      <w:r w:rsidR="00AB4F2F">
        <w:rPr>
          <w:rFonts w:asciiTheme="majorBidi" w:hAnsiTheme="majorBidi" w:cstheme="majorBidi"/>
          <w:color w:val="000000" w:themeColor="text1"/>
          <w:sz w:val="24"/>
          <w:szCs w:val="24"/>
        </w:rPr>
        <w:t xml:space="preserve"> I believe</w:t>
      </w:r>
      <w:r w:rsidRPr="00E026DB">
        <w:rPr>
          <w:rFonts w:asciiTheme="majorBidi" w:hAnsiTheme="majorBidi" w:cstheme="majorBidi"/>
          <w:color w:val="000000" w:themeColor="text1"/>
          <w:sz w:val="24"/>
          <w:szCs w:val="24"/>
        </w:rPr>
        <w:t xml:space="preserve"> a genuine trust and partnership between government and civil society on issues relating to possible TF risks in the NPO sector and measures to be implemented to mitigate these risks. The FATF has also now removed Tunisia </w:t>
      </w:r>
      <w:r w:rsidRPr="00E26076">
        <w:rPr>
          <w:rFonts w:asciiTheme="majorBidi" w:hAnsiTheme="majorBidi" w:cstheme="majorBidi"/>
          <w:color w:val="000000" w:themeColor="text1"/>
          <w:sz w:val="24"/>
          <w:szCs w:val="24"/>
        </w:rPr>
        <w:t>from its ‘high-risk and other monitored jurisdictions’ list. The final risk assessment report is expected to be published in October 2020, at the joint (online) event with civil society and the government.</w:t>
      </w:r>
    </w:p>
    <w:p w14:paraId="2629A80E" w14:textId="41E3B7E5" w:rsidR="00E026DB" w:rsidRPr="00E26076" w:rsidRDefault="00E026DB" w:rsidP="00E26076">
      <w:pPr>
        <w:spacing w:beforeAutospacing="1" w:line="360" w:lineRule="auto"/>
        <w:rPr>
          <w:rFonts w:asciiTheme="majorBidi" w:hAnsiTheme="majorBidi" w:cstheme="majorBidi"/>
          <w:color w:val="000000" w:themeColor="text1"/>
          <w:sz w:val="24"/>
          <w:szCs w:val="24"/>
        </w:rPr>
      </w:pPr>
      <w:r w:rsidRPr="00E26076">
        <w:rPr>
          <w:rFonts w:asciiTheme="majorBidi" w:hAnsiTheme="majorBidi" w:cstheme="majorBidi"/>
          <w:b/>
          <w:bCs/>
          <w:color w:val="000000" w:themeColor="text1"/>
          <w:sz w:val="24"/>
          <w:szCs w:val="24"/>
        </w:rPr>
        <w:t>Kosovo</w:t>
      </w:r>
      <w:r w:rsidRPr="00E26076">
        <w:rPr>
          <w:rFonts w:asciiTheme="majorBidi" w:hAnsiTheme="majorBidi" w:cstheme="majorBidi"/>
          <w:color w:val="000000" w:themeColor="text1"/>
          <w:sz w:val="24"/>
          <w:szCs w:val="24"/>
        </w:rPr>
        <w:t xml:space="preserve">: Expert Hub CSO member, along with a group of local CSOs, co-lead and participated in the government </w:t>
      </w:r>
      <w:r w:rsidR="00E26076">
        <w:rPr>
          <w:rFonts w:asciiTheme="majorBidi" w:hAnsiTheme="majorBidi" w:cstheme="majorBidi"/>
          <w:color w:val="000000" w:themeColor="text1"/>
          <w:sz w:val="24"/>
          <w:szCs w:val="24"/>
        </w:rPr>
        <w:t xml:space="preserve">‘s </w:t>
      </w:r>
      <w:r w:rsidRPr="00E26076">
        <w:rPr>
          <w:rFonts w:asciiTheme="majorBidi" w:hAnsiTheme="majorBidi" w:cstheme="majorBidi"/>
          <w:color w:val="000000" w:themeColor="text1"/>
          <w:sz w:val="24"/>
          <w:szCs w:val="24"/>
        </w:rPr>
        <w:t>working group on conducting a risk assessment on non-profit sector during 2017/2018. Through coordinated activity, CSOs managed to provide substantive input into a draft risk assessment report and also secured additional time from the government for internal sectoral consultation on the report. As a result, the risk assessment report, which is public, does not include proposals for harmful measures or legislative restrictions specifically targeting CSOs, as it adopted CSO suggestions. In addition, Kosovo CSOs participated in country evaluation meeting with evaluators during 2018</w:t>
      </w:r>
      <w:r w:rsidR="00E26076">
        <w:rPr>
          <w:rFonts w:asciiTheme="majorBidi" w:hAnsiTheme="majorBidi" w:cstheme="majorBidi"/>
          <w:color w:val="000000" w:themeColor="text1"/>
          <w:sz w:val="24"/>
          <w:szCs w:val="24"/>
        </w:rPr>
        <w:t>.</w:t>
      </w:r>
      <w:r w:rsidRPr="00E26076">
        <w:rPr>
          <w:rFonts w:asciiTheme="majorBidi" w:hAnsiTheme="majorBidi" w:cstheme="majorBidi"/>
          <w:color w:val="000000" w:themeColor="text1"/>
          <w:sz w:val="24"/>
          <w:szCs w:val="24"/>
        </w:rPr>
        <w:t xml:space="preserve"> This engagement served as a positive example for Hub members from other countries and is featured in the new FATF Guidance on Risk Assessment, as a good practice.</w:t>
      </w:r>
    </w:p>
    <w:p w14:paraId="368C502D" w14:textId="2BEE47A5" w:rsidR="00E026DB" w:rsidRPr="00E26076" w:rsidRDefault="00E026DB" w:rsidP="00E26076">
      <w:pPr>
        <w:spacing w:before="100" w:beforeAutospacing="1" w:after="100" w:afterAutospacing="1" w:line="360" w:lineRule="auto"/>
        <w:rPr>
          <w:rFonts w:asciiTheme="majorBidi" w:hAnsiTheme="majorBidi" w:cstheme="majorBidi"/>
          <w:color w:val="000000" w:themeColor="text1"/>
          <w:sz w:val="24"/>
          <w:szCs w:val="24"/>
        </w:rPr>
      </w:pPr>
      <w:r w:rsidRPr="00E26076">
        <w:rPr>
          <w:rStyle w:val="Strong"/>
          <w:rFonts w:asciiTheme="majorBidi" w:eastAsiaTheme="majorEastAsia" w:hAnsiTheme="majorBidi" w:cstheme="majorBidi"/>
          <w:color w:val="000000" w:themeColor="text1"/>
          <w:sz w:val="24"/>
          <w:szCs w:val="24"/>
        </w:rPr>
        <w:t>Nigeria</w:t>
      </w:r>
      <w:r w:rsidRPr="00E26076">
        <w:rPr>
          <w:rFonts w:asciiTheme="majorBidi" w:hAnsiTheme="majorBidi" w:cstheme="majorBidi"/>
          <w:color w:val="000000" w:themeColor="text1"/>
          <w:sz w:val="24"/>
          <w:szCs w:val="24"/>
        </w:rPr>
        <w:t>: Nigeria published</w:t>
      </w:r>
      <w:r w:rsidR="00E26076" w:rsidRPr="00E26076">
        <w:rPr>
          <w:rFonts w:asciiTheme="majorBidi" w:hAnsiTheme="majorBidi" w:cstheme="majorBidi"/>
          <w:color w:val="000000" w:themeColor="text1"/>
          <w:sz w:val="24"/>
          <w:szCs w:val="24"/>
        </w:rPr>
        <w:t xml:space="preserve"> a National Risk Assessment for</w:t>
      </w:r>
      <w:r w:rsidRPr="00E26076">
        <w:rPr>
          <w:rFonts w:asciiTheme="majorBidi" w:hAnsiTheme="majorBidi" w:cstheme="majorBidi"/>
          <w:color w:val="000000" w:themeColor="text1"/>
          <w:sz w:val="24"/>
          <w:szCs w:val="24"/>
        </w:rPr>
        <w:t xml:space="preserve"> </w:t>
      </w:r>
      <w:r w:rsidR="00E26076">
        <w:rPr>
          <w:rFonts w:asciiTheme="majorBidi" w:hAnsiTheme="majorBidi" w:cstheme="majorBidi"/>
          <w:color w:val="000000" w:themeColor="text1"/>
          <w:sz w:val="24"/>
          <w:szCs w:val="24"/>
        </w:rPr>
        <w:t xml:space="preserve">Terrorism Financing </w:t>
      </w:r>
      <w:r w:rsidRPr="00E26076">
        <w:rPr>
          <w:rFonts w:asciiTheme="majorBidi" w:hAnsiTheme="majorBidi" w:cstheme="majorBidi"/>
          <w:color w:val="000000" w:themeColor="text1"/>
          <w:sz w:val="24"/>
          <w:szCs w:val="24"/>
        </w:rPr>
        <w:t>and ML (completed in 2016), which identified Designated Non-Financial Businesses and Institutions (DNFIs), of which NPOs are a subset, as being amongst those sectors most vulnerable to ML/TF.</w:t>
      </w:r>
      <w:r w:rsidR="00E26076">
        <w:rPr>
          <w:rStyle w:val="FootnoteReference"/>
          <w:rFonts w:asciiTheme="majorBidi" w:hAnsiTheme="majorBidi" w:cstheme="majorBidi"/>
          <w:color w:val="000000" w:themeColor="text1"/>
          <w:sz w:val="24"/>
          <w:szCs w:val="24"/>
        </w:rPr>
        <w:footnoteReference w:id="14"/>
      </w:r>
      <w:r w:rsidRPr="00E26076">
        <w:rPr>
          <w:rFonts w:asciiTheme="majorBidi" w:hAnsiTheme="majorBidi" w:cstheme="majorBidi"/>
          <w:color w:val="000000" w:themeColor="text1"/>
          <w:sz w:val="24"/>
          <w:szCs w:val="24"/>
        </w:rPr>
        <w:t xml:space="preserve"> Spaces for Change,</w:t>
      </w:r>
      <w:r w:rsidR="00BD75F9">
        <w:rPr>
          <w:rFonts w:asciiTheme="majorBidi" w:hAnsiTheme="majorBidi" w:cstheme="majorBidi"/>
          <w:color w:val="000000" w:themeColor="text1"/>
          <w:sz w:val="24"/>
          <w:szCs w:val="24"/>
        </w:rPr>
        <w:t xml:space="preserve"> challenged</w:t>
      </w:r>
      <w:r w:rsidRPr="00E26076">
        <w:rPr>
          <w:rFonts w:asciiTheme="majorBidi" w:hAnsiTheme="majorBidi" w:cstheme="majorBidi"/>
          <w:color w:val="000000" w:themeColor="text1"/>
          <w:sz w:val="24"/>
          <w:szCs w:val="24"/>
        </w:rPr>
        <w:t xml:space="preserve"> (2019) this assessment of risk for the non-profit sector,</w:t>
      </w:r>
      <w:r w:rsidR="00BD75F9">
        <w:rPr>
          <w:rStyle w:val="FootnoteReference"/>
          <w:rFonts w:asciiTheme="majorBidi" w:hAnsiTheme="majorBidi" w:cstheme="majorBidi"/>
          <w:color w:val="000000" w:themeColor="text1"/>
          <w:sz w:val="24"/>
          <w:szCs w:val="24"/>
        </w:rPr>
        <w:footnoteReference w:id="15"/>
      </w:r>
      <w:r w:rsidRPr="00E26076">
        <w:rPr>
          <w:rFonts w:asciiTheme="majorBidi" w:hAnsiTheme="majorBidi" w:cstheme="majorBidi"/>
          <w:color w:val="000000" w:themeColor="text1"/>
          <w:sz w:val="24"/>
          <w:szCs w:val="24"/>
        </w:rPr>
        <w:t xml:space="preserve"> disputing the official classification of NPOs as DNFIs and teasing out the nuances between vulnerability and threat, among other issues. The report led to increased and constructive engagement with the FIU (SCUML) and other government and NPO stakeholders, including GIABA, the FATF-Style Regional Body for West Africa.</w:t>
      </w:r>
    </w:p>
    <w:p w14:paraId="52CF8388" w14:textId="56C48E7C" w:rsidR="00E50D8D" w:rsidRPr="00E26076" w:rsidRDefault="00E026DB" w:rsidP="00E26076">
      <w:pPr>
        <w:spacing w:before="100" w:beforeAutospacing="1" w:after="100" w:afterAutospacing="1" w:line="360" w:lineRule="auto"/>
        <w:rPr>
          <w:rFonts w:asciiTheme="majorBidi" w:hAnsiTheme="majorBidi" w:cstheme="majorBidi"/>
          <w:color w:val="000000" w:themeColor="text1"/>
          <w:sz w:val="24"/>
          <w:szCs w:val="24"/>
        </w:rPr>
      </w:pPr>
      <w:r w:rsidRPr="00E26076">
        <w:rPr>
          <w:rFonts w:asciiTheme="majorBidi" w:hAnsiTheme="majorBidi" w:cstheme="majorBidi"/>
          <w:b/>
          <w:bCs/>
          <w:color w:val="000000" w:themeColor="text1"/>
          <w:sz w:val="24"/>
          <w:szCs w:val="24"/>
        </w:rPr>
        <w:t>United Kingdom</w:t>
      </w:r>
      <w:r w:rsidRPr="00E26076">
        <w:rPr>
          <w:rFonts w:asciiTheme="majorBidi" w:hAnsiTheme="majorBidi" w:cstheme="majorBidi"/>
          <w:color w:val="000000" w:themeColor="text1"/>
          <w:sz w:val="24"/>
          <w:szCs w:val="24"/>
        </w:rPr>
        <w:t>: The</w:t>
      </w:r>
      <w:r w:rsidR="00E26076" w:rsidRPr="00E26076">
        <w:rPr>
          <w:rFonts w:asciiTheme="majorBidi" w:hAnsiTheme="majorBidi" w:cstheme="majorBidi"/>
          <w:color w:val="000000" w:themeColor="text1"/>
          <w:sz w:val="24"/>
          <w:szCs w:val="24"/>
        </w:rPr>
        <w:t xml:space="preserve"> 2017 National Risk Assessment assessed the </w:t>
      </w:r>
      <w:r w:rsidRPr="00E26076">
        <w:rPr>
          <w:rFonts w:asciiTheme="majorBidi" w:hAnsiTheme="majorBidi" w:cstheme="majorBidi"/>
          <w:color w:val="000000" w:themeColor="text1"/>
          <w:sz w:val="24"/>
          <w:szCs w:val="24"/>
        </w:rPr>
        <w:t>risk of abuse of nonprofits for terrorism financing as ‘low’.</w:t>
      </w:r>
      <w:r w:rsidR="00E26076" w:rsidRPr="00E26076">
        <w:rPr>
          <w:rStyle w:val="FootnoteReference"/>
          <w:rFonts w:asciiTheme="majorBidi" w:hAnsiTheme="majorBidi" w:cstheme="majorBidi"/>
          <w:color w:val="000000" w:themeColor="text1"/>
          <w:sz w:val="24"/>
          <w:szCs w:val="24"/>
        </w:rPr>
        <w:footnoteReference w:id="16"/>
      </w:r>
      <w:r w:rsidRPr="00E26076">
        <w:rPr>
          <w:rFonts w:asciiTheme="majorBidi" w:hAnsiTheme="majorBidi" w:cstheme="majorBidi"/>
          <w:color w:val="000000" w:themeColor="text1"/>
          <w:sz w:val="24"/>
          <w:szCs w:val="24"/>
        </w:rPr>
        <w:t xml:space="preserve"> It also flagged the issue and impact of bank </w:t>
      </w:r>
      <w:proofErr w:type="spellStart"/>
      <w:r w:rsidRPr="00E26076">
        <w:rPr>
          <w:rFonts w:asciiTheme="majorBidi" w:hAnsiTheme="majorBidi" w:cstheme="majorBidi"/>
          <w:color w:val="000000" w:themeColor="text1"/>
          <w:sz w:val="24"/>
          <w:szCs w:val="24"/>
        </w:rPr>
        <w:lastRenderedPageBreak/>
        <w:t>derisking</w:t>
      </w:r>
      <w:proofErr w:type="spellEnd"/>
      <w:r w:rsidRPr="00E26076">
        <w:rPr>
          <w:rFonts w:asciiTheme="majorBidi" w:hAnsiTheme="majorBidi" w:cstheme="majorBidi"/>
          <w:color w:val="000000" w:themeColor="text1"/>
          <w:sz w:val="24"/>
          <w:szCs w:val="24"/>
        </w:rPr>
        <w:t xml:space="preserve"> on charities. The earlier</w:t>
      </w:r>
      <w:r w:rsidR="00E26076" w:rsidRPr="00E26076">
        <w:rPr>
          <w:rFonts w:asciiTheme="majorBidi" w:hAnsiTheme="majorBidi" w:cstheme="majorBidi"/>
          <w:color w:val="000000" w:themeColor="text1"/>
          <w:sz w:val="24"/>
          <w:szCs w:val="24"/>
        </w:rPr>
        <w:t xml:space="preserve"> 2015 National Risk Assessment had </w:t>
      </w:r>
      <w:r w:rsidRPr="00E26076">
        <w:rPr>
          <w:rFonts w:asciiTheme="majorBidi" w:hAnsiTheme="majorBidi" w:cstheme="majorBidi"/>
          <w:color w:val="000000" w:themeColor="text1"/>
          <w:sz w:val="24"/>
          <w:szCs w:val="24"/>
        </w:rPr>
        <w:t>assessed NPO risk to terrorism financing as ‘medium’</w:t>
      </w:r>
      <w:r w:rsidR="00E26076" w:rsidRPr="00E26076">
        <w:rPr>
          <w:rFonts w:asciiTheme="majorBidi" w:hAnsiTheme="majorBidi" w:cstheme="majorBidi"/>
          <w:color w:val="000000" w:themeColor="text1"/>
          <w:sz w:val="24"/>
          <w:szCs w:val="24"/>
        </w:rPr>
        <w:t>.</w:t>
      </w:r>
      <w:r w:rsidR="00E26076" w:rsidRPr="00E26076">
        <w:rPr>
          <w:rStyle w:val="FootnoteReference"/>
          <w:rFonts w:asciiTheme="majorBidi" w:hAnsiTheme="majorBidi" w:cstheme="majorBidi"/>
          <w:color w:val="000000" w:themeColor="text1"/>
          <w:sz w:val="24"/>
          <w:szCs w:val="24"/>
        </w:rPr>
        <w:footnoteReference w:id="17"/>
      </w:r>
    </w:p>
    <w:p w14:paraId="5BA66003" w14:textId="1852B0A8" w:rsidR="00E50D8D" w:rsidRPr="00E26076" w:rsidRDefault="00E26076" w:rsidP="00E26076">
      <w:pPr>
        <w:spacing w:line="360" w:lineRule="auto"/>
        <w:rPr>
          <w:rFonts w:asciiTheme="majorBidi" w:hAnsiTheme="majorBidi" w:cstheme="majorBidi"/>
          <w:b/>
          <w:bCs/>
          <w:sz w:val="24"/>
          <w:szCs w:val="24"/>
        </w:rPr>
      </w:pPr>
      <w:r w:rsidRPr="00E26076">
        <w:rPr>
          <w:rFonts w:asciiTheme="majorBidi" w:hAnsiTheme="majorBidi" w:cstheme="majorBidi"/>
          <w:b/>
          <w:bCs/>
          <w:sz w:val="24"/>
          <w:szCs w:val="24"/>
        </w:rPr>
        <w:t xml:space="preserve">Conclusion </w:t>
      </w:r>
    </w:p>
    <w:p w14:paraId="527303B3" w14:textId="577A6CD1" w:rsidR="00E26076" w:rsidRDefault="00E26076" w:rsidP="004D612F">
      <w:pPr>
        <w:pStyle w:val="NormalWeb"/>
        <w:spacing w:line="360" w:lineRule="auto"/>
        <w:rPr>
          <w:rFonts w:asciiTheme="majorBidi" w:hAnsiTheme="majorBidi" w:cstheme="majorBidi"/>
          <w:color w:val="211E1E"/>
        </w:rPr>
      </w:pPr>
      <w:r w:rsidRPr="00E26076">
        <w:rPr>
          <w:rFonts w:asciiTheme="majorBidi" w:hAnsiTheme="majorBidi" w:cstheme="majorBidi"/>
          <w:color w:val="211E1E"/>
        </w:rPr>
        <w:t>Civil society in particular has a crucial role to play as an important vehicle for facilitating public involvement in decision-making processes</w:t>
      </w:r>
      <w:r w:rsidR="004D612F">
        <w:rPr>
          <w:rFonts w:asciiTheme="majorBidi" w:hAnsiTheme="majorBidi" w:cstheme="majorBidi"/>
          <w:color w:val="211E1E"/>
        </w:rPr>
        <w:t xml:space="preserve"> including on countering terrorism financing</w:t>
      </w:r>
      <w:r w:rsidRPr="00E26076">
        <w:rPr>
          <w:rFonts w:asciiTheme="majorBidi" w:hAnsiTheme="majorBidi" w:cstheme="majorBidi"/>
          <w:color w:val="211E1E"/>
        </w:rPr>
        <w:t xml:space="preserve">. As such, trust-based collaborative partnerships with civil society are well placed to improve policy-making through enhanced identification of the policy needs of different groups and develop relevant solutions. </w:t>
      </w:r>
      <w:r w:rsidR="004D612F">
        <w:rPr>
          <w:rFonts w:asciiTheme="majorBidi" w:hAnsiTheme="majorBidi" w:cstheme="majorBidi"/>
        </w:rPr>
        <w:t xml:space="preserve"> </w:t>
      </w:r>
      <w:r w:rsidRPr="00E26076">
        <w:rPr>
          <w:rFonts w:asciiTheme="majorBidi" w:hAnsiTheme="majorBidi" w:cstheme="majorBidi"/>
          <w:color w:val="211E1E"/>
        </w:rPr>
        <w:t xml:space="preserve">It is imperative that States create a safe and enabling environment in law and in practice that allows civil society, broadly defined, to participate in public affairs at the domestic, but also at regional, and international levels. Regional and international law and policy-making has however frequently been described as suffering from a ‘democratic deficit’, which commonly manifests in ways in which civil society actors are engaged in these spaces. </w:t>
      </w:r>
    </w:p>
    <w:p w14:paraId="0EAD77BA" w14:textId="2235C95B" w:rsidR="004D612F" w:rsidRPr="004D612F" w:rsidRDefault="007B507C" w:rsidP="00BD75F9">
      <w:pPr>
        <w:pStyle w:val="NormalWeb"/>
        <w:spacing w:before="0" w:beforeAutospacing="0" w:after="0" w:afterAutospacing="0" w:line="360" w:lineRule="auto"/>
        <w:rPr>
          <w:rFonts w:asciiTheme="majorBidi" w:hAnsiTheme="majorBidi" w:cstheme="majorBidi"/>
          <w:color w:val="211E1E"/>
        </w:rPr>
      </w:pPr>
      <w:r>
        <w:rPr>
          <w:rFonts w:asciiTheme="majorBidi" w:hAnsiTheme="majorBidi" w:cstheme="majorBidi"/>
          <w:color w:val="211E1E"/>
        </w:rPr>
        <w:t xml:space="preserve">It is also important that we model  participation at the global level.  We cannot tell States to include civil society if international organizations and entities (including inter-governmental fora) do not practice what they preach.  </w:t>
      </w:r>
      <w:r w:rsidR="004D612F" w:rsidRPr="004D612F">
        <w:rPr>
          <w:rFonts w:asciiTheme="majorBidi" w:hAnsiTheme="majorBidi" w:cstheme="majorBidi"/>
          <w:color w:val="211E1E"/>
        </w:rPr>
        <w:t xml:space="preserve">For the GCTF </w:t>
      </w:r>
      <w:r w:rsidR="004D612F">
        <w:rPr>
          <w:rFonts w:asciiTheme="majorBidi" w:hAnsiTheme="majorBidi" w:cstheme="majorBidi"/>
          <w:color w:val="211E1E"/>
        </w:rPr>
        <w:t xml:space="preserve">in order to ‘practice what we preach’ </w:t>
      </w:r>
      <w:r w:rsidR="004D612F" w:rsidRPr="004D612F">
        <w:rPr>
          <w:rFonts w:asciiTheme="majorBidi" w:hAnsiTheme="majorBidi" w:cstheme="majorBidi"/>
          <w:color w:val="211E1E"/>
        </w:rPr>
        <w:t>working on issues of CTF this would mean in practice:</w:t>
      </w:r>
    </w:p>
    <w:p w14:paraId="5734905C" w14:textId="3AA55490" w:rsidR="004D612F" w:rsidRPr="004D612F" w:rsidRDefault="004D612F" w:rsidP="00BD75F9">
      <w:pPr>
        <w:pStyle w:val="NormalWeb"/>
        <w:spacing w:before="0" w:beforeAutospacing="0" w:after="0" w:afterAutospacing="0" w:line="360" w:lineRule="auto"/>
        <w:rPr>
          <w:rFonts w:asciiTheme="majorBidi" w:hAnsiTheme="majorBidi" w:cstheme="majorBidi"/>
        </w:rPr>
      </w:pPr>
      <w:r w:rsidRPr="004D612F">
        <w:rPr>
          <w:rFonts w:asciiTheme="majorBidi" w:hAnsiTheme="majorBidi" w:cstheme="majorBidi"/>
          <w:color w:val="211E1E"/>
        </w:rPr>
        <w:t>• Establish</w:t>
      </w:r>
      <w:r>
        <w:rPr>
          <w:rFonts w:asciiTheme="majorBidi" w:hAnsiTheme="majorBidi" w:cstheme="majorBidi"/>
          <w:color w:val="211E1E"/>
        </w:rPr>
        <w:t>ing</w:t>
      </w:r>
      <w:r w:rsidRPr="004D612F">
        <w:rPr>
          <w:rFonts w:asciiTheme="majorBidi" w:hAnsiTheme="majorBidi" w:cstheme="majorBidi"/>
          <w:color w:val="211E1E"/>
        </w:rPr>
        <w:t xml:space="preserve"> civil society focal points; </w:t>
      </w:r>
    </w:p>
    <w:p w14:paraId="16930D1D" w14:textId="15E42708" w:rsidR="004D612F" w:rsidRPr="004D612F" w:rsidRDefault="004D612F" w:rsidP="00BD75F9">
      <w:pPr>
        <w:pStyle w:val="NormalWeb"/>
        <w:spacing w:before="0" w:beforeAutospacing="0" w:after="0" w:afterAutospacing="0" w:line="360" w:lineRule="auto"/>
        <w:rPr>
          <w:rFonts w:asciiTheme="majorBidi" w:hAnsiTheme="majorBidi" w:cstheme="majorBidi"/>
        </w:rPr>
      </w:pPr>
      <w:r w:rsidRPr="004D612F">
        <w:rPr>
          <w:rFonts w:asciiTheme="majorBidi" w:hAnsiTheme="majorBidi" w:cstheme="majorBidi"/>
          <w:color w:val="211E1E"/>
        </w:rPr>
        <w:t>• Develop</w:t>
      </w:r>
      <w:r>
        <w:rPr>
          <w:rFonts w:asciiTheme="majorBidi" w:hAnsiTheme="majorBidi" w:cstheme="majorBidi"/>
          <w:color w:val="211E1E"/>
        </w:rPr>
        <w:t>ing</w:t>
      </w:r>
      <w:r w:rsidRPr="004D612F">
        <w:rPr>
          <w:rFonts w:asciiTheme="majorBidi" w:hAnsiTheme="majorBidi" w:cstheme="majorBidi"/>
          <w:color w:val="211E1E"/>
        </w:rPr>
        <w:t xml:space="preserve"> processes for granting observer, consultative or participatory status to civil society organizations or set up alternative permanent bases for reliable and meaningful cooperation; </w:t>
      </w:r>
    </w:p>
    <w:p w14:paraId="226AD665" w14:textId="375AB249" w:rsidR="004D612F" w:rsidRPr="004D612F" w:rsidRDefault="004D612F" w:rsidP="00BD75F9">
      <w:pPr>
        <w:pStyle w:val="NormalWeb"/>
        <w:spacing w:before="0" w:beforeAutospacing="0" w:after="0" w:afterAutospacing="0" w:line="360" w:lineRule="auto"/>
        <w:rPr>
          <w:rFonts w:asciiTheme="majorBidi" w:hAnsiTheme="majorBidi" w:cstheme="majorBidi"/>
        </w:rPr>
      </w:pPr>
      <w:r w:rsidRPr="004D612F">
        <w:rPr>
          <w:rFonts w:asciiTheme="majorBidi" w:hAnsiTheme="majorBidi" w:cstheme="majorBidi"/>
          <w:color w:val="211E1E"/>
        </w:rPr>
        <w:t>• Such status or other forms of cooperation should</w:t>
      </w:r>
      <w:r>
        <w:rPr>
          <w:rFonts w:asciiTheme="majorBidi" w:hAnsiTheme="majorBidi" w:cstheme="majorBidi"/>
          <w:color w:val="211E1E"/>
        </w:rPr>
        <w:t xml:space="preserve"> </w:t>
      </w:r>
      <w:r w:rsidRPr="004D612F">
        <w:rPr>
          <w:rFonts w:asciiTheme="majorBidi" w:hAnsiTheme="majorBidi" w:cstheme="majorBidi"/>
          <w:color w:val="211E1E"/>
        </w:rPr>
        <w:t xml:space="preserve">be based on clear, objective, transparent and non-discriminatory criteria and carried out in an accessible manner. Further, they should not be overly burdensome for civil society organizations who frequently grapple with shortages of monetary, human, and other resources; and </w:t>
      </w:r>
    </w:p>
    <w:p w14:paraId="77AFB7C1" w14:textId="77777777" w:rsidR="004D612F" w:rsidRPr="004D612F" w:rsidRDefault="004D612F" w:rsidP="00BD75F9">
      <w:pPr>
        <w:pStyle w:val="NormalWeb"/>
        <w:spacing w:before="0" w:beforeAutospacing="0" w:after="0" w:afterAutospacing="0" w:line="360" w:lineRule="auto"/>
        <w:rPr>
          <w:rFonts w:asciiTheme="majorBidi" w:hAnsiTheme="majorBidi" w:cstheme="majorBidi"/>
        </w:rPr>
      </w:pPr>
      <w:r w:rsidRPr="004D612F">
        <w:rPr>
          <w:rFonts w:asciiTheme="majorBidi" w:hAnsiTheme="majorBidi" w:cstheme="majorBidi"/>
          <w:color w:val="211E1E"/>
        </w:rPr>
        <w:t xml:space="preserve">• Undertake regular and transparent public reporting on engagement with civil society actors, and have such engagement be subjected to independent external evaluation. </w:t>
      </w:r>
    </w:p>
    <w:p w14:paraId="51A081BE" w14:textId="77777777" w:rsidR="004D612F" w:rsidRPr="00E26076" w:rsidRDefault="004D612F" w:rsidP="00BD75F9">
      <w:pPr>
        <w:pStyle w:val="NormalWeb"/>
        <w:spacing w:before="0" w:beforeAutospacing="0" w:after="0" w:afterAutospacing="0" w:line="360" w:lineRule="auto"/>
        <w:rPr>
          <w:rFonts w:asciiTheme="majorBidi" w:hAnsiTheme="majorBidi" w:cstheme="majorBidi"/>
        </w:rPr>
      </w:pPr>
    </w:p>
    <w:p w14:paraId="374FCE2F" w14:textId="2FFE68AA" w:rsidR="00E26076" w:rsidRPr="00E26076" w:rsidRDefault="00BD75F9" w:rsidP="00BD75F9">
      <w:pPr>
        <w:spacing w:line="360" w:lineRule="auto"/>
        <w:rPr>
          <w:rFonts w:asciiTheme="majorBidi" w:hAnsiTheme="majorBidi" w:cstheme="majorBidi"/>
          <w:b/>
          <w:bCs/>
          <w:sz w:val="24"/>
          <w:szCs w:val="24"/>
        </w:rPr>
      </w:pPr>
      <w:r>
        <w:rPr>
          <w:rFonts w:asciiTheme="majorBidi" w:hAnsiTheme="majorBidi" w:cstheme="majorBidi"/>
          <w:b/>
          <w:bCs/>
          <w:sz w:val="24"/>
          <w:szCs w:val="24"/>
        </w:rPr>
        <w:t>Thank you for your time.  I look forward to taking questions.</w:t>
      </w:r>
    </w:p>
    <w:p w14:paraId="5615D25E" w14:textId="1E3451D1" w:rsidR="00E50D8D" w:rsidRPr="00E026DB" w:rsidRDefault="00E50D8D" w:rsidP="00BD75F9">
      <w:pPr>
        <w:spacing w:line="360" w:lineRule="auto"/>
        <w:rPr>
          <w:rFonts w:asciiTheme="majorBidi" w:hAnsiTheme="majorBidi" w:cstheme="majorBidi"/>
          <w:sz w:val="24"/>
          <w:szCs w:val="24"/>
        </w:rPr>
      </w:pPr>
    </w:p>
    <w:p w14:paraId="58338775" w14:textId="4BE066C0" w:rsidR="00E50D8D" w:rsidRPr="00E026DB" w:rsidRDefault="00E50D8D" w:rsidP="00BD75F9">
      <w:pPr>
        <w:spacing w:line="360" w:lineRule="auto"/>
        <w:rPr>
          <w:rFonts w:asciiTheme="majorBidi" w:hAnsiTheme="majorBidi" w:cstheme="majorBidi"/>
          <w:sz w:val="24"/>
          <w:szCs w:val="24"/>
        </w:rPr>
      </w:pPr>
    </w:p>
    <w:p w14:paraId="7AD2A605" w14:textId="7E37F896" w:rsidR="00E50D8D" w:rsidRPr="00E026DB" w:rsidRDefault="00E50D8D" w:rsidP="00BD75F9">
      <w:pPr>
        <w:spacing w:line="360" w:lineRule="auto"/>
        <w:rPr>
          <w:rFonts w:asciiTheme="majorBidi" w:hAnsiTheme="majorBidi" w:cstheme="majorBidi"/>
          <w:sz w:val="24"/>
          <w:szCs w:val="24"/>
        </w:rPr>
      </w:pPr>
    </w:p>
    <w:p w14:paraId="44488C8D" w14:textId="2E44D304" w:rsidR="00E50D8D" w:rsidRPr="00E026DB" w:rsidRDefault="00E50D8D">
      <w:pPr>
        <w:rPr>
          <w:rFonts w:asciiTheme="majorBidi" w:hAnsiTheme="majorBidi" w:cstheme="majorBidi"/>
          <w:sz w:val="24"/>
          <w:szCs w:val="24"/>
        </w:rPr>
      </w:pPr>
    </w:p>
    <w:p w14:paraId="21601978" w14:textId="77777777" w:rsidR="00E50D8D" w:rsidRPr="00E026DB" w:rsidRDefault="00E50D8D">
      <w:pPr>
        <w:rPr>
          <w:rFonts w:asciiTheme="majorBidi" w:hAnsiTheme="majorBidi" w:cstheme="majorBidi"/>
          <w:sz w:val="24"/>
          <w:szCs w:val="24"/>
        </w:rPr>
      </w:pPr>
    </w:p>
    <w:sectPr w:rsidR="00E50D8D" w:rsidRPr="00E026DB" w:rsidSect="00D13A2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5780F" w14:textId="77777777" w:rsidR="00A16B08" w:rsidRDefault="00A16B08" w:rsidP="00C76E1B">
      <w:r>
        <w:separator/>
      </w:r>
    </w:p>
  </w:endnote>
  <w:endnote w:type="continuationSeparator" w:id="0">
    <w:p w14:paraId="77E857DD" w14:textId="77777777" w:rsidR="00A16B08" w:rsidRDefault="00A16B08" w:rsidP="00C7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42FB3" w14:textId="77777777" w:rsidR="00A16B08" w:rsidRDefault="00A16B08" w:rsidP="00C76E1B">
      <w:r>
        <w:separator/>
      </w:r>
    </w:p>
  </w:footnote>
  <w:footnote w:type="continuationSeparator" w:id="0">
    <w:p w14:paraId="79AFC82C" w14:textId="77777777" w:rsidR="00A16B08" w:rsidRDefault="00A16B08" w:rsidP="00C76E1B">
      <w:r>
        <w:continuationSeparator/>
      </w:r>
    </w:p>
  </w:footnote>
  <w:footnote w:id="1">
    <w:p w14:paraId="33DE518E" w14:textId="7A1B49A2" w:rsidR="00E26076" w:rsidRPr="00D2449E" w:rsidRDefault="00E26076" w:rsidP="006F4FA7">
      <w:pPr>
        <w:pStyle w:val="FootnoteText"/>
        <w:rPr>
          <w:rFonts w:asciiTheme="majorBidi" w:hAnsiTheme="majorBidi" w:cstheme="majorBidi"/>
          <w:sz w:val="18"/>
          <w:szCs w:val="18"/>
        </w:rPr>
      </w:pPr>
      <w:r w:rsidRPr="004D612F">
        <w:rPr>
          <w:rStyle w:val="FootnoteReference"/>
          <w:sz w:val="18"/>
          <w:szCs w:val="18"/>
        </w:rPr>
        <w:footnoteRef/>
      </w:r>
      <w:r w:rsidRPr="004D612F">
        <w:rPr>
          <w:sz w:val="18"/>
          <w:szCs w:val="18"/>
        </w:rPr>
        <w:t xml:space="preserve"> </w:t>
      </w:r>
      <w:r w:rsidRPr="00D2449E">
        <w:rPr>
          <w:rFonts w:asciiTheme="majorBidi" w:hAnsiTheme="majorBidi" w:cstheme="majorBidi"/>
          <w:sz w:val="18"/>
          <w:szCs w:val="18"/>
        </w:rPr>
        <w:t xml:space="preserve">See Report issued under the aegis of the Special Rapporteur, “The Impact of  ‘Soft’ Law and Informal Standard Setting in the Area of Counter-Terrorism on Civil Society and Civic Space”   </w:t>
      </w:r>
      <w:hyperlink r:id="rId1" w:history="1">
        <w:r w:rsidRPr="00D2449E">
          <w:rPr>
            <w:rStyle w:val="Hyperlink"/>
            <w:rFonts w:asciiTheme="majorBidi" w:hAnsiTheme="majorBidi" w:cstheme="majorBidi"/>
            <w:sz w:val="18"/>
            <w:szCs w:val="18"/>
          </w:rPr>
          <w:t>https://www.law.umn.edu/sites/law.umn.edu/files/hrc-impactofsoftlaw.pdf</w:t>
        </w:r>
      </w:hyperlink>
      <w:r w:rsidRPr="00D2449E">
        <w:rPr>
          <w:rFonts w:asciiTheme="majorBidi" w:hAnsiTheme="majorBidi" w:cstheme="majorBidi"/>
          <w:sz w:val="18"/>
          <w:szCs w:val="18"/>
        </w:rPr>
        <w:t xml:space="preserve"> </w:t>
      </w:r>
    </w:p>
  </w:footnote>
  <w:footnote w:id="2">
    <w:p w14:paraId="30A1E52F" w14:textId="0240E920" w:rsidR="00C76E1B" w:rsidRPr="00D2449E" w:rsidRDefault="00C76E1B" w:rsidP="006F4FA7">
      <w:pPr>
        <w:pStyle w:val="FootnoteText"/>
        <w:rPr>
          <w:rFonts w:asciiTheme="majorBidi" w:hAnsiTheme="majorBidi" w:cstheme="majorBidi"/>
          <w:sz w:val="18"/>
          <w:szCs w:val="18"/>
        </w:rPr>
      </w:pPr>
      <w:r w:rsidRPr="00D2449E">
        <w:rPr>
          <w:rStyle w:val="FootnoteReference"/>
          <w:rFonts w:asciiTheme="majorBidi" w:hAnsiTheme="majorBidi" w:cstheme="majorBidi"/>
          <w:sz w:val="18"/>
          <w:szCs w:val="18"/>
        </w:rPr>
        <w:footnoteRef/>
      </w:r>
      <w:r w:rsidRPr="00D2449E">
        <w:rPr>
          <w:rFonts w:asciiTheme="majorBidi" w:hAnsiTheme="majorBidi" w:cstheme="majorBidi"/>
          <w:sz w:val="18"/>
          <w:szCs w:val="18"/>
        </w:rPr>
        <w:t xml:space="preserve"> </w:t>
      </w:r>
      <w:r w:rsidRPr="00C76E1B">
        <w:rPr>
          <w:rFonts w:asciiTheme="majorBidi" w:hAnsiTheme="majorBidi" w:cstheme="majorBidi"/>
          <w:i/>
          <w:iCs/>
          <w:color w:val="3F3F41"/>
          <w:sz w:val="18"/>
          <w:szCs w:val="18"/>
          <w:lang w:val="en-GB" w:eastAsia="en-GB" w:bidi="he-IL"/>
        </w:rPr>
        <w:t>A/HRC/24/L.24</w:t>
      </w:r>
      <w:r w:rsidRPr="00D2449E">
        <w:rPr>
          <w:rFonts w:asciiTheme="majorBidi" w:hAnsiTheme="majorBidi" w:cstheme="majorBidi"/>
          <w:i/>
          <w:iCs/>
          <w:color w:val="3F3F41"/>
          <w:sz w:val="18"/>
          <w:szCs w:val="18"/>
          <w:lang w:val="en-GB" w:eastAsia="en-GB" w:bidi="he-IL"/>
        </w:rPr>
        <w:t xml:space="preserve"> </w:t>
      </w:r>
      <w:hyperlink r:id="rId2" w:history="1">
        <w:r w:rsidRPr="00D2449E">
          <w:rPr>
            <w:rStyle w:val="Hyperlink"/>
            <w:rFonts w:asciiTheme="majorBidi" w:hAnsiTheme="majorBidi" w:cstheme="majorBidi"/>
            <w:sz w:val="18"/>
            <w:szCs w:val="18"/>
          </w:rPr>
          <w:t>https://documents-dds-ny.un.org/doc/UNDOC/LTD/G13/173/19/PDF/G1317319.pdf?OpenElement</w:t>
        </w:r>
      </w:hyperlink>
      <w:r w:rsidRPr="00D2449E">
        <w:rPr>
          <w:rFonts w:asciiTheme="majorBidi" w:hAnsiTheme="majorBidi" w:cstheme="majorBidi"/>
          <w:sz w:val="18"/>
          <w:szCs w:val="18"/>
        </w:rPr>
        <w:t xml:space="preserve"> </w:t>
      </w:r>
    </w:p>
  </w:footnote>
  <w:footnote w:id="3">
    <w:p w14:paraId="1623AF86" w14:textId="1478027D" w:rsidR="00C76E1B" w:rsidRPr="001A1806" w:rsidRDefault="00C76E1B" w:rsidP="001A1806">
      <w:pPr>
        <w:pStyle w:val="NormalWeb"/>
        <w:spacing w:before="0" w:beforeAutospacing="0" w:after="0" w:afterAutospacing="0"/>
        <w:rPr>
          <w:rFonts w:asciiTheme="majorBidi" w:hAnsiTheme="majorBidi" w:cstheme="majorBidi"/>
          <w:sz w:val="18"/>
          <w:szCs w:val="18"/>
        </w:rPr>
      </w:pPr>
      <w:r w:rsidRPr="001A1806">
        <w:rPr>
          <w:rStyle w:val="FootnoteReference"/>
          <w:rFonts w:asciiTheme="majorBidi" w:hAnsiTheme="majorBidi" w:cstheme="majorBidi"/>
          <w:sz w:val="18"/>
          <w:szCs w:val="18"/>
        </w:rPr>
        <w:footnoteRef/>
      </w:r>
      <w:r w:rsidRPr="001A1806">
        <w:rPr>
          <w:rFonts w:asciiTheme="majorBidi" w:hAnsiTheme="majorBidi" w:cstheme="majorBidi"/>
          <w:sz w:val="18"/>
          <w:szCs w:val="18"/>
        </w:rPr>
        <w:t xml:space="preserve"> </w:t>
      </w:r>
      <w:r w:rsidRPr="001A1806">
        <w:rPr>
          <w:rFonts w:asciiTheme="majorBidi" w:hAnsiTheme="majorBidi" w:cstheme="majorBidi"/>
          <w:color w:val="000000"/>
          <w:sz w:val="18"/>
          <w:szCs w:val="18"/>
        </w:rPr>
        <w:t>United Nations High Commissioner for Human Rights</w:t>
      </w:r>
      <w:r w:rsidR="004D612F" w:rsidRPr="001A1806">
        <w:rPr>
          <w:rFonts w:asciiTheme="majorBidi" w:hAnsiTheme="majorBidi" w:cstheme="majorBidi"/>
          <w:color w:val="000000"/>
          <w:sz w:val="18"/>
          <w:szCs w:val="18"/>
        </w:rPr>
        <w:t>,</w:t>
      </w:r>
      <w:r w:rsidRPr="001A1806">
        <w:rPr>
          <w:rStyle w:val="apple-converted-space"/>
          <w:rFonts w:asciiTheme="majorBidi" w:hAnsiTheme="majorBidi" w:cstheme="majorBidi"/>
          <w:color w:val="000000"/>
          <w:sz w:val="18"/>
          <w:szCs w:val="18"/>
        </w:rPr>
        <w:t> </w:t>
      </w:r>
      <w:r w:rsidRPr="001A1806">
        <w:rPr>
          <w:rFonts w:asciiTheme="majorBidi" w:hAnsiTheme="majorBidi" w:cstheme="majorBidi"/>
          <w:color w:val="000000"/>
          <w:sz w:val="18"/>
          <w:szCs w:val="18"/>
        </w:rPr>
        <w:t>2 October 2019, Dublin Platform for Human Rights Defenders</w:t>
      </w:r>
      <w:r w:rsidR="00D2449E" w:rsidRPr="001A1806">
        <w:rPr>
          <w:rFonts w:asciiTheme="majorBidi" w:hAnsiTheme="majorBidi" w:cstheme="majorBidi"/>
          <w:color w:val="000000"/>
          <w:sz w:val="18"/>
          <w:szCs w:val="18"/>
        </w:rPr>
        <w:t xml:space="preserve">, see also </w:t>
      </w:r>
      <w:r w:rsidR="00D2449E" w:rsidRPr="001A1806">
        <w:rPr>
          <w:rFonts w:asciiTheme="majorBidi" w:hAnsiTheme="majorBidi" w:cstheme="majorBidi"/>
          <w:color w:val="211E1E"/>
          <w:sz w:val="18"/>
          <w:szCs w:val="18"/>
        </w:rPr>
        <w:t>See Human Rights Committee, general comment No. 25 (1996) on participation in public affairs and the right to vote, para. 1</w:t>
      </w:r>
      <w:r w:rsidR="006F4FA7" w:rsidRPr="001A1806">
        <w:rPr>
          <w:rFonts w:asciiTheme="majorBidi" w:hAnsiTheme="majorBidi" w:cstheme="majorBidi"/>
          <w:color w:val="211E1E"/>
          <w:sz w:val="18"/>
          <w:szCs w:val="18"/>
        </w:rPr>
        <w:t xml:space="preserve">; UN, Global Counter-Terrorism Strategy, A/RES/60/288, Annex, Pillar I: Addressing the conditions conducive to the threat of terrorism; </w:t>
      </w:r>
      <w:r w:rsidR="006F4FA7" w:rsidRPr="006F4FA7">
        <w:rPr>
          <w:rFonts w:asciiTheme="majorBidi" w:hAnsiTheme="majorBidi" w:cstheme="majorBidi"/>
          <w:color w:val="211E1E"/>
          <w:sz w:val="18"/>
          <w:szCs w:val="18"/>
        </w:rPr>
        <w:t xml:space="preserve">UN Secretary-General’s Plan of Action to prevent violent extremism, A/70/674. </w:t>
      </w:r>
    </w:p>
  </w:footnote>
  <w:footnote w:id="4">
    <w:p w14:paraId="024C74F4" w14:textId="77777777" w:rsidR="00AA3BB6" w:rsidRPr="001A1806" w:rsidRDefault="00AA3BB6" w:rsidP="001A1806">
      <w:pPr>
        <w:pStyle w:val="NormalWeb"/>
        <w:spacing w:before="0" w:beforeAutospacing="0" w:after="0" w:afterAutospacing="0"/>
        <w:rPr>
          <w:rFonts w:asciiTheme="majorBidi" w:hAnsiTheme="majorBidi" w:cstheme="majorBidi"/>
          <w:sz w:val="18"/>
          <w:szCs w:val="18"/>
        </w:rPr>
      </w:pPr>
      <w:r w:rsidRPr="001A1806">
        <w:rPr>
          <w:rStyle w:val="FootnoteReference"/>
          <w:rFonts w:asciiTheme="majorBidi" w:hAnsiTheme="majorBidi" w:cstheme="majorBidi"/>
          <w:sz w:val="18"/>
          <w:szCs w:val="18"/>
        </w:rPr>
        <w:footnoteRef/>
      </w:r>
      <w:r w:rsidRPr="001A1806">
        <w:rPr>
          <w:rFonts w:asciiTheme="majorBidi" w:hAnsiTheme="majorBidi" w:cstheme="majorBidi"/>
          <w:sz w:val="18"/>
          <w:szCs w:val="18"/>
        </w:rPr>
        <w:t xml:space="preserve"> CIVICUS: The World Alliance for Citizen Participation has identified that civic space is closed, repressed or obstructed in 111 countries across the world, and only 4 per cent of the global population live in areas where civic space is open.</w:t>
      </w:r>
    </w:p>
  </w:footnote>
  <w:footnote w:id="5">
    <w:p w14:paraId="4A2F5E4D" w14:textId="77777777" w:rsidR="00AA3BB6" w:rsidRPr="001A1806" w:rsidRDefault="00AA3BB6" w:rsidP="001A1806">
      <w:pPr>
        <w:pStyle w:val="FootnoteText"/>
        <w:rPr>
          <w:rFonts w:asciiTheme="majorBidi" w:hAnsiTheme="majorBidi" w:cstheme="majorBidi"/>
          <w:sz w:val="18"/>
          <w:szCs w:val="18"/>
        </w:rPr>
      </w:pPr>
      <w:r w:rsidRPr="001A1806">
        <w:rPr>
          <w:rStyle w:val="FootnoteReference"/>
          <w:rFonts w:asciiTheme="majorBidi" w:hAnsiTheme="majorBidi" w:cstheme="majorBidi"/>
          <w:sz w:val="18"/>
          <w:szCs w:val="18"/>
        </w:rPr>
        <w:footnoteRef/>
      </w:r>
      <w:r w:rsidRPr="001A1806">
        <w:rPr>
          <w:rFonts w:asciiTheme="majorBidi" w:hAnsiTheme="majorBidi" w:cstheme="majorBidi"/>
          <w:sz w:val="18"/>
          <w:szCs w:val="18"/>
        </w:rPr>
        <w:t xml:space="preserve"> </w:t>
      </w:r>
      <w:hyperlink r:id="rId3" w:history="1">
        <w:r w:rsidRPr="001A1806">
          <w:rPr>
            <w:rStyle w:val="Hyperlink"/>
            <w:rFonts w:asciiTheme="majorBidi" w:hAnsiTheme="majorBidi" w:cstheme="majorBidi"/>
            <w:sz w:val="18"/>
            <w:szCs w:val="18"/>
          </w:rPr>
          <w:t>https://www.frontlinedefenders.org/en/violation/killing</w:t>
        </w:r>
      </w:hyperlink>
      <w:r w:rsidRPr="001A1806">
        <w:rPr>
          <w:rFonts w:asciiTheme="majorBidi" w:hAnsiTheme="majorBidi" w:cstheme="majorBidi"/>
          <w:sz w:val="18"/>
          <w:szCs w:val="18"/>
        </w:rPr>
        <w:t xml:space="preserve">  </w:t>
      </w:r>
    </w:p>
  </w:footnote>
  <w:footnote w:id="6">
    <w:p w14:paraId="6698941C" w14:textId="77777777" w:rsidR="001A1806" w:rsidRPr="001A1806" w:rsidRDefault="001A1806" w:rsidP="001A1806">
      <w:pPr>
        <w:pStyle w:val="NormalWeb"/>
        <w:spacing w:before="0" w:beforeAutospacing="0" w:after="0" w:afterAutospacing="0"/>
        <w:rPr>
          <w:rFonts w:asciiTheme="majorBidi" w:hAnsiTheme="majorBidi" w:cstheme="majorBidi"/>
          <w:sz w:val="18"/>
          <w:szCs w:val="18"/>
        </w:rPr>
      </w:pPr>
      <w:r w:rsidRPr="001A1806">
        <w:rPr>
          <w:rStyle w:val="FootnoteReference"/>
          <w:rFonts w:asciiTheme="majorBidi" w:hAnsiTheme="majorBidi" w:cstheme="majorBidi"/>
          <w:sz w:val="18"/>
          <w:szCs w:val="18"/>
        </w:rPr>
        <w:footnoteRef/>
      </w:r>
      <w:r w:rsidRPr="001A1806">
        <w:rPr>
          <w:rFonts w:asciiTheme="majorBidi" w:hAnsiTheme="majorBidi" w:cstheme="majorBidi"/>
          <w:sz w:val="18"/>
          <w:szCs w:val="18"/>
        </w:rPr>
        <w:t xml:space="preserve"> </w:t>
      </w:r>
      <w:r w:rsidRPr="001A1806">
        <w:rPr>
          <w:rFonts w:asciiTheme="majorBidi" w:hAnsiTheme="majorBidi" w:cstheme="majorBidi"/>
          <w:color w:val="211E1E"/>
          <w:sz w:val="18"/>
          <w:szCs w:val="18"/>
        </w:rPr>
        <w:t>A/HRC/40/52</w:t>
      </w:r>
    </w:p>
    <w:p w14:paraId="59B9A657" w14:textId="0676D389" w:rsidR="001A1806" w:rsidRDefault="001A1806">
      <w:pPr>
        <w:pStyle w:val="FootnoteText"/>
      </w:pPr>
    </w:p>
  </w:footnote>
  <w:footnote w:id="7">
    <w:p w14:paraId="45FA3D8C" w14:textId="5444115D" w:rsidR="00061E3F" w:rsidRDefault="00061E3F">
      <w:pPr>
        <w:pStyle w:val="FootnoteText"/>
      </w:pPr>
      <w:r>
        <w:rPr>
          <w:rStyle w:val="FootnoteReference"/>
        </w:rPr>
        <w:footnoteRef/>
      </w:r>
      <w:r>
        <w:t xml:space="preserve"> </w:t>
      </w:r>
      <w:hyperlink r:id="rId4" w:history="1">
        <w:r w:rsidRPr="00E578C0">
          <w:rPr>
            <w:rStyle w:val="Hyperlink"/>
          </w:rPr>
          <w:t>https://undocs.org/A/75/337</w:t>
        </w:r>
      </w:hyperlink>
      <w:r>
        <w:t xml:space="preserve"> </w:t>
      </w:r>
    </w:p>
  </w:footnote>
  <w:footnote w:id="8">
    <w:p w14:paraId="53573FC3" w14:textId="04B457FE" w:rsidR="002E35EE" w:rsidRPr="006579A2" w:rsidRDefault="002E35EE" w:rsidP="006579A2">
      <w:pPr>
        <w:pStyle w:val="FootnoteText"/>
        <w:widowControl w:val="0"/>
        <w:tabs>
          <w:tab w:val="right" w:pos="1020"/>
        </w:tabs>
        <w:rPr>
          <w:rFonts w:asciiTheme="majorBidi" w:hAnsiTheme="majorBidi" w:cstheme="majorBidi"/>
        </w:rPr>
      </w:pPr>
      <w:r w:rsidRPr="006579A2">
        <w:rPr>
          <w:rStyle w:val="FootnoteReference"/>
          <w:rFonts w:asciiTheme="majorBidi" w:hAnsiTheme="majorBidi" w:cstheme="majorBidi"/>
        </w:rPr>
        <w:footnoteRef/>
      </w:r>
      <w:r w:rsidRPr="006579A2">
        <w:rPr>
          <w:rFonts w:asciiTheme="majorBidi" w:hAnsiTheme="majorBidi" w:cstheme="majorBidi"/>
        </w:rPr>
        <w:tab/>
      </w:r>
      <w:r w:rsidR="0013122A">
        <w:rPr>
          <w:rFonts w:asciiTheme="majorBidi" w:hAnsiTheme="majorBidi" w:cstheme="majorBidi"/>
        </w:rPr>
        <w:t xml:space="preserve"> </w:t>
      </w:r>
      <w:r w:rsidRPr="006579A2">
        <w:rPr>
          <w:rFonts w:asciiTheme="majorBidi" w:hAnsiTheme="majorBidi" w:cstheme="majorBidi"/>
        </w:rPr>
        <w:t>Numerous submissions to the mandate sought confidentiality on the basis of fear of retaliation by States against humanitarian organizations working in conflict-affected areas.</w:t>
      </w:r>
    </w:p>
  </w:footnote>
  <w:footnote w:id="9">
    <w:p w14:paraId="5535EC29" w14:textId="59A8A57B" w:rsidR="002E35EE" w:rsidRPr="0013122A" w:rsidRDefault="002E35EE" w:rsidP="0013122A">
      <w:pPr>
        <w:pStyle w:val="FootnoteText"/>
        <w:rPr>
          <w:rFonts w:asciiTheme="majorBidi" w:hAnsiTheme="majorBidi" w:cstheme="majorBidi"/>
        </w:rPr>
      </w:pPr>
      <w:r w:rsidRPr="0013122A">
        <w:rPr>
          <w:rStyle w:val="FootnoteReference"/>
          <w:rFonts w:asciiTheme="majorBidi" w:hAnsiTheme="majorBidi" w:cstheme="majorBidi"/>
        </w:rPr>
        <w:footnoteRef/>
      </w:r>
      <w:r w:rsidRPr="0013122A">
        <w:rPr>
          <w:rFonts w:asciiTheme="majorBidi" w:hAnsiTheme="majorBidi" w:cstheme="majorBidi"/>
        </w:rPr>
        <w:t xml:space="preserve"> UN University, </w:t>
      </w:r>
      <w:proofErr w:type="gramStart"/>
      <w:r w:rsidRPr="0013122A">
        <w:rPr>
          <w:rFonts w:asciiTheme="majorBidi" w:hAnsiTheme="majorBidi" w:cstheme="majorBidi"/>
          <w:i/>
          <w:iCs/>
        </w:rPr>
        <w:t>Briefing</w:t>
      </w:r>
      <w:proofErr w:type="gramEnd"/>
      <w:r w:rsidRPr="0013122A">
        <w:rPr>
          <w:rFonts w:asciiTheme="majorBidi" w:hAnsiTheme="majorBidi" w:cstheme="majorBidi"/>
          <w:i/>
          <w:iCs/>
        </w:rPr>
        <w:t xml:space="preserve"> on UN Sanctions, Nine Points on Designing United Nations Sanctions to Better Protect Humanitarian Activities</w:t>
      </w:r>
      <w:r w:rsidRPr="0013122A">
        <w:rPr>
          <w:rFonts w:asciiTheme="majorBidi" w:hAnsiTheme="majorBidi" w:cstheme="majorBidi"/>
        </w:rPr>
        <w:t xml:space="preserve"> (2020)</w:t>
      </w:r>
    </w:p>
  </w:footnote>
  <w:footnote w:id="10">
    <w:p w14:paraId="3F549B7C" w14:textId="113D2A30" w:rsidR="006465D6" w:rsidRPr="006465D6" w:rsidRDefault="006465D6" w:rsidP="006465D6">
      <w:pPr>
        <w:pStyle w:val="NormalWeb"/>
        <w:spacing w:before="0" w:beforeAutospacing="0" w:after="0" w:afterAutospacing="0"/>
        <w:rPr>
          <w:rFonts w:asciiTheme="majorBidi" w:hAnsiTheme="majorBidi" w:cstheme="majorBidi"/>
          <w:sz w:val="20"/>
          <w:szCs w:val="20"/>
        </w:rPr>
      </w:pPr>
      <w:r w:rsidRPr="006465D6">
        <w:rPr>
          <w:rStyle w:val="FootnoteReference"/>
          <w:rFonts w:asciiTheme="majorBidi" w:hAnsiTheme="majorBidi" w:cstheme="majorBidi"/>
          <w:sz w:val="20"/>
          <w:szCs w:val="20"/>
        </w:rPr>
        <w:footnoteRef/>
      </w:r>
      <w:r w:rsidRPr="006465D6">
        <w:rPr>
          <w:rFonts w:asciiTheme="majorBidi" w:hAnsiTheme="majorBidi" w:cstheme="majorBidi"/>
          <w:sz w:val="20"/>
          <w:szCs w:val="20"/>
        </w:rPr>
        <w:t xml:space="preserve"> </w:t>
      </w:r>
      <w:r w:rsidRPr="006465D6">
        <w:rPr>
          <w:rFonts w:asciiTheme="majorBidi" w:hAnsiTheme="majorBidi" w:cstheme="majorBidi"/>
          <w:color w:val="211E1E"/>
          <w:sz w:val="20"/>
          <w:szCs w:val="20"/>
        </w:rPr>
        <w:t xml:space="preserve">Many jurisdictions decided to regulate the functioning of and impose certain obligations on civil society organizations and the non-profit sector, more generally, as a counter-terrorism measure aiming at preventing or curbing the misuse of non-profit organizations by terrorist groups or individuals, in particular in relation to terrorist financing. The source of such binding domestic regulation, in many States, can be led back to Recommendation 8 of the Financial Action Task Force. Recommendation 8, as initially adopted, asserted that the NPO sector was “particularly vulnerable” to abuse by terrorist actors, despite the lack of evidentiary foundation to back such sweeping assumption. </w:t>
      </w:r>
    </w:p>
  </w:footnote>
  <w:footnote w:id="11">
    <w:p w14:paraId="793F9F97" w14:textId="77777777" w:rsidR="0013122A" w:rsidRPr="0013122A" w:rsidRDefault="005F76B3" w:rsidP="006465D6">
      <w:pPr>
        <w:pStyle w:val="NormalWeb"/>
        <w:spacing w:before="0" w:beforeAutospacing="0" w:after="0" w:afterAutospacing="0"/>
        <w:rPr>
          <w:rFonts w:asciiTheme="majorBidi" w:hAnsiTheme="majorBidi" w:cstheme="majorBidi"/>
          <w:sz w:val="20"/>
          <w:szCs w:val="20"/>
        </w:rPr>
      </w:pPr>
      <w:r w:rsidRPr="006465D6">
        <w:rPr>
          <w:rStyle w:val="FootnoteReference"/>
          <w:rFonts w:asciiTheme="majorBidi" w:hAnsiTheme="majorBidi" w:cstheme="majorBidi"/>
          <w:sz w:val="20"/>
          <w:szCs w:val="20"/>
        </w:rPr>
        <w:footnoteRef/>
      </w:r>
      <w:r w:rsidRPr="006465D6">
        <w:rPr>
          <w:rFonts w:asciiTheme="majorBidi" w:hAnsiTheme="majorBidi" w:cstheme="majorBidi"/>
          <w:sz w:val="20"/>
          <w:szCs w:val="20"/>
        </w:rPr>
        <w:t xml:space="preserve"> </w:t>
      </w:r>
      <w:r w:rsidR="0013122A" w:rsidRPr="006465D6">
        <w:rPr>
          <w:rFonts w:asciiTheme="majorBidi" w:hAnsiTheme="majorBidi" w:cstheme="majorBidi"/>
          <w:color w:val="211E1E"/>
          <w:sz w:val="20"/>
          <w:szCs w:val="20"/>
        </w:rPr>
        <w:t>FATF</w:t>
      </w:r>
      <w:r w:rsidR="0013122A" w:rsidRPr="0013122A">
        <w:rPr>
          <w:rFonts w:asciiTheme="majorBidi" w:hAnsiTheme="majorBidi" w:cstheme="majorBidi"/>
          <w:color w:val="211E1E"/>
          <w:sz w:val="20"/>
          <w:szCs w:val="20"/>
        </w:rPr>
        <w:t xml:space="preserve">, </w:t>
      </w:r>
      <w:r w:rsidR="0013122A" w:rsidRPr="0013122A">
        <w:rPr>
          <w:rFonts w:asciiTheme="majorBidi" w:hAnsiTheme="majorBidi" w:cstheme="majorBidi"/>
          <w:i/>
          <w:iCs/>
          <w:color w:val="211E1E"/>
          <w:sz w:val="20"/>
          <w:szCs w:val="20"/>
        </w:rPr>
        <w:t xml:space="preserve">International Standards on Combating Money Laundering and the Financing of Terrorism and Proliferation: The FATF Recommendations </w:t>
      </w:r>
      <w:r w:rsidR="0013122A" w:rsidRPr="0013122A">
        <w:rPr>
          <w:rFonts w:asciiTheme="majorBidi" w:hAnsiTheme="majorBidi" w:cstheme="majorBidi"/>
          <w:color w:val="211E1E"/>
          <w:sz w:val="20"/>
          <w:szCs w:val="20"/>
        </w:rPr>
        <w:t xml:space="preserve">(Paris, 2019). </w:t>
      </w:r>
    </w:p>
    <w:p w14:paraId="30B50D9A" w14:textId="2B3683B4" w:rsidR="005F76B3" w:rsidRPr="00AB4F2F" w:rsidRDefault="0013122A" w:rsidP="00AB4F2F">
      <w:pPr>
        <w:pStyle w:val="NormalWeb"/>
        <w:spacing w:before="0" w:beforeAutospacing="0" w:after="0" w:afterAutospacing="0"/>
        <w:rPr>
          <w:rFonts w:asciiTheme="majorBidi" w:hAnsiTheme="majorBidi" w:cstheme="majorBidi"/>
          <w:sz w:val="20"/>
          <w:szCs w:val="20"/>
        </w:rPr>
      </w:pPr>
      <w:r w:rsidRPr="00AB4F2F">
        <w:rPr>
          <w:rFonts w:asciiTheme="majorBidi" w:hAnsiTheme="majorBidi" w:cstheme="majorBidi"/>
          <w:sz w:val="20"/>
          <w:szCs w:val="20"/>
        </w:rPr>
        <w:t>Noting</w:t>
      </w:r>
      <w:r w:rsidR="005F76B3" w:rsidRPr="00AB4F2F">
        <w:rPr>
          <w:rFonts w:asciiTheme="majorBidi" w:hAnsiTheme="majorBidi" w:cstheme="majorBidi"/>
          <w:sz w:val="20"/>
          <w:szCs w:val="20"/>
        </w:rPr>
        <w:t xml:space="preserve"> here the </w:t>
      </w:r>
      <w:r w:rsidR="005F76B3" w:rsidRPr="00AB4F2F">
        <w:rPr>
          <w:rFonts w:asciiTheme="majorBidi" w:hAnsiTheme="majorBidi" w:cstheme="majorBidi"/>
          <w:color w:val="211E1E"/>
          <w:sz w:val="20"/>
          <w:szCs w:val="20"/>
        </w:rPr>
        <w:t>nine FATF-style regional bodies (FSRBs)that  have been established and recognized by the FATF Plenary.</w:t>
      </w:r>
      <w:r w:rsidR="006579A2" w:rsidRPr="00AB4F2F">
        <w:rPr>
          <w:rFonts w:asciiTheme="majorBidi" w:hAnsiTheme="majorBidi" w:cstheme="majorBidi"/>
          <w:color w:val="211E1E"/>
          <w:sz w:val="20"/>
          <w:szCs w:val="20"/>
        </w:rPr>
        <w:t xml:space="preserve"> </w:t>
      </w:r>
      <w:r w:rsidR="006579A2" w:rsidRPr="00AB4F2F">
        <w:rPr>
          <w:rFonts w:asciiTheme="majorBidi" w:hAnsiTheme="majorBidi" w:cstheme="majorBidi"/>
          <w:sz w:val="20"/>
          <w:szCs w:val="20"/>
        </w:rPr>
        <w:t>These bodies include: Asia/Pacific Group on Money Laundering (APG), Caribbean Financial Action Task Force (CFATF), Council of Europe Select Committee of Experts on the Evaluation of Anti-Money Laundering Measures (MONEYVAL), Eastern and Southern Africa Anti-Money Laundering Group (ESAAMLG), Eurasian Group (EAG), Financial Action Task Force of Latin America (GAFILAT), Inter-</w:t>
      </w:r>
      <w:proofErr w:type="spellStart"/>
      <w:r w:rsidR="006579A2" w:rsidRPr="00AB4F2F">
        <w:rPr>
          <w:rFonts w:asciiTheme="majorBidi" w:hAnsiTheme="majorBidi" w:cstheme="majorBidi"/>
          <w:sz w:val="20"/>
          <w:szCs w:val="20"/>
        </w:rPr>
        <w:t>Governmenal</w:t>
      </w:r>
      <w:proofErr w:type="spellEnd"/>
      <w:r w:rsidR="006579A2" w:rsidRPr="00AB4F2F">
        <w:rPr>
          <w:rFonts w:asciiTheme="majorBidi" w:hAnsiTheme="majorBidi" w:cstheme="majorBidi"/>
          <w:sz w:val="20"/>
          <w:szCs w:val="20"/>
        </w:rPr>
        <w:t xml:space="preserve"> Action Group against Money Laundering in West Africa (GIABA), Middle East and North Africa Financial Action Task Force (MENAFATF), Task Force on Money Laundering in Central Africa (GABAC). These regional bodies, together with the FATF, constitute the Global Network. </w:t>
      </w:r>
    </w:p>
  </w:footnote>
  <w:footnote w:id="12">
    <w:p w14:paraId="6A50229B" w14:textId="327143A7" w:rsidR="002E35EE" w:rsidRPr="002E35EE" w:rsidRDefault="002E35EE" w:rsidP="002E35EE">
      <w:pPr>
        <w:pStyle w:val="NormalWeb"/>
        <w:spacing w:before="0" w:beforeAutospacing="0" w:after="150" w:afterAutospacing="0"/>
        <w:jc w:val="both"/>
        <w:rPr>
          <w:rFonts w:asciiTheme="majorBidi" w:hAnsiTheme="majorBidi" w:cstheme="majorBidi"/>
          <w:color w:val="000000"/>
          <w:sz w:val="18"/>
          <w:szCs w:val="18"/>
        </w:rPr>
      </w:pPr>
      <w:r w:rsidRPr="00AB4F2F">
        <w:rPr>
          <w:rStyle w:val="FootnoteReference"/>
          <w:rFonts w:asciiTheme="majorBidi" w:hAnsiTheme="majorBidi" w:cstheme="majorBidi"/>
          <w:sz w:val="20"/>
          <w:szCs w:val="20"/>
        </w:rPr>
        <w:footnoteRef/>
      </w:r>
      <w:r w:rsidRPr="00AB4F2F">
        <w:rPr>
          <w:rFonts w:asciiTheme="majorBidi" w:hAnsiTheme="majorBidi" w:cstheme="majorBidi"/>
          <w:sz w:val="20"/>
          <w:szCs w:val="20"/>
        </w:rPr>
        <w:t xml:space="preserve"> </w:t>
      </w:r>
      <w:r w:rsidRPr="00AB4F2F">
        <w:rPr>
          <w:rStyle w:val="Emphasis"/>
          <w:rFonts w:asciiTheme="majorBidi" w:hAnsiTheme="majorBidi" w:cstheme="majorBidi"/>
          <w:i w:val="0"/>
          <w:iCs w:val="0"/>
          <w:color w:val="000000"/>
          <w:sz w:val="20"/>
          <w:szCs w:val="20"/>
        </w:rPr>
        <w:t>"The UN depends on the active engagement of civil society actors. They are critical to achieving the Sustainable Development Goals and addressing climate change. […] Where parts of civil society are considered a threat, we need a principled</w:t>
      </w:r>
      <w:r w:rsidRPr="004D612F">
        <w:rPr>
          <w:rStyle w:val="Emphasis"/>
          <w:rFonts w:asciiTheme="majorBidi" w:hAnsiTheme="majorBidi" w:cstheme="majorBidi"/>
          <w:i w:val="0"/>
          <w:iCs w:val="0"/>
          <w:color w:val="000000"/>
          <w:sz w:val="18"/>
          <w:szCs w:val="18"/>
        </w:rPr>
        <w:t xml:space="preserve"> mindset and to engage constructively."</w:t>
      </w:r>
      <w:r w:rsidRPr="004D612F">
        <w:rPr>
          <w:rFonts w:asciiTheme="majorBidi" w:hAnsiTheme="majorBidi" w:cstheme="majorBidi"/>
          <w:i/>
          <w:iCs/>
          <w:color w:val="000000"/>
          <w:sz w:val="18"/>
          <w:szCs w:val="18"/>
        </w:rPr>
        <w:t>. The Secretary-General of the United Nations</w:t>
      </w:r>
      <w:r w:rsidRPr="004D612F">
        <w:rPr>
          <w:rFonts w:asciiTheme="majorBidi" w:hAnsiTheme="majorBidi" w:cstheme="majorBidi"/>
          <w:i/>
          <w:iCs/>
          <w:color w:val="000000"/>
          <w:sz w:val="18"/>
          <w:szCs w:val="18"/>
        </w:rPr>
        <w:br/>
        <w:t>24 February 2020</w:t>
      </w:r>
      <w:r w:rsidR="004D612F">
        <w:rPr>
          <w:rFonts w:asciiTheme="majorBidi" w:hAnsiTheme="majorBidi" w:cstheme="majorBidi"/>
          <w:i/>
          <w:iCs/>
          <w:color w:val="000000"/>
          <w:sz w:val="18"/>
          <w:szCs w:val="18"/>
        </w:rPr>
        <w:t>.</w:t>
      </w:r>
    </w:p>
    <w:p w14:paraId="105F300F" w14:textId="1F4C8C92" w:rsidR="002E35EE" w:rsidRDefault="002E35EE">
      <w:pPr>
        <w:pStyle w:val="FootnoteText"/>
      </w:pPr>
    </w:p>
  </w:footnote>
  <w:footnote w:id="13">
    <w:p w14:paraId="3BD41975" w14:textId="5BB4ACD4" w:rsidR="00E026DB" w:rsidRDefault="00E026DB">
      <w:pPr>
        <w:pStyle w:val="FootnoteText"/>
      </w:pPr>
      <w:r>
        <w:rPr>
          <w:rStyle w:val="FootnoteReference"/>
        </w:rPr>
        <w:footnoteRef/>
      </w:r>
      <w:r>
        <w:t xml:space="preserve"> Guiding Principles on Business and Human Rights (2011), 3 key principles found in this Principles relevant here include the State duty to protect human rights, the corporate responsibility to respect human rights and the need for greater access to remedy for victims of business-related abuse of human rights.</w:t>
      </w:r>
    </w:p>
  </w:footnote>
  <w:footnote w:id="14">
    <w:p w14:paraId="525BB7FD" w14:textId="2C335C4C" w:rsidR="00E26076" w:rsidRDefault="00E26076">
      <w:pPr>
        <w:pStyle w:val="FootnoteText"/>
      </w:pPr>
      <w:r>
        <w:rPr>
          <w:rStyle w:val="FootnoteReference"/>
        </w:rPr>
        <w:footnoteRef/>
      </w:r>
      <w:r>
        <w:t xml:space="preserve"> </w:t>
      </w:r>
      <w:hyperlink r:id="rId5" w:history="1">
        <w:r w:rsidRPr="00E578C0">
          <w:rPr>
            <w:rStyle w:val="Hyperlink"/>
          </w:rPr>
          <w:t>https://www.nfiu.gov.ng/images/Downloads/downloads/nrareport.pdf</w:t>
        </w:r>
      </w:hyperlink>
      <w:r>
        <w:t xml:space="preserve"> </w:t>
      </w:r>
    </w:p>
  </w:footnote>
  <w:footnote w:id="15">
    <w:p w14:paraId="6F3F3CD6" w14:textId="07C05C2C" w:rsidR="00BD75F9" w:rsidRDefault="00BD75F9">
      <w:pPr>
        <w:pStyle w:val="FootnoteText"/>
      </w:pPr>
      <w:r>
        <w:rPr>
          <w:rStyle w:val="FootnoteReference"/>
        </w:rPr>
        <w:footnoteRef/>
      </w:r>
      <w:r>
        <w:t xml:space="preserve"> </w:t>
      </w:r>
      <w:hyperlink r:id="rId6" w:history="1">
        <w:r w:rsidRPr="00E578C0">
          <w:rPr>
            <w:rStyle w:val="Hyperlink"/>
          </w:rPr>
          <w:t>https://spacesforchange.org/unpacking-the-official-construction-of-risks-and-vulnerabilities-for-the-third-sector-in-nigeria/</w:t>
        </w:r>
      </w:hyperlink>
      <w:r>
        <w:t xml:space="preserve"> </w:t>
      </w:r>
    </w:p>
  </w:footnote>
  <w:footnote w:id="16">
    <w:p w14:paraId="16C01A0A" w14:textId="7B8EEB10" w:rsidR="00E26076" w:rsidRDefault="00E26076">
      <w:pPr>
        <w:pStyle w:val="FootnoteText"/>
      </w:pPr>
      <w:r>
        <w:rPr>
          <w:rStyle w:val="FootnoteReference"/>
        </w:rPr>
        <w:footnoteRef/>
      </w:r>
      <w:r w:rsidRPr="00E26076">
        <w:t>https://assets.publishing.service.gov.uk/government/uploads/system/uploads/attachment_data/file/655198/National_risk_assessment_of_money_laundering_and_terrorist_financing_2017_pdf_web.pdf#2017</w:t>
      </w:r>
    </w:p>
  </w:footnote>
  <w:footnote w:id="17">
    <w:p w14:paraId="2FB61D52" w14:textId="29A2D4FE" w:rsidR="00E26076" w:rsidRDefault="00E26076">
      <w:pPr>
        <w:pStyle w:val="FootnoteText"/>
      </w:pPr>
      <w:r>
        <w:rPr>
          <w:rStyle w:val="FootnoteReference"/>
        </w:rPr>
        <w:footnoteRef/>
      </w:r>
      <w:r w:rsidRPr="00E26076">
        <w:t>https://assets.publishing.service.gov.uk/government/uploads/system/uploads/attachment_data/file/468210/UK_NRA_October_2015_final_web.pdf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54887"/>
    <w:multiLevelType w:val="hybridMultilevel"/>
    <w:tmpl w:val="1CDEE9F2"/>
    <w:lvl w:ilvl="0" w:tplc="E9621AE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48544A6C">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1" w15:restartNumberingAfterBreak="0">
    <w:nsid w:val="3C8A4823"/>
    <w:multiLevelType w:val="multilevel"/>
    <w:tmpl w:val="46A48BB2"/>
    <w:lvl w:ilvl="0">
      <w:start w:val="1"/>
      <w:numFmt w:val="bullet"/>
      <w:lvlText w:val=""/>
      <w:lvlJc w:val="left"/>
      <w:pPr>
        <w:tabs>
          <w:tab w:val="num" w:pos="7164"/>
        </w:tabs>
        <w:ind w:left="7164" w:hanging="360"/>
      </w:pPr>
      <w:rPr>
        <w:rFonts w:ascii="Symbol" w:hAnsi="Symbol" w:hint="default"/>
        <w:sz w:val="20"/>
      </w:rPr>
    </w:lvl>
    <w:lvl w:ilvl="1" w:tentative="1">
      <w:start w:val="1"/>
      <w:numFmt w:val="bullet"/>
      <w:lvlText w:val="o"/>
      <w:lvlJc w:val="left"/>
      <w:pPr>
        <w:tabs>
          <w:tab w:val="num" w:pos="7884"/>
        </w:tabs>
        <w:ind w:left="7884" w:hanging="360"/>
      </w:pPr>
      <w:rPr>
        <w:rFonts w:ascii="Courier New" w:hAnsi="Courier New" w:hint="default"/>
        <w:sz w:val="20"/>
      </w:rPr>
    </w:lvl>
    <w:lvl w:ilvl="2" w:tentative="1">
      <w:start w:val="1"/>
      <w:numFmt w:val="bullet"/>
      <w:lvlText w:val=""/>
      <w:lvlJc w:val="left"/>
      <w:pPr>
        <w:tabs>
          <w:tab w:val="num" w:pos="8604"/>
        </w:tabs>
        <w:ind w:left="8604" w:hanging="360"/>
      </w:pPr>
      <w:rPr>
        <w:rFonts w:ascii="Wingdings" w:hAnsi="Wingdings" w:hint="default"/>
        <w:sz w:val="20"/>
      </w:rPr>
    </w:lvl>
    <w:lvl w:ilvl="3" w:tentative="1">
      <w:start w:val="1"/>
      <w:numFmt w:val="bullet"/>
      <w:lvlText w:val=""/>
      <w:lvlJc w:val="left"/>
      <w:pPr>
        <w:tabs>
          <w:tab w:val="num" w:pos="9324"/>
        </w:tabs>
        <w:ind w:left="9324" w:hanging="360"/>
      </w:pPr>
      <w:rPr>
        <w:rFonts w:ascii="Wingdings" w:hAnsi="Wingdings" w:hint="default"/>
        <w:sz w:val="20"/>
      </w:rPr>
    </w:lvl>
    <w:lvl w:ilvl="4" w:tentative="1">
      <w:start w:val="1"/>
      <w:numFmt w:val="bullet"/>
      <w:lvlText w:val=""/>
      <w:lvlJc w:val="left"/>
      <w:pPr>
        <w:tabs>
          <w:tab w:val="num" w:pos="10044"/>
        </w:tabs>
        <w:ind w:left="10044" w:hanging="360"/>
      </w:pPr>
      <w:rPr>
        <w:rFonts w:ascii="Wingdings" w:hAnsi="Wingdings" w:hint="default"/>
        <w:sz w:val="20"/>
      </w:rPr>
    </w:lvl>
    <w:lvl w:ilvl="5" w:tentative="1">
      <w:start w:val="1"/>
      <w:numFmt w:val="bullet"/>
      <w:lvlText w:val=""/>
      <w:lvlJc w:val="left"/>
      <w:pPr>
        <w:tabs>
          <w:tab w:val="num" w:pos="10764"/>
        </w:tabs>
        <w:ind w:left="10764" w:hanging="360"/>
      </w:pPr>
      <w:rPr>
        <w:rFonts w:ascii="Wingdings" w:hAnsi="Wingdings" w:hint="default"/>
        <w:sz w:val="20"/>
      </w:rPr>
    </w:lvl>
    <w:lvl w:ilvl="6" w:tentative="1">
      <w:start w:val="1"/>
      <w:numFmt w:val="bullet"/>
      <w:lvlText w:val=""/>
      <w:lvlJc w:val="left"/>
      <w:pPr>
        <w:tabs>
          <w:tab w:val="num" w:pos="11484"/>
        </w:tabs>
        <w:ind w:left="11484" w:hanging="360"/>
      </w:pPr>
      <w:rPr>
        <w:rFonts w:ascii="Wingdings" w:hAnsi="Wingdings" w:hint="default"/>
        <w:sz w:val="20"/>
      </w:rPr>
    </w:lvl>
    <w:lvl w:ilvl="7" w:tentative="1">
      <w:start w:val="1"/>
      <w:numFmt w:val="bullet"/>
      <w:lvlText w:val=""/>
      <w:lvlJc w:val="left"/>
      <w:pPr>
        <w:tabs>
          <w:tab w:val="num" w:pos="12204"/>
        </w:tabs>
        <w:ind w:left="12204" w:hanging="360"/>
      </w:pPr>
      <w:rPr>
        <w:rFonts w:ascii="Wingdings" w:hAnsi="Wingdings" w:hint="default"/>
        <w:sz w:val="20"/>
      </w:rPr>
    </w:lvl>
    <w:lvl w:ilvl="8" w:tentative="1">
      <w:start w:val="1"/>
      <w:numFmt w:val="bullet"/>
      <w:lvlText w:val=""/>
      <w:lvlJc w:val="left"/>
      <w:pPr>
        <w:tabs>
          <w:tab w:val="num" w:pos="12924"/>
        </w:tabs>
        <w:ind w:left="12924" w:hanging="360"/>
      </w:pPr>
      <w:rPr>
        <w:rFonts w:ascii="Wingdings" w:hAnsi="Wingdings" w:hint="default"/>
        <w:sz w:val="20"/>
      </w:rPr>
    </w:lvl>
  </w:abstractNum>
  <w:abstractNum w:abstractNumId="2" w15:restartNumberingAfterBreak="0">
    <w:nsid w:val="50E1008B"/>
    <w:multiLevelType w:val="multilevel"/>
    <w:tmpl w:val="041296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02D39"/>
    <w:multiLevelType w:val="multilevel"/>
    <w:tmpl w:val="2A8231E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18334F"/>
    <w:multiLevelType w:val="multilevel"/>
    <w:tmpl w:val="4C80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20F46"/>
    <w:multiLevelType w:val="multilevel"/>
    <w:tmpl w:val="5682487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812F11"/>
    <w:multiLevelType w:val="multilevel"/>
    <w:tmpl w:val="AAB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5A"/>
    <w:rsid w:val="00061E3F"/>
    <w:rsid w:val="0013122A"/>
    <w:rsid w:val="001960F6"/>
    <w:rsid w:val="001A1806"/>
    <w:rsid w:val="00231C73"/>
    <w:rsid w:val="00280E30"/>
    <w:rsid w:val="002944E4"/>
    <w:rsid w:val="002E35EE"/>
    <w:rsid w:val="00467A88"/>
    <w:rsid w:val="004D612F"/>
    <w:rsid w:val="005F76B3"/>
    <w:rsid w:val="006465D6"/>
    <w:rsid w:val="006579A2"/>
    <w:rsid w:val="006F0035"/>
    <w:rsid w:val="006F4FA7"/>
    <w:rsid w:val="007B507C"/>
    <w:rsid w:val="00A16B08"/>
    <w:rsid w:val="00A93CFE"/>
    <w:rsid w:val="00AA3BB6"/>
    <w:rsid w:val="00AA6822"/>
    <w:rsid w:val="00AB4F2F"/>
    <w:rsid w:val="00AD235A"/>
    <w:rsid w:val="00B84F74"/>
    <w:rsid w:val="00BD75F9"/>
    <w:rsid w:val="00C76E1B"/>
    <w:rsid w:val="00D13A2C"/>
    <w:rsid w:val="00D2449E"/>
    <w:rsid w:val="00E026DB"/>
    <w:rsid w:val="00E26076"/>
    <w:rsid w:val="00E50D8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206F33EC"/>
  <w14:defaultImageDpi w14:val="32767"/>
  <w15:chartTrackingRefBased/>
  <w15:docId w15:val="{D65A8AC5-D9CA-1D4A-8888-11AAAEF2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D235A"/>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AD235A"/>
    <w:pPr>
      <w:keepNext/>
      <w:jc w:val="center"/>
      <w:outlineLvl w:val="1"/>
    </w:pPr>
    <w:rPr>
      <w:b/>
      <w:sz w:val="36"/>
      <w:lang w:val="en-GB"/>
    </w:rPr>
  </w:style>
  <w:style w:type="paragraph" w:styleId="Heading3">
    <w:name w:val="heading 3"/>
    <w:basedOn w:val="Normal"/>
    <w:next w:val="Normal"/>
    <w:link w:val="Heading3Char"/>
    <w:uiPriority w:val="9"/>
    <w:semiHidden/>
    <w:unhideWhenUsed/>
    <w:qFormat/>
    <w:rsid w:val="00AD235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235A"/>
    <w:rPr>
      <w:rFonts w:ascii="Times New Roman" w:eastAsia="Times New Roman" w:hAnsi="Times New Roman" w:cs="Times New Roman"/>
      <w:b/>
      <w:sz w:val="36"/>
      <w:szCs w:val="20"/>
    </w:rPr>
  </w:style>
  <w:style w:type="character" w:customStyle="1" w:styleId="Heading3Char">
    <w:name w:val="Heading 3 Char"/>
    <w:basedOn w:val="DefaultParagraphFont"/>
    <w:link w:val="Heading3"/>
    <w:uiPriority w:val="9"/>
    <w:semiHidden/>
    <w:rsid w:val="00AD235A"/>
    <w:rPr>
      <w:rFonts w:asciiTheme="majorHAnsi" w:eastAsiaTheme="majorEastAsia" w:hAnsiTheme="majorHAnsi" w:cstheme="majorBidi"/>
      <w:color w:val="1F3763" w:themeColor="accent1" w:themeShade="7F"/>
      <w:lang w:val="en-US"/>
    </w:rPr>
  </w:style>
  <w:style w:type="character" w:customStyle="1" w:styleId="apple-converted-space">
    <w:name w:val="apple-converted-space"/>
    <w:basedOn w:val="DefaultParagraphFont"/>
    <w:rsid w:val="00C76E1B"/>
  </w:style>
  <w:style w:type="paragraph" w:styleId="FootnoteText">
    <w:name w:val="footnote text"/>
    <w:aliases w:val="5_G, Char,Char,Footnote Text Char1 Char,Footnote Text Char Char Char,Footnote Text Char2 Char Char Char,Footnote Text Char1 Char1 Char Char Char,Footnote Text Char Char Char Char Char Char,Footnote Text Char1,Footnote Text Char2,f, Car,fn"/>
    <w:basedOn w:val="Normal"/>
    <w:link w:val="FootnoteTextChar"/>
    <w:unhideWhenUsed/>
    <w:qFormat/>
    <w:rsid w:val="00C76E1B"/>
  </w:style>
  <w:style w:type="character" w:customStyle="1" w:styleId="FootnoteTextChar">
    <w:name w:val="Footnote Text Char"/>
    <w:aliases w:val="5_G Char, Char Char,Char Char,Footnote Text Char1 Char Char,Footnote Text Char Char Char Char,Footnote Text Char2 Char Char Char Char,Footnote Text Char1 Char1 Char Char Char Char,Footnote Text Char Char Char Char Char Char Char"/>
    <w:basedOn w:val="DefaultParagraphFont"/>
    <w:link w:val="FootnoteText"/>
    <w:qFormat/>
    <w:rsid w:val="00C76E1B"/>
    <w:rPr>
      <w:rFonts w:ascii="Times New Roman" w:eastAsia="Times New Roman" w:hAnsi="Times New Roman" w:cs="Times New Roman"/>
      <w:sz w:val="20"/>
      <w:szCs w:val="20"/>
      <w:lang w:val="en-US"/>
    </w:rPr>
  </w:style>
  <w:style w:type="character" w:styleId="FootnoteReference">
    <w:name w:val="footnote reference"/>
    <w:aliases w:val="4_G,Footnotes refss,Footnote number,Footnote Reference Char3,Footnote Reference Char1 Char,Char Char Car Char Car Char Car Char Car Char Car Char Char Char1 Char,Footnote Reference Char Char Char,Texto de nota al pie,ftref,fr,BVI fnr"/>
    <w:basedOn w:val="DefaultParagraphFont"/>
    <w:link w:val="4GChar"/>
    <w:uiPriority w:val="99"/>
    <w:unhideWhenUsed/>
    <w:qFormat/>
    <w:rsid w:val="00C76E1B"/>
    <w:rPr>
      <w:vertAlign w:val="superscript"/>
    </w:rPr>
  </w:style>
  <w:style w:type="character" w:styleId="Hyperlink">
    <w:name w:val="Hyperlink"/>
    <w:basedOn w:val="DefaultParagraphFont"/>
    <w:uiPriority w:val="99"/>
    <w:unhideWhenUsed/>
    <w:rsid w:val="00C76E1B"/>
    <w:rPr>
      <w:color w:val="0563C1" w:themeColor="hyperlink"/>
      <w:u w:val="single"/>
    </w:rPr>
  </w:style>
  <w:style w:type="character" w:styleId="UnresolvedMention">
    <w:name w:val="Unresolved Mention"/>
    <w:basedOn w:val="DefaultParagraphFont"/>
    <w:uiPriority w:val="99"/>
    <w:rsid w:val="00C76E1B"/>
    <w:rPr>
      <w:color w:val="605E5C"/>
      <w:shd w:val="clear" w:color="auto" w:fill="E1DFDD"/>
    </w:rPr>
  </w:style>
  <w:style w:type="character" w:styleId="FollowedHyperlink">
    <w:name w:val="FollowedHyperlink"/>
    <w:basedOn w:val="DefaultParagraphFont"/>
    <w:uiPriority w:val="99"/>
    <w:semiHidden/>
    <w:unhideWhenUsed/>
    <w:rsid w:val="00C76E1B"/>
    <w:rPr>
      <w:color w:val="954F72" w:themeColor="followedHyperlink"/>
      <w:u w:val="single"/>
    </w:rPr>
  </w:style>
  <w:style w:type="character" w:styleId="Emphasis">
    <w:name w:val="Emphasis"/>
    <w:basedOn w:val="DefaultParagraphFont"/>
    <w:uiPriority w:val="20"/>
    <w:qFormat/>
    <w:rsid w:val="00C76E1B"/>
    <w:rPr>
      <w:i/>
      <w:iCs/>
    </w:rPr>
  </w:style>
  <w:style w:type="paragraph" w:styleId="NormalWeb">
    <w:name w:val="Normal (Web)"/>
    <w:basedOn w:val="Normal"/>
    <w:uiPriority w:val="99"/>
    <w:unhideWhenUsed/>
    <w:rsid w:val="00AA3BB6"/>
    <w:pPr>
      <w:spacing w:before="100" w:beforeAutospacing="1" w:after="100" w:afterAutospacing="1"/>
    </w:pPr>
    <w:rPr>
      <w:sz w:val="24"/>
      <w:szCs w:val="24"/>
      <w:lang w:val="en-GB" w:eastAsia="en-GB" w:bidi="he-IL"/>
    </w:rPr>
  </w:style>
  <w:style w:type="paragraph" w:customStyle="1" w:styleId="ParNoG">
    <w:name w:val="_ParNo_G"/>
    <w:basedOn w:val="Normal"/>
    <w:qFormat/>
    <w:rsid w:val="002E35EE"/>
    <w:pPr>
      <w:numPr>
        <w:numId w:val="1"/>
      </w:numPr>
      <w:spacing w:after="120" w:line="240" w:lineRule="atLeast"/>
      <w:ind w:right="1134"/>
      <w:jc w:val="both"/>
    </w:pPr>
    <w:rPr>
      <w:lang w:val="en-GB"/>
    </w:rPr>
  </w:style>
  <w:style w:type="paragraph" w:customStyle="1" w:styleId="4GChar">
    <w:name w:val="4_G Char"/>
    <w:aliases w:val="Footnote Reference1 Char,Footnotes refss Char,ftref Char,BVI fnr Char,BVI fnr Car Car Char,BVI fnr Car Char,BVI fnr Car Car Car Car Char,BVI fnr Char Car Car Car Char,BVI fnr Char Car Car Car Char Char,Appel note de bas de page Char"/>
    <w:basedOn w:val="Normal"/>
    <w:link w:val="FootnoteReference"/>
    <w:uiPriority w:val="99"/>
    <w:rsid w:val="002E35EE"/>
    <w:pPr>
      <w:autoSpaceDE w:val="0"/>
      <w:autoSpaceDN w:val="0"/>
      <w:adjustRightInd w:val="0"/>
      <w:spacing w:line="240" w:lineRule="exact"/>
      <w:jc w:val="both"/>
    </w:pPr>
    <w:rPr>
      <w:rFonts w:asciiTheme="minorHAnsi" w:eastAsiaTheme="minorHAnsi" w:hAnsiTheme="minorHAnsi" w:cstheme="minorBidi"/>
      <w:sz w:val="24"/>
      <w:szCs w:val="24"/>
      <w:vertAlign w:val="superscript"/>
      <w:lang w:val="en-GB"/>
    </w:rPr>
  </w:style>
  <w:style w:type="character" w:styleId="Strong">
    <w:name w:val="Strong"/>
    <w:basedOn w:val="DefaultParagraphFont"/>
    <w:uiPriority w:val="22"/>
    <w:qFormat/>
    <w:rsid w:val="002E35EE"/>
    <w:rPr>
      <w:b/>
      <w:bCs/>
    </w:rPr>
  </w:style>
  <w:style w:type="paragraph" w:styleId="BalloonText">
    <w:name w:val="Balloon Text"/>
    <w:basedOn w:val="Normal"/>
    <w:link w:val="BalloonTextChar"/>
    <w:uiPriority w:val="99"/>
    <w:semiHidden/>
    <w:unhideWhenUsed/>
    <w:rsid w:val="00E026DB"/>
    <w:rPr>
      <w:sz w:val="18"/>
      <w:szCs w:val="18"/>
    </w:rPr>
  </w:style>
  <w:style w:type="character" w:customStyle="1" w:styleId="BalloonTextChar">
    <w:name w:val="Balloon Text Char"/>
    <w:basedOn w:val="DefaultParagraphFont"/>
    <w:link w:val="BalloonText"/>
    <w:uiPriority w:val="99"/>
    <w:semiHidden/>
    <w:rsid w:val="00E026DB"/>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E02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152261">
      <w:bodyDiv w:val="1"/>
      <w:marLeft w:val="0"/>
      <w:marRight w:val="0"/>
      <w:marTop w:val="0"/>
      <w:marBottom w:val="0"/>
      <w:divBdr>
        <w:top w:val="none" w:sz="0" w:space="0" w:color="auto"/>
        <w:left w:val="none" w:sz="0" w:space="0" w:color="auto"/>
        <w:bottom w:val="none" w:sz="0" w:space="0" w:color="auto"/>
        <w:right w:val="none" w:sz="0" w:space="0" w:color="auto"/>
      </w:divBdr>
      <w:divsChild>
        <w:div w:id="2068720987">
          <w:marLeft w:val="0"/>
          <w:marRight w:val="0"/>
          <w:marTop w:val="0"/>
          <w:marBottom w:val="0"/>
          <w:divBdr>
            <w:top w:val="none" w:sz="0" w:space="0" w:color="auto"/>
            <w:left w:val="none" w:sz="0" w:space="0" w:color="auto"/>
            <w:bottom w:val="none" w:sz="0" w:space="0" w:color="auto"/>
            <w:right w:val="none" w:sz="0" w:space="0" w:color="auto"/>
          </w:divBdr>
          <w:divsChild>
            <w:div w:id="1700812426">
              <w:marLeft w:val="0"/>
              <w:marRight w:val="0"/>
              <w:marTop w:val="0"/>
              <w:marBottom w:val="0"/>
              <w:divBdr>
                <w:top w:val="none" w:sz="0" w:space="0" w:color="auto"/>
                <w:left w:val="none" w:sz="0" w:space="0" w:color="auto"/>
                <w:bottom w:val="none" w:sz="0" w:space="0" w:color="auto"/>
                <w:right w:val="none" w:sz="0" w:space="0" w:color="auto"/>
              </w:divBdr>
              <w:divsChild>
                <w:div w:id="107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61230">
      <w:bodyDiv w:val="1"/>
      <w:marLeft w:val="0"/>
      <w:marRight w:val="0"/>
      <w:marTop w:val="0"/>
      <w:marBottom w:val="0"/>
      <w:divBdr>
        <w:top w:val="none" w:sz="0" w:space="0" w:color="auto"/>
        <w:left w:val="none" w:sz="0" w:space="0" w:color="auto"/>
        <w:bottom w:val="none" w:sz="0" w:space="0" w:color="auto"/>
        <w:right w:val="none" w:sz="0" w:space="0" w:color="auto"/>
      </w:divBdr>
      <w:divsChild>
        <w:div w:id="2063557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76951">
      <w:bodyDiv w:val="1"/>
      <w:marLeft w:val="0"/>
      <w:marRight w:val="0"/>
      <w:marTop w:val="0"/>
      <w:marBottom w:val="0"/>
      <w:divBdr>
        <w:top w:val="none" w:sz="0" w:space="0" w:color="auto"/>
        <w:left w:val="none" w:sz="0" w:space="0" w:color="auto"/>
        <w:bottom w:val="none" w:sz="0" w:space="0" w:color="auto"/>
        <w:right w:val="none" w:sz="0" w:space="0" w:color="auto"/>
      </w:divBdr>
    </w:div>
    <w:div w:id="1115978189">
      <w:bodyDiv w:val="1"/>
      <w:marLeft w:val="0"/>
      <w:marRight w:val="0"/>
      <w:marTop w:val="0"/>
      <w:marBottom w:val="0"/>
      <w:divBdr>
        <w:top w:val="none" w:sz="0" w:space="0" w:color="auto"/>
        <w:left w:val="none" w:sz="0" w:space="0" w:color="auto"/>
        <w:bottom w:val="none" w:sz="0" w:space="0" w:color="auto"/>
        <w:right w:val="none" w:sz="0" w:space="0" w:color="auto"/>
      </w:divBdr>
      <w:divsChild>
        <w:div w:id="1041126524">
          <w:marLeft w:val="0"/>
          <w:marRight w:val="0"/>
          <w:marTop w:val="0"/>
          <w:marBottom w:val="0"/>
          <w:divBdr>
            <w:top w:val="none" w:sz="0" w:space="0" w:color="auto"/>
            <w:left w:val="none" w:sz="0" w:space="0" w:color="auto"/>
            <w:bottom w:val="none" w:sz="0" w:space="0" w:color="auto"/>
            <w:right w:val="none" w:sz="0" w:space="0" w:color="auto"/>
          </w:divBdr>
          <w:divsChild>
            <w:div w:id="1366831135">
              <w:marLeft w:val="0"/>
              <w:marRight w:val="0"/>
              <w:marTop w:val="0"/>
              <w:marBottom w:val="0"/>
              <w:divBdr>
                <w:top w:val="none" w:sz="0" w:space="0" w:color="auto"/>
                <w:left w:val="none" w:sz="0" w:space="0" w:color="auto"/>
                <w:bottom w:val="none" w:sz="0" w:space="0" w:color="auto"/>
                <w:right w:val="none" w:sz="0" w:space="0" w:color="auto"/>
              </w:divBdr>
              <w:divsChild>
                <w:div w:id="8284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233">
      <w:bodyDiv w:val="1"/>
      <w:marLeft w:val="0"/>
      <w:marRight w:val="0"/>
      <w:marTop w:val="0"/>
      <w:marBottom w:val="0"/>
      <w:divBdr>
        <w:top w:val="none" w:sz="0" w:space="0" w:color="auto"/>
        <w:left w:val="none" w:sz="0" w:space="0" w:color="auto"/>
        <w:bottom w:val="none" w:sz="0" w:space="0" w:color="auto"/>
        <w:right w:val="none" w:sz="0" w:space="0" w:color="auto"/>
      </w:divBdr>
      <w:divsChild>
        <w:div w:id="132917363">
          <w:marLeft w:val="0"/>
          <w:marRight w:val="0"/>
          <w:marTop w:val="0"/>
          <w:marBottom w:val="0"/>
          <w:divBdr>
            <w:top w:val="none" w:sz="0" w:space="0" w:color="auto"/>
            <w:left w:val="none" w:sz="0" w:space="0" w:color="auto"/>
            <w:bottom w:val="none" w:sz="0" w:space="0" w:color="auto"/>
            <w:right w:val="none" w:sz="0" w:space="0" w:color="auto"/>
          </w:divBdr>
          <w:divsChild>
            <w:div w:id="1952204498">
              <w:marLeft w:val="0"/>
              <w:marRight w:val="0"/>
              <w:marTop w:val="0"/>
              <w:marBottom w:val="0"/>
              <w:divBdr>
                <w:top w:val="none" w:sz="0" w:space="0" w:color="auto"/>
                <w:left w:val="none" w:sz="0" w:space="0" w:color="auto"/>
                <w:bottom w:val="none" w:sz="0" w:space="0" w:color="auto"/>
                <w:right w:val="none" w:sz="0" w:space="0" w:color="auto"/>
              </w:divBdr>
              <w:divsChild>
                <w:div w:id="39092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77624">
      <w:bodyDiv w:val="1"/>
      <w:marLeft w:val="0"/>
      <w:marRight w:val="0"/>
      <w:marTop w:val="0"/>
      <w:marBottom w:val="0"/>
      <w:divBdr>
        <w:top w:val="none" w:sz="0" w:space="0" w:color="auto"/>
        <w:left w:val="none" w:sz="0" w:space="0" w:color="auto"/>
        <w:bottom w:val="none" w:sz="0" w:space="0" w:color="auto"/>
        <w:right w:val="none" w:sz="0" w:space="0" w:color="auto"/>
      </w:divBdr>
      <w:divsChild>
        <w:div w:id="70933949">
          <w:marLeft w:val="0"/>
          <w:marRight w:val="0"/>
          <w:marTop w:val="0"/>
          <w:marBottom w:val="0"/>
          <w:divBdr>
            <w:top w:val="none" w:sz="0" w:space="0" w:color="auto"/>
            <w:left w:val="none" w:sz="0" w:space="0" w:color="auto"/>
            <w:bottom w:val="none" w:sz="0" w:space="0" w:color="auto"/>
            <w:right w:val="none" w:sz="0" w:space="0" w:color="auto"/>
          </w:divBdr>
          <w:divsChild>
            <w:div w:id="626744917">
              <w:marLeft w:val="0"/>
              <w:marRight w:val="0"/>
              <w:marTop w:val="0"/>
              <w:marBottom w:val="0"/>
              <w:divBdr>
                <w:top w:val="none" w:sz="0" w:space="0" w:color="auto"/>
                <w:left w:val="none" w:sz="0" w:space="0" w:color="auto"/>
                <w:bottom w:val="none" w:sz="0" w:space="0" w:color="auto"/>
                <w:right w:val="none" w:sz="0" w:space="0" w:color="auto"/>
              </w:divBdr>
              <w:divsChild>
                <w:div w:id="1384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6786">
      <w:bodyDiv w:val="1"/>
      <w:marLeft w:val="0"/>
      <w:marRight w:val="0"/>
      <w:marTop w:val="0"/>
      <w:marBottom w:val="0"/>
      <w:divBdr>
        <w:top w:val="none" w:sz="0" w:space="0" w:color="auto"/>
        <w:left w:val="none" w:sz="0" w:space="0" w:color="auto"/>
        <w:bottom w:val="none" w:sz="0" w:space="0" w:color="auto"/>
        <w:right w:val="none" w:sz="0" w:space="0" w:color="auto"/>
      </w:divBdr>
      <w:divsChild>
        <w:div w:id="1963220571">
          <w:marLeft w:val="0"/>
          <w:marRight w:val="0"/>
          <w:marTop w:val="0"/>
          <w:marBottom w:val="0"/>
          <w:divBdr>
            <w:top w:val="none" w:sz="0" w:space="0" w:color="auto"/>
            <w:left w:val="none" w:sz="0" w:space="0" w:color="auto"/>
            <w:bottom w:val="none" w:sz="0" w:space="0" w:color="auto"/>
            <w:right w:val="none" w:sz="0" w:space="0" w:color="auto"/>
          </w:divBdr>
          <w:divsChild>
            <w:div w:id="1937788813">
              <w:marLeft w:val="0"/>
              <w:marRight w:val="0"/>
              <w:marTop w:val="0"/>
              <w:marBottom w:val="0"/>
              <w:divBdr>
                <w:top w:val="none" w:sz="0" w:space="0" w:color="auto"/>
                <w:left w:val="none" w:sz="0" w:space="0" w:color="auto"/>
                <w:bottom w:val="none" w:sz="0" w:space="0" w:color="auto"/>
                <w:right w:val="none" w:sz="0" w:space="0" w:color="auto"/>
              </w:divBdr>
              <w:divsChild>
                <w:div w:id="192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2375">
      <w:bodyDiv w:val="1"/>
      <w:marLeft w:val="0"/>
      <w:marRight w:val="0"/>
      <w:marTop w:val="0"/>
      <w:marBottom w:val="0"/>
      <w:divBdr>
        <w:top w:val="none" w:sz="0" w:space="0" w:color="auto"/>
        <w:left w:val="none" w:sz="0" w:space="0" w:color="auto"/>
        <w:bottom w:val="none" w:sz="0" w:space="0" w:color="auto"/>
        <w:right w:val="none" w:sz="0" w:space="0" w:color="auto"/>
      </w:divBdr>
    </w:div>
    <w:div w:id="1712532160">
      <w:bodyDiv w:val="1"/>
      <w:marLeft w:val="0"/>
      <w:marRight w:val="0"/>
      <w:marTop w:val="0"/>
      <w:marBottom w:val="0"/>
      <w:divBdr>
        <w:top w:val="none" w:sz="0" w:space="0" w:color="auto"/>
        <w:left w:val="none" w:sz="0" w:space="0" w:color="auto"/>
        <w:bottom w:val="none" w:sz="0" w:space="0" w:color="auto"/>
        <w:right w:val="none" w:sz="0" w:space="0" w:color="auto"/>
      </w:divBdr>
      <w:divsChild>
        <w:div w:id="1785150060">
          <w:marLeft w:val="0"/>
          <w:marRight w:val="0"/>
          <w:marTop w:val="0"/>
          <w:marBottom w:val="0"/>
          <w:divBdr>
            <w:top w:val="none" w:sz="0" w:space="0" w:color="auto"/>
            <w:left w:val="none" w:sz="0" w:space="0" w:color="auto"/>
            <w:bottom w:val="none" w:sz="0" w:space="0" w:color="auto"/>
            <w:right w:val="none" w:sz="0" w:space="0" w:color="auto"/>
          </w:divBdr>
          <w:divsChild>
            <w:div w:id="1589727664">
              <w:marLeft w:val="0"/>
              <w:marRight w:val="0"/>
              <w:marTop w:val="0"/>
              <w:marBottom w:val="0"/>
              <w:divBdr>
                <w:top w:val="none" w:sz="0" w:space="0" w:color="auto"/>
                <w:left w:val="none" w:sz="0" w:space="0" w:color="auto"/>
                <w:bottom w:val="none" w:sz="0" w:space="0" w:color="auto"/>
                <w:right w:val="none" w:sz="0" w:space="0" w:color="auto"/>
              </w:divBdr>
              <w:divsChild>
                <w:div w:id="1092243057">
                  <w:marLeft w:val="0"/>
                  <w:marRight w:val="0"/>
                  <w:marTop w:val="0"/>
                  <w:marBottom w:val="0"/>
                  <w:divBdr>
                    <w:top w:val="none" w:sz="0" w:space="0" w:color="auto"/>
                    <w:left w:val="none" w:sz="0" w:space="0" w:color="auto"/>
                    <w:bottom w:val="none" w:sz="0" w:space="0" w:color="auto"/>
                    <w:right w:val="none" w:sz="0" w:space="0" w:color="auto"/>
                  </w:divBdr>
                  <w:divsChild>
                    <w:div w:id="14057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6660">
      <w:bodyDiv w:val="1"/>
      <w:marLeft w:val="0"/>
      <w:marRight w:val="0"/>
      <w:marTop w:val="0"/>
      <w:marBottom w:val="0"/>
      <w:divBdr>
        <w:top w:val="none" w:sz="0" w:space="0" w:color="auto"/>
        <w:left w:val="none" w:sz="0" w:space="0" w:color="auto"/>
        <w:bottom w:val="none" w:sz="0" w:space="0" w:color="auto"/>
        <w:right w:val="none" w:sz="0" w:space="0" w:color="auto"/>
      </w:divBdr>
    </w:div>
    <w:div w:id="1816793677">
      <w:bodyDiv w:val="1"/>
      <w:marLeft w:val="0"/>
      <w:marRight w:val="0"/>
      <w:marTop w:val="0"/>
      <w:marBottom w:val="0"/>
      <w:divBdr>
        <w:top w:val="none" w:sz="0" w:space="0" w:color="auto"/>
        <w:left w:val="none" w:sz="0" w:space="0" w:color="auto"/>
        <w:bottom w:val="none" w:sz="0" w:space="0" w:color="auto"/>
        <w:right w:val="none" w:sz="0" w:space="0" w:color="auto"/>
      </w:divBdr>
      <w:divsChild>
        <w:div w:id="90592888">
          <w:marLeft w:val="0"/>
          <w:marRight w:val="0"/>
          <w:marTop w:val="0"/>
          <w:marBottom w:val="0"/>
          <w:divBdr>
            <w:top w:val="none" w:sz="0" w:space="0" w:color="auto"/>
            <w:left w:val="none" w:sz="0" w:space="0" w:color="auto"/>
            <w:bottom w:val="none" w:sz="0" w:space="0" w:color="auto"/>
            <w:right w:val="none" w:sz="0" w:space="0" w:color="auto"/>
          </w:divBdr>
          <w:divsChild>
            <w:div w:id="2107922925">
              <w:marLeft w:val="0"/>
              <w:marRight w:val="0"/>
              <w:marTop w:val="0"/>
              <w:marBottom w:val="0"/>
              <w:divBdr>
                <w:top w:val="none" w:sz="0" w:space="0" w:color="auto"/>
                <w:left w:val="none" w:sz="0" w:space="0" w:color="auto"/>
                <w:bottom w:val="none" w:sz="0" w:space="0" w:color="auto"/>
                <w:right w:val="none" w:sz="0" w:space="0" w:color="auto"/>
              </w:divBdr>
              <w:divsChild>
                <w:div w:id="4207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90421">
      <w:bodyDiv w:val="1"/>
      <w:marLeft w:val="0"/>
      <w:marRight w:val="0"/>
      <w:marTop w:val="0"/>
      <w:marBottom w:val="0"/>
      <w:divBdr>
        <w:top w:val="none" w:sz="0" w:space="0" w:color="auto"/>
        <w:left w:val="none" w:sz="0" w:space="0" w:color="auto"/>
        <w:bottom w:val="none" w:sz="0" w:space="0" w:color="auto"/>
        <w:right w:val="none" w:sz="0" w:space="0" w:color="auto"/>
      </w:divBdr>
    </w:div>
    <w:div w:id="1958102214">
      <w:bodyDiv w:val="1"/>
      <w:marLeft w:val="0"/>
      <w:marRight w:val="0"/>
      <w:marTop w:val="0"/>
      <w:marBottom w:val="0"/>
      <w:divBdr>
        <w:top w:val="none" w:sz="0" w:space="0" w:color="auto"/>
        <w:left w:val="none" w:sz="0" w:space="0" w:color="auto"/>
        <w:bottom w:val="none" w:sz="0" w:space="0" w:color="auto"/>
        <w:right w:val="none" w:sz="0" w:space="0" w:color="auto"/>
      </w:divBdr>
      <w:divsChild>
        <w:div w:id="412163731">
          <w:marLeft w:val="0"/>
          <w:marRight w:val="0"/>
          <w:marTop w:val="0"/>
          <w:marBottom w:val="0"/>
          <w:divBdr>
            <w:top w:val="none" w:sz="0" w:space="0" w:color="auto"/>
            <w:left w:val="none" w:sz="0" w:space="0" w:color="auto"/>
            <w:bottom w:val="none" w:sz="0" w:space="0" w:color="auto"/>
            <w:right w:val="none" w:sz="0" w:space="0" w:color="auto"/>
          </w:divBdr>
          <w:divsChild>
            <w:div w:id="506024149">
              <w:marLeft w:val="0"/>
              <w:marRight w:val="0"/>
              <w:marTop w:val="0"/>
              <w:marBottom w:val="0"/>
              <w:divBdr>
                <w:top w:val="none" w:sz="0" w:space="0" w:color="auto"/>
                <w:left w:val="none" w:sz="0" w:space="0" w:color="auto"/>
                <w:bottom w:val="none" w:sz="0" w:space="0" w:color="auto"/>
                <w:right w:val="none" w:sz="0" w:space="0" w:color="auto"/>
              </w:divBdr>
              <w:divsChild>
                <w:div w:id="6593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2518">
      <w:bodyDiv w:val="1"/>
      <w:marLeft w:val="0"/>
      <w:marRight w:val="0"/>
      <w:marTop w:val="0"/>
      <w:marBottom w:val="0"/>
      <w:divBdr>
        <w:top w:val="none" w:sz="0" w:space="0" w:color="auto"/>
        <w:left w:val="none" w:sz="0" w:space="0" w:color="auto"/>
        <w:bottom w:val="none" w:sz="0" w:space="0" w:color="auto"/>
        <w:right w:val="none" w:sz="0" w:space="0" w:color="auto"/>
      </w:divBdr>
      <w:divsChild>
        <w:div w:id="1177773113">
          <w:marLeft w:val="0"/>
          <w:marRight w:val="0"/>
          <w:marTop w:val="0"/>
          <w:marBottom w:val="0"/>
          <w:divBdr>
            <w:top w:val="none" w:sz="0" w:space="0" w:color="auto"/>
            <w:left w:val="none" w:sz="0" w:space="0" w:color="auto"/>
            <w:bottom w:val="none" w:sz="0" w:space="0" w:color="auto"/>
            <w:right w:val="none" w:sz="0" w:space="0" w:color="auto"/>
          </w:divBdr>
          <w:divsChild>
            <w:div w:id="316763389">
              <w:marLeft w:val="0"/>
              <w:marRight w:val="0"/>
              <w:marTop w:val="0"/>
              <w:marBottom w:val="0"/>
              <w:divBdr>
                <w:top w:val="none" w:sz="0" w:space="0" w:color="auto"/>
                <w:left w:val="none" w:sz="0" w:space="0" w:color="auto"/>
                <w:bottom w:val="none" w:sz="0" w:space="0" w:color="auto"/>
                <w:right w:val="none" w:sz="0" w:space="0" w:color="auto"/>
              </w:divBdr>
              <w:divsChild>
                <w:div w:id="10257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5967">
      <w:bodyDiv w:val="1"/>
      <w:marLeft w:val="0"/>
      <w:marRight w:val="0"/>
      <w:marTop w:val="0"/>
      <w:marBottom w:val="0"/>
      <w:divBdr>
        <w:top w:val="none" w:sz="0" w:space="0" w:color="auto"/>
        <w:left w:val="none" w:sz="0" w:space="0" w:color="auto"/>
        <w:bottom w:val="none" w:sz="0" w:space="0" w:color="auto"/>
        <w:right w:val="none" w:sz="0" w:space="0" w:color="auto"/>
      </w:divBdr>
      <w:divsChild>
        <w:div w:id="1147815697">
          <w:marLeft w:val="0"/>
          <w:marRight w:val="0"/>
          <w:marTop w:val="0"/>
          <w:marBottom w:val="0"/>
          <w:divBdr>
            <w:top w:val="none" w:sz="0" w:space="0" w:color="auto"/>
            <w:left w:val="none" w:sz="0" w:space="0" w:color="auto"/>
            <w:bottom w:val="none" w:sz="0" w:space="0" w:color="auto"/>
            <w:right w:val="none" w:sz="0" w:space="0" w:color="auto"/>
          </w:divBdr>
          <w:divsChild>
            <w:div w:id="1239947347">
              <w:marLeft w:val="0"/>
              <w:marRight w:val="0"/>
              <w:marTop w:val="0"/>
              <w:marBottom w:val="0"/>
              <w:divBdr>
                <w:top w:val="none" w:sz="0" w:space="0" w:color="auto"/>
                <w:left w:val="none" w:sz="0" w:space="0" w:color="auto"/>
                <w:bottom w:val="none" w:sz="0" w:space="0" w:color="auto"/>
                <w:right w:val="none" w:sz="0" w:space="0" w:color="auto"/>
              </w:divBdr>
              <w:divsChild>
                <w:div w:id="1616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246">
      <w:bodyDiv w:val="1"/>
      <w:marLeft w:val="0"/>
      <w:marRight w:val="0"/>
      <w:marTop w:val="0"/>
      <w:marBottom w:val="0"/>
      <w:divBdr>
        <w:top w:val="none" w:sz="0" w:space="0" w:color="auto"/>
        <w:left w:val="none" w:sz="0" w:space="0" w:color="auto"/>
        <w:bottom w:val="none" w:sz="0" w:space="0" w:color="auto"/>
        <w:right w:val="none" w:sz="0" w:space="0" w:color="auto"/>
      </w:divBdr>
      <w:divsChild>
        <w:div w:id="799493202">
          <w:marLeft w:val="0"/>
          <w:marRight w:val="0"/>
          <w:marTop w:val="0"/>
          <w:marBottom w:val="0"/>
          <w:divBdr>
            <w:top w:val="none" w:sz="0" w:space="0" w:color="auto"/>
            <w:left w:val="none" w:sz="0" w:space="0" w:color="auto"/>
            <w:bottom w:val="none" w:sz="0" w:space="0" w:color="auto"/>
            <w:right w:val="none" w:sz="0" w:space="0" w:color="auto"/>
          </w:divBdr>
          <w:divsChild>
            <w:div w:id="2065594901">
              <w:marLeft w:val="0"/>
              <w:marRight w:val="0"/>
              <w:marTop w:val="0"/>
              <w:marBottom w:val="0"/>
              <w:divBdr>
                <w:top w:val="none" w:sz="0" w:space="0" w:color="auto"/>
                <w:left w:val="none" w:sz="0" w:space="0" w:color="auto"/>
                <w:bottom w:val="none" w:sz="0" w:space="0" w:color="auto"/>
                <w:right w:val="none" w:sz="0" w:space="0" w:color="auto"/>
              </w:divBdr>
              <w:divsChild>
                <w:div w:id="8242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rontlinedefenders.org/en/violation/killing" TargetMode="External"/><Relationship Id="rId2" Type="http://schemas.openxmlformats.org/officeDocument/2006/relationships/hyperlink" Target="https://documents-dds-ny.un.org/doc/UNDOC/LTD/G13/173/19/PDF/G1317319.pdf?OpenElement" TargetMode="External"/><Relationship Id="rId1" Type="http://schemas.openxmlformats.org/officeDocument/2006/relationships/hyperlink" Target="https://www.law.umn.edu/sites/law.umn.edu/files/hrc-impactofsoftlaw.pdf" TargetMode="External"/><Relationship Id="rId6" Type="http://schemas.openxmlformats.org/officeDocument/2006/relationships/hyperlink" Target="https://spacesforchange.org/unpacking-the-official-construction-of-risks-and-vulnerabilities-for-the-third-sector-in-nigeria/" TargetMode="External"/><Relationship Id="rId5" Type="http://schemas.openxmlformats.org/officeDocument/2006/relationships/hyperlink" Target="https://www.nfiu.gov.ng/images/Downloads/downloads/nrareport.pdf" TargetMode="External"/><Relationship Id="rId4" Type="http://schemas.openxmlformats.org/officeDocument/2006/relationships/hyperlink" Target="https://undocs.org/A/75/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814362-A876-4A54-BB2C-220A6F1D88C8}"/>
</file>

<file path=customXml/itemProps2.xml><?xml version="1.0" encoding="utf-8"?>
<ds:datastoreItem xmlns:ds="http://schemas.openxmlformats.org/officeDocument/2006/customXml" ds:itemID="{006802C3-3DC0-4DA9-A5BB-9A54DF5A2D0A}"/>
</file>

<file path=customXml/itemProps3.xml><?xml version="1.0" encoding="utf-8"?>
<ds:datastoreItem xmlns:ds="http://schemas.openxmlformats.org/officeDocument/2006/customXml" ds:itemID="{E57C6CCE-1E04-4CFE-A8D9-C174D82D206F}"/>
</file>

<file path=docProps/app.xml><?xml version="1.0" encoding="utf-8"?>
<Properties xmlns="http://schemas.openxmlformats.org/officeDocument/2006/extended-properties" xmlns:vt="http://schemas.openxmlformats.org/officeDocument/2006/docPropsVTypes">
  <Template>Normal.dotm</Template>
  <TotalTime>80</TotalTime>
  <Pages>8</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Fionnuala Ni Aolain</cp:lastModifiedBy>
  <cp:revision>15</cp:revision>
  <dcterms:created xsi:type="dcterms:W3CDTF">2020-10-12T02:34:00Z</dcterms:created>
  <dcterms:modified xsi:type="dcterms:W3CDTF">2020-10-13T11:51:00Z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