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5C" w:rsidRPr="00884BB5" w:rsidRDefault="00DA0028" w:rsidP="00DA0028">
      <w:pPr>
        <w:tabs>
          <w:tab w:val="left" w:pos="1125"/>
        </w:tabs>
        <w:rPr>
          <w:sz w:val="64"/>
          <w:szCs w:val="64"/>
          <w:lang w:val="es-CL"/>
        </w:rPr>
      </w:pPr>
      <w:r w:rsidRPr="0046063E">
        <w:rPr>
          <w:noProof/>
          <w:sz w:val="64"/>
          <w:szCs w:val="64"/>
          <w:lang w:eastAsia="en-US"/>
        </w:rPr>
        <w:drawing>
          <wp:anchor distT="0" distB="0" distL="114300" distR="114300" simplePos="0" relativeHeight="251679744" behindDoc="1" locked="0" layoutInCell="1" allowOverlap="1" wp14:anchorId="6921CE5E" wp14:editId="50F6CD7B">
            <wp:simplePos x="0" y="0"/>
            <wp:positionH relativeFrom="column">
              <wp:posOffset>5136</wp:posOffset>
            </wp:positionH>
            <wp:positionV relativeFrom="paragraph">
              <wp:posOffset>-220894</wp:posOffset>
            </wp:positionV>
            <wp:extent cx="6698751" cy="2198669"/>
            <wp:effectExtent l="0" t="0" r="6985" b="0"/>
            <wp:wrapNone/>
            <wp:docPr id="6" name="Picture 6" descr=" Cities night scen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ForAlpine-img" descr=" Cities night scene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149" cy="2202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27F" w:rsidRPr="00884BB5">
        <w:rPr>
          <w:rFonts w:ascii="Century Gothic" w:eastAsia="MS Mincho" w:hAnsi="Century Gothic"/>
          <w:b/>
          <w:smallCaps/>
          <w:sz w:val="64"/>
          <w:szCs w:val="64"/>
          <w:vertAlign w:val="subscript"/>
          <w:lang w:val="es-CL"/>
          <w14:shadow w14:blurRad="63500" w14:dist="25400" w14:dir="3060000" w14:sx="100000" w14:sy="100000" w14:kx="0" w14:ky="0" w14:algn="tl">
            <w14:srgbClr w14:val="000000">
              <w14:alpha w14:val="32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884BB5" w:rsidRPr="00884BB5">
        <w:rPr>
          <w:rFonts w:ascii="Century Gothic" w:eastAsia="MS Mincho" w:hAnsi="Century Gothic"/>
          <w:b/>
          <w:smallCaps/>
          <w:sz w:val="64"/>
          <w:szCs w:val="64"/>
          <w:vertAlign w:val="subscript"/>
          <w:lang w:val="es-CL"/>
          <w14:shadow w14:blurRad="63500" w14:dist="25400" w14:dir="3060000" w14:sx="100000" w14:sy="100000" w14:kx="0" w14:ky="0" w14:algn="tl">
            <w14:srgbClr w14:val="000000">
              <w14:alpha w14:val="32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Finanzas Municipales y Derechos Humanos </w:t>
      </w:r>
    </w:p>
    <w:p w:rsidR="00B445E7" w:rsidRPr="00884BB5" w:rsidRDefault="00B445E7" w:rsidP="006D245A">
      <w:pPr>
        <w:jc w:val="both"/>
        <w:rPr>
          <w:rFonts w:ascii="Tahoma" w:eastAsia="MS Mincho" w:hAnsi="Tahoma" w:cs="Tahoma"/>
          <w:b/>
          <w:bCs/>
          <w:color w:val="548DD4"/>
          <w:sz w:val="24"/>
          <w:szCs w:val="24"/>
          <w:lang w:val="es-CL"/>
        </w:rPr>
      </w:pPr>
    </w:p>
    <w:p w:rsidR="002F581A" w:rsidRPr="00884BB5" w:rsidRDefault="002F581A" w:rsidP="006D245A">
      <w:pPr>
        <w:jc w:val="both"/>
        <w:rPr>
          <w:rFonts w:ascii="Tahoma" w:eastAsia="MS Mincho" w:hAnsi="Tahoma" w:cs="Tahoma"/>
          <w:b/>
          <w:bCs/>
          <w:color w:val="548DD4"/>
          <w:sz w:val="24"/>
          <w:szCs w:val="24"/>
          <w:lang w:val="es-CL"/>
        </w:rPr>
      </w:pPr>
    </w:p>
    <w:p w:rsidR="002F581A" w:rsidRPr="00AB6E3E" w:rsidRDefault="00564E59" w:rsidP="002F581A">
      <w:pPr>
        <w:spacing w:after="0"/>
        <w:jc w:val="center"/>
        <w:rPr>
          <w:rFonts w:ascii="Tahoma" w:hAnsi="Tahoma" w:cs="Tahoma"/>
          <w:iCs/>
          <w:sz w:val="21"/>
          <w:szCs w:val="21"/>
          <w:lang w:val="es-CL"/>
        </w:rPr>
      </w:pPr>
      <w:r w:rsidRPr="0046063E">
        <w:rPr>
          <w:smallCaps/>
          <w:noProof/>
          <w:color w:val="FFFFFF"/>
          <w:sz w:val="64"/>
          <w:szCs w:val="64"/>
          <w:vertAlign w:val="subscript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35BFA7" wp14:editId="54062695">
                <wp:simplePos x="0" y="0"/>
                <wp:positionH relativeFrom="column">
                  <wp:posOffset>4747895</wp:posOffset>
                </wp:positionH>
                <wp:positionV relativeFrom="paragraph">
                  <wp:posOffset>161290</wp:posOffset>
                </wp:positionV>
                <wp:extent cx="1959610" cy="354330"/>
                <wp:effectExtent l="0" t="0" r="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95961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0028" w:rsidRPr="001C6053" w:rsidRDefault="00DA0028" w:rsidP="00DA0028">
                            <w:pPr>
                              <w:rPr>
                                <w:b/>
                                <w:color w:val="F2F2F2" w:themeColor="background1" w:themeShade="F2"/>
                                <w:sz w:val="16"/>
                                <w:szCs w:val="16"/>
                                <w:lang w:val="fr-CH"/>
                              </w:rPr>
                            </w:pPr>
                            <w:proofErr w:type="spellStart"/>
                            <w:r w:rsidRPr="001C6053">
                              <w:rPr>
                                <w:b/>
                                <w:color w:val="F2F2F2" w:themeColor="background1" w:themeShade="F2"/>
                                <w:sz w:val="16"/>
                                <w:szCs w:val="16"/>
                                <w:lang w:val="fr-CH"/>
                              </w:rPr>
                              <w:t>Cities</w:t>
                            </w:r>
                            <w:proofErr w:type="spellEnd"/>
                            <w:r w:rsidRPr="001C6053">
                              <w:rPr>
                                <w:b/>
                                <w:color w:val="F2F2F2" w:themeColor="background1" w:themeShade="F2"/>
                                <w:sz w:val="16"/>
                                <w:szCs w:val="16"/>
                                <w:lang w:val="fr-CH"/>
                              </w:rPr>
                              <w:t xml:space="preserve"> Night </w:t>
                            </w:r>
                            <w:proofErr w:type="spellStart"/>
                            <w:r w:rsidRPr="001C6053">
                              <w:rPr>
                                <w:b/>
                                <w:color w:val="F2F2F2" w:themeColor="background1" w:themeShade="F2"/>
                                <w:sz w:val="16"/>
                                <w:szCs w:val="16"/>
                                <w:lang w:val="fr-CH"/>
                              </w:rPr>
                              <w:t>Scene</w:t>
                            </w:r>
                            <w:proofErr w:type="spellEnd"/>
                            <w:r w:rsidRPr="001C6053">
                              <w:rPr>
                                <w:b/>
                                <w:color w:val="F2F2F2" w:themeColor="background1" w:themeShade="F2"/>
                                <w:sz w:val="16"/>
                                <w:szCs w:val="16"/>
                                <w:lang w:val="fr-CH"/>
                              </w:rPr>
                              <w:t xml:space="preserve"> © UN-Habitat</w:t>
                            </w:r>
                          </w:p>
                          <w:p w:rsidR="00DA0028" w:rsidRPr="00982F0D" w:rsidRDefault="00DA0028" w:rsidP="00DA0028">
                            <w:pPr>
                              <w:rPr>
                                <w:b/>
                                <w:color w:val="404040" w:themeColor="text1" w:themeTint="BF"/>
                                <w:sz w:val="16"/>
                                <w:szCs w:val="16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3.85pt;margin-top:12.7pt;width:154.3pt;height:27.9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" filled="f" stroked="f">
                <v:textbox>
                  <w:txbxContent>
                    <w:p w:rsidR="00DA0028" w:rsidRPr="001C6053" w:rsidRDefault="00DA0028" w:rsidP="00DA0028">
                      <w:pPr>
                        <w:rPr>
                          <w:b/>
                          <w:color w:val="F2F2F2" w:themeColor="background1" w:themeShade="F2"/>
                          <w:sz w:val="16"/>
                          <w:szCs w:val="16"/>
                          <w:lang w:val="fr-CH"/>
                        </w:rPr>
                      </w:pPr>
                      <w:proofErr w:type="spellStart"/>
                      <w:r w:rsidRPr="001C6053">
                        <w:rPr>
                          <w:b/>
                          <w:color w:val="F2F2F2" w:themeColor="background1" w:themeShade="F2"/>
                          <w:sz w:val="16"/>
                          <w:szCs w:val="16"/>
                          <w:lang w:val="fr-CH"/>
                        </w:rPr>
                        <w:t>Cities</w:t>
                      </w:r>
                      <w:proofErr w:type="spellEnd"/>
                      <w:r w:rsidRPr="001C6053">
                        <w:rPr>
                          <w:b/>
                          <w:color w:val="F2F2F2" w:themeColor="background1" w:themeShade="F2"/>
                          <w:sz w:val="16"/>
                          <w:szCs w:val="16"/>
                          <w:lang w:val="fr-CH"/>
                        </w:rPr>
                        <w:t xml:space="preserve"> Night </w:t>
                      </w:r>
                      <w:proofErr w:type="spellStart"/>
                      <w:r w:rsidRPr="001C6053">
                        <w:rPr>
                          <w:b/>
                          <w:color w:val="F2F2F2" w:themeColor="background1" w:themeShade="F2"/>
                          <w:sz w:val="16"/>
                          <w:szCs w:val="16"/>
                          <w:lang w:val="fr-CH"/>
                        </w:rPr>
                        <w:t>Scene</w:t>
                      </w:r>
                      <w:proofErr w:type="spellEnd"/>
                      <w:r w:rsidRPr="001C6053">
                        <w:rPr>
                          <w:b/>
                          <w:color w:val="F2F2F2" w:themeColor="background1" w:themeShade="F2"/>
                          <w:sz w:val="16"/>
                          <w:szCs w:val="16"/>
                          <w:lang w:val="fr-CH"/>
                        </w:rPr>
                        <w:t xml:space="preserve"> © UN-Habitat</w:t>
                      </w:r>
                    </w:p>
                    <w:p w:rsidR="00DA0028" w:rsidRPr="00982F0D" w:rsidRDefault="00DA0028" w:rsidP="00DA0028">
                      <w:pPr>
                        <w:rPr>
                          <w:b/>
                          <w:color w:val="404040" w:themeColor="text1" w:themeTint="BF"/>
                          <w:sz w:val="16"/>
                          <w:szCs w:val="16"/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81A" w:rsidRPr="00AB6E3E">
        <w:rPr>
          <w:rFonts w:ascii="Tahoma" w:hAnsi="Tahoma" w:cs="Tahoma"/>
          <w:b/>
          <w:iCs/>
          <w:lang w:val="es-CL"/>
        </w:rPr>
        <w:t xml:space="preserve">A </w:t>
      </w:r>
    </w:p>
    <w:p w:rsidR="00DA0C3C" w:rsidRPr="00AB6E3E" w:rsidRDefault="00DA0C3C" w:rsidP="00E34D2F">
      <w:pPr>
        <w:pStyle w:val="Default"/>
        <w:rPr>
          <w:rFonts w:ascii="Tahoma" w:eastAsia="MS Mincho" w:hAnsi="Tahoma" w:cs="Tahoma"/>
          <w:b/>
          <w:bCs/>
          <w:color w:val="548DD4"/>
          <w:lang w:val="es-CL"/>
        </w:rPr>
      </w:pPr>
    </w:p>
    <w:p w:rsidR="00564E59" w:rsidRPr="00AB6E3E" w:rsidRDefault="00564E59" w:rsidP="00775CEE">
      <w:pPr>
        <w:pStyle w:val="Default"/>
        <w:rPr>
          <w:rFonts w:ascii="Tahoma" w:eastAsia="MS Mincho" w:hAnsi="Tahoma" w:cs="Tahoma"/>
          <w:b/>
          <w:bCs/>
          <w:color w:val="548DD4"/>
          <w:lang w:val="es-CL"/>
        </w:rPr>
      </w:pPr>
    </w:p>
    <w:p w:rsidR="00564E59" w:rsidRPr="00AB6E3E" w:rsidRDefault="00564E59" w:rsidP="00775CEE">
      <w:pPr>
        <w:pStyle w:val="Default"/>
        <w:rPr>
          <w:rFonts w:ascii="Tahoma" w:eastAsia="MS Mincho" w:hAnsi="Tahoma" w:cs="Tahoma"/>
          <w:b/>
          <w:bCs/>
          <w:color w:val="548DD4"/>
          <w:lang w:val="es-CL"/>
        </w:rPr>
      </w:pPr>
    </w:p>
    <w:p w:rsidR="002F581A" w:rsidRDefault="00473999" w:rsidP="004135C4">
      <w:pPr>
        <w:pStyle w:val="Default"/>
        <w:spacing w:line="276" w:lineRule="auto"/>
        <w:rPr>
          <w:rFonts w:ascii="Tahoma" w:eastAsia="MS Mincho" w:hAnsi="Tahoma" w:cs="Tahoma"/>
          <w:b/>
          <w:bCs/>
          <w:color w:val="548DD4"/>
          <w:lang w:val="es-CL"/>
        </w:rPr>
      </w:pPr>
      <w:r w:rsidRPr="00473999">
        <w:rPr>
          <w:rFonts w:ascii="Tahoma" w:eastAsia="MS Mincho" w:hAnsi="Tahoma" w:cs="Tahoma"/>
          <w:b/>
          <w:bCs/>
          <w:color w:val="548DD4"/>
          <w:lang w:val="es-CL"/>
        </w:rPr>
        <w:t>Las autoridades nacionales y locales son responsables de la asignación de los máximos recursos disponibles para la realización de los derechos humanos</w:t>
      </w:r>
    </w:p>
    <w:p w:rsidR="00DE6388" w:rsidRPr="00473999" w:rsidRDefault="00DE6388" w:rsidP="00775CEE">
      <w:pPr>
        <w:pStyle w:val="Default"/>
        <w:rPr>
          <w:rFonts w:ascii="Tahoma" w:eastAsia="MS Mincho" w:hAnsi="Tahoma" w:cs="Tahoma"/>
          <w:b/>
          <w:bCs/>
          <w:color w:val="548DD4"/>
          <w:lang w:val="es-CL"/>
        </w:rPr>
      </w:pPr>
    </w:p>
    <w:p w:rsidR="00473999" w:rsidRPr="00473999" w:rsidRDefault="00564E59" w:rsidP="00DE6388">
      <w:pPr>
        <w:spacing w:line="240" w:lineRule="auto"/>
        <w:jc w:val="both"/>
        <w:rPr>
          <w:rFonts w:ascii="Tahoma" w:hAnsi="Tahoma" w:cs="Tahoma"/>
          <w:iCs/>
          <w:sz w:val="21"/>
          <w:szCs w:val="21"/>
          <w:lang w:val="es-CL"/>
        </w:rPr>
      </w:pPr>
      <w:r w:rsidRPr="00A63A89">
        <w:rPr>
          <w:rFonts w:ascii="Tahoma" w:eastAsia="MS Mincho" w:hAnsi="Tahoma" w:cs="Tahoma"/>
          <w:b/>
          <w:bCs/>
          <w:noProof/>
          <w:color w:val="548DD4"/>
          <w:sz w:val="21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A2D58DA" wp14:editId="58B6685A">
                <wp:simplePos x="0" y="0"/>
                <wp:positionH relativeFrom="margin">
                  <wp:posOffset>4105275</wp:posOffset>
                </wp:positionH>
                <wp:positionV relativeFrom="margin">
                  <wp:posOffset>2781300</wp:posOffset>
                </wp:positionV>
                <wp:extent cx="2729865" cy="3057525"/>
                <wp:effectExtent l="57150" t="38100" r="70485" b="104775"/>
                <wp:wrapSquare wrapText="bothSides"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9865" cy="305752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:rsidR="008D5982" w:rsidRPr="008D5982" w:rsidRDefault="00AB6E3E" w:rsidP="004135C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Las </w:t>
                            </w:r>
                            <w:r w:rsidR="008D5982" w:rsidRPr="008D5982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>f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>inanzas municipales se refieren a las decisiones de los gobiernos municipales sobre</w:t>
                            </w:r>
                            <w:r w:rsidR="008D5982" w:rsidRPr="008D5982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 ingresos y gastos. </w:t>
                            </w:r>
                            <w:r w:rsidR="001802D3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>Se trata de</w:t>
                            </w:r>
                            <w:r w:rsidR="001802D3" w:rsidRPr="008D5982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8D5982" w:rsidRPr="008D5982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>las fuentes de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8D5982" w:rsidRPr="008D5982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>ingresos que son utilizados por los gobiernos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 municipales</w:t>
                            </w:r>
                            <w:r w:rsidR="001802D3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>impuestos (</w:t>
                            </w:r>
                            <w:r w:rsidR="001802D3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a la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>propiedad</w:t>
                            </w:r>
                            <w:r w:rsidR="008D5982" w:rsidRPr="008D5982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, ingresos, ventas e impuestos especiales), tarifas a los usuarios, y las transferencias intergubernamentales. </w:t>
                            </w:r>
                            <w:r w:rsidR="00A272CB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Incluye </w:t>
                            </w:r>
                            <w:r w:rsidR="001802D3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>también</w:t>
                            </w:r>
                            <w:r w:rsidR="00A272CB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 las formas de financiamiento</w:t>
                            </w:r>
                            <w:r w:rsidR="008D5982" w:rsidRPr="008D5982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 de la infraestructura</w:t>
                            </w:r>
                            <w:r w:rsidR="001802D3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 vía</w:t>
                            </w:r>
                            <w:r w:rsidR="00DE6388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 </w:t>
                            </w:r>
                            <w:r w:rsidR="002C01C8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>ingresos y préstamos</w:t>
                            </w:r>
                            <w:r w:rsidR="008D5982" w:rsidRPr="008D5982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, así como los cargos </w:t>
                            </w:r>
                            <w:r w:rsidR="002C01C8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>de constructores</w:t>
                            </w:r>
                            <w:r w:rsidR="008D5982" w:rsidRPr="008D5982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 y las asociaciones público-privadas. </w:t>
                            </w:r>
                            <w:r w:rsidR="002C01C8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Las </w:t>
                            </w:r>
                            <w:r w:rsidR="008D5982" w:rsidRPr="008D5982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finanzas municipales también </w:t>
                            </w:r>
                            <w:r w:rsidR="001802D3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se relacionan con </w:t>
                            </w:r>
                            <w:r w:rsidR="008D5982" w:rsidRPr="008D5982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 xml:space="preserve"> los gastos a nivel local y la rendición de cuentas por las decisiones de gasto e ingreso, incluyendo el proceso presupuestario municipal y la gestión financiera.</w:t>
                            </w:r>
                          </w:p>
                          <w:p w:rsidR="00DE6388" w:rsidRDefault="00DE6388" w:rsidP="002C01C8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:rsidR="00FA671F" w:rsidRPr="002C01C8" w:rsidRDefault="002C01C8" w:rsidP="002C01C8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>ONU</w:t>
                            </w:r>
                            <w:r w:rsidR="00EF3C72" w:rsidRPr="00473999">
                              <w:rPr>
                                <w:i/>
                                <w:iCs/>
                                <w:sz w:val="20"/>
                                <w:szCs w:val="20"/>
                                <w:lang w:val="es-CL"/>
                              </w:rPr>
                              <w:t>-Habitat, Guide to Municipal Finance, 2009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7" type="#_x0000_t185" style="position:absolute;left:0;text-align:left;margin-left:323.25pt;margin-top:219pt;width:214.95pt;height:24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" o:allowincell="f" adj="1739" strokecolor="#9bbb59" strokeweight="2pt">
                <v:shadow on="t" color="black" opacity="24903f" origin=",.5" offset="0,.55556mm"/>
                <v:textbox inset="3.6pt,,3.6pt">
                  <w:txbxContent>
                    <w:p w:rsidR="008D5982" w:rsidRPr="008D5982" w:rsidRDefault="00AB6E3E" w:rsidP="004135C4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Las </w:t>
                      </w:r>
                      <w:r w:rsidR="008D5982" w:rsidRPr="008D5982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f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inanzas municipales se refieren a las decisiones de los gobiernos municipales sobre</w:t>
                      </w:r>
                      <w:r w:rsidR="008D5982" w:rsidRPr="008D5982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 ingresos y gastos. </w:t>
                      </w:r>
                      <w:r w:rsidR="001802D3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Se trata de</w:t>
                      </w:r>
                      <w:r w:rsidR="001802D3" w:rsidRPr="008D5982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8D5982" w:rsidRPr="008D5982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las fuentes de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8D5982" w:rsidRPr="008D5982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ingresos que son utilizados por los gobiernos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 municipales</w:t>
                      </w:r>
                      <w:r w:rsidR="001802D3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: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impuestos (</w:t>
                      </w:r>
                      <w:r w:rsidR="001802D3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a la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propiedad</w:t>
                      </w:r>
                      <w:r w:rsidR="008D5982" w:rsidRPr="008D5982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, ingresos, ventas e impuestos especiales), tarifas a los usuarios, y las transferencias intergubernamentales. </w:t>
                      </w:r>
                      <w:r w:rsidR="00A272CB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Incluye </w:t>
                      </w:r>
                      <w:r w:rsidR="001802D3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también</w:t>
                      </w:r>
                      <w:r w:rsidR="00A272CB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 las formas de financiamiento</w:t>
                      </w:r>
                      <w:r w:rsidR="008D5982" w:rsidRPr="008D5982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 de la infraestructura</w:t>
                      </w:r>
                      <w:r w:rsidR="001802D3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 vía</w:t>
                      </w:r>
                      <w:r w:rsidR="00DE6388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 </w:t>
                      </w:r>
                      <w:r w:rsidR="002C01C8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ingresos y préstamos</w:t>
                      </w:r>
                      <w:r w:rsidR="008D5982" w:rsidRPr="008D5982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, así como los cargos </w:t>
                      </w:r>
                      <w:r w:rsidR="002C01C8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de constructores</w:t>
                      </w:r>
                      <w:r w:rsidR="008D5982" w:rsidRPr="008D5982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 y las asociaciones público-privadas. </w:t>
                      </w:r>
                      <w:r w:rsidR="002C01C8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Las </w:t>
                      </w:r>
                      <w:r w:rsidR="008D5982" w:rsidRPr="008D5982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finanzas municipales también </w:t>
                      </w:r>
                      <w:r w:rsidR="001802D3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se relacionan con </w:t>
                      </w:r>
                      <w:r w:rsidR="008D5982" w:rsidRPr="008D5982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 los gastos a nivel local y la rendición de cuentas por las decisiones de gasto e ingreso, incluyendo el proceso presupuestario municipal y la gestión financiera.</w:t>
                      </w:r>
                    </w:p>
                    <w:p w:rsidR="00DE6388" w:rsidRDefault="00DE6388" w:rsidP="002C01C8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</w:pPr>
                    </w:p>
                    <w:p w:rsidR="00FA671F" w:rsidRPr="002C01C8" w:rsidRDefault="002C01C8" w:rsidP="002C01C8">
                      <w:pPr>
                        <w:spacing w:after="0"/>
                        <w:jc w:val="center"/>
                        <w:rPr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ONU</w:t>
                      </w:r>
                      <w:r w:rsidR="00EF3C72" w:rsidRPr="00473999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-</w:t>
                      </w:r>
                      <w:proofErr w:type="spellStart"/>
                      <w:r w:rsidR="00EF3C72" w:rsidRPr="00473999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Habitat</w:t>
                      </w:r>
                      <w:proofErr w:type="spellEnd"/>
                      <w:r w:rsidR="00EF3C72" w:rsidRPr="00473999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, </w:t>
                      </w:r>
                      <w:proofErr w:type="spellStart"/>
                      <w:r w:rsidR="00EF3C72" w:rsidRPr="00473999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Guide</w:t>
                      </w:r>
                      <w:proofErr w:type="spellEnd"/>
                      <w:r w:rsidR="00EF3C72" w:rsidRPr="00473999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 xml:space="preserve"> to Municipal </w:t>
                      </w:r>
                      <w:proofErr w:type="spellStart"/>
                      <w:r w:rsidR="00EF3C72" w:rsidRPr="00473999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Finance</w:t>
                      </w:r>
                      <w:proofErr w:type="spellEnd"/>
                      <w:r w:rsidR="00EF3C72" w:rsidRPr="00473999">
                        <w:rPr>
                          <w:i/>
                          <w:iCs/>
                          <w:sz w:val="20"/>
                          <w:szCs w:val="20"/>
                          <w:lang w:val="es-CL"/>
                        </w:rPr>
                        <w:t>, 2009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73999" w:rsidRPr="00473999">
        <w:rPr>
          <w:rFonts w:ascii="Tahoma" w:hAnsi="Tahoma" w:cs="Tahoma"/>
          <w:b/>
          <w:iCs/>
          <w:sz w:val="21"/>
          <w:szCs w:val="21"/>
          <w:lang w:val="es-CL"/>
        </w:rPr>
        <w:t xml:space="preserve">Las </w:t>
      </w:r>
      <w:r w:rsidR="00E5274D" w:rsidRPr="00473999">
        <w:rPr>
          <w:rFonts w:ascii="Tahoma" w:hAnsi="Tahoma" w:cs="Tahoma"/>
          <w:b/>
          <w:iCs/>
          <w:sz w:val="21"/>
          <w:szCs w:val="21"/>
          <w:lang w:val="es-CL"/>
        </w:rPr>
        <w:t>instituciones</w:t>
      </w:r>
      <w:r w:rsidR="00E5274D">
        <w:rPr>
          <w:rFonts w:ascii="Tahoma" w:hAnsi="Tahoma" w:cs="Tahoma"/>
          <w:b/>
          <w:iCs/>
          <w:sz w:val="21"/>
          <w:szCs w:val="21"/>
          <w:lang w:val="es-CL"/>
        </w:rPr>
        <w:t xml:space="preserve"> y las </w:t>
      </w:r>
      <w:r w:rsidR="00473999" w:rsidRPr="00473999">
        <w:rPr>
          <w:rFonts w:ascii="Tahoma" w:hAnsi="Tahoma" w:cs="Tahoma"/>
          <w:b/>
          <w:iCs/>
          <w:sz w:val="21"/>
          <w:szCs w:val="21"/>
          <w:lang w:val="es-CL"/>
        </w:rPr>
        <w:t xml:space="preserve">políticas  </w:t>
      </w:r>
      <w:r w:rsidR="00473999">
        <w:rPr>
          <w:rFonts w:ascii="Tahoma" w:hAnsi="Tahoma" w:cs="Tahoma"/>
          <w:b/>
          <w:iCs/>
          <w:sz w:val="21"/>
          <w:szCs w:val="21"/>
          <w:lang w:val="es-CL"/>
        </w:rPr>
        <w:t>económicas deben estar alineada</w:t>
      </w:r>
      <w:r w:rsidR="00473999" w:rsidRPr="00473999">
        <w:rPr>
          <w:rFonts w:ascii="Tahoma" w:hAnsi="Tahoma" w:cs="Tahoma"/>
          <w:b/>
          <w:iCs/>
          <w:sz w:val="21"/>
          <w:szCs w:val="21"/>
          <w:lang w:val="es-CL"/>
        </w:rPr>
        <w:t>s con los estándares de derechos humanos</w:t>
      </w:r>
      <w:r w:rsidR="00473999" w:rsidRPr="00473999">
        <w:rPr>
          <w:rFonts w:ascii="Tahoma" w:hAnsi="Tahoma" w:cs="Tahoma"/>
          <w:iCs/>
          <w:sz w:val="21"/>
          <w:szCs w:val="21"/>
          <w:lang w:val="es-CL"/>
        </w:rPr>
        <w:t xml:space="preserve">. La coherencia </w:t>
      </w:r>
      <w:r w:rsidR="00DE6388">
        <w:rPr>
          <w:rFonts w:ascii="Tahoma" w:hAnsi="Tahoma" w:cs="Tahoma"/>
          <w:iCs/>
          <w:sz w:val="21"/>
          <w:szCs w:val="21"/>
          <w:lang w:val="es-CL"/>
        </w:rPr>
        <w:t>en las políticas</w:t>
      </w:r>
      <w:r w:rsidR="00473999" w:rsidRPr="00473999">
        <w:rPr>
          <w:rFonts w:ascii="Tahoma" w:hAnsi="Tahoma" w:cs="Tahoma"/>
          <w:iCs/>
          <w:sz w:val="21"/>
          <w:szCs w:val="21"/>
          <w:lang w:val="es-CL"/>
        </w:rPr>
        <w:t xml:space="preserve"> es fundamental para la implementación exitosa </w:t>
      </w:r>
      <w:r w:rsidR="00473999">
        <w:rPr>
          <w:rFonts w:ascii="Tahoma" w:hAnsi="Tahoma" w:cs="Tahoma"/>
          <w:iCs/>
          <w:sz w:val="21"/>
          <w:szCs w:val="21"/>
          <w:lang w:val="es-CL"/>
        </w:rPr>
        <w:t>de la Nueva Agenda Urbana</w:t>
      </w:r>
      <w:r w:rsidR="00473999" w:rsidRPr="00473999">
        <w:rPr>
          <w:rFonts w:ascii="Tahoma" w:hAnsi="Tahoma" w:cs="Tahoma"/>
          <w:iCs/>
          <w:sz w:val="21"/>
          <w:szCs w:val="21"/>
          <w:lang w:val="es-CL"/>
        </w:rPr>
        <w:t>. Esto implicará la ad</w:t>
      </w:r>
      <w:r w:rsidR="002C01C8">
        <w:rPr>
          <w:rFonts w:ascii="Tahoma" w:hAnsi="Tahoma" w:cs="Tahoma"/>
          <w:iCs/>
          <w:sz w:val="21"/>
          <w:szCs w:val="21"/>
          <w:lang w:val="es-CL"/>
        </w:rPr>
        <w:t>opción de medidas para lograr coherencia en</w:t>
      </w:r>
      <w:r w:rsidR="00473999" w:rsidRPr="00473999">
        <w:rPr>
          <w:rFonts w:ascii="Tahoma" w:hAnsi="Tahoma" w:cs="Tahoma"/>
          <w:iCs/>
          <w:sz w:val="21"/>
          <w:szCs w:val="21"/>
          <w:lang w:val="es-CL"/>
        </w:rPr>
        <w:t xml:space="preserve"> el trabajo de </w:t>
      </w:r>
      <w:r w:rsidR="00E5274D">
        <w:rPr>
          <w:rFonts w:ascii="Tahoma" w:hAnsi="Tahoma" w:cs="Tahoma"/>
          <w:iCs/>
          <w:sz w:val="21"/>
          <w:szCs w:val="21"/>
          <w:lang w:val="es-CL"/>
        </w:rPr>
        <w:t>todas las</w:t>
      </w:r>
      <w:r w:rsidR="00E5274D" w:rsidRPr="00473999">
        <w:rPr>
          <w:rFonts w:ascii="Tahoma" w:hAnsi="Tahoma" w:cs="Tahoma"/>
          <w:iCs/>
          <w:sz w:val="21"/>
          <w:szCs w:val="21"/>
          <w:lang w:val="es-CL"/>
        </w:rPr>
        <w:t xml:space="preserve"> </w:t>
      </w:r>
      <w:r w:rsidR="00473999" w:rsidRPr="00473999">
        <w:rPr>
          <w:rFonts w:ascii="Tahoma" w:hAnsi="Tahoma" w:cs="Tahoma"/>
          <w:iCs/>
          <w:sz w:val="21"/>
          <w:szCs w:val="21"/>
          <w:lang w:val="es-CL"/>
        </w:rPr>
        <w:t xml:space="preserve">instituciones, asegurar la prosperidad de las ciudades a través del empleo inclusivo, la reducción de las desigualdades y la discriminación, el desarrollo urbano sostenible y la realización de los derechos humanos de </w:t>
      </w:r>
      <w:r w:rsidR="00E5274D">
        <w:rPr>
          <w:rFonts w:ascii="Tahoma" w:hAnsi="Tahoma" w:cs="Tahoma"/>
          <w:iCs/>
          <w:sz w:val="21"/>
          <w:szCs w:val="21"/>
          <w:lang w:val="es-CL"/>
        </w:rPr>
        <w:t xml:space="preserve">todas y </w:t>
      </w:r>
      <w:r w:rsidR="00473999" w:rsidRPr="00473999">
        <w:rPr>
          <w:rFonts w:ascii="Tahoma" w:hAnsi="Tahoma" w:cs="Tahoma"/>
          <w:iCs/>
          <w:sz w:val="21"/>
          <w:szCs w:val="21"/>
          <w:lang w:val="es-CL"/>
        </w:rPr>
        <w:t>todos lo</w:t>
      </w:r>
      <w:r w:rsidR="002C01C8">
        <w:rPr>
          <w:rFonts w:ascii="Tahoma" w:hAnsi="Tahoma" w:cs="Tahoma"/>
          <w:iCs/>
          <w:sz w:val="21"/>
          <w:szCs w:val="21"/>
          <w:lang w:val="es-CL"/>
        </w:rPr>
        <w:t xml:space="preserve">s habitantes de las ciudades. </w:t>
      </w:r>
      <w:r w:rsidR="00DE6388">
        <w:rPr>
          <w:rFonts w:ascii="Tahoma" w:hAnsi="Tahoma" w:cs="Tahoma"/>
          <w:iCs/>
          <w:sz w:val="21"/>
          <w:szCs w:val="21"/>
          <w:lang w:val="es-CL"/>
        </w:rPr>
        <w:t>La</w:t>
      </w:r>
      <w:r w:rsidR="00E5274D">
        <w:rPr>
          <w:rFonts w:ascii="Tahoma" w:hAnsi="Tahoma" w:cs="Tahoma"/>
          <w:iCs/>
          <w:sz w:val="21"/>
          <w:szCs w:val="21"/>
          <w:lang w:val="es-CL"/>
        </w:rPr>
        <w:t xml:space="preserve"> </w:t>
      </w:r>
      <w:r w:rsidR="00DE6388">
        <w:rPr>
          <w:rFonts w:ascii="Tahoma" w:hAnsi="Tahoma" w:cs="Tahoma"/>
          <w:iCs/>
          <w:sz w:val="21"/>
          <w:szCs w:val="21"/>
          <w:lang w:val="es-CL"/>
        </w:rPr>
        <w:t>gobernanza</w:t>
      </w:r>
      <w:r w:rsidR="00E5274D">
        <w:rPr>
          <w:rFonts w:ascii="Tahoma" w:hAnsi="Tahoma" w:cs="Tahoma"/>
          <w:iCs/>
          <w:sz w:val="21"/>
          <w:szCs w:val="21"/>
          <w:lang w:val="es-CL"/>
        </w:rPr>
        <w:t xml:space="preserve"> </w:t>
      </w:r>
      <w:r w:rsidR="00DE6388">
        <w:rPr>
          <w:rFonts w:ascii="Tahoma" w:hAnsi="Tahoma" w:cs="Tahoma"/>
          <w:iCs/>
          <w:sz w:val="21"/>
          <w:szCs w:val="21"/>
          <w:lang w:val="es-CL"/>
        </w:rPr>
        <w:t>efectiva para una urbanización sostenible</w:t>
      </w:r>
      <w:r w:rsidR="00473999" w:rsidRPr="00473999">
        <w:rPr>
          <w:rFonts w:ascii="Tahoma" w:hAnsi="Tahoma" w:cs="Tahoma"/>
          <w:iCs/>
          <w:sz w:val="21"/>
          <w:szCs w:val="21"/>
          <w:lang w:val="es-CL"/>
        </w:rPr>
        <w:t xml:space="preserve"> exige que las institu</w:t>
      </w:r>
      <w:r w:rsidR="00473999">
        <w:rPr>
          <w:rFonts w:ascii="Tahoma" w:hAnsi="Tahoma" w:cs="Tahoma"/>
          <w:iCs/>
          <w:sz w:val="21"/>
          <w:szCs w:val="21"/>
          <w:lang w:val="es-CL"/>
        </w:rPr>
        <w:t xml:space="preserve">ciones públicas </w:t>
      </w:r>
      <w:r w:rsidR="00E5274D">
        <w:rPr>
          <w:rFonts w:ascii="Tahoma" w:hAnsi="Tahoma" w:cs="Tahoma"/>
          <w:iCs/>
          <w:sz w:val="21"/>
          <w:szCs w:val="21"/>
          <w:lang w:val="es-CL"/>
        </w:rPr>
        <w:t>actúen</w:t>
      </w:r>
      <w:r w:rsidR="00E5274D" w:rsidRPr="00473999">
        <w:rPr>
          <w:rFonts w:ascii="Tahoma" w:hAnsi="Tahoma" w:cs="Tahoma"/>
          <w:iCs/>
          <w:sz w:val="21"/>
          <w:szCs w:val="21"/>
          <w:lang w:val="es-CL"/>
        </w:rPr>
        <w:t xml:space="preserve"> </w:t>
      </w:r>
      <w:r w:rsidR="00473999" w:rsidRPr="00473999">
        <w:rPr>
          <w:rFonts w:ascii="Tahoma" w:hAnsi="Tahoma" w:cs="Tahoma"/>
          <w:iCs/>
          <w:sz w:val="21"/>
          <w:szCs w:val="21"/>
          <w:lang w:val="es-CL"/>
        </w:rPr>
        <w:t>en consonancia con las normas y principios internac</w:t>
      </w:r>
      <w:r w:rsidR="00473999">
        <w:rPr>
          <w:rFonts w:ascii="Tahoma" w:hAnsi="Tahoma" w:cs="Tahoma"/>
          <w:iCs/>
          <w:sz w:val="21"/>
          <w:szCs w:val="21"/>
          <w:lang w:val="es-CL"/>
        </w:rPr>
        <w:t xml:space="preserve">ionales de derechos humanos y </w:t>
      </w:r>
      <w:r w:rsidR="006B3041">
        <w:rPr>
          <w:rFonts w:ascii="Tahoma" w:hAnsi="Tahoma" w:cs="Tahoma"/>
          <w:iCs/>
          <w:sz w:val="21"/>
          <w:szCs w:val="21"/>
          <w:lang w:val="es-CL"/>
        </w:rPr>
        <w:t xml:space="preserve">que </w:t>
      </w:r>
      <w:r w:rsidR="00E5274D">
        <w:rPr>
          <w:rFonts w:ascii="Tahoma" w:hAnsi="Tahoma" w:cs="Tahoma"/>
          <w:iCs/>
          <w:sz w:val="21"/>
          <w:szCs w:val="21"/>
          <w:lang w:val="es-CL"/>
        </w:rPr>
        <w:t xml:space="preserve">rindan cuentas ante </w:t>
      </w:r>
      <w:r w:rsidR="00473999" w:rsidRPr="00473999">
        <w:rPr>
          <w:rFonts w:ascii="Tahoma" w:hAnsi="Tahoma" w:cs="Tahoma"/>
          <w:iCs/>
          <w:sz w:val="21"/>
          <w:szCs w:val="21"/>
          <w:lang w:val="es-CL"/>
        </w:rPr>
        <w:t>las personas.</w:t>
      </w:r>
    </w:p>
    <w:p w:rsidR="00C077D5" w:rsidRDefault="002C01C8" w:rsidP="00DE6388">
      <w:pPr>
        <w:spacing w:line="240" w:lineRule="auto"/>
        <w:jc w:val="both"/>
        <w:rPr>
          <w:rFonts w:ascii="Tahoma" w:hAnsi="Tahoma" w:cs="Tahoma"/>
          <w:bCs/>
          <w:iCs/>
          <w:sz w:val="21"/>
          <w:szCs w:val="21"/>
          <w:lang w:val="es-CL"/>
        </w:rPr>
      </w:pPr>
      <w:r>
        <w:rPr>
          <w:rFonts w:ascii="Tahoma" w:hAnsi="Tahoma" w:cs="Tahoma"/>
          <w:b/>
          <w:bCs/>
          <w:iCs/>
          <w:sz w:val="21"/>
          <w:szCs w:val="21"/>
          <w:lang w:val="es-CL"/>
        </w:rPr>
        <w:t>Debe utilizarse e</w:t>
      </w:r>
      <w:r w:rsidR="00473999" w:rsidRPr="00473999">
        <w:rPr>
          <w:rFonts w:ascii="Tahoma" w:hAnsi="Tahoma" w:cs="Tahoma"/>
          <w:b/>
          <w:bCs/>
          <w:iCs/>
          <w:sz w:val="21"/>
          <w:szCs w:val="21"/>
          <w:lang w:val="es-CL"/>
        </w:rPr>
        <w:t xml:space="preserve">l máximo de recursos disponibles para realizar los derechos humanos de los habitantes urbanos. 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 xml:space="preserve">En virtud de los tratados fundamentales de derechos humanos, los Estados están obligados a movilizar y asignar los </w:t>
      </w:r>
      <w:r>
        <w:rPr>
          <w:rFonts w:ascii="Tahoma" w:hAnsi="Tahoma" w:cs="Tahoma"/>
          <w:bCs/>
          <w:iCs/>
          <w:sz w:val="21"/>
          <w:szCs w:val="21"/>
          <w:lang w:val="es-CL"/>
        </w:rPr>
        <w:t xml:space="preserve">máximos recursos 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>disponibles para la realización de todos los derechos humanos. Para cumplir con sus obligaciones de derechos humanos, para poner fin a la pobreza y para cump</w:t>
      </w:r>
      <w:r>
        <w:rPr>
          <w:rFonts w:ascii="Tahoma" w:hAnsi="Tahoma" w:cs="Tahoma"/>
          <w:bCs/>
          <w:iCs/>
          <w:sz w:val="21"/>
          <w:szCs w:val="21"/>
          <w:lang w:val="es-CL"/>
        </w:rPr>
        <w:t>lir con la Agenda 2030 para el Desarrollo S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>ostenible, los Estados deberían</w:t>
      </w:r>
      <w:r>
        <w:rPr>
          <w:rFonts w:ascii="Tahoma" w:hAnsi="Tahoma" w:cs="Tahoma"/>
          <w:bCs/>
          <w:iCs/>
          <w:sz w:val="21"/>
          <w:szCs w:val="21"/>
          <w:lang w:val="es-CL"/>
        </w:rPr>
        <w:t xml:space="preserve"> apoyar un marco de financiamiento</w:t>
      </w:r>
      <w:r w:rsidR="00C077D5">
        <w:rPr>
          <w:rFonts w:ascii="Tahoma" w:hAnsi="Tahoma" w:cs="Tahoma"/>
          <w:bCs/>
          <w:iCs/>
          <w:sz w:val="21"/>
          <w:szCs w:val="21"/>
          <w:lang w:val="es-CL"/>
        </w:rPr>
        <w:t xml:space="preserve"> para la urbanización inclusiva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 xml:space="preserve">, que </w:t>
      </w:r>
      <w:r w:rsidR="00C077D5">
        <w:rPr>
          <w:rFonts w:ascii="Tahoma" w:hAnsi="Tahoma" w:cs="Tahoma"/>
          <w:bCs/>
          <w:iCs/>
          <w:sz w:val="21"/>
          <w:szCs w:val="21"/>
          <w:lang w:val="es-CL"/>
        </w:rPr>
        <w:t>se ajuste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 xml:space="preserve"> a est</w:t>
      </w:r>
      <w:r w:rsidR="00E5274D">
        <w:rPr>
          <w:rFonts w:ascii="Tahoma" w:hAnsi="Tahoma" w:cs="Tahoma"/>
          <w:bCs/>
          <w:iCs/>
          <w:sz w:val="21"/>
          <w:szCs w:val="21"/>
          <w:lang w:val="es-CL"/>
        </w:rPr>
        <w:t>os compromisos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 xml:space="preserve">. </w:t>
      </w:r>
      <w:r w:rsidR="00153D5E">
        <w:rPr>
          <w:rFonts w:ascii="Tahoma" w:hAnsi="Tahoma" w:cs="Tahoma"/>
          <w:bCs/>
          <w:iCs/>
          <w:sz w:val="21"/>
          <w:szCs w:val="21"/>
          <w:lang w:val="es-CL"/>
        </w:rPr>
        <w:t>Se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 xml:space="preserve"> necesitarán recursos s</w:t>
      </w:r>
      <w:r w:rsidR="00C077D5">
        <w:rPr>
          <w:rFonts w:ascii="Tahoma" w:hAnsi="Tahoma" w:cs="Tahoma"/>
          <w:bCs/>
          <w:iCs/>
          <w:sz w:val="21"/>
          <w:szCs w:val="21"/>
          <w:lang w:val="es-CL"/>
        </w:rPr>
        <w:t>ustanciales para implementar una Nueva Agenda U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 xml:space="preserve">rbana </w:t>
      </w:r>
      <w:r w:rsidR="00153D5E">
        <w:rPr>
          <w:rFonts w:ascii="Tahoma" w:hAnsi="Tahoma" w:cs="Tahoma"/>
          <w:bCs/>
          <w:iCs/>
          <w:sz w:val="21"/>
          <w:szCs w:val="21"/>
          <w:lang w:val="es-CL"/>
        </w:rPr>
        <w:t>sostenible e inclusiva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 xml:space="preserve">, y esto requerirá </w:t>
      </w:r>
      <w:r w:rsidR="00E5274D">
        <w:rPr>
          <w:rFonts w:ascii="Tahoma" w:hAnsi="Tahoma" w:cs="Tahoma"/>
          <w:bCs/>
          <w:iCs/>
          <w:sz w:val="21"/>
          <w:szCs w:val="21"/>
          <w:lang w:val="es-CL"/>
        </w:rPr>
        <w:t xml:space="preserve">que todas partes interesadas movilicen de manera 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 xml:space="preserve">eficaz los recursos, </w:t>
      </w:r>
      <w:r w:rsidR="00153D5E">
        <w:rPr>
          <w:rFonts w:ascii="Tahoma" w:hAnsi="Tahoma" w:cs="Tahoma"/>
          <w:bCs/>
          <w:iCs/>
          <w:sz w:val="21"/>
          <w:szCs w:val="21"/>
          <w:lang w:val="es-CL"/>
        </w:rPr>
        <w:t>buscando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 xml:space="preserve"> reducir las desigualdades y promover la prosperidad para tod</w:t>
      </w:r>
      <w:r w:rsidR="00153D5E">
        <w:rPr>
          <w:rFonts w:ascii="Tahoma" w:hAnsi="Tahoma" w:cs="Tahoma"/>
          <w:bCs/>
          <w:iCs/>
          <w:sz w:val="21"/>
          <w:szCs w:val="21"/>
          <w:lang w:val="es-CL"/>
        </w:rPr>
        <w:t>a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>s</w:t>
      </w:r>
      <w:r w:rsidR="00E5274D">
        <w:rPr>
          <w:rFonts w:ascii="Tahoma" w:hAnsi="Tahoma" w:cs="Tahoma"/>
          <w:bCs/>
          <w:iCs/>
          <w:sz w:val="21"/>
          <w:szCs w:val="21"/>
          <w:lang w:val="es-CL"/>
        </w:rPr>
        <w:t xml:space="preserve"> y tod</w:t>
      </w:r>
      <w:r w:rsidR="00153D5E">
        <w:rPr>
          <w:rFonts w:ascii="Tahoma" w:hAnsi="Tahoma" w:cs="Tahoma"/>
          <w:bCs/>
          <w:iCs/>
          <w:sz w:val="21"/>
          <w:szCs w:val="21"/>
          <w:lang w:val="es-CL"/>
        </w:rPr>
        <w:t>o</w:t>
      </w:r>
      <w:r w:rsidR="00E5274D">
        <w:rPr>
          <w:rFonts w:ascii="Tahoma" w:hAnsi="Tahoma" w:cs="Tahoma"/>
          <w:bCs/>
          <w:iCs/>
          <w:sz w:val="21"/>
          <w:szCs w:val="21"/>
          <w:lang w:val="es-CL"/>
        </w:rPr>
        <w:t>s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>. También r</w:t>
      </w:r>
      <w:r w:rsidR="00EA1DE9">
        <w:rPr>
          <w:rFonts w:ascii="Tahoma" w:hAnsi="Tahoma" w:cs="Tahoma"/>
          <w:bCs/>
          <w:iCs/>
          <w:sz w:val="21"/>
          <w:szCs w:val="21"/>
          <w:lang w:val="es-CL"/>
        </w:rPr>
        <w:t xml:space="preserve">equerirá la priorización de </w:t>
      </w:r>
      <w:r w:rsidR="00473999" w:rsidRPr="00473999">
        <w:rPr>
          <w:rFonts w:ascii="Tahoma" w:hAnsi="Tahoma" w:cs="Tahoma"/>
          <w:bCs/>
          <w:iCs/>
          <w:sz w:val="21"/>
          <w:szCs w:val="21"/>
          <w:lang w:val="es-CL"/>
        </w:rPr>
        <w:t>políticas y programas orientados a incluir y cumplir los derechos humanos de las personas, grupos y comunidades en situación de vulnerabilidad.</w:t>
      </w:r>
    </w:p>
    <w:p w:rsidR="00C077D5" w:rsidRPr="00C077D5" w:rsidRDefault="00C077D5" w:rsidP="00DE6388">
      <w:pPr>
        <w:spacing w:line="240" w:lineRule="auto"/>
        <w:jc w:val="both"/>
        <w:rPr>
          <w:rFonts w:ascii="Tahoma" w:hAnsi="Tahoma" w:cs="Tahoma"/>
          <w:bCs/>
          <w:iCs/>
          <w:sz w:val="21"/>
          <w:szCs w:val="21"/>
          <w:lang w:val="es-CL"/>
        </w:rPr>
      </w:pPr>
      <w:r>
        <w:rPr>
          <w:rFonts w:ascii="Tahoma" w:hAnsi="Tahoma" w:cs="Tahoma"/>
          <w:b/>
          <w:bCs/>
          <w:iCs/>
          <w:sz w:val="21"/>
          <w:szCs w:val="21"/>
          <w:lang w:val="es-CL"/>
        </w:rPr>
        <w:t>El financiamiento urbano</w:t>
      </w:r>
      <w:r w:rsidRPr="00C077D5">
        <w:rPr>
          <w:rFonts w:ascii="Tahoma" w:hAnsi="Tahoma" w:cs="Tahoma"/>
          <w:b/>
          <w:bCs/>
          <w:iCs/>
          <w:sz w:val="21"/>
          <w:szCs w:val="21"/>
          <w:lang w:val="es-CL"/>
        </w:rPr>
        <w:t xml:space="preserve"> debe</w:t>
      </w:r>
      <w:r>
        <w:rPr>
          <w:rFonts w:ascii="Tahoma" w:hAnsi="Tahoma" w:cs="Tahoma"/>
          <w:b/>
          <w:bCs/>
          <w:iCs/>
          <w:sz w:val="21"/>
          <w:szCs w:val="21"/>
          <w:lang w:val="es-CL"/>
        </w:rPr>
        <w:t xml:space="preserve"> ser participativo y</w:t>
      </w:r>
      <w:r w:rsidR="00EA1DE9">
        <w:rPr>
          <w:rFonts w:ascii="Tahoma" w:hAnsi="Tahoma" w:cs="Tahoma"/>
          <w:b/>
          <w:bCs/>
          <w:iCs/>
          <w:sz w:val="21"/>
          <w:szCs w:val="21"/>
          <w:lang w:val="es-CL"/>
        </w:rPr>
        <w:t xml:space="preserve"> estar basado en </w:t>
      </w:r>
      <w:r w:rsidRPr="00C077D5">
        <w:rPr>
          <w:rFonts w:ascii="Tahoma" w:hAnsi="Tahoma" w:cs="Tahoma"/>
          <w:b/>
          <w:bCs/>
          <w:iCs/>
          <w:sz w:val="21"/>
          <w:szCs w:val="21"/>
          <w:lang w:val="es-CL"/>
        </w:rPr>
        <w:t>derechos humano</w:t>
      </w:r>
      <w:r>
        <w:rPr>
          <w:rFonts w:ascii="Tahoma" w:hAnsi="Tahoma" w:cs="Tahoma"/>
          <w:b/>
          <w:bCs/>
          <w:iCs/>
          <w:sz w:val="21"/>
          <w:szCs w:val="21"/>
          <w:lang w:val="es-CL"/>
        </w:rPr>
        <w:t>s</w:t>
      </w:r>
      <w:r w:rsidRPr="00C077D5">
        <w:rPr>
          <w:rFonts w:ascii="Tahoma" w:hAnsi="Tahoma" w:cs="Tahoma"/>
          <w:b/>
          <w:bCs/>
          <w:iCs/>
          <w:sz w:val="21"/>
          <w:szCs w:val="21"/>
          <w:lang w:val="es-CL"/>
        </w:rPr>
        <w:t xml:space="preserve">. </w:t>
      </w:r>
      <w:r w:rsidR="0082450F">
        <w:rPr>
          <w:rFonts w:ascii="Tahoma" w:hAnsi="Tahoma" w:cs="Tahoma"/>
          <w:bCs/>
          <w:iCs/>
          <w:sz w:val="21"/>
          <w:szCs w:val="21"/>
          <w:lang w:val="es-CL"/>
        </w:rPr>
        <w:t xml:space="preserve">Las estrategias de financiamiento, </w:t>
      </w:r>
      <w:r w:rsidRPr="00C077D5">
        <w:rPr>
          <w:rFonts w:ascii="Tahoma" w:hAnsi="Tahoma" w:cs="Tahoma"/>
          <w:bCs/>
          <w:iCs/>
          <w:sz w:val="21"/>
          <w:szCs w:val="21"/>
          <w:lang w:val="es-CL"/>
        </w:rPr>
        <w:t>políticas</w:t>
      </w:r>
      <w:r w:rsidR="0082450F">
        <w:rPr>
          <w:rFonts w:ascii="Tahoma" w:hAnsi="Tahoma" w:cs="Tahoma"/>
          <w:bCs/>
          <w:iCs/>
          <w:sz w:val="21"/>
          <w:szCs w:val="21"/>
          <w:lang w:val="es-CL"/>
        </w:rPr>
        <w:t xml:space="preserve"> fiscales, sistemas de recaudación, subsidios</w:t>
      </w:r>
      <w:r w:rsidRPr="00C077D5">
        <w:rPr>
          <w:rFonts w:ascii="Tahoma" w:hAnsi="Tahoma" w:cs="Tahoma"/>
          <w:bCs/>
          <w:iCs/>
          <w:sz w:val="21"/>
          <w:szCs w:val="21"/>
          <w:lang w:val="es-CL"/>
        </w:rPr>
        <w:t>, planes de desarrollo y presupuestos deben beneficiar a los más pobres y marginados, y debe</w:t>
      </w:r>
      <w:r w:rsidR="0082450F">
        <w:rPr>
          <w:rFonts w:ascii="Tahoma" w:hAnsi="Tahoma" w:cs="Tahoma"/>
          <w:bCs/>
          <w:iCs/>
          <w:sz w:val="21"/>
          <w:szCs w:val="21"/>
          <w:lang w:val="es-CL"/>
        </w:rPr>
        <w:t>n</w:t>
      </w:r>
      <w:r w:rsidRPr="00C077D5">
        <w:rPr>
          <w:rFonts w:ascii="Tahoma" w:hAnsi="Tahoma" w:cs="Tahoma"/>
          <w:bCs/>
          <w:iCs/>
          <w:sz w:val="21"/>
          <w:szCs w:val="21"/>
          <w:lang w:val="es-CL"/>
        </w:rPr>
        <w:t xml:space="preserve"> ser el producto de procesos transparentes y participati</w:t>
      </w:r>
      <w:r w:rsidR="0082450F">
        <w:rPr>
          <w:rFonts w:ascii="Tahoma" w:hAnsi="Tahoma" w:cs="Tahoma"/>
          <w:bCs/>
          <w:iCs/>
          <w:sz w:val="21"/>
          <w:szCs w:val="21"/>
          <w:lang w:val="es-CL"/>
        </w:rPr>
        <w:t xml:space="preserve">vos. También debe ser apoyado por </w:t>
      </w:r>
      <w:r w:rsidR="001802D3">
        <w:rPr>
          <w:rFonts w:ascii="Tahoma" w:hAnsi="Tahoma" w:cs="Tahoma"/>
          <w:bCs/>
          <w:iCs/>
          <w:sz w:val="21"/>
          <w:szCs w:val="21"/>
          <w:lang w:val="es-CL"/>
        </w:rPr>
        <w:t xml:space="preserve">normativas </w:t>
      </w:r>
      <w:r w:rsidR="0082450F">
        <w:rPr>
          <w:rFonts w:ascii="Tahoma" w:hAnsi="Tahoma" w:cs="Tahoma"/>
          <w:bCs/>
          <w:iCs/>
          <w:sz w:val="21"/>
          <w:szCs w:val="21"/>
          <w:lang w:val="es-CL"/>
        </w:rPr>
        <w:t>que protejan los derechos humanos, incluidas las de</w:t>
      </w:r>
      <w:r w:rsidR="0088227E">
        <w:rPr>
          <w:rFonts w:ascii="Tahoma" w:hAnsi="Tahoma" w:cs="Tahoma"/>
          <w:bCs/>
          <w:iCs/>
          <w:sz w:val="21"/>
          <w:szCs w:val="21"/>
          <w:lang w:val="es-CL"/>
        </w:rPr>
        <w:t xml:space="preserve"> ámbito económico, y por </w:t>
      </w:r>
      <w:r w:rsidRPr="00C077D5">
        <w:rPr>
          <w:rFonts w:ascii="Tahoma" w:hAnsi="Tahoma" w:cs="Tahoma"/>
          <w:bCs/>
          <w:iCs/>
          <w:sz w:val="21"/>
          <w:szCs w:val="21"/>
          <w:lang w:val="es-CL"/>
        </w:rPr>
        <w:t>in</w:t>
      </w:r>
      <w:r w:rsidR="0088227E">
        <w:rPr>
          <w:rFonts w:ascii="Tahoma" w:hAnsi="Tahoma" w:cs="Tahoma"/>
          <w:bCs/>
          <w:iCs/>
          <w:sz w:val="21"/>
          <w:szCs w:val="21"/>
          <w:lang w:val="es-CL"/>
        </w:rPr>
        <w:t xml:space="preserve">stituciones públicas </w:t>
      </w:r>
      <w:r w:rsidR="00153D5E">
        <w:rPr>
          <w:rFonts w:ascii="Tahoma" w:hAnsi="Tahoma" w:cs="Tahoma"/>
          <w:bCs/>
          <w:iCs/>
          <w:sz w:val="21"/>
          <w:szCs w:val="21"/>
          <w:lang w:val="es-CL"/>
        </w:rPr>
        <w:t>no</w:t>
      </w:r>
      <w:r w:rsidR="0088227E">
        <w:rPr>
          <w:rFonts w:ascii="Tahoma" w:hAnsi="Tahoma" w:cs="Tahoma"/>
          <w:bCs/>
          <w:iCs/>
          <w:sz w:val="21"/>
          <w:szCs w:val="21"/>
          <w:lang w:val="es-CL"/>
        </w:rPr>
        <w:t xml:space="preserve"> discriminatorias, inclusivas</w:t>
      </w:r>
      <w:r w:rsidRPr="00C077D5">
        <w:rPr>
          <w:rFonts w:ascii="Tahoma" w:hAnsi="Tahoma" w:cs="Tahoma"/>
          <w:bCs/>
          <w:iCs/>
          <w:sz w:val="21"/>
          <w:szCs w:val="21"/>
          <w:lang w:val="es-CL"/>
        </w:rPr>
        <w:t>, participativa</w:t>
      </w:r>
      <w:r w:rsidR="0088227E">
        <w:rPr>
          <w:rFonts w:ascii="Tahoma" w:hAnsi="Tahoma" w:cs="Tahoma"/>
          <w:bCs/>
          <w:iCs/>
          <w:sz w:val="21"/>
          <w:szCs w:val="21"/>
          <w:lang w:val="es-CL"/>
        </w:rPr>
        <w:t xml:space="preserve">s y </w:t>
      </w:r>
      <w:r w:rsidR="00153D5E">
        <w:rPr>
          <w:rFonts w:ascii="Tahoma" w:hAnsi="Tahoma" w:cs="Tahoma"/>
          <w:bCs/>
          <w:iCs/>
          <w:sz w:val="21"/>
          <w:szCs w:val="21"/>
          <w:lang w:val="es-CL"/>
        </w:rPr>
        <w:t xml:space="preserve">que </w:t>
      </w:r>
      <w:r w:rsidR="001802D3">
        <w:rPr>
          <w:rFonts w:ascii="Tahoma" w:hAnsi="Tahoma" w:cs="Tahoma"/>
          <w:bCs/>
          <w:iCs/>
          <w:sz w:val="21"/>
          <w:szCs w:val="21"/>
          <w:lang w:val="es-CL"/>
        </w:rPr>
        <w:t>rindan cuenta sobre las</w:t>
      </w:r>
      <w:r w:rsidR="0088227E">
        <w:rPr>
          <w:rFonts w:ascii="Tahoma" w:hAnsi="Tahoma" w:cs="Tahoma"/>
          <w:bCs/>
          <w:iCs/>
          <w:sz w:val="21"/>
          <w:szCs w:val="21"/>
          <w:lang w:val="es-CL"/>
        </w:rPr>
        <w:t xml:space="preserve"> </w:t>
      </w:r>
      <w:r w:rsidRPr="00C077D5">
        <w:rPr>
          <w:rFonts w:ascii="Tahoma" w:hAnsi="Tahoma" w:cs="Tahoma"/>
          <w:bCs/>
          <w:iCs/>
          <w:sz w:val="21"/>
          <w:szCs w:val="21"/>
          <w:lang w:val="es-CL"/>
        </w:rPr>
        <w:t>políticas y estrategias financieras.</w:t>
      </w:r>
    </w:p>
    <w:p w:rsidR="00EB0AAD" w:rsidRPr="0088227E" w:rsidRDefault="001802D3" w:rsidP="00DE6388">
      <w:pPr>
        <w:spacing w:line="240" w:lineRule="auto"/>
        <w:jc w:val="both"/>
        <w:rPr>
          <w:rFonts w:ascii="Tahoma" w:hAnsi="Tahoma" w:cs="Tahoma"/>
          <w:iCs/>
          <w:sz w:val="21"/>
          <w:szCs w:val="21"/>
          <w:lang w:val="es-CL"/>
        </w:rPr>
      </w:pPr>
      <w:r>
        <w:rPr>
          <w:rFonts w:ascii="Tahoma" w:hAnsi="Tahoma" w:cs="Tahoma"/>
          <w:b/>
          <w:iCs/>
          <w:sz w:val="21"/>
          <w:szCs w:val="21"/>
          <w:lang w:val="es-CL"/>
        </w:rPr>
        <w:t>E</w:t>
      </w:r>
      <w:r w:rsidRPr="00716927">
        <w:rPr>
          <w:rFonts w:ascii="Tahoma" w:hAnsi="Tahoma" w:cs="Tahoma"/>
          <w:b/>
          <w:iCs/>
          <w:sz w:val="21"/>
          <w:szCs w:val="21"/>
          <w:lang w:val="es-CL"/>
        </w:rPr>
        <w:t>l acceso igu</w:t>
      </w:r>
      <w:r>
        <w:rPr>
          <w:rFonts w:ascii="Tahoma" w:hAnsi="Tahoma" w:cs="Tahoma"/>
          <w:b/>
          <w:iCs/>
          <w:sz w:val="21"/>
          <w:szCs w:val="21"/>
          <w:lang w:val="es-CL"/>
        </w:rPr>
        <w:t>alitario y no discriminatorio a</w:t>
      </w:r>
      <w:r w:rsidRPr="00716927">
        <w:rPr>
          <w:rFonts w:ascii="Tahoma" w:hAnsi="Tahoma" w:cs="Tahoma"/>
          <w:b/>
          <w:iCs/>
          <w:sz w:val="21"/>
          <w:szCs w:val="21"/>
          <w:lang w:val="es-CL"/>
        </w:rPr>
        <w:t xml:space="preserve"> servicios financieros</w:t>
      </w:r>
      <w:r>
        <w:rPr>
          <w:rFonts w:ascii="Tahoma" w:hAnsi="Tahoma" w:cs="Tahoma"/>
          <w:b/>
          <w:iCs/>
          <w:sz w:val="21"/>
          <w:szCs w:val="21"/>
          <w:lang w:val="es-CL"/>
        </w:rPr>
        <w:t xml:space="preserve"> debe</w:t>
      </w:r>
      <w:r w:rsidR="0088227E" w:rsidRPr="0088227E">
        <w:rPr>
          <w:rFonts w:ascii="Tahoma" w:hAnsi="Tahoma" w:cs="Tahoma"/>
          <w:b/>
          <w:iCs/>
          <w:sz w:val="21"/>
          <w:szCs w:val="21"/>
          <w:lang w:val="es-CL"/>
        </w:rPr>
        <w:t xml:space="preserve"> estar garantizado</w:t>
      </w:r>
      <w:r>
        <w:rPr>
          <w:rFonts w:ascii="Tahoma" w:hAnsi="Tahoma" w:cs="Tahoma"/>
          <w:b/>
          <w:iCs/>
          <w:sz w:val="21"/>
          <w:szCs w:val="21"/>
          <w:lang w:val="es-CL"/>
        </w:rPr>
        <w:t xml:space="preserve"> para todas las personas.</w:t>
      </w:r>
      <w:r w:rsidR="00DE6388">
        <w:rPr>
          <w:rFonts w:ascii="Tahoma" w:hAnsi="Tahoma" w:cs="Tahoma"/>
          <w:b/>
          <w:iCs/>
          <w:sz w:val="21"/>
          <w:szCs w:val="21"/>
          <w:lang w:val="es-CL"/>
        </w:rPr>
        <w:t xml:space="preserve"> </w:t>
      </w:r>
      <w:r w:rsidR="0088227E" w:rsidRPr="0088227E">
        <w:rPr>
          <w:rFonts w:ascii="Tahoma" w:hAnsi="Tahoma" w:cs="Tahoma"/>
          <w:iCs/>
          <w:sz w:val="21"/>
          <w:szCs w:val="21"/>
          <w:lang w:val="es-CL"/>
        </w:rPr>
        <w:t xml:space="preserve">Los Estados se han comprometido a garantizar la igualdad y la no discriminación, y deben esforzarse para garantizar el acceso universal a los servicios financieros asequibles y adecuados </w:t>
      </w:r>
      <w:r>
        <w:rPr>
          <w:rFonts w:ascii="Tahoma" w:hAnsi="Tahoma" w:cs="Tahoma"/>
          <w:iCs/>
          <w:sz w:val="21"/>
          <w:szCs w:val="21"/>
          <w:lang w:val="es-CL"/>
        </w:rPr>
        <w:t>que tengan en cuenta</w:t>
      </w:r>
      <w:r w:rsidR="0088227E" w:rsidRPr="0088227E">
        <w:rPr>
          <w:rFonts w:ascii="Tahoma" w:hAnsi="Tahoma" w:cs="Tahoma"/>
          <w:iCs/>
          <w:sz w:val="21"/>
          <w:szCs w:val="21"/>
          <w:lang w:val="es-CL"/>
        </w:rPr>
        <w:t xml:space="preserve"> los ingresos, </w:t>
      </w:r>
      <w:r>
        <w:rPr>
          <w:rFonts w:ascii="Tahoma" w:hAnsi="Tahoma" w:cs="Tahoma"/>
          <w:iCs/>
          <w:sz w:val="21"/>
          <w:szCs w:val="21"/>
          <w:lang w:val="es-CL"/>
        </w:rPr>
        <w:t xml:space="preserve">cuestiones de </w:t>
      </w:r>
      <w:r w:rsidR="0088227E" w:rsidRPr="0088227E">
        <w:rPr>
          <w:rFonts w:ascii="Tahoma" w:hAnsi="Tahoma" w:cs="Tahoma"/>
          <w:iCs/>
          <w:sz w:val="21"/>
          <w:szCs w:val="21"/>
          <w:lang w:val="es-CL"/>
        </w:rPr>
        <w:t>género</w:t>
      </w:r>
      <w:r>
        <w:rPr>
          <w:rFonts w:ascii="Tahoma" w:hAnsi="Tahoma" w:cs="Tahoma"/>
          <w:iCs/>
          <w:sz w:val="21"/>
          <w:szCs w:val="21"/>
          <w:lang w:val="es-CL"/>
        </w:rPr>
        <w:t xml:space="preserve"> y</w:t>
      </w:r>
      <w:r w:rsidR="0088227E" w:rsidRPr="0088227E">
        <w:rPr>
          <w:rFonts w:ascii="Tahoma" w:hAnsi="Tahoma" w:cs="Tahoma"/>
          <w:iCs/>
          <w:sz w:val="21"/>
          <w:szCs w:val="21"/>
          <w:lang w:val="es-CL"/>
        </w:rPr>
        <w:t xml:space="preserve"> geográfica</w:t>
      </w:r>
      <w:r>
        <w:rPr>
          <w:rFonts w:ascii="Tahoma" w:hAnsi="Tahoma" w:cs="Tahoma"/>
          <w:iCs/>
          <w:sz w:val="21"/>
          <w:szCs w:val="21"/>
          <w:lang w:val="es-CL"/>
        </w:rPr>
        <w:t>s</w:t>
      </w:r>
      <w:r w:rsidR="0088227E" w:rsidRPr="0088227E">
        <w:rPr>
          <w:rFonts w:ascii="Tahoma" w:hAnsi="Tahoma" w:cs="Tahoma"/>
          <w:iCs/>
          <w:sz w:val="21"/>
          <w:szCs w:val="21"/>
          <w:lang w:val="es-CL"/>
        </w:rPr>
        <w:t xml:space="preserve">, </w:t>
      </w:r>
      <w:r>
        <w:rPr>
          <w:rFonts w:ascii="Tahoma" w:hAnsi="Tahoma" w:cs="Tahoma"/>
          <w:iCs/>
          <w:sz w:val="21"/>
          <w:szCs w:val="21"/>
          <w:lang w:val="es-CL"/>
        </w:rPr>
        <w:t xml:space="preserve">la </w:t>
      </w:r>
      <w:r w:rsidR="0088227E" w:rsidRPr="0088227E">
        <w:rPr>
          <w:rFonts w:ascii="Tahoma" w:hAnsi="Tahoma" w:cs="Tahoma"/>
          <w:iCs/>
          <w:sz w:val="21"/>
          <w:szCs w:val="21"/>
          <w:lang w:val="es-CL"/>
        </w:rPr>
        <w:t xml:space="preserve">edad y otros </w:t>
      </w:r>
      <w:r>
        <w:rPr>
          <w:rFonts w:ascii="Tahoma" w:hAnsi="Tahoma" w:cs="Tahoma"/>
          <w:iCs/>
          <w:sz w:val="21"/>
          <w:szCs w:val="21"/>
          <w:lang w:val="es-CL"/>
        </w:rPr>
        <w:t>factores</w:t>
      </w:r>
      <w:r w:rsidR="0088227E" w:rsidRPr="0088227E">
        <w:rPr>
          <w:rFonts w:ascii="Tahoma" w:hAnsi="Tahoma" w:cs="Tahoma"/>
          <w:iCs/>
          <w:sz w:val="21"/>
          <w:szCs w:val="21"/>
          <w:lang w:val="es-CL"/>
        </w:rPr>
        <w:t>. Para ello</w:t>
      </w:r>
      <w:r w:rsidR="00716927">
        <w:rPr>
          <w:rFonts w:ascii="Tahoma" w:hAnsi="Tahoma" w:cs="Tahoma"/>
          <w:iCs/>
          <w:sz w:val="21"/>
          <w:szCs w:val="21"/>
          <w:lang w:val="es-CL"/>
        </w:rPr>
        <w:t>,</w:t>
      </w:r>
      <w:r w:rsidR="0088227E" w:rsidRPr="0088227E">
        <w:rPr>
          <w:rFonts w:ascii="Tahoma" w:hAnsi="Tahoma" w:cs="Tahoma"/>
          <w:iCs/>
          <w:sz w:val="21"/>
          <w:szCs w:val="21"/>
          <w:lang w:val="es-CL"/>
        </w:rPr>
        <w:t xml:space="preserve"> será necesario </w:t>
      </w:r>
      <w:r w:rsidR="00716927">
        <w:rPr>
          <w:rFonts w:ascii="Tahoma" w:hAnsi="Tahoma" w:cs="Tahoma"/>
          <w:iCs/>
          <w:sz w:val="21"/>
          <w:szCs w:val="21"/>
          <w:lang w:val="es-CL"/>
        </w:rPr>
        <w:t xml:space="preserve">establecer </w:t>
      </w:r>
      <w:r w:rsidR="00153D5E">
        <w:rPr>
          <w:rFonts w:ascii="Tahoma" w:hAnsi="Tahoma" w:cs="Tahoma"/>
          <w:iCs/>
          <w:sz w:val="21"/>
          <w:szCs w:val="21"/>
          <w:lang w:val="es-CL"/>
        </w:rPr>
        <w:t xml:space="preserve">una </w:t>
      </w:r>
      <w:r w:rsidR="0088227E" w:rsidRPr="0088227E">
        <w:rPr>
          <w:rFonts w:ascii="Tahoma" w:hAnsi="Tahoma" w:cs="Tahoma"/>
          <w:iCs/>
          <w:sz w:val="21"/>
          <w:szCs w:val="21"/>
          <w:lang w:val="es-CL"/>
        </w:rPr>
        <w:t>regulación eficaz y mec</w:t>
      </w:r>
      <w:r w:rsidR="00716927">
        <w:rPr>
          <w:rFonts w:ascii="Tahoma" w:hAnsi="Tahoma" w:cs="Tahoma"/>
          <w:iCs/>
          <w:sz w:val="21"/>
          <w:szCs w:val="21"/>
          <w:lang w:val="es-CL"/>
        </w:rPr>
        <w:t xml:space="preserve">anismos de </w:t>
      </w:r>
      <w:r w:rsidR="00153D5E">
        <w:rPr>
          <w:rFonts w:ascii="Tahoma" w:hAnsi="Tahoma" w:cs="Tahoma"/>
          <w:iCs/>
          <w:sz w:val="21"/>
          <w:szCs w:val="21"/>
          <w:lang w:val="es-CL"/>
        </w:rPr>
        <w:t>recurso</w:t>
      </w:r>
      <w:r w:rsidR="00716927">
        <w:rPr>
          <w:rFonts w:ascii="Tahoma" w:hAnsi="Tahoma" w:cs="Tahoma"/>
          <w:iCs/>
          <w:sz w:val="21"/>
          <w:szCs w:val="21"/>
          <w:lang w:val="es-CL"/>
        </w:rPr>
        <w:t xml:space="preserve">, así como </w:t>
      </w:r>
      <w:r>
        <w:rPr>
          <w:rFonts w:ascii="Tahoma" w:hAnsi="Tahoma" w:cs="Tahoma"/>
          <w:iCs/>
          <w:sz w:val="21"/>
          <w:szCs w:val="21"/>
          <w:lang w:val="es-CL"/>
        </w:rPr>
        <w:t>instituciones</w:t>
      </w:r>
      <w:r w:rsidRPr="0088227E">
        <w:rPr>
          <w:rFonts w:ascii="Tahoma" w:hAnsi="Tahoma" w:cs="Tahoma"/>
          <w:iCs/>
          <w:sz w:val="21"/>
          <w:szCs w:val="21"/>
          <w:lang w:val="es-CL"/>
        </w:rPr>
        <w:t xml:space="preserve"> </w:t>
      </w:r>
      <w:r w:rsidR="0088227E" w:rsidRPr="0088227E">
        <w:rPr>
          <w:rFonts w:ascii="Tahoma" w:hAnsi="Tahoma" w:cs="Tahoma"/>
          <w:iCs/>
          <w:sz w:val="21"/>
          <w:szCs w:val="21"/>
          <w:lang w:val="es-CL"/>
        </w:rPr>
        <w:t>de protección al consumidor para evitar los préstamos abusivos. También es importante establecer programas eficaces para crear una mayor cultura financiera entre todos los habitantes de las ciudades, con especial atención a los gru</w:t>
      </w:r>
      <w:r w:rsidR="000F56A1">
        <w:rPr>
          <w:rFonts w:ascii="Tahoma" w:hAnsi="Tahoma" w:cs="Tahoma"/>
          <w:iCs/>
          <w:sz w:val="21"/>
          <w:szCs w:val="21"/>
          <w:lang w:val="es-CL"/>
        </w:rPr>
        <w:t>pos económicamente más marginado</w:t>
      </w:r>
      <w:r w:rsidR="0088227E" w:rsidRPr="0088227E">
        <w:rPr>
          <w:rFonts w:ascii="Tahoma" w:hAnsi="Tahoma" w:cs="Tahoma"/>
          <w:iCs/>
          <w:sz w:val="21"/>
          <w:szCs w:val="21"/>
          <w:lang w:val="es-CL"/>
        </w:rPr>
        <w:t>s.</w:t>
      </w:r>
    </w:p>
    <w:p w:rsidR="000F56A1" w:rsidRPr="000F56A1" w:rsidRDefault="00C92E21" w:rsidP="00DE6388">
      <w:pPr>
        <w:spacing w:line="240" w:lineRule="auto"/>
        <w:jc w:val="both"/>
        <w:rPr>
          <w:rFonts w:ascii="Tahoma" w:hAnsi="Tahoma" w:cs="Tahoma"/>
          <w:bCs/>
          <w:iCs/>
          <w:sz w:val="21"/>
          <w:szCs w:val="21"/>
          <w:lang w:val="es-CL"/>
        </w:rPr>
      </w:pPr>
      <w:r>
        <w:rPr>
          <w:rFonts w:ascii="Tahoma" w:hAnsi="Tahoma" w:cs="Tahoma"/>
          <w:b/>
          <w:bCs/>
          <w:iCs/>
          <w:sz w:val="21"/>
          <w:szCs w:val="21"/>
          <w:lang w:val="es-CL"/>
        </w:rPr>
        <w:lastRenderedPageBreak/>
        <w:t>Se debe empoderar a l</w:t>
      </w:r>
      <w:r w:rsidR="000F56A1" w:rsidRPr="000F56A1">
        <w:rPr>
          <w:rFonts w:ascii="Tahoma" w:hAnsi="Tahoma" w:cs="Tahoma"/>
          <w:b/>
          <w:bCs/>
          <w:iCs/>
          <w:sz w:val="21"/>
          <w:szCs w:val="21"/>
          <w:lang w:val="es-CL"/>
        </w:rPr>
        <w:t>os grupos excluidos.</w:t>
      </w:r>
      <w:r w:rsidR="000F56A1" w:rsidRP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 Los Estados deben estar comprometidos con la defensa de los derechos de todas las personas, y es necesario adoptar medidas especiales para proteger los derechos de los grupos más excluidos de la sociedad, </w:t>
      </w:r>
      <w:r w:rsidR="00153D5E">
        <w:rPr>
          <w:rFonts w:ascii="Tahoma" w:hAnsi="Tahoma" w:cs="Tahoma"/>
          <w:bCs/>
          <w:iCs/>
          <w:sz w:val="21"/>
          <w:szCs w:val="21"/>
          <w:lang w:val="es-CL"/>
        </w:rPr>
        <w:t>incluyendo a las mujeres y los niños y niñas</w:t>
      </w:r>
      <w:r w:rsidR="000F56A1" w:rsidRP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 en situación de mayor vulnerabilidad, personas con discapacidad, </w:t>
      </w:r>
      <w:r w:rsidR="000F56A1">
        <w:rPr>
          <w:rFonts w:ascii="Tahoma" w:hAnsi="Tahoma" w:cs="Tahoma"/>
          <w:bCs/>
          <w:iCs/>
          <w:sz w:val="21"/>
          <w:szCs w:val="21"/>
          <w:lang w:val="es-CL"/>
        </w:rPr>
        <w:t>migrantes</w:t>
      </w:r>
      <w:r w:rsidR="000F56A1" w:rsidRP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 y </w:t>
      </w:r>
      <w:r w:rsidR="000F56A1">
        <w:rPr>
          <w:rFonts w:ascii="Tahoma" w:hAnsi="Tahoma" w:cs="Tahoma"/>
          <w:bCs/>
          <w:iCs/>
          <w:sz w:val="21"/>
          <w:szCs w:val="21"/>
          <w:lang w:val="es-CL"/>
        </w:rPr>
        <w:t>personas en situación de pobreza urbana</w:t>
      </w:r>
      <w:r w:rsidR="000F56A1" w:rsidRPr="000F56A1">
        <w:rPr>
          <w:rFonts w:ascii="Tahoma" w:hAnsi="Tahoma" w:cs="Tahoma"/>
          <w:bCs/>
          <w:iCs/>
          <w:sz w:val="21"/>
          <w:szCs w:val="21"/>
          <w:lang w:val="es-CL"/>
        </w:rPr>
        <w:t>. La plena realización de los derechos humanos de todos s</w:t>
      </w:r>
      <w:r w:rsidR="00EF0564">
        <w:rPr>
          <w:rFonts w:ascii="Tahoma" w:hAnsi="Tahoma" w:cs="Tahoma"/>
          <w:bCs/>
          <w:iCs/>
          <w:sz w:val="21"/>
          <w:szCs w:val="21"/>
          <w:lang w:val="es-CL"/>
        </w:rPr>
        <w:t>o</w:t>
      </w:r>
      <w:r w:rsidR="000F56A1" w:rsidRP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lo puede alcanzarse cuando los grupos excluidos se integran de manera efectiva en la sociedad. </w:t>
      </w:r>
      <w:r w:rsid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Las </w:t>
      </w:r>
      <w:r w:rsidR="000F56A1" w:rsidRP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barreras específicas para el acceso de las mujeres a las finanzas deben ser eliminadas. Las mujeres y las niñas deben tener el mismo acceso a los servicios financieros, y el derecho a poseer tierras y otros activos. Los derechos humanos de los migrantes deben ser protegidos, independientemente de su situación y </w:t>
      </w:r>
      <w:r>
        <w:rPr>
          <w:rFonts w:ascii="Tahoma" w:hAnsi="Tahoma" w:cs="Tahoma"/>
          <w:bCs/>
          <w:iCs/>
          <w:sz w:val="21"/>
          <w:szCs w:val="21"/>
          <w:lang w:val="es-CL"/>
        </w:rPr>
        <w:t xml:space="preserve">estos derechos </w:t>
      </w:r>
      <w:r w:rsidR="000F56A1" w:rsidRP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no </w:t>
      </w:r>
      <w:r w:rsid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deben </w:t>
      </w:r>
      <w:r w:rsidR="000F56A1" w:rsidRPr="000F56A1">
        <w:rPr>
          <w:rFonts w:ascii="Tahoma" w:hAnsi="Tahoma" w:cs="Tahoma"/>
          <w:bCs/>
          <w:iCs/>
          <w:sz w:val="21"/>
          <w:szCs w:val="21"/>
          <w:lang w:val="es-CL"/>
        </w:rPr>
        <w:t>ser tratado</w:t>
      </w:r>
      <w:r>
        <w:rPr>
          <w:rFonts w:ascii="Tahoma" w:hAnsi="Tahoma" w:cs="Tahoma"/>
          <w:bCs/>
          <w:iCs/>
          <w:sz w:val="21"/>
          <w:szCs w:val="21"/>
          <w:lang w:val="es-CL"/>
        </w:rPr>
        <w:t>s</w:t>
      </w:r>
      <w:r w:rsidR="000F56A1" w:rsidRP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 como un bien económico.</w:t>
      </w:r>
    </w:p>
    <w:p w:rsidR="000F56A1" w:rsidRPr="00AB6E3E" w:rsidRDefault="000F56A1" w:rsidP="00DE6388">
      <w:pPr>
        <w:spacing w:line="240" w:lineRule="auto"/>
        <w:jc w:val="both"/>
        <w:rPr>
          <w:rFonts w:ascii="Tahoma" w:hAnsi="Tahoma" w:cs="Tahoma"/>
          <w:bCs/>
          <w:iCs/>
          <w:sz w:val="21"/>
          <w:szCs w:val="21"/>
          <w:lang w:val="es-CL"/>
        </w:rPr>
      </w:pPr>
      <w:r w:rsidRPr="000F56A1">
        <w:rPr>
          <w:rFonts w:ascii="Tahoma" w:hAnsi="Tahoma" w:cs="Tahoma"/>
          <w:b/>
          <w:bCs/>
          <w:iCs/>
          <w:sz w:val="21"/>
          <w:szCs w:val="21"/>
          <w:lang w:val="es-CL"/>
        </w:rPr>
        <w:t>La rendición de cuentas es</w:t>
      </w:r>
      <w:r>
        <w:rPr>
          <w:rFonts w:ascii="Tahoma" w:hAnsi="Tahoma" w:cs="Tahoma"/>
          <w:b/>
          <w:bCs/>
          <w:iCs/>
          <w:sz w:val="21"/>
          <w:szCs w:val="21"/>
          <w:lang w:val="es-CL"/>
        </w:rPr>
        <w:t xml:space="preserve"> crucial</w:t>
      </w:r>
      <w:r w:rsidR="00DC0954" w:rsidRPr="000F56A1">
        <w:rPr>
          <w:rFonts w:ascii="Tahoma" w:hAnsi="Tahoma" w:cs="Tahoma"/>
          <w:b/>
          <w:bCs/>
          <w:iCs/>
          <w:sz w:val="21"/>
          <w:szCs w:val="21"/>
          <w:lang w:val="es-CL"/>
        </w:rPr>
        <w:t>.</w:t>
      </w:r>
      <w:r w:rsidR="00DC0954" w:rsidRPr="000F56A1">
        <w:rPr>
          <w:rFonts w:ascii="Tahoma" w:eastAsia="MS Mincho" w:hAnsi="Tahoma" w:cs="Tahoma"/>
          <w:b/>
          <w:bCs/>
          <w:color w:val="548DD4"/>
          <w:sz w:val="21"/>
          <w:szCs w:val="21"/>
          <w:lang w:val="es-CL"/>
        </w:rPr>
        <w:t xml:space="preserve"> </w:t>
      </w:r>
      <w:r w:rsidRP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Las autoridades nacionales y locales deben adoptar políticas y marcos institucionales, legales y </w:t>
      </w:r>
      <w:r>
        <w:rPr>
          <w:rFonts w:ascii="Tahoma" w:hAnsi="Tahoma" w:cs="Tahoma"/>
          <w:bCs/>
          <w:iCs/>
          <w:sz w:val="21"/>
          <w:szCs w:val="21"/>
          <w:lang w:val="es-CL"/>
        </w:rPr>
        <w:t>regulatorios</w:t>
      </w:r>
      <w:r w:rsidRP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 para fomentar la inversión pública y privada responsable en las ciudades. Dichos marcos deben incluir </w:t>
      </w:r>
      <w:r w:rsidR="00EF0564">
        <w:rPr>
          <w:rFonts w:ascii="Tahoma" w:hAnsi="Tahoma" w:cs="Tahoma"/>
          <w:bCs/>
          <w:iCs/>
          <w:sz w:val="21"/>
          <w:szCs w:val="21"/>
          <w:lang w:val="es-CL"/>
        </w:rPr>
        <w:t>criterios de</w:t>
      </w:r>
      <w:r w:rsidRP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 derechos humanos y sostenibilidad, y deben alinear l</w:t>
      </w:r>
      <w:r w:rsidR="00572CEE">
        <w:rPr>
          <w:rFonts w:ascii="Tahoma" w:hAnsi="Tahoma" w:cs="Tahoma"/>
          <w:bCs/>
          <w:iCs/>
          <w:sz w:val="21"/>
          <w:szCs w:val="21"/>
          <w:lang w:val="es-CL"/>
        </w:rPr>
        <w:t xml:space="preserve">os incentivos </w:t>
      </w:r>
      <w:r w:rsidR="00EF0564">
        <w:rPr>
          <w:rFonts w:ascii="Tahoma" w:hAnsi="Tahoma" w:cs="Tahoma"/>
          <w:bCs/>
          <w:iCs/>
          <w:sz w:val="21"/>
          <w:szCs w:val="21"/>
          <w:lang w:val="es-CL"/>
        </w:rPr>
        <w:t>a</w:t>
      </w:r>
      <w:r w:rsidR="00572CEE">
        <w:rPr>
          <w:rFonts w:ascii="Tahoma" w:hAnsi="Tahoma" w:cs="Tahoma"/>
          <w:bCs/>
          <w:iCs/>
          <w:sz w:val="21"/>
          <w:szCs w:val="21"/>
          <w:lang w:val="es-CL"/>
        </w:rPr>
        <w:t xml:space="preserve"> los inversionistas</w:t>
      </w:r>
      <w:r w:rsidRPr="000F56A1">
        <w:rPr>
          <w:rFonts w:ascii="Tahoma" w:hAnsi="Tahoma" w:cs="Tahoma"/>
          <w:bCs/>
          <w:iCs/>
          <w:sz w:val="21"/>
          <w:szCs w:val="21"/>
          <w:lang w:val="es-CL"/>
        </w:rPr>
        <w:t xml:space="preserve"> con la urbanización sostenible.</w:t>
      </w:r>
    </w:p>
    <w:p w:rsidR="00572CEE" w:rsidRPr="009947D2" w:rsidRDefault="00572CEE" w:rsidP="004135C4">
      <w:pPr>
        <w:pStyle w:val="Default"/>
        <w:spacing w:line="276" w:lineRule="auto"/>
        <w:jc w:val="both"/>
        <w:rPr>
          <w:rFonts w:ascii="Tahoma" w:eastAsia="MS Mincho" w:hAnsi="Tahoma" w:cs="Tahoma"/>
          <w:b/>
          <w:bCs/>
          <w:color w:val="548DD4"/>
          <w:sz w:val="22"/>
          <w:szCs w:val="22"/>
          <w:lang w:val="es-CL"/>
        </w:rPr>
      </w:pPr>
      <w:r w:rsidRPr="009947D2">
        <w:rPr>
          <w:rFonts w:ascii="Tahoma" w:eastAsia="MS Mincho" w:hAnsi="Tahoma" w:cs="Tahoma"/>
          <w:b/>
          <w:bCs/>
          <w:color w:val="548DD4"/>
          <w:sz w:val="22"/>
          <w:szCs w:val="22"/>
          <w:lang w:val="es-CL"/>
        </w:rPr>
        <w:t xml:space="preserve">Al monitorear el progreso hacia el cumplimiento de los objetivos de derechos humanos, los Estados pueden tomar decisiones informadas con respecto a la utilización eficaz de los recursos para la realización progresiva de los derechos humanos. Las autoridades estatales deben revisar y supervisar periódicamente el impacto de las inversiones y las finanzas basadas en objetivos específicos, medibles y con plazos establecidos para asegurar la responsabilidad de todos los Estados </w:t>
      </w:r>
      <w:r w:rsidR="00C92E21">
        <w:rPr>
          <w:rFonts w:ascii="Tahoma" w:eastAsia="MS Mincho" w:hAnsi="Tahoma" w:cs="Tahoma"/>
          <w:b/>
          <w:bCs/>
          <w:color w:val="548DD4"/>
          <w:sz w:val="22"/>
          <w:szCs w:val="22"/>
          <w:lang w:val="es-CL"/>
        </w:rPr>
        <w:t xml:space="preserve">en el cumplimiento </w:t>
      </w:r>
      <w:r w:rsidRPr="009947D2">
        <w:rPr>
          <w:rFonts w:ascii="Tahoma" w:eastAsia="MS Mincho" w:hAnsi="Tahoma" w:cs="Tahoma"/>
          <w:b/>
          <w:bCs/>
          <w:color w:val="548DD4"/>
          <w:sz w:val="22"/>
          <w:szCs w:val="22"/>
          <w:lang w:val="es-CL"/>
        </w:rPr>
        <w:t>de sus compromisos.</w:t>
      </w:r>
    </w:p>
    <w:p w:rsidR="00A63A89" w:rsidRPr="00572CEE" w:rsidRDefault="00A63A89" w:rsidP="00DE6388">
      <w:pPr>
        <w:pStyle w:val="Default"/>
        <w:rPr>
          <w:rFonts w:ascii="Tahoma" w:eastAsia="MS Mincho" w:hAnsi="Tahoma" w:cs="Tahoma"/>
          <w:b/>
          <w:bCs/>
          <w:color w:val="548DD4"/>
          <w:lang w:val="es-CL"/>
        </w:rPr>
      </w:pPr>
    </w:p>
    <w:p w:rsidR="00A408FE" w:rsidRPr="00A408FE" w:rsidRDefault="00572CEE" w:rsidP="00DE6388">
      <w:pPr>
        <w:spacing w:line="240" w:lineRule="auto"/>
        <w:jc w:val="both"/>
        <w:rPr>
          <w:rFonts w:ascii="Tahoma" w:hAnsi="Tahoma" w:cs="Tahoma"/>
          <w:bCs/>
          <w:iCs/>
          <w:sz w:val="21"/>
          <w:szCs w:val="21"/>
          <w:lang w:val="es-CL"/>
        </w:rPr>
      </w:pPr>
      <w:r w:rsidRPr="00A408FE">
        <w:rPr>
          <w:rFonts w:ascii="Tahoma" w:hAnsi="Tahoma" w:cs="Tahoma"/>
          <w:b/>
          <w:bCs/>
          <w:iCs/>
          <w:sz w:val="21"/>
          <w:szCs w:val="21"/>
          <w:lang w:val="es-CL"/>
        </w:rPr>
        <w:t>Todos, incluido el sector privado, deben respetar los d</w:t>
      </w:r>
      <w:r w:rsidR="00FA26B1">
        <w:rPr>
          <w:rFonts w:ascii="Tahoma" w:hAnsi="Tahoma" w:cs="Tahoma"/>
          <w:b/>
          <w:bCs/>
          <w:iCs/>
          <w:sz w:val="21"/>
          <w:szCs w:val="21"/>
          <w:lang w:val="es-CL"/>
        </w:rPr>
        <w:t>erechos humanos y no hacer daño.</w:t>
      </w:r>
      <w:r w:rsidRPr="00A408FE">
        <w:rPr>
          <w:rFonts w:ascii="Tahoma" w:hAnsi="Tahoma" w:cs="Tahoma"/>
          <w:b/>
          <w:bCs/>
          <w:iCs/>
          <w:sz w:val="21"/>
          <w:szCs w:val="21"/>
          <w:lang w:val="es-CL"/>
        </w:rPr>
        <w:t xml:space="preserve"> </w:t>
      </w:r>
      <w:r w:rsidR="00A408FE" w:rsidRPr="00A408FE">
        <w:rPr>
          <w:rFonts w:ascii="Tahoma" w:hAnsi="Tahoma" w:cs="Tahoma"/>
          <w:bCs/>
          <w:iCs/>
          <w:sz w:val="21"/>
          <w:szCs w:val="21"/>
          <w:lang w:val="es-CL"/>
        </w:rPr>
        <w:t xml:space="preserve">Dado que las empresas 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>tienen</w:t>
      </w:r>
      <w:r w:rsidR="00C92E21" w:rsidRPr="00A408FE">
        <w:rPr>
          <w:rFonts w:ascii="Tahoma" w:hAnsi="Tahoma" w:cs="Tahoma"/>
          <w:bCs/>
          <w:iCs/>
          <w:sz w:val="21"/>
          <w:szCs w:val="21"/>
          <w:lang w:val="es-CL"/>
        </w:rPr>
        <w:t xml:space="preserve"> </w:t>
      </w:r>
      <w:r w:rsidR="00A408FE" w:rsidRPr="00A408FE">
        <w:rPr>
          <w:rFonts w:ascii="Tahoma" w:hAnsi="Tahoma" w:cs="Tahoma"/>
          <w:bCs/>
          <w:iCs/>
          <w:sz w:val="21"/>
          <w:szCs w:val="21"/>
          <w:lang w:val="es-CL"/>
        </w:rPr>
        <w:t xml:space="preserve">un papel cada vez mayor en las esferas de desarrollo y 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 xml:space="preserve">en la </w:t>
      </w:r>
      <w:r w:rsidR="00FA26B1" w:rsidRPr="00A408FE">
        <w:rPr>
          <w:rFonts w:ascii="Tahoma" w:hAnsi="Tahoma" w:cs="Tahoma"/>
          <w:bCs/>
          <w:iCs/>
          <w:sz w:val="21"/>
          <w:szCs w:val="21"/>
          <w:lang w:val="es-CL"/>
        </w:rPr>
        <w:t>econ</w:t>
      </w:r>
      <w:r w:rsidR="00FA26B1">
        <w:rPr>
          <w:rFonts w:ascii="Tahoma" w:hAnsi="Tahoma" w:cs="Tahoma"/>
          <w:bCs/>
          <w:iCs/>
          <w:sz w:val="21"/>
          <w:szCs w:val="21"/>
          <w:lang w:val="es-CL"/>
        </w:rPr>
        <w:t>omía</w:t>
      </w:r>
      <w:r w:rsidR="00A408FE" w:rsidRPr="00A408FE">
        <w:rPr>
          <w:rFonts w:ascii="Tahoma" w:hAnsi="Tahoma" w:cs="Tahoma"/>
          <w:bCs/>
          <w:iCs/>
          <w:sz w:val="21"/>
          <w:szCs w:val="21"/>
          <w:lang w:val="es-CL"/>
        </w:rPr>
        <w:t xml:space="preserve">, su 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>cumplimiento con</w:t>
      </w:r>
      <w:r w:rsidR="00153D5E">
        <w:rPr>
          <w:rFonts w:ascii="Tahoma" w:hAnsi="Tahoma" w:cs="Tahoma"/>
          <w:bCs/>
          <w:iCs/>
          <w:sz w:val="21"/>
          <w:szCs w:val="21"/>
          <w:lang w:val="es-CL"/>
        </w:rPr>
        <w:t xml:space="preserve"> </w:t>
      </w:r>
      <w:r w:rsidR="009947D2">
        <w:rPr>
          <w:rFonts w:ascii="Tahoma" w:hAnsi="Tahoma" w:cs="Tahoma"/>
          <w:bCs/>
          <w:iCs/>
          <w:sz w:val="21"/>
          <w:szCs w:val="21"/>
          <w:lang w:val="es-CL"/>
        </w:rPr>
        <w:t>las responsabilidades en</w:t>
      </w:r>
      <w:r w:rsidR="00A408FE" w:rsidRPr="00A408FE">
        <w:rPr>
          <w:rFonts w:ascii="Tahoma" w:hAnsi="Tahoma" w:cs="Tahoma"/>
          <w:bCs/>
          <w:iCs/>
          <w:sz w:val="21"/>
          <w:szCs w:val="21"/>
          <w:lang w:val="es-CL"/>
        </w:rPr>
        <w:t xml:space="preserve"> 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 xml:space="preserve">materia de </w:t>
      </w:r>
      <w:r w:rsidR="00A408FE" w:rsidRPr="00A408FE">
        <w:rPr>
          <w:rFonts w:ascii="Tahoma" w:hAnsi="Tahoma" w:cs="Tahoma"/>
          <w:bCs/>
          <w:iCs/>
          <w:sz w:val="21"/>
          <w:szCs w:val="21"/>
          <w:lang w:val="es-CL"/>
        </w:rPr>
        <w:t xml:space="preserve">derechos humanos establecidas en los Principios Rectores de </w:t>
      </w:r>
      <w:r w:rsidR="00847829">
        <w:rPr>
          <w:rFonts w:ascii="Tahoma" w:hAnsi="Tahoma" w:cs="Tahoma"/>
          <w:bCs/>
          <w:iCs/>
          <w:sz w:val="21"/>
          <w:szCs w:val="21"/>
          <w:lang w:val="es-CL"/>
        </w:rPr>
        <w:t xml:space="preserve">las </w:t>
      </w:r>
      <w:r w:rsidR="00A408FE" w:rsidRPr="00A408FE">
        <w:rPr>
          <w:rFonts w:ascii="Tahoma" w:hAnsi="Tahoma" w:cs="Tahoma"/>
          <w:bCs/>
          <w:iCs/>
          <w:sz w:val="21"/>
          <w:szCs w:val="21"/>
          <w:lang w:val="es-CL"/>
        </w:rPr>
        <w:t>Naciones Unidas sobre Empresas</w:t>
      </w:r>
      <w:r w:rsidR="009947D2">
        <w:rPr>
          <w:rFonts w:ascii="Tahoma" w:hAnsi="Tahoma" w:cs="Tahoma"/>
          <w:bCs/>
          <w:iCs/>
          <w:sz w:val="21"/>
          <w:szCs w:val="21"/>
          <w:lang w:val="es-CL"/>
        </w:rPr>
        <w:t xml:space="preserve"> y Derechos Humanos </w:t>
      </w:r>
      <w:r w:rsidR="00A408FE" w:rsidRPr="00A408FE">
        <w:rPr>
          <w:rFonts w:ascii="Tahoma" w:hAnsi="Tahoma" w:cs="Tahoma"/>
          <w:bCs/>
          <w:iCs/>
          <w:sz w:val="21"/>
          <w:szCs w:val="21"/>
          <w:lang w:val="es-CL"/>
        </w:rPr>
        <w:t>se vuelve cada vez más fundamental. Las empresas deben respetar los derechos humanos y no hacer daño. Estas responsabilidades se aplican en el contexto de las asociaciones público-privadas (APP), instrumentos de financiamiento combinados, la inversión extranjera directa y todas las actividad</w:t>
      </w:r>
      <w:r w:rsidR="009947D2">
        <w:rPr>
          <w:rFonts w:ascii="Tahoma" w:hAnsi="Tahoma" w:cs="Tahoma"/>
          <w:bCs/>
          <w:iCs/>
          <w:sz w:val="21"/>
          <w:szCs w:val="21"/>
          <w:lang w:val="es-CL"/>
        </w:rPr>
        <w:t>es empresariales privadas. R</w:t>
      </w:r>
      <w:r w:rsidR="00A408FE" w:rsidRPr="00A408FE">
        <w:rPr>
          <w:rFonts w:ascii="Tahoma" w:hAnsi="Tahoma" w:cs="Tahoma"/>
          <w:bCs/>
          <w:iCs/>
          <w:sz w:val="21"/>
          <w:szCs w:val="21"/>
          <w:lang w:val="es-CL"/>
        </w:rPr>
        <w:t>especto a las APP y al financiamiento combinado, los riesgos y los beneficios de las inversiones deben ser compartidos de manera equitativa entre los invers</w:t>
      </w:r>
      <w:r w:rsidR="009947D2">
        <w:rPr>
          <w:rFonts w:ascii="Tahoma" w:hAnsi="Tahoma" w:cs="Tahoma"/>
          <w:bCs/>
          <w:iCs/>
          <w:sz w:val="21"/>
          <w:szCs w:val="21"/>
          <w:lang w:val="es-CL"/>
        </w:rPr>
        <w:t xml:space="preserve">ores públicos y privados. 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>Tanto los</w:t>
      </w:r>
      <w:r w:rsidR="00C92E21" w:rsidRPr="00A408FE">
        <w:rPr>
          <w:rFonts w:ascii="Tahoma" w:hAnsi="Tahoma" w:cs="Tahoma"/>
          <w:bCs/>
          <w:iCs/>
          <w:sz w:val="21"/>
          <w:szCs w:val="21"/>
          <w:lang w:val="es-CL"/>
        </w:rPr>
        <w:t xml:space="preserve"> </w:t>
      </w:r>
      <w:r w:rsidR="00A408FE" w:rsidRPr="00A408FE">
        <w:rPr>
          <w:rFonts w:ascii="Tahoma" w:hAnsi="Tahoma" w:cs="Tahoma"/>
          <w:bCs/>
          <w:iCs/>
          <w:sz w:val="21"/>
          <w:szCs w:val="21"/>
          <w:lang w:val="es-CL"/>
        </w:rPr>
        <w:t xml:space="preserve">socios del sector privado 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>como del</w:t>
      </w:r>
      <w:r w:rsidR="00A408FE" w:rsidRPr="00A408FE">
        <w:rPr>
          <w:rFonts w:ascii="Tahoma" w:hAnsi="Tahoma" w:cs="Tahoma"/>
          <w:bCs/>
          <w:iCs/>
          <w:sz w:val="21"/>
          <w:szCs w:val="21"/>
          <w:lang w:val="es-CL"/>
        </w:rPr>
        <w:t xml:space="preserve"> público deben cumplir con sus respectivas responsabilidades y obligaciones de derechos humanos. Al trabajar juntos, los Estados y las empresas deben incorporar consideraciones sociales, ambientales, laborales, de derechos humanos 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 xml:space="preserve">así como </w:t>
      </w:r>
      <w:r w:rsidR="00A408FE" w:rsidRPr="00A408FE">
        <w:rPr>
          <w:rFonts w:ascii="Tahoma" w:hAnsi="Tahoma" w:cs="Tahoma"/>
          <w:bCs/>
          <w:iCs/>
          <w:sz w:val="21"/>
          <w:szCs w:val="21"/>
          <w:lang w:val="es-CL"/>
        </w:rPr>
        <w:t xml:space="preserve">de igualdad de género en sus actividades y 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>condicionar</w:t>
      </w:r>
      <w:r w:rsidR="00C92E21" w:rsidRPr="00A408FE">
        <w:rPr>
          <w:rFonts w:ascii="Tahoma" w:hAnsi="Tahoma" w:cs="Tahoma"/>
          <w:bCs/>
          <w:iCs/>
          <w:sz w:val="21"/>
          <w:szCs w:val="21"/>
          <w:lang w:val="es-CL"/>
        </w:rPr>
        <w:t xml:space="preserve"> </w:t>
      </w:r>
      <w:r w:rsidR="00A408FE" w:rsidRPr="00A408FE">
        <w:rPr>
          <w:rFonts w:ascii="Tahoma" w:hAnsi="Tahoma" w:cs="Tahoma"/>
          <w:bCs/>
          <w:iCs/>
          <w:sz w:val="21"/>
          <w:szCs w:val="21"/>
          <w:lang w:val="es-CL"/>
        </w:rPr>
        <w:t>las APP a salvaguardias y una rigurosa diligencia debida, incluyendo evaluaciones de impacto sobre los derechos humanos.</w:t>
      </w:r>
    </w:p>
    <w:p w:rsidR="00A63A89" w:rsidRPr="00572CEE" w:rsidRDefault="00A408FE" w:rsidP="00DE6388">
      <w:pPr>
        <w:spacing w:line="240" w:lineRule="auto"/>
        <w:jc w:val="both"/>
        <w:rPr>
          <w:rFonts w:ascii="Tahoma" w:hAnsi="Tahoma" w:cs="Tahoma"/>
          <w:bCs/>
          <w:iCs/>
          <w:sz w:val="21"/>
          <w:szCs w:val="21"/>
          <w:lang w:val="es-CL"/>
        </w:rPr>
      </w:pPr>
      <w:r>
        <w:rPr>
          <w:rFonts w:ascii="Tahoma" w:hAnsi="Tahoma" w:cs="Tahoma"/>
          <w:bCs/>
          <w:iCs/>
          <w:sz w:val="21"/>
          <w:szCs w:val="21"/>
          <w:lang w:val="es-CL"/>
        </w:rPr>
        <w:t>Considerar</w:t>
      </w:r>
      <w:r w:rsidR="00572CEE" w:rsidRPr="00572CEE">
        <w:rPr>
          <w:rFonts w:ascii="Tahoma" w:hAnsi="Tahoma" w:cs="Tahoma"/>
          <w:bCs/>
          <w:iCs/>
          <w:sz w:val="21"/>
          <w:szCs w:val="21"/>
          <w:lang w:val="es-CL"/>
        </w:rPr>
        <w:t xml:space="preserve"> la vivienda como una simple mercancía y </w:t>
      </w:r>
      <w:r w:rsidR="00847829">
        <w:rPr>
          <w:rFonts w:ascii="Tahoma" w:hAnsi="Tahoma" w:cs="Tahoma"/>
          <w:bCs/>
          <w:iCs/>
          <w:sz w:val="21"/>
          <w:szCs w:val="21"/>
          <w:lang w:val="es-CL"/>
        </w:rPr>
        <w:t>una oportunidad inmobiliaria</w:t>
      </w:r>
      <w:r w:rsidR="00572CEE" w:rsidRPr="00572CEE">
        <w:rPr>
          <w:rFonts w:ascii="Tahoma" w:hAnsi="Tahoma" w:cs="Tahoma"/>
          <w:bCs/>
          <w:iCs/>
          <w:sz w:val="21"/>
          <w:szCs w:val="21"/>
          <w:lang w:val="es-CL"/>
        </w:rPr>
        <w:t xml:space="preserve"> conduce a la especulación y</w:t>
      </w:r>
      <w:r w:rsidR="00254AE5">
        <w:rPr>
          <w:rFonts w:ascii="Tahoma" w:hAnsi="Tahoma" w:cs="Tahoma"/>
          <w:bCs/>
          <w:iCs/>
          <w:sz w:val="21"/>
          <w:szCs w:val="21"/>
          <w:lang w:val="es-CL"/>
        </w:rPr>
        <w:t xml:space="preserve"> </w:t>
      </w:r>
      <w:r w:rsidR="00572CEE" w:rsidRPr="00572CEE">
        <w:rPr>
          <w:rFonts w:ascii="Tahoma" w:hAnsi="Tahoma" w:cs="Tahoma"/>
          <w:bCs/>
          <w:iCs/>
          <w:sz w:val="21"/>
          <w:szCs w:val="21"/>
          <w:lang w:val="es-CL"/>
        </w:rPr>
        <w:t xml:space="preserve">a la exclusión social y espacial de las personas en situación de vulnerabilidad y marginación económica. Por lo tanto, los socios del sector </w:t>
      </w:r>
      <w:r w:rsidR="00254AE5">
        <w:rPr>
          <w:rFonts w:ascii="Tahoma" w:hAnsi="Tahoma" w:cs="Tahoma"/>
          <w:bCs/>
          <w:iCs/>
          <w:sz w:val="21"/>
          <w:szCs w:val="21"/>
          <w:lang w:val="es-CL"/>
        </w:rPr>
        <w:t xml:space="preserve">privado y 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 xml:space="preserve">los </w:t>
      </w:r>
      <w:r w:rsidR="00254AE5">
        <w:rPr>
          <w:rFonts w:ascii="Tahoma" w:hAnsi="Tahoma" w:cs="Tahoma"/>
          <w:bCs/>
          <w:iCs/>
          <w:sz w:val="21"/>
          <w:szCs w:val="21"/>
          <w:lang w:val="es-CL"/>
        </w:rPr>
        <w:t xml:space="preserve">planes de </w:t>
      </w:r>
      <w:r w:rsidR="00847829">
        <w:rPr>
          <w:rFonts w:ascii="Tahoma" w:hAnsi="Tahoma" w:cs="Tahoma"/>
          <w:bCs/>
          <w:iCs/>
          <w:sz w:val="21"/>
          <w:szCs w:val="21"/>
          <w:lang w:val="es-CL"/>
        </w:rPr>
        <w:t>financiación</w:t>
      </w:r>
      <w:r w:rsidR="00572CEE" w:rsidRPr="00572CEE">
        <w:rPr>
          <w:rFonts w:ascii="Tahoma" w:hAnsi="Tahoma" w:cs="Tahoma"/>
          <w:bCs/>
          <w:iCs/>
          <w:sz w:val="21"/>
          <w:szCs w:val="21"/>
          <w:lang w:val="es-CL"/>
        </w:rPr>
        <w:t xml:space="preserve"> locales deben poner 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 xml:space="preserve">a </w:t>
      </w:r>
      <w:r w:rsidR="00572CEE" w:rsidRPr="00572CEE">
        <w:rPr>
          <w:rFonts w:ascii="Tahoma" w:hAnsi="Tahoma" w:cs="Tahoma"/>
          <w:bCs/>
          <w:iCs/>
          <w:sz w:val="21"/>
          <w:szCs w:val="21"/>
          <w:lang w:val="es-CL"/>
        </w:rPr>
        <w:t xml:space="preserve">la ciudad al servicio de los derechos urbanos, sociales, económicos, culturales, ambientales y políticos de todos los habitantes. Esto requerirá 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 xml:space="preserve">de </w:t>
      </w:r>
      <w:r w:rsidR="00572CEE" w:rsidRPr="00572CEE">
        <w:rPr>
          <w:rFonts w:ascii="Tahoma" w:hAnsi="Tahoma" w:cs="Tahoma"/>
          <w:bCs/>
          <w:iCs/>
          <w:sz w:val="21"/>
          <w:szCs w:val="21"/>
          <w:lang w:val="es-CL"/>
        </w:rPr>
        <w:t xml:space="preserve">un enfoque redistributivo </w:t>
      </w:r>
      <w:r w:rsidR="008C5950">
        <w:rPr>
          <w:rFonts w:ascii="Tahoma" w:hAnsi="Tahoma" w:cs="Tahoma"/>
          <w:bCs/>
          <w:iCs/>
          <w:sz w:val="21"/>
          <w:szCs w:val="21"/>
          <w:lang w:val="es-CL"/>
        </w:rPr>
        <w:t>donde</w:t>
      </w:r>
      <w:r w:rsidR="00572CEE" w:rsidRPr="00572CEE">
        <w:rPr>
          <w:rFonts w:ascii="Tahoma" w:hAnsi="Tahoma" w:cs="Tahoma"/>
          <w:bCs/>
          <w:iCs/>
          <w:sz w:val="21"/>
          <w:szCs w:val="21"/>
          <w:lang w:val="es-CL"/>
        </w:rPr>
        <w:t xml:space="preserve"> las desigualdades en 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>el acceso a l</w:t>
      </w:r>
      <w:r w:rsidR="008C5950">
        <w:rPr>
          <w:rFonts w:ascii="Tahoma" w:hAnsi="Tahoma" w:cs="Tahoma"/>
          <w:bCs/>
          <w:iCs/>
          <w:sz w:val="21"/>
          <w:szCs w:val="21"/>
          <w:lang w:val="es-CL"/>
        </w:rPr>
        <w:t>a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 xml:space="preserve"> </w:t>
      </w:r>
      <w:r w:rsidR="00572CEE" w:rsidRPr="00572CEE">
        <w:rPr>
          <w:rFonts w:ascii="Tahoma" w:hAnsi="Tahoma" w:cs="Tahoma"/>
          <w:bCs/>
          <w:iCs/>
          <w:sz w:val="21"/>
          <w:szCs w:val="21"/>
          <w:lang w:val="es-CL"/>
        </w:rPr>
        <w:t xml:space="preserve">vivienda </w:t>
      </w:r>
      <w:r w:rsidR="00847829">
        <w:rPr>
          <w:rFonts w:ascii="Tahoma" w:hAnsi="Tahoma" w:cs="Tahoma"/>
          <w:bCs/>
          <w:iCs/>
          <w:sz w:val="21"/>
          <w:szCs w:val="21"/>
          <w:lang w:val="es-CL"/>
        </w:rPr>
        <w:t>sobre la base de</w:t>
      </w:r>
      <w:r w:rsidR="00572CEE" w:rsidRPr="00572CEE">
        <w:rPr>
          <w:rFonts w:ascii="Tahoma" w:hAnsi="Tahoma" w:cs="Tahoma"/>
          <w:bCs/>
          <w:iCs/>
          <w:sz w:val="21"/>
          <w:szCs w:val="21"/>
          <w:lang w:val="es-CL"/>
        </w:rPr>
        <w:t xml:space="preserve"> los ingresos se redu</w:t>
      </w:r>
      <w:r w:rsidR="00C92E21">
        <w:rPr>
          <w:rFonts w:ascii="Tahoma" w:hAnsi="Tahoma" w:cs="Tahoma"/>
          <w:bCs/>
          <w:iCs/>
          <w:sz w:val="21"/>
          <w:szCs w:val="21"/>
          <w:lang w:val="es-CL"/>
        </w:rPr>
        <w:t xml:space="preserve">zcan </w:t>
      </w:r>
      <w:r w:rsidR="00572CEE" w:rsidRPr="00572CEE">
        <w:rPr>
          <w:rFonts w:ascii="Tahoma" w:hAnsi="Tahoma" w:cs="Tahoma"/>
          <w:bCs/>
          <w:iCs/>
          <w:sz w:val="21"/>
          <w:szCs w:val="21"/>
          <w:lang w:val="es-CL"/>
        </w:rPr>
        <w:t>a través de mecanismos de redistribución sostenida, y en el que los pro</w:t>
      </w:r>
      <w:r w:rsidR="00254AE5">
        <w:rPr>
          <w:rFonts w:ascii="Tahoma" w:hAnsi="Tahoma" w:cs="Tahoma"/>
          <w:bCs/>
          <w:iCs/>
          <w:sz w:val="21"/>
          <w:szCs w:val="21"/>
          <w:lang w:val="es-CL"/>
        </w:rPr>
        <w:t>cesos de financiamiento local s</w:t>
      </w:r>
      <w:r w:rsidR="008C5950">
        <w:rPr>
          <w:rFonts w:ascii="Tahoma" w:hAnsi="Tahoma" w:cs="Tahoma"/>
          <w:bCs/>
          <w:iCs/>
          <w:sz w:val="21"/>
          <w:szCs w:val="21"/>
          <w:lang w:val="es-CL"/>
        </w:rPr>
        <w:t>ea</w:t>
      </w:r>
      <w:r w:rsidR="00254AE5">
        <w:rPr>
          <w:rFonts w:ascii="Tahoma" w:hAnsi="Tahoma" w:cs="Tahoma"/>
          <w:bCs/>
          <w:iCs/>
          <w:sz w:val="21"/>
          <w:szCs w:val="21"/>
          <w:lang w:val="es-CL"/>
        </w:rPr>
        <w:t>n</w:t>
      </w:r>
      <w:r w:rsidR="00572CEE" w:rsidRPr="00572CEE">
        <w:rPr>
          <w:rFonts w:ascii="Tahoma" w:hAnsi="Tahoma" w:cs="Tahoma"/>
          <w:bCs/>
          <w:iCs/>
          <w:sz w:val="21"/>
          <w:szCs w:val="21"/>
          <w:lang w:val="es-CL"/>
        </w:rPr>
        <w:t xml:space="preserve"> transparentes y participativos.</w:t>
      </w:r>
    </w:p>
    <w:p w:rsidR="00AB6F76" w:rsidRPr="00DE6388" w:rsidRDefault="004135C4" w:rsidP="004135C4">
      <w:pPr>
        <w:pStyle w:val="Default"/>
        <w:spacing w:line="276" w:lineRule="auto"/>
        <w:jc w:val="both"/>
        <w:rPr>
          <w:rFonts w:ascii="Tahoma" w:eastAsia="MS Mincho" w:hAnsi="Tahoma" w:cs="Tahoma"/>
          <w:b/>
          <w:bCs/>
          <w:color w:val="548DD4"/>
          <w:sz w:val="22"/>
          <w:szCs w:val="22"/>
          <w:lang w:val="es-CL"/>
        </w:rPr>
      </w:pPr>
      <w:r>
        <w:rPr>
          <w:noProof/>
          <w:sz w:val="64"/>
          <w:szCs w:val="64"/>
          <w:lang w:val="en-US" w:eastAsia="en-US"/>
        </w:rPr>
        <w:drawing>
          <wp:anchor distT="0" distB="0" distL="114300" distR="114300" simplePos="0" relativeHeight="251685888" behindDoc="0" locked="0" layoutInCell="1" allowOverlap="1" wp14:anchorId="7FEB2C14" wp14:editId="7C07026F">
            <wp:simplePos x="0" y="0"/>
            <wp:positionH relativeFrom="column">
              <wp:posOffset>-17780</wp:posOffset>
            </wp:positionH>
            <wp:positionV relativeFrom="paragraph">
              <wp:posOffset>751840</wp:posOffset>
            </wp:positionV>
            <wp:extent cx="2442845" cy="9715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_logo_SP_blue_SMALL_72dpi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MS Mincho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492698" wp14:editId="175A57E8">
                <wp:simplePos x="0" y="0"/>
                <wp:positionH relativeFrom="column">
                  <wp:posOffset>2505075</wp:posOffset>
                </wp:positionH>
                <wp:positionV relativeFrom="paragraph">
                  <wp:posOffset>652780</wp:posOffset>
                </wp:positionV>
                <wp:extent cx="4162425" cy="1163955"/>
                <wp:effectExtent l="0" t="0" r="9525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163955"/>
                        </a:xfrm>
                        <a:prstGeom prst="rect">
                          <a:avLst/>
                        </a:prstGeom>
                        <a:solidFill>
                          <a:srgbClr val="B8CCE4">
                            <a:alpha val="6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7E4" w:rsidRDefault="009A47E4" w:rsidP="0019147D">
                            <w:pPr>
                              <w:spacing w:line="240" w:lineRule="auto"/>
                              <w:rPr>
                                <w:rFonts w:ascii="Tahoma" w:eastAsia="Malgun Gothic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400419" w:rsidRPr="00B85D4C" w:rsidRDefault="004135C4" w:rsidP="0019147D">
                            <w:pPr>
                              <w:spacing w:line="240" w:lineRule="auto"/>
                              <w:rPr>
                                <w:rFonts w:ascii="Tahoma" w:eastAsia="Malgun Gothic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r>
                              <w:rPr>
                                <w:rFonts w:ascii="Tahoma" w:eastAsia="Malgun Gothic" w:hAnsi="Tahoma" w:cs="Tahoma"/>
                                <w:sz w:val="20"/>
                                <w:szCs w:val="20"/>
                                <w:lang w:val="es-CL"/>
                              </w:rPr>
                              <w:t>Para</w:t>
                            </w:r>
                            <w:r w:rsidR="009A47E4" w:rsidRPr="00DE6388">
                              <w:rPr>
                                <w:rFonts w:ascii="Tahoma" w:eastAsia="Malgun Gothic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 mayor </w:t>
                            </w:r>
                            <w:r w:rsidR="00DE6388" w:rsidRPr="00DE6388">
                              <w:rPr>
                                <w:rFonts w:ascii="Tahoma" w:eastAsia="Malgun Gothic" w:hAnsi="Tahoma" w:cs="Tahoma"/>
                                <w:sz w:val="20"/>
                                <w:szCs w:val="20"/>
                                <w:lang w:val="es-CL"/>
                              </w:rPr>
                              <w:t>información</w:t>
                            </w:r>
                            <w:r w:rsidR="009A47E4" w:rsidRPr="00DE6388">
                              <w:rPr>
                                <w:rFonts w:ascii="Tahoma" w:eastAsia="Malgun Gothic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 sobre </w:t>
                            </w:r>
                            <w:r>
                              <w:rPr>
                                <w:rFonts w:ascii="Tahoma" w:eastAsia="Malgun Gothic" w:hAnsi="Tahoma" w:cs="Tahoma"/>
                                <w:sz w:val="20"/>
                                <w:szCs w:val="20"/>
                                <w:lang w:val="es-CL"/>
                              </w:rPr>
                              <w:t>derechos humanos</w:t>
                            </w:r>
                            <w:r w:rsidR="009A47E4" w:rsidRPr="00DE6388">
                              <w:rPr>
                                <w:rFonts w:ascii="Tahoma" w:eastAsia="Malgun Gothic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 y urbanización, </w:t>
                            </w:r>
                            <w:r w:rsidR="00DE6388">
                              <w:rPr>
                                <w:rFonts w:ascii="Tahoma" w:eastAsia="Malgun Gothic" w:hAnsi="Tahoma" w:cs="Tahoma"/>
                                <w:sz w:val="20"/>
                                <w:szCs w:val="20"/>
                                <w:lang w:val="es-CL"/>
                              </w:rPr>
                              <w:t>visite</w:t>
                            </w:r>
                            <w:r w:rsidR="00400419" w:rsidRPr="00B85D4C">
                              <w:rPr>
                                <w:rFonts w:ascii="Tahoma" w:eastAsia="Malgun Gothic" w:hAnsi="Tahoma" w:cs="Tahoma"/>
                                <w:sz w:val="20"/>
                                <w:szCs w:val="20"/>
                                <w:lang w:val="es-CL"/>
                              </w:rPr>
                              <w:t xml:space="preserve">: </w:t>
                            </w:r>
                          </w:p>
                          <w:p w:rsidR="00400419" w:rsidRPr="00F9162D" w:rsidRDefault="00F9162D" w:rsidP="0019147D">
                            <w:pPr>
                              <w:spacing w:line="240" w:lineRule="auto"/>
                              <w:rPr>
                                <w:rFonts w:ascii="Tahoma" w:eastAsia="Malgun Gothic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  <w:hyperlink r:id="rId14" w:history="1">
                              <w:r w:rsidRPr="00544A6C">
                                <w:rPr>
                                  <w:rStyle w:val="Hyperlink"/>
                                  <w:lang w:val="es-CL"/>
                                </w:rPr>
                                <w:t>http://www.ohchr.org/SP/Issues/Urbanization/Pages/UrbanizationHRIndex.aspx</w:t>
                              </w:r>
                            </w:hyperlink>
                            <w:r>
                              <w:rPr>
                                <w:lang w:val="es-CL"/>
                              </w:rPr>
                              <w:t xml:space="preserve"> </w:t>
                            </w:r>
                          </w:p>
                          <w:p w:rsidR="00400419" w:rsidRPr="00DE6388" w:rsidRDefault="00400419" w:rsidP="0019147D">
                            <w:pPr>
                              <w:spacing w:line="240" w:lineRule="auto"/>
                              <w:rPr>
                                <w:rFonts w:ascii="Tahoma" w:eastAsia="Malgun Gothic" w:hAnsi="Tahoma" w:cs="Tahoma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197.25pt;margin-top:51.4pt;width:327.75pt;height:9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" fillcolor="#b8cce4" stroked="f">
                <v:fill opacity="39321f"/>
                <v:textbox>
                  <w:txbxContent>
                    <w:p w:rsidR="009A47E4" w:rsidRDefault="009A47E4" w:rsidP="0019147D">
                      <w:pPr>
                        <w:spacing w:line="240" w:lineRule="auto"/>
                        <w:rPr>
                          <w:rFonts w:ascii="Tahoma" w:eastAsia="Malgun Gothic" w:hAnsi="Tahoma" w:cs="Tahoma"/>
                          <w:sz w:val="20"/>
                          <w:szCs w:val="20"/>
                        </w:rPr>
                      </w:pPr>
                    </w:p>
                    <w:p w:rsidR="00400419" w:rsidRPr="00B85D4C" w:rsidRDefault="004135C4" w:rsidP="0019147D">
                      <w:pPr>
                        <w:spacing w:line="240" w:lineRule="auto"/>
                        <w:rPr>
                          <w:rFonts w:ascii="Tahoma" w:eastAsia="Malgun Gothic" w:hAnsi="Tahoma" w:cs="Tahoma"/>
                          <w:sz w:val="20"/>
                          <w:szCs w:val="20"/>
                          <w:lang w:val="es-CL"/>
                        </w:rPr>
                      </w:pPr>
                      <w:r>
                        <w:rPr>
                          <w:rFonts w:ascii="Tahoma" w:eastAsia="Malgun Gothic" w:hAnsi="Tahoma" w:cs="Tahoma"/>
                          <w:sz w:val="20"/>
                          <w:szCs w:val="20"/>
                          <w:lang w:val="es-CL"/>
                        </w:rPr>
                        <w:t>Para</w:t>
                      </w:r>
                      <w:r w:rsidR="009A47E4" w:rsidRPr="00DE6388">
                        <w:rPr>
                          <w:rFonts w:ascii="Tahoma" w:eastAsia="Malgun Gothic" w:hAnsi="Tahoma" w:cs="Tahoma"/>
                          <w:sz w:val="20"/>
                          <w:szCs w:val="20"/>
                          <w:lang w:val="es-CL"/>
                        </w:rPr>
                        <w:t xml:space="preserve"> mayor </w:t>
                      </w:r>
                      <w:r w:rsidR="00DE6388" w:rsidRPr="00DE6388">
                        <w:rPr>
                          <w:rFonts w:ascii="Tahoma" w:eastAsia="Malgun Gothic" w:hAnsi="Tahoma" w:cs="Tahoma"/>
                          <w:sz w:val="20"/>
                          <w:szCs w:val="20"/>
                          <w:lang w:val="es-CL"/>
                        </w:rPr>
                        <w:t>información</w:t>
                      </w:r>
                      <w:r w:rsidR="009A47E4" w:rsidRPr="00DE6388">
                        <w:rPr>
                          <w:rFonts w:ascii="Tahoma" w:eastAsia="Malgun Gothic" w:hAnsi="Tahoma" w:cs="Tahoma"/>
                          <w:sz w:val="20"/>
                          <w:szCs w:val="20"/>
                          <w:lang w:val="es-CL"/>
                        </w:rPr>
                        <w:t xml:space="preserve"> sobre </w:t>
                      </w:r>
                      <w:r>
                        <w:rPr>
                          <w:rFonts w:ascii="Tahoma" w:eastAsia="Malgun Gothic" w:hAnsi="Tahoma" w:cs="Tahoma"/>
                          <w:sz w:val="20"/>
                          <w:szCs w:val="20"/>
                          <w:lang w:val="es-CL"/>
                        </w:rPr>
                        <w:t>derechos humanos</w:t>
                      </w:r>
                      <w:r w:rsidR="009A47E4" w:rsidRPr="00DE6388">
                        <w:rPr>
                          <w:rFonts w:ascii="Tahoma" w:eastAsia="Malgun Gothic" w:hAnsi="Tahoma" w:cs="Tahoma"/>
                          <w:sz w:val="20"/>
                          <w:szCs w:val="20"/>
                          <w:lang w:val="es-CL"/>
                        </w:rPr>
                        <w:t xml:space="preserve"> y urbanización, </w:t>
                      </w:r>
                      <w:r w:rsidR="00DE6388">
                        <w:rPr>
                          <w:rFonts w:ascii="Tahoma" w:eastAsia="Malgun Gothic" w:hAnsi="Tahoma" w:cs="Tahoma"/>
                          <w:sz w:val="20"/>
                          <w:szCs w:val="20"/>
                          <w:lang w:val="es-CL"/>
                        </w:rPr>
                        <w:t>visite</w:t>
                      </w:r>
                      <w:r w:rsidR="00400419" w:rsidRPr="00B85D4C">
                        <w:rPr>
                          <w:rFonts w:ascii="Tahoma" w:eastAsia="Malgun Gothic" w:hAnsi="Tahoma" w:cs="Tahoma"/>
                          <w:sz w:val="20"/>
                          <w:szCs w:val="20"/>
                          <w:lang w:val="es-CL"/>
                        </w:rPr>
                        <w:t xml:space="preserve">: </w:t>
                      </w:r>
                    </w:p>
                    <w:p w:rsidR="00400419" w:rsidRPr="00F9162D" w:rsidRDefault="00F9162D" w:rsidP="0019147D">
                      <w:pPr>
                        <w:spacing w:line="240" w:lineRule="auto"/>
                        <w:rPr>
                          <w:rFonts w:ascii="Tahoma" w:eastAsia="Malgun Gothic" w:hAnsi="Tahoma" w:cs="Tahoma"/>
                          <w:sz w:val="20"/>
                          <w:szCs w:val="20"/>
                          <w:lang w:val="es-CL"/>
                        </w:rPr>
                      </w:pPr>
                      <w:hyperlink r:id="rId15" w:history="1">
                        <w:r w:rsidRPr="00544A6C">
                          <w:rPr>
                            <w:rStyle w:val="Hyperlink"/>
                            <w:lang w:val="es-CL"/>
                          </w:rPr>
                          <w:t>http://www.ohchr.org/SP/Issues/Urbanization/Pages/UrbanizationHRIndex.aspx</w:t>
                        </w:r>
                      </w:hyperlink>
                      <w:r>
                        <w:rPr>
                          <w:lang w:val="es-CL"/>
                        </w:rPr>
                        <w:t xml:space="preserve"> </w:t>
                      </w:r>
                    </w:p>
                    <w:p w:rsidR="00400419" w:rsidRPr="00DE6388" w:rsidRDefault="00400419" w:rsidP="0019147D">
                      <w:pPr>
                        <w:spacing w:line="240" w:lineRule="auto"/>
                        <w:rPr>
                          <w:rFonts w:ascii="Tahoma" w:eastAsia="Malgun Gothic" w:hAnsi="Tahoma" w:cs="Tahoma"/>
                          <w:sz w:val="20"/>
                          <w:szCs w:val="20"/>
                          <w:lang w:val="es-C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3524">
        <w:rPr>
          <w:rFonts w:ascii="Tahoma" w:eastAsia="MS Mincho" w:hAnsi="Tahoma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6CC084" wp14:editId="1A2264DE">
                <wp:simplePos x="0" y="0"/>
                <wp:positionH relativeFrom="column">
                  <wp:posOffset>13970</wp:posOffset>
                </wp:positionH>
                <wp:positionV relativeFrom="paragraph">
                  <wp:posOffset>2019630</wp:posOffset>
                </wp:positionV>
                <wp:extent cx="4064000" cy="4991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041" w:rsidRPr="001C21B6" w:rsidRDefault="006B3041" w:rsidP="006B3041">
                            <w:pPr>
                              <w:rPr>
                                <w:rFonts w:ascii="Tahoma" w:hAnsi="Tahoma" w:cs="Tahoma"/>
                                <w:i/>
                                <w:sz w:val="20"/>
                                <w:szCs w:val="21"/>
                                <w:lang w:val="es-CL"/>
                              </w:rPr>
                            </w:pPr>
                            <w:r w:rsidRPr="001C21B6">
                              <w:rPr>
                                <w:rFonts w:ascii="Tahoma" w:hAnsi="Tahoma" w:cs="Tahoma"/>
                                <w:i/>
                                <w:sz w:val="20"/>
                                <w:szCs w:val="21"/>
                                <w:lang w:val="es-CL"/>
                              </w:rPr>
                              <w:t xml:space="preserve">*Traducción al español: </w:t>
                            </w:r>
                            <w:hyperlink r:id="rId16" w:history="1">
                              <w:r w:rsidRPr="001C21B6">
                                <w:rPr>
                                  <w:rStyle w:val="Hyperlink"/>
                                  <w:rFonts w:ascii="Tahoma" w:hAnsi="Tahoma" w:cs="Tahoma"/>
                                  <w:i/>
                                  <w:sz w:val="20"/>
                                  <w:szCs w:val="21"/>
                                  <w:lang w:val="es-CL"/>
                                </w:rPr>
                                <w:t>ACNUDH América del Sur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.1pt;margin-top:159.05pt;width:320pt;height:3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" filled="f" stroked="f" strokeweight=".5pt">
                <v:textbox>
                  <w:txbxContent>
                    <w:p w:rsidR="006B3041" w:rsidRPr="001C21B6" w:rsidRDefault="006B3041" w:rsidP="006B3041">
                      <w:pPr>
                        <w:rPr>
                          <w:rFonts w:ascii="Tahoma" w:hAnsi="Tahoma" w:cs="Tahoma"/>
                          <w:i/>
                          <w:sz w:val="20"/>
                          <w:szCs w:val="21"/>
                          <w:lang w:val="es-CL"/>
                        </w:rPr>
                      </w:pPr>
                      <w:r w:rsidRPr="001C21B6">
                        <w:rPr>
                          <w:rFonts w:ascii="Tahoma" w:hAnsi="Tahoma" w:cs="Tahoma"/>
                          <w:i/>
                          <w:sz w:val="20"/>
                          <w:szCs w:val="21"/>
                          <w:lang w:val="es-CL"/>
                        </w:rPr>
                        <w:t xml:space="preserve">*Traducción al español: </w:t>
                      </w:r>
                      <w:hyperlink r:id="rId17" w:history="1">
                        <w:r w:rsidRPr="001C21B6">
                          <w:rPr>
                            <w:rStyle w:val="Hyperlink"/>
                            <w:rFonts w:ascii="Tahoma" w:hAnsi="Tahoma" w:cs="Tahoma"/>
                            <w:i/>
                            <w:sz w:val="20"/>
                            <w:szCs w:val="21"/>
                            <w:lang w:val="es-CL"/>
                          </w:rPr>
                          <w:t>ACNUDH América del Sur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54AE5" w:rsidRPr="00254AE5">
        <w:rPr>
          <w:rFonts w:ascii="Tahoma" w:eastAsia="MS Mincho" w:hAnsi="Tahoma" w:cs="Tahoma"/>
          <w:b/>
          <w:bCs/>
          <w:color w:val="548DD4"/>
          <w:sz w:val="22"/>
          <w:szCs w:val="22"/>
          <w:lang w:val="es-CL"/>
        </w:rPr>
        <w:t>Las autoridades estatales</w:t>
      </w:r>
      <w:r w:rsidR="00847829">
        <w:rPr>
          <w:rFonts w:ascii="Tahoma" w:eastAsia="MS Mincho" w:hAnsi="Tahoma" w:cs="Tahoma"/>
          <w:b/>
          <w:bCs/>
          <w:color w:val="548DD4"/>
          <w:sz w:val="22"/>
          <w:szCs w:val="22"/>
          <w:lang w:val="es-CL"/>
        </w:rPr>
        <w:t xml:space="preserve"> debe</w:t>
      </w:r>
      <w:r w:rsidR="009947D2">
        <w:rPr>
          <w:rFonts w:ascii="Tahoma" w:eastAsia="MS Mincho" w:hAnsi="Tahoma" w:cs="Tahoma"/>
          <w:b/>
          <w:bCs/>
          <w:color w:val="548DD4"/>
          <w:sz w:val="22"/>
          <w:szCs w:val="22"/>
          <w:lang w:val="es-CL"/>
        </w:rPr>
        <w:t>n establecer</w:t>
      </w:r>
      <w:r w:rsidR="00254AE5" w:rsidRPr="00254AE5">
        <w:rPr>
          <w:rFonts w:ascii="Tahoma" w:eastAsia="MS Mincho" w:hAnsi="Tahoma" w:cs="Tahoma"/>
          <w:b/>
          <w:bCs/>
          <w:color w:val="548DD4"/>
          <w:sz w:val="22"/>
          <w:szCs w:val="22"/>
          <w:lang w:val="es-CL"/>
        </w:rPr>
        <w:t xml:space="preserve"> mecanismos adecuados de regulación y vigilancia, para proteger </w:t>
      </w:r>
      <w:r w:rsidR="00F03A7D">
        <w:rPr>
          <w:rFonts w:ascii="Tahoma" w:eastAsia="MS Mincho" w:hAnsi="Tahoma" w:cs="Tahoma"/>
          <w:b/>
          <w:bCs/>
          <w:color w:val="548DD4"/>
          <w:sz w:val="22"/>
          <w:szCs w:val="22"/>
          <w:lang w:val="es-CL"/>
        </w:rPr>
        <w:t xml:space="preserve">a los derechos humanos de los </w:t>
      </w:r>
      <w:r w:rsidR="00254AE5" w:rsidRPr="00254AE5">
        <w:rPr>
          <w:rFonts w:ascii="Tahoma" w:eastAsia="MS Mincho" w:hAnsi="Tahoma" w:cs="Tahoma"/>
          <w:b/>
          <w:bCs/>
          <w:color w:val="548DD4"/>
          <w:sz w:val="22"/>
          <w:szCs w:val="22"/>
          <w:lang w:val="es-CL"/>
        </w:rPr>
        <w:t>potenciales impactos negativos de asociaciones p</w:t>
      </w:r>
      <w:r w:rsidR="00254AE5">
        <w:rPr>
          <w:rFonts w:ascii="Tahoma" w:eastAsia="MS Mincho" w:hAnsi="Tahoma" w:cs="Tahoma"/>
          <w:b/>
          <w:bCs/>
          <w:color w:val="548DD4"/>
          <w:sz w:val="22"/>
          <w:szCs w:val="22"/>
          <w:lang w:val="es-CL"/>
        </w:rPr>
        <w:t xml:space="preserve">úblico-privadas e instrumentos de financiamiento combinados. </w:t>
      </w:r>
      <w:bookmarkStart w:id="0" w:name="_GoBack"/>
      <w:bookmarkEnd w:id="0"/>
    </w:p>
    <w:sectPr w:rsidR="00AB6F76" w:rsidRPr="00DE6388" w:rsidSect="00C02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6E" w:rsidRDefault="00026D6E" w:rsidP="00C01E26">
      <w:pPr>
        <w:spacing w:after="0" w:line="240" w:lineRule="auto"/>
      </w:pPr>
      <w:r>
        <w:separator/>
      </w:r>
    </w:p>
  </w:endnote>
  <w:endnote w:type="continuationSeparator" w:id="0">
    <w:p w:rsidR="00026D6E" w:rsidRDefault="00026D6E" w:rsidP="00C0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6E" w:rsidRDefault="00026D6E" w:rsidP="00C01E26">
      <w:pPr>
        <w:spacing w:after="0" w:line="240" w:lineRule="auto"/>
      </w:pPr>
      <w:r>
        <w:separator/>
      </w:r>
    </w:p>
  </w:footnote>
  <w:footnote w:type="continuationSeparator" w:id="0">
    <w:p w:rsidR="00026D6E" w:rsidRDefault="00026D6E" w:rsidP="00C01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2DE6"/>
    <w:multiLevelType w:val="hybridMultilevel"/>
    <w:tmpl w:val="27CAF69E"/>
    <w:lvl w:ilvl="0" w:tplc="994C7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665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844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C2F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706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0EB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90A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E3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F45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3293DB7"/>
    <w:multiLevelType w:val="hybridMultilevel"/>
    <w:tmpl w:val="E9863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73EFA"/>
    <w:multiLevelType w:val="hybridMultilevel"/>
    <w:tmpl w:val="68FC049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826E0"/>
    <w:multiLevelType w:val="hybridMultilevel"/>
    <w:tmpl w:val="D506017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36D12"/>
    <w:multiLevelType w:val="hybridMultilevel"/>
    <w:tmpl w:val="204664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D5BAF"/>
    <w:multiLevelType w:val="hybridMultilevel"/>
    <w:tmpl w:val="DEE0F99A"/>
    <w:lvl w:ilvl="0" w:tplc="19FE6DC8">
      <w:start w:val="1"/>
      <w:numFmt w:val="decimal"/>
      <w:lvlText w:val="%1)"/>
      <w:lvlJc w:val="left"/>
      <w:pPr>
        <w:ind w:left="720" w:hanging="360"/>
      </w:pPr>
      <w:rPr>
        <w:rFonts w:ascii="Tahoma" w:eastAsiaTheme="minorEastAsia" w:hAnsi="Tahoma" w:cs="Tahom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B0"/>
    <w:rsid w:val="00026D6E"/>
    <w:rsid w:val="00037117"/>
    <w:rsid w:val="00040BA3"/>
    <w:rsid w:val="000613B5"/>
    <w:rsid w:val="00077A0E"/>
    <w:rsid w:val="00086199"/>
    <w:rsid w:val="00090B0F"/>
    <w:rsid w:val="000F0D53"/>
    <w:rsid w:val="000F56A1"/>
    <w:rsid w:val="00126407"/>
    <w:rsid w:val="00153D5E"/>
    <w:rsid w:val="00160D1E"/>
    <w:rsid w:val="0016486F"/>
    <w:rsid w:val="00165BDA"/>
    <w:rsid w:val="00167D47"/>
    <w:rsid w:val="00174EC6"/>
    <w:rsid w:val="001802D3"/>
    <w:rsid w:val="00182FAD"/>
    <w:rsid w:val="00184BE5"/>
    <w:rsid w:val="00191D5C"/>
    <w:rsid w:val="001921A0"/>
    <w:rsid w:val="001A32EC"/>
    <w:rsid w:val="001B0660"/>
    <w:rsid w:val="001C2C26"/>
    <w:rsid w:val="001C424D"/>
    <w:rsid w:val="001E1C3E"/>
    <w:rsid w:val="002317C1"/>
    <w:rsid w:val="002518BA"/>
    <w:rsid w:val="00254AE5"/>
    <w:rsid w:val="00261D94"/>
    <w:rsid w:val="0027621F"/>
    <w:rsid w:val="002800E0"/>
    <w:rsid w:val="00283339"/>
    <w:rsid w:val="002A0038"/>
    <w:rsid w:val="002A302A"/>
    <w:rsid w:val="002A5660"/>
    <w:rsid w:val="002A6421"/>
    <w:rsid w:val="002C01C8"/>
    <w:rsid w:val="002D598F"/>
    <w:rsid w:val="002D60BC"/>
    <w:rsid w:val="002E1AE6"/>
    <w:rsid w:val="002E1F9A"/>
    <w:rsid w:val="002E717C"/>
    <w:rsid w:val="002F581A"/>
    <w:rsid w:val="003131AD"/>
    <w:rsid w:val="003151A8"/>
    <w:rsid w:val="00392AA7"/>
    <w:rsid w:val="003B7AE4"/>
    <w:rsid w:val="003C2010"/>
    <w:rsid w:val="003C4F11"/>
    <w:rsid w:val="003C7B1C"/>
    <w:rsid w:val="003F7B03"/>
    <w:rsid w:val="00400419"/>
    <w:rsid w:val="004135C4"/>
    <w:rsid w:val="00455593"/>
    <w:rsid w:val="0046063E"/>
    <w:rsid w:val="00462C01"/>
    <w:rsid w:val="00470639"/>
    <w:rsid w:val="00473999"/>
    <w:rsid w:val="00497B07"/>
    <w:rsid w:val="004C0D4C"/>
    <w:rsid w:val="004C79E4"/>
    <w:rsid w:val="004F5C21"/>
    <w:rsid w:val="004F6277"/>
    <w:rsid w:val="00514B03"/>
    <w:rsid w:val="0054073D"/>
    <w:rsid w:val="00564E59"/>
    <w:rsid w:val="00565A47"/>
    <w:rsid w:val="00572CEE"/>
    <w:rsid w:val="00573BCA"/>
    <w:rsid w:val="005743B1"/>
    <w:rsid w:val="005C27FF"/>
    <w:rsid w:val="005C2B65"/>
    <w:rsid w:val="005C595F"/>
    <w:rsid w:val="005D7EF5"/>
    <w:rsid w:val="00603DCA"/>
    <w:rsid w:val="00617896"/>
    <w:rsid w:val="00622395"/>
    <w:rsid w:val="00644752"/>
    <w:rsid w:val="00652226"/>
    <w:rsid w:val="00665FE9"/>
    <w:rsid w:val="006757EC"/>
    <w:rsid w:val="00691090"/>
    <w:rsid w:val="006941FB"/>
    <w:rsid w:val="006B1585"/>
    <w:rsid w:val="006B3041"/>
    <w:rsid w:val="006B73ED"/>
    <w:rsid w:val="006D245A"/>
    <w:rsid w:val="006E1F25"/>
    <w:rsid w:val="006E4636"/>
    <w:rsid w:val="006E7FD9"/>
    <w:rsid w:val="006F1804"/>
    <w:rsid w:val="006F1E1D"/>
    <w:rsid w:val="006F76E8"/>
    <w:rsid w:val="00716927"/>
    <w:rsid w:val="007177F4"/>
    <w:rsid w:val="007206CA"/>
    <w:rsid w:val="00733858"/>
    <w:rsid w:val="007366CA"/>
    <w:rsid w:val="0074018F"/>
    <w:rsid w:val="00752C8E"/>
    <w:rsid w:val="007732AC"/>
    <w:rsid w:val="00775CEE"/>
    <w:rsid w:val="0078146E"/>
    <w:rsid w:val="00790786"/>
    <w:rsid w:val="007A29F5"/>
    <w:rsid w:val="007A78A9"/>
    <w:rsid w:val="007D467D"/>
    <w:rsid w:val="00813FB0"/>
    <w:rsid w:val="00817754"/>
    <w:rsid w:val="00821A30"/>
    <w:rsid w:val="0082450F"/>
    <w:rsid w:val="0082624C"/>
    <w:rsid w:val="008455E2"/>
    <w:rsid w:val="00847829"/>
    <w:rsid w:val="008531AF"/>
    <w:rsid w:val="00862BD2"/>
    <w:rsid w:val="00862D15"/>
    <w:rsid w:val="00876C19"/>
    <w:rsid w:val="00881E2D"/>
    <w:rsid w:val="0088227E"/>
    <w:rsid w:val="00884BB5"/>
    <w:rsid w:val="0088687D"/>
    <w:rsid w:val="00891B98"/>
    <w:rsid w:val="00891C1E"/>
    <w:rsid w:val="00895291"/>
    <w:rsid w:val="008A1830"/>
    <w:rsid w:val="008A6FBC"/>
    <w:rsid w:val="008C5950"/>
    <w:rsid w:val="008D5982"/>
    <w:rsid w:val="008E74E4"/>
    <w:rsid w:val="00900361"/>
    <w:rsid w:val="00925D8F"/>
    <w:rsid w:val="00927628"/>
    <w:rsid w:val="00940B6C"/>
    <w:rsid w:val="009614FA"/>
    <w:rsid w:val="00974E7A"/>
    <w:rsid w:val="0098044C"/>
    <w:rsid w:val="00982F0D"/>
    <w:rsid w:val="009842CB"/>
    <w:rsid w:val="00986B8D"/>
    <w:rsid w:val="009947D2"/>
    <w:rsid w:val="009954AB"/>
    <w:rsid w:val="009A0B39"/>
    <w:rsid w:val="009A47E4"/>
    <w:rsid w:val="009C4F4F"/>
    <w:rsid w:val="009C6BCB"/>
    <w:rsid w:val="009D2177"/>
    <w:rsid w:val="009D3EA6"/>
    <w:rsid w:val="009F6CA9"/>
    <w:rsid w:val="00A13524"/>
    <w:rsid w:val="00A165A3"/>
    <w:rsid w:val="00A272CB"/>
    <w:rsid w:val="00A35D5A"/>
    <w:rsid w:val="00A408FE"/>
    <w:rsid w:val="00A63A89"/>
    <w:rsid w:val="00A65B3C"/>
    <w:rsid w:val="00A672DD"/>
    <w:rsid w:val="00A74E6D"/>
    <w:rsid w:val="00A74EDE"/>
    <w:rsid w:val="00A75412"/>
    <w:rsid w:val="00AA3979"/>
    <w:rsid w:val="00AB4CE8"/>
    <w:rsid w:val="00AB6E3E"/>
    <w:rsid w:val="00AB6F76"/>
    <w:rsid w:val="00AD44F9"/>
    <w:rsid w:val="00AE14AF"/>
    <w:rsid w:val="00AE73D8"/>
    <w:rsid w:val="00B01328"/>
    <w:rsid w:val="00B02173"/>
    <w:rsid w:val="00B22B3B"/>
    <w:rsid w:val="00B33E6F"/>
    <w:rsid w:val="00B421B8"/>
    <w:rsid w:val="00B430F4"/>
    <w:rsid w:val="00B445E7"/>
    <w:rsid w:val="00B4566D"/>
    <w:rsid w:val="00B51BFA"/>
    <w:rsid w:val="00B64CD9"/>
    <w:rsid w:val="00B67359"/>
    <w:rsid w:val="00B85D4C"/>
    <w:rsid w:val="00B93527"/>
    <w:rsid w:val="00BB7538"/>
    <w:rsid w:val="00BB7E81"/>
    <w:rsid w:val="00BD4B77"/>
    <w:rsid w:val="00BE79C3"/>
    <w:rsid w:val="00BF71B1"/>
    <w:rsid w:val="00C01E26"/>
    <w:rsid w:val="00C02D38"/>
    <w:rsid w:val="00C04005"/>
    <w:rsid w:val="00C077D5"/>
    <w:rsid w:val="00C37936"/>
    <w:rsid w:val="00C71A0A"/>
    <w:rsid w:val="00C74206"/>
    <w:rsid w:val="00C842E5"/>
    <w:rsid w:val="00C90AA7"/>
    <w:rsid w:val="00C92E21"/>
    <w:rsid w:val="00C94F09"/>
    <w:rsid w:val="00CB474B"/>
    <w:rsid w:val="00CB6014"/>
    <w:rsid w:val="00CC31F4"/>
    <w:rsid w:val="00CE1DFB"/>
    <w:rsid w:val="00CF531A"/>
    <w:rsid w:val="00D02F5B"/>
    <w:rsid w:val="00D14CC5"/>
    <w:rsid w:val="00D31E9A"/>
    <w:rsid w:val="00D5109C"/>
    <w:rsid w:val="00D53F6A"/>
    <w:rsid w:val="00D603DD"/>
    <w:rsid w:val="00D82393"/>
    <w:rsid w:val="00DA0028"/>
    <w:rsid w:val="00DA0C3C"/>
    <w:rsid w:val="00DC0954"/>
    <w:rsid w:val="00DC6418"/>
    <w:rsid w:val="00DC6C28"/>
    <w:rsid w:val="00DE342C"/>
    <w:rsid w:val="00DE6388"/>
    <w:rsid w:val="00DF1DD6"/>
    <w:rsid w:val="00DF4B83"/>
    <w:rsid w:val="00E0285A"/>
    <w:rsid w:val="00E27A8A"/>
    <w:rsid w:val="00E34D2F"/>
    <w:rsid w:val="00E51BFA"/>
    <w:rsid w:val="00E5274D"/>
    <w:rsid w:val="00E55FD7"/>
    <w:rsid w:val="00E56C7A"/>
    <w:rsid w:val="00E61C23"/>
    <w:rsid w:val="00E66DB9"/>
    <w:rsid w:val="00E8293E"/>
    <w:rsid w:val="00EA1DE9"/>
    <w:rsid w:val="00EA32E7"/>
    <w:rsid w:val="00EB0AAD"/>
    <w:rsid w:val="00ED5C60"/>
    <w:rsid w:val="00ED704E"/>
    <w:rsid w:val="00EE127F"/>
    <w:rsid w:val="00EE6B7D"/>
    <w:rsid w:val="00EF0564"/>
    <w:rsid w:val="00EF2183"/>
    <w:rsid w:val="00EF3C72"/>
    <w:rsid w:val="00EF4749"/>
    <w:rsid w:val="00F03A7D"/>
    <w:rsid w:val="00F05008"/>
    <w:rsid w:val="00F05306"/>
    <w:rsid w:val="00F6178E"/>
    <w:rsid w:val="00F8017B"/>
    <w:rsid w:val="00F83DA3"/>
    <w:rsid w:val="00F9162D"/>
    <w:rsid w:val="00FA26B1"/>
    <w:rsid w:val="00FA671F"/>
    <w:rsid w:val="00FE7914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AF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9614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5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2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1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26"/>
    <w:rPr>
      <w:lang w:val="en-US"/>
    </w:rPr>
  </w:style>
  <w:style w:type="paragraph" w:customStyle="1" w:styleId="Default">
    <w:name w:val="Default"/>
    <w:rsid w:val="009F6C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4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86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86F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63A89"/>
    <w:pPr>
      <w:jc w:val="both"/>
    </w:pPr>
    <w:rPr>
      <w:rFonts w:ascii="Tahoma" w:hAnsi="Tahoma" w:cs="Tahoma"/>
      <w:bCs/>
      <w:iCs/>
      <w:sz w:val="21"/>
      <w:szCs w:val="21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63A89"/>
    <w:rPr>
      <w:rFonts w:ascii="Tahoma" w:hAnsi="Tahoma" w:cs="Tahoma"/>
      <w:bCs/>
      <w:iCs/>
      <w:sz w:val="21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AF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9614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5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2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1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26"/>
    <w:rPr>
      <w:lang w:val="en-US"/>
    </w:rPr>
  </w:style>
  <w:style w:type="paragraph" w:customStyle="1" w:styleId="Default">
    <w:name w:val="Default"/>
    <w:rsid w:val="009F6C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4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86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86F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63A89"/>
    <w:pPr>
      <w:jc w:val="both"/>
    </w:pPr>
    <w:rPr>
      <w:rFonts w:ascii="Tahoma" w:hAnsi="Tahoma" w:cs="Tahoma"/>
      <w:bCs/>
      <w:iCs/>
      <w:sz w:val="21"/>
      <w:szCs w:val="21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63A89"/>
    <w:rPr>
      <w:rFonts w:ascii="Tahoma" w:hAnsi="Tahoma" w:cs="Tahoma"/>
      <w:bCs/>
      <w:iCs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7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http://www.acnudh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nudh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ohchr.org/SP/Issues/Urbanization/Pages/UrbanizationHRIndex.aspx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ohchr.org/SP/Issues/Urbanization/Pages/UrbanizationHR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D457F-5F70-4717-8C84-37674B52F963}"/>
</file>

<file path=customXml/itemProps2.xml><?xml version="1.0" encoding="utf-8"?>
<ds:datastoreItem xmlns:ds="http://schemas.openxmlformats.org/officeDocument/2006/customXml" ds:itemID="{C01852E7-15E1-473B-ACCF-7808298926FD}"/>
</file>

<file path=customXml/itemProps3.xml><?xml version="1.0" encoding="utf-8"?>
<ds:datastoreItem xmlns:ds="http://schemas.openxmlformats.org/officeDocument/2006/customXml" ds:itemID="{AEBBBFC9-3A9C-48F6-AF6D-27768C52AF46}"/>
</file>

<file path=customXml/itemProps4.xml><?xml version="1.0" encoding="utf-8"?>
<ds:datastoreItem xmlns:ds="http://schemas.openxmlformats.org/officeDocument/2006/customXml" ds:itemID="{6B551ED0-5412-4751-A4EC-CFD1E7DF1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</dc:creator>
  <cp:lastModifiedBy>Ohchr14</cp:lastModifiedBy>
  <cp:revision>17</cp:revision>
  <dcterms:created xsi:type="dcterms:W3CDTF">2016-10-05T22:09:00Z</dcterms:created>
  <dcterms:modified xsi:type="dcterms:W3CDTF">2016-10-12T12:22:00Z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Order">
    <vt:r8>3778300</vt:r8>
  </property>
</Properties>
</file>