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25" w:rsidRDefault="00797025">
      <w:pPr>
        <w:pStyle w:val="BodyA"/>
        <w:jc w:val="both"/>
        <w:rPr>
          <w:sz w:val="22"/>
          <w:szCs w:val="22"/>
        </w:rPr>
      </w:pPr>
    </w:p>
    <w:p w:rsidR="00797025" w:rsidRDefault="006E703D">
      <w:pPr>
        <w:pStyle w:val="Heading3"/>
        <w:ind w:left="2880" w:firstLine="720"/>
        <w:jc w:val="right"/>
      </w:pPr>
      <w:r>
        <w:rPr>
          <w:rStyle w:val="NoneA"/>
        </w:rPr>
        <w:t>Check against delivery</w:t>
      </w:r>
    </w:p>
    <w:p w:rsidR="00797025" w:rsidRDefault="00797025">
      <w:pPr>
        <w:pStyle w:val="BodyA"/>
        <w:jc w:val="both"/>
      </w:pPr>
    </w:p>
    <w:p w:rsidR="00797025" w:rsidRDefault="00797025">
      <w:pPr>
        <w:pStyle w:val="BodyA"/>
        <w:jc w:val="both"/>
      </w:pPr>
    </w:p>
    <w:p w:rsidR="00797025" w:rsidRDefault="00797025">
      <w:pPr>
        <w:pStyle w:val="BodyA"/>
        <w:jc w:val="both"/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6E703D">
      <w:pPr>
        <w:pStyle w:val="BodyA"/>
        <w:tabs>
          <w:tab w:val="left" w:pos="806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b/>
          <w:bCs/>
          <w:sz w:val="40"/>
          <w:szCs w:val="40"/>
        </w:rPr>
      </w:pPr>
    </w:p>
    <w:p w:rsidR="00797025" w:rsidRDefault="006E703D">
      <w:pPr>
        <w:pStyle w:val="BodyA"/>
        <w:jc w:val="center"/>
        <w:rPr>
          <w:b/>
          <w:bCs/>
          <w:lang w:val="de-DE"/>
        </w:rPr>
      </w:pPr>
      <w:r>
        <w:rPr>
          <w:b/>
          <w:bCs/>
          <w:sz w:val="32"/>
          <w:szCs w:val="32"/>
          <w:lang w:val="de-DE"/>
        </w:rPr>
        <w:t>Statement by DUBRAVKA SIMONOVIC</w:t>
      </w:r>
    </w:p>
    <w:p w:rsidR="00797025" w:rsidRDefault="006E703D">
      <w:pPr>
        <w:pStyle w:val="BodyA"/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SPECIAL RAPPORTEUR ON VIOLENCE AGAINST WOMEN, ITS CAUSES AND CONSEQUENCES</w:t>
      </w:r>
    </w:p>
    <w:p w:rsidR="00797025" w:rsidRDefault="00797025">
      <w:pPr>
        <w:pStyle w:val="Heading2"/>
        <w:rPr>
          <w:rStyle w:val="NoneA"/>
          <w:sz w:val="32"/>
          <w:szCs w:val="32"/>
        </w:rPr>
      </w:pPr>
    </w:p>
    <w:p w:rsidR="00797025" w:rsidRDefault="00797025">
      <w:pPr>
        <w:pStyle w:val="BodyA"/>
        <w:jc w:val="center"/>
        <w:rPr>
          <w:b/>
          <w:bCs/>
          <w:sz w:val="36"/>
          <w:szCs w:val="36"/>
        </w:rPr>
      </w:pPr>
    </w:p>
    <w:p w:rsidR="00797025" w:rsidRDefault="006E703D">
      <w:pPr>
        <w:pStyle w:val="BodyB"/>
        <w:suppressAutoHyphens/>
        <w:jc w:val="center"/>
        <w:rPr>
          <w:sz w:val="20"/>
          <w:szCs w:val="20"/>
        </w:rPr>
      </w:pPr>
      <w:r>
        <w:rPr>
          <w:sz w:val="32"/>
          <w:szCs w:val="32"/>
        </w:rPr>
        <w:t>75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session of the General Assembly</w:t>
      </w:r>
    </w:p>
    <w:p w:rsidR="00797025" w:rsidRDefault="006E703D">
      <w:pPr>
        <w:pStyle w:val="BodyB"/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Third Committee</w:t>
      </w:r>
    </w:p>
    <w:p w:rsidR="00797025" w:rsidRDefault="006E703D">
      <w:pPr>
        <w:pStyle w:val="BodyB"/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Item 70 (b and c); Human Rights</w:t>
      </w:r>
    </w:p>
    <w:p w:rsidR="00797025" w:rsidRDefault="00797025">
      <w:pPr>
        <w:pStyle w:val="BodyB"/>
        <w:suppressAutoHyphens/>
        <w:jc w:val="center"/>
        <w:rPr>
          <w:rStyle w:val="NoneA"/>
          <w:sz w:val="32"/>
          <w:szCs w:val="32"/>
        </w:rPr>
      </w:pPr>
    </w:p>
    <w:p w:rsidR="00797025" w:rsidRDefault="006E703D">
      <w:pPr>
        <w:pStyle w:val="BodyB"/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9 October 2020</w:t>
      </w:r>
    </w:p>
    <w:p w:rsidR="00797025" w:rsidRDefault="006E703D">
      <w:pPr>
        <w:pStyle w:val="BodyB"/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New York</w:t>
      </w:r>
    </w:p>
    <w:p w:rsidR="00797025" w:rsidRDefault="00797025">
      <w:pPr>
        <w:pStyle w:val="BodyA"/>
        <w:jc w:val="both"/>
        <w:rPr>
          <w:b/>
          <w:bCs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jc w:val="both"/>
        <w:rPr>
          <w:rStyle w:val="NoneA"/>
          <w:sz w:val="22"/>
          <w:szCs w:val="22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widowControl w:val="0"/>
        <w:spacing w:line="360" w:lineRule="auto"/>
        <w:jc w:val="both"/>
      </w:pPr>
    </w:p>
    <w:p w:rsidR="00797025" w:rsidRDefault="006E703D">
      <w:pPr>
        <w:pStyle w:val="BodyA"/>
        <w:widowControl w:val="0"/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Chairperson,</w:t>
      </w:r>
    </w:p>
    <w:p w:rsidR="00797025" w:rsidRDefault="006E703D">
      <w:pPr>
        <w:pStyle w:val="BodyA"/>
        <w:widowControl w:val="0"/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Distinguished delegates,</w:t>
      </w:r>
    </w:p>
    <w:p w:rsidR="00797025" w:rsidRDefault="00797025">
      <w:pPr>
        <w:pStyle w:val="BodyA"/>
        <w:widowControl w:val="0"/>
        <w:spacing w:line="360" w:lineRule="auto"/>
        <w:jc w:val="both"/>
        <w:rPr>
          <w:i/>
          <w:iCs/>
          <w:sz w:val="24"/>
          <w:szCs w:val="24"/>
        </w:rPr>
      </w:pPr>
    </w:p>
    <w:p w:rsidR="00797025" w:rsidRDefault="006E703D">
      <w:pPr>
        <w:pStyle w:val="BodyA"/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an </w:t>
      </w:r>
      <w:proofErr w:type="spellStart"/>
      <w:r>
        <w:rPr>
          <w:sz w:val="24"/>
          <w:szCs w:val="24"/>
        </w:rPr>
        <w:t>honour</w:t>
      </w:r>
      <w:proofErr w:type="spellEnd"/>
      <w:r>
        <w:rPr>
          <w:sz w:val="24"/>
          <w:szCs w:val="24"/>
        </w:rPr>
        <w:t xml:space="preserve"> to address you in my capacity as UN Special Rapporteur on violence against women, its causes and consequences and to present my thematic report on the </w:t>
      </w:r>
      <w:r>
        <w:rPr>
          <w:b/>
          <w:bCs/>
          <w:sz w:val="24"/>
          <w:szCs w:val="24"/>
        </w:rPr>
        <w:t xml:space="preserve">intersection between the COVID-19 pandemic and the pandemic of gender-based violence against women, with a focus on domestic violence and as a support to the UN Secretary </w:t>
      </w:r>
      <w:proofErr w:type="gramStart"/>
      <w:r>
        <w:rPr>
          <w:b/>
          <w:bCs/>
          <w:sz w:val="24"/>
          <w:szCs w:val="24"/>
        </w:rPr>
        <w:t>General’s  “</w:t>
      </w:r>
      <w:proofErr w:type="gramEnd"/>
      <w:r>
        <w:rPr>
          <w:b/>
          <w:bCs/>
          <w:sz w:val="24"/>
          <w:szCs w:val="24"/>
        </w:rPr>
        <w:t xml:space="preserve">peace at home” </w:t>
      </w:r>
      <w:r w:rsidR="005D0DEF">
        <w:rPr>
          <w:b/>
          <w:bCs/>
          <w:sz w:val="24"/>
          <w:szCs w:val="24"/>
        </w:rPr>
        <w:t>initiative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A"/>
          <w:sz w:val="24"/>
          <w:szCs w:val="24"/>
        </w:rPr>
      </w:pPr>
    </w:p>
    <w:p w:rsidR="00797025" w:rsidRDefault="006E703D">
      <w:pPr>
        <w:pStyle w:val="BodyA"/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a result of the pandemic my mandated activities have been affected</w:t>
      </w:r>
      <w:r w:rsidR="00844311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844311">
        <w:rPr>
          <w:sz w:val="24"/>
          <w:szCs w:val="24"/>
        </w:rPr>
        <w:t xml:space="preserve">in March I was not able to participate in the Commission on the Status of Women, although my written statement was circulated to delegations; and </w:t>
      </w:r>
      <w:r>
        <w:rPr>
          <w:sz w:val="24"/>
          <w:szCs w:val="24"/>
        </w:rPr>
        <w:t>my planned country visits to Mongolia and Papua New Guinea, have been postponed. In July I presented my thematic report on violence against women journalists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 xml:space="preserve">, and country visit reports to Bulgaria </w:t>
      </w:r>
      <w:r>
        <w:rPr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 xml:space="preserve"> and Ecuador </w:t>
      </w:r>
      <w:r>
        <w:rPr>
          <w:sz w:val="24"/>
          <w:szCs w:val="24"/>
          <w:vertAlign w:val="superscript"/>
        </w:rPr>
        <w:footnoteReference w:id="4"/>
      </w:r>
      <w:r>
        <w:rPr>
          <w:sz w:val="24"/>
          <w:szCs w:val="24"/>
        </w:rPr>
        <w:t xml:space="preserve"> to the Human Rights Council via a pre-recorded statement. </w:t>
      </w: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A"/>
          <w:sz w:val="24"/>
          <w:szCs w:val="24"/>
        </w:rPr>
      </w:pPr>
    </w:p>
    <w:p w:rsidR="00797025" w:rsidRDefault="006E703D">
      <w:pPr>
        <w:pStyle w:val="BodyA"/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Before presenting my report, let me mention that on 27 May 2020, in conjunction with Equality Now, I organized an online expert group meeting on rape as a grave and systematic human rights violation and gender based violence against women. The EGM report, along with 150 submissions received on the topic, will serve as a basis for my final thematic report to the Human Rights Council in June 2021, which I will supplement with a Model law on rape with the aim of encouraging a process of harmonization of national criminal laws with international standards on rape and sexual violence in both peacetime and during conflict.</w:t>
      </w: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A"/>
          <w:sz w:val="24"/>
          <w:szCs w:val="24"/>
        </w:rPr>
      </w:pPr>
    </w:p>
    <w:p w:rsidR="00797025" w:rsidRDefault="00485688">
      <w:pPr>
        <w:pStyle w:val="BodyA"/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At the beginning of the pandemic, in the midst of media reporting on increases in violence ag</w:t>
      </w:r>
      <w:r w:rsidR="00D86929">
        <w:rPr>
          <w:b/>
          <w:bCs/>
          <w:sz w:val="24"/>
          <w:szCs w:val="24"/>
        </w:rPr>
        <w:t>ain</w:t>
      </w:r>
      <w:r>
        <w:rPr>
          <w:b/>
          <w:bCs/>
          <w:sz w:val="24"/>
          <w:szCs w:val="24"/>
        </w:rPr>
        <w:t xml:space="preserve">st </w:t>
      </w:r>
      <w:r w:rsidR="00D86929">
        <w:rPr>
          <w:b/>
          <w:bCs/>
          <w:sz w:val="24"/>
          <w:szCs w:val="24"/>
        </w:rPr>
        <w:t>women</w:t>
      </w:r>
      <w:r w:rsidR="006E703D">
        <w:rPr>
          <w:b/>
          <w:bCs/>
          <w:sz w:val="24"/>
          <w:szCs w:val="24"/>
        </w:rPr>
        <w:t xml:space="preserve">, </w:t>
      </w:r>
      <w:r w:rsidR="00D86929">
        <w:rPr>
          <w:b/>
          <w:bCs/>
          <w:sz w:val="24"/>
          <w:szCs w:val="24"/>
        </w:rPr>
        <w:t>my mandate was o</w:t>
      </w:r>
      <w:r w:rsidR="006E703D">
        <w:rPr>
          <w:sz w:val="24"/>
          <w:szCs w:val="24"/>
        </w:rPr>
        <w:t xml:space="preserve">ne of the first responses to violence against women during the COVID-19 context </w:t>
      </w:r>
      <w:r w:rsidR="00246596">
        <w:rPr>
          <w:b/>
          <w:bCs/>
          <w:sz w:val="24"/>
          <w:szCs w:val="24"/>
        </w:rPr>
        <w:t>and o</w:t>
      </w:r>
      <w:r w:rsidR="00D86929">
        <w:rPr>
          <w:b/>
          <w:bCs/>
          <w:sz w:val="24"/>
          <w:szCs w:val="24"/>
        </w:rPr>
        <w:t>n 27 March 2020</w:t>
      </w:r>
      <w:r w:rsidR="00246596">
        <w:rPr>
          <w:b/>
          <w:bCs/>
          <w:sz w:val="24"/>
          <w:szCs w:val="24"/>
        </w:rPr>
        <w:t xml:space="preserve"> </w:t>
      </w:r>
      <w:r w:rsidR="006E703D">
        <w:rPr>
          <w:sz w:val="24"/>
          <w:szCs w:val="24"/>
        </w:rPr>
        <w:t xml:space="preserve">I issued a </w:t>
      </w:r>
      <w:r w:rsidR="006E703D">
        <w:rPr>
          <w:b/>
          <w:bCs/>
          <w:sz w:val="24"/>
          <w:szCs w:val="24"/>
        </w:rPr>
        <w:t xml:space="preserve">press statement calling on States to continue to combat domestic violence against women during the COVID 19 pandemic. </w:t>
      </w: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A"/>
          <w:sz w:val="24"/>
          <w:szCs w:val="24"/>
        </w:rPr>
      </w:pPr>
    </w:p>
    <w:p w:rsidR="00797025" w:rsidRDefault="006E703D">
      <w:pPr>
        <w:pStyle w:val="BodyA"/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also hosting an online reference document on actions taken and recommendations made by relevant United Nations entities (including UN Women, OHCHR, UNFPA and others), </w:t>
      </w:r>
      <w:r w:rsidR="005D0D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independent expert mechanisms, and civil society organizations in response to the surge in violence against women during the COVID-19 pandemic. </w:t>
      </w:r>
    </w:p>
    <w:p w:rsidR="009F2B1D" w:rsidRDefault="009F2B1D">
      <w:pPr>
        <w:pStyle w:val="BodyA"/>
        <w:widowControl w:val="0"/>
        <w:spacing w:line="360" w:lineRule="auto"/>
        <w:jc w:val="both"/>
        <w:rPr>
          <w:sz w:val="24"/>
          <w:szCs w:val="24"/>
        </w:rPr>
      </w:pPr>
    </w:p>
    <w:p w:rsidR="00797025" w:rsidRDefault="006E703D">
      <w:pPr>
        <w:pStyle w:val="BodyA"/>
        <w:widowControl w:val="0"/>
        <w:spacing w:line="360" w:lineRule="auto"/>
        <w:jc w:val="both"/>
        <w:rPr>
          <w:rStyle w:val="None"/>
          <w:sz w:val="24"/>
          <w:szCs w:val="24"/>
        </w:rPr>
      </w:pPr>
      <w:r>
        <w:rPr>
          <w:sz w:val="24"/>
          <w:szCs w:val="24"/>
        </w:rPr>
        <w:t>O</w:t>
      </w:r>
      <w:r>
        <w:rPr>
          <w:b/>
          <w:bCs/>
          <w:sz w:val="24"/>
          <w:szCs w:val="24"/>
        </w:rPr>
        <w:t>n 14 May, I convened the eighth meeting of the EDVAW Platform</w:t>
      </w:r>
      <w:r>
        <w:rPr>
          <w:b/>
          <w:bCs/>
          <w:sz w:val="24"/>
          <w:szCs w:val="24"/>
          <w:vertAlign w:val="superscript"/>
        </w:rPr>
        <w:footnoteReference w:id="5"/>
      </w:r>
      <w:r>
        <w:rPr>
          <w:rStyle w:val="None"/>
          <w:b/>
          <w:bCs/>
          <w:sz w:val="24"/>
          <w:szCs w:val="24"/>
        </w:rPr>
        <w:t xml:space="preserve"> </w:t>
      </w:r>
      <w:r w:rsidR="009F2B1D">
        <w:rPr>
          <w:rStyle w:val="None"/>
          <w:b/>
          <w:bCs/>
          <w:sz w:val="24"/>
          <w:szCs w:val="24"/>
        </w:rPr>
        <w:t xml:space="preserve">of women’s human rights expert mechanisms </w:t>
      </w:r>
      <w:r>
        <w:rPr>
          <w:rStyle w:val="None"/>
          <w:b/>
          <w:bCs/>
          <w:sz w:val="24"/>
          <w:szCs w:val="24"/>
        </w:rPr>
        <w:t>online,</w:t>
      </w:r>
      <w:r>
        <w:rPr>
          <w:rStyle w:val="None"/>
          <w:sz w:val="24"/>
          <w:szCs w:val="24"/>
        </w:rPr>
        <w:t xml:space="preserve"> f</w:t>
      </w:r>
      <w:r>
        <w:rPr>
          <w:rStyle w:val="None"/>
          <w:b/>
          <w:bCs/>
          <w:sz w:val="24"/>
          <w:szCs w:val="24"/>
        </w:rPr>
        <w:t>ollowing</w:t>
      </w:r>
      <w:r>
        <w:rPr>
          <w:rStyle w:val="None"/>
          <w:sz w:val="24"/>
          <w:szCs w:val="24"/>
        </w:rPr>
        <w:t xml:space="preserve"> which the </w:t>
      </w:r>
      <w:r>
        <w:rPr>
          <w:rStyle w:val="None"/>
          <w:b/>
          <w:bCs/>
          <w:sz w:val="24"/>
          <w:szCs w:val="24"/>
        </w:rPr>
        <w:t>Platform issued a joint statement on</w:t>
      </w:r>
      <w:r w:rsidR="009F2B1D">
        <w:rPr>
          <w:rStyle w:val="None"/>
          <w:b/>
          <w:bCs/>
          <w:sz w:val="24"/>
          <w:szCs w:val="24"/>
        </w:rPr>
        <w:t xml:space="preserve"> 14 July on</w:t>
      </w:r>
      <w:r>
        <w:rPr>
          <w:rStyle w:val="None"/>
          <w:b/>
          <w:bCs/>
          <w:sz w:val="24"/>
          <w:szCs w:val="24"/>
        </w:rPr>
        <w:t xml:space="preserve"> COVID-19 and the increase in gender-based violence and discrimination against women and girls.</w:t>
      </w:r>
      <w:r>
        <w:rPr>
          <w:rStyle w:val="None"/>
          <w:b/>
          <w:bCs/>
          <w:sz w:val="24"/>
          <w:szCs w:val="24"/>
          <w:vertAlign w:val="superscript"/>
        </w:rPr>
        <w:footnoteReference w:id="6"/>
      </w:r>
      <w:r>
        <w:rPr>
          <w:rStyle w:val="None"/>
          <w:b/>
          <w:bCs/>
          <w:sz w:val="24"/>
          <w:szCs w:val="24"/>
        </w:rPr>
        <w:t xml:space="preserve"> As you may know institutionalization of this Platform has been my long term initiative and today in </w:t>
      </w:r>
      <w:r>
        <w:rPr>
          <w:rStyle w:val="None"/>
          <w:sz w:val="24"/>
          <w:szCs w:val="24"/>
        </w:rPr>
        <w:t>my final ad</w:t>
      </w:r>
      <w:r w:rsidR="005D0DEF">
        <w:rPr>
          <w:rStyle w:val="None"/>
          <w:sz w:val="24"/>
          <w:szCs w:val="24"/>
        </w:rPr>
        <w:t>dress to the General Assembly, I</w:t>
      </w:r>
      <w:r>
        <w:rPr>
          <w:rStyle w:val="None"/>
          <w:sz w:val="24"/>
          <w:szCs w:val="24"/>
        </w:rPr>
        <w:t xml:space="preserve"> invite you to take the </w:t>
      </w:r>
      <w:r w:rsidR="005D0DEF">
        <w:rPr>
          <w:rStyle w:val="None"/>
          <w:sz w:val="24"/>
          <w:szCs w:val="24"/>
        </w:rPr>
        <w:t xml:space="preserve">necessary steps and to develop </w:t>
      </w:r>
      <w:r>
        <w:rPr>
          <w:rStyle w:val="None"/>
          <w:sz w:val="24"/>
          <w:szCs w:val="24"/>
        </w:rPr>
        <w:t xml:space="preserve">the means to integrate this EDVAW platform into the UN system. </w:t>
      </w: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A"/>
          <w:sz w:val="24"/>
          <w:szCs w:val="24"/>
        </w:rPr>
      </w:pPr>
    </w:p>
    <w:p w:rsidR="00797025" w:rsidRDefault="006E703D">
      <w:pPr>
        <w:pStyle w:val="BodyA"/>
        <w:widowControl w:val="0"/>
        <w:spacing w:line="360" w:lineRule="auto"/>
        <w:jc w:val="both"/>
        <w:rPr>
          <w:rStyle w:val="None"/>
          <w:i/>
          <w:iCs/>
          <w:sz w:val="24"/>
          <w:szCs w:val="24"/>
        </w:rPr>
      </w:pPr>
      <w:r>
        <w:rPr>
          <w:rStyle w:val="None"/>
          <w:i/>
          <w:iCs/>
          <w:sz w:val="24"/>
          <w:szCs w:val="24"/>
        </w:rPr>
        <w:t>L</w:t>
      </w:r>
      <w:r w:rsidR="005D0DEF">
        <w:rPr>
          <w:rStyle w:val="None"/>
          <w:i/>
          <w:iCs/>
          <w:sz w:val="24"/>
          <w:szCs w:val="24"/>
        </w:rPr>
        <w:t>adies and gentlemen, let me now</w:t>
      </w:r>
      <w:r>
        <w:rPr>
          <w:rStyle w:val="None"/>
          <w:i/>
          <w:iCs/>
          <w:sz w:val="24"/>
          <w:szCs w:val="24"/>
        </w:rPr>
        <w:t xml:space="preserve"> turn to my report: </w:t>
      </w: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"/>
          <w:i/>
          <w:iCs/>
          <w:sz w:val="24"/>
          <w:szCs w:val="24"/>
        </w:rPr>
      </w:pPr>
    </w:p>
    <w:p w:rsidR="009F2B1D" w:rsidRDefault="006E703D">
      <w:pPr>
        <w:pStyle w:val="BodyA"/>
        <w:widowControl w:val="0"/>
        <w:spacing w:line="36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My report was prompted by the impact of the COVID-19 pandemic on the lives of ordinary women everywhere, which have been adversely impacted by the numerous restrictive gender blind lockdown measures imposed by Governments to contain the virus.   </w:t>
      </w:r>
    </w:p>
    <w:p w:rsidR="009F2B1D" w:rsidRDefault="009F2B1D">
      <w:pPr>
        <w:pStyle w:val="BodyA"/>
        <w:widowControl w:val="0"/>
        <w:spacing w:line="360" w:lineRule="auto"/>
        <w:jc w:val="both"/>
        <w:rPr>
          <w:rStyle w:val="None"/>
          <w:sz w:val="24"/>
          <w:szCs w:val="24"/>
        </w:rPr>
      </w:pPr>
    </w:p>
    <w:p w:rsidR="00797025" w:rsidRPr="009F2B1D" w:rsidRDefault="006E703D" w:rsidP="009F2B1D">
      <w:pPr>
        <w:pStyle w:val="BodyA"/>
        <w:widowControl w:val="0"/>
        <w:spacing w:line="360" w:lineRule="auto"/>
        <w:jc w:val="both"/>
        <w:rPr>
          <w:rStyle w:val="None"/>
          <w:b/>
          <w:bCs/>
          <w:sz w:val="24"/>
          <w:szCs w:val="24"/>
        </w:rPr>
      </w:pPr>
      <w:r>
        <w:rPr>
          <w:rStyle w:val="None"/>
          <w:sz w:val="24"/>
          <w:szCs w:val="24"/>
        </w:rPr>
        <w:t>The overall message from the report is that</w:t>
      </w:r>
      <w:r w:rsidR="009F2B1D">
        <w:rPr>
          <w:rStyle w:val="None"/>
          <w:sz w:val="24"/>
          <w:szCs w:val="24"/>
        </w:rPr>
        <w:t>: (a)</w:t>
      </w:r>
      <w:r>
        <w:rPr>
          <w:rStyle w:val="None"/>
          <w:sz w:val="24"/>
          <w:szCs w:val="24"/>
        </w:rPr>
        <w:t xml:space="preserve"> the </w:t>
      </w:r>
      <w:r>
        <w:rPr>
          <w:rStyle w:val="None"/>
          <w:b/>
          <w:bCs/>
          <w:sz w:val="24"/>
          <w:szCs w:val="24"/>
        </w:rPr>
        <w:t>COVID-19 pandemic must not be a barrier to eliminating violence against women as a pandemic of women’s human rights violations.</w:t>
      </w:r>
      <w:r w:rsidR="009F2B1D" w:rsidRPr="009F2B1D">
        <w:t xml:space="preserve"> </w:t>
      </w:r>
      <w:r w:rsidR="009F2B1D" w:rsidRPr="009F2B1D">
        <w:rPr>
          <w:rStyle w:val="None"/>
          <w:b/>
          <w:bCs/>
          <w:sz w:val="24"/>
          <w:szCs w:val="24"/>
        </w:rPr>
        <w:t>States should uphold their human rights obli</w:t>
      </w:r>
      <w:r w:rsidR="009F2B1D">
        <w:rPr>
          <w:rStyle w:val="None"/>
          <w:b/>
          <w:bCs/>
          <w:sz w:val="24"/>
          <w:szCs w:val="24"/>
        </w:rPr>
        <w:t>gation to prevent and combat violence against women and domestic violence and ensu</w:t>
      </w:r>
      <w:r w:rsidR="009F2B1D" w:rsidRPr="009F2B1D">
        <w:rPr>
          <w:rStyle w:val="None"/>
          <w:b/>
          <w:bCs/>
          <w:sz w:val="24"/>
          <w:szCs w:val="24"/>
        </w:rPr>
        <w:t>re “ peace at home</w:t>
      </w:r>
      <w:r w:rsidR="00246596">
        <w:rPr>
          <w:rStyle w:val="None"/>
          <w:b/>
          <w:bCs/>
          <w:sz w:val="24"/>
          <w:szCs w:val="24"/>
        </w:rPr>
        <w:t xml:space="preserve">; </w:t>
      </w:r>
      <w:r w:rsidR="009F2B1D">
        <w:rPr>
          <w:rStyle w:val="None"/>
          <w:b/>
          <w:bCs/>
          <w:sz w:val="24"/>
          <w:szCs w:val="24"/>
        </w:rPr>
        <w:t>(b) States must also take steps to adapt protection</w:t>
      </w:r>
      <w:r w:rsidR="009F2B1D" w:rsidRPr="009F2B1D">
        <w:rPr>
          <w:rStyle w:val="None"/>
          <w:b/>
          <w:bCs/>
          <w:sz w:val="24"/>
          <w:szCs w:val="24"/>
        </w:rPr>
        <w:t xml:space="preserve"> measures</w:t>
      </w:r>
      <w:r w:rsidR="009F2B1D">
        <w:rPr>
          <w:rStyle w:val="None"/>
          <w:b/>
          <w:bCs/>
          <w:sz w:val="24"/>
          <w:szCs w:val="24"/>
        </w:rPr>
        <w:t xml:space="preserve"> to the current context, including through the development of e-</w:t>
      </w:r>
      <w:r w:rsidR="009F2B1D" w:rsidRPr="009F2B1D">
        <w:rPr>
          <w:rStyle w:val="None"/>
          <w:b/>
          <w:bCs/>
          <w:sz w:val="24"/>
          <w:szCs w:val="24"/>
        </w:rPr>
        <w:t>help line</w:t>
      </w:r>
      <w:r w:rsidR="009F2B1D">
        <w:rPr>
          <w:rStyle w:val="None"/>
          <w:b/>
          <w:bCs/>
          <w:sz w:val="24"/>
          <w:szCs w:val="24"/>
        </w:rPr>
        <w:t>s; e-</w:t>
      </w:r>
      <w:r w:rsidR="009F2B1D" w:rsidRPr="009F2B1D">
        <w:rPr>
          <w:rStyle w:val="None"/>
          <w:b/>
          <w:bCs/>
          <w:sz w:val="24"/>
          <w:szCs w:val="24"/>
        </w:rPr>
        <w:t xml:space="preserve">protection orders, </w:t>
      </w:r>
      <w:r w:rsidR="009F2B1D">
        <w:rPr>
          <w:rStyle w:val="None"/>
          <w:b/>
          <w:bCs/>
          <w:sz w:val="24"/>
          <w:szCs w:val="24"/>
        </w:rPr>
        <w:t xml:space="preserve">and </w:t>
      </w:r>
      <w:r w:rsidR="00246596">
        <w:rPr>
          <w:rStyle w:val="None"/>
          <w:b/>
          <w:bCs/>
          <w:sz w:val="24"/>
          <w:szCs w:val="24"/>
        </w:rPr>
        <w:t>provide for</w:t>
      </w:r>
      <w:r w:rsidR="009F2B1D" w:rsidRPr="009F2B1D">
        <w:rPr>
          <w:rStyle w:val="None"/>
          <w:b/>
          <w:bCs/>
          <w:sz w:val="24"/>
          <w:szCs w:val="24"/>
        </w:rPr>
        <w:t xml:space="preserve"> hotel accommodation as alternative</w:t>
      </w:r>
      <w:r w:rsidR="009F2B1D">
        <w:rPr>
          <w:rStyle w:val="None"/>
          <w:b/>
          <w:bCs/>
          <w:sz w:val="24"/>
          <w:szCs w:val="24"/>
        </w:rPr>
        <w:t>s to she</w:t>
      </w:r>
      <w:r w:rsidR="00246596">
        <w:rPr>
          <w:rStyle w:val="None"/>
          <w:b/>
          <w:bCs/>
          <w:sz w:val="24"/>
          <w:szCs w:val="24"/>
        </w:rPr>
        <w:t>lters where necessary; a</w:t>
      </w:r>
      <w:r w:rsidR="009F2B1D">
        <w:rPr>
          <w:rStyle w:val="None"/>
          <w:b/>
          <w:bCs/>
          <w:sz w:val="24"/>
          <w:szCs w:val="24"/>
        </w:rPr>
        <w:t>ccess</w:t>
      </w:r>
      <w:r w:rsidR="009F2B1D" w:rsidRPr="009F2B1D">
        <w:rPr>
          <w:rStyle w:val="None"/>
          <w:b/>
          <w:bCs/>
          <w:sz w:val="24"/>
          <w:szCs w:val="24"/>
        </w:rPr>
        <w:t xml:space="preserve"> to reproductive health services </w:t>
      </w:r>
      <w:r w:rsidR="009F2B1D">
        <w:rPr>
          <w:rStyle w:val="None"/>
          <w:b/>
          <w:bCs/>
          <w:sz w:val="24"/>
          <w:szCs w:val="24"/>
        </w:rPr>
        <w:t xml:space="preserve">must be guaranteed and considered as </w:t>
      </w:r>
      <w:r w:rsidR="00246596">
        <w:rPr>
          <w:rStyle w:val="None"/>
          <w:b/>
          <w:bCs/>
          <w:sz w:val="24"/>
          <w:szCs w:val="24"/>
        </w:rPr>
        <w:t>essential;</w:t>
      </w:r>
      <w:r w:rsidR="009F2B1D">
        <w:rPr>
          <w:rStyle w:val="None"/>
          <w:b/>
          <w:bCs/>
          <w:sz w:val="24"/>
          <w:szCs w:val="24"/>
        </w:rPr>
        <w:t xml:space="preserve"> (c) </w:t>
      </w:r>
      <w:r w:rsidR="00246596">
        <w:rPr>
          <w:rStyle w:val="None"/>
          <w:b/>
          <w:bCs/>
          <w:sz w:val="24"/>
          <w:szCs w:val="24"/>
        </w:rPr>
        <w:t>f</w:t>
      </w:r>
      <w:r w:rsidR="009F2B1D" w:rsidRPr="009F2B1D">
        <w:rPr>
          <w:rStyle w:val="None"/>
          <w:b/>
          <w:bCs/>
          <w:sz w:val="24"/>
          <w:szCs w:val="24"/>
        </w:rPr>
        <w:t>ull and equal participation of women in decision making</w:t>
      </w:r>
      <w:r w:rsidR="009F2B1D">
        <w:rPr>
          <w:rStyle w:val="None"/>
          <w:b/>
          <w:bCs/>
          <w:sz w:val="24"/>
          <w:szCs w:val="24"/>
        </w:rPr>
        <w:t xml:space="preserve"> must be guaranteed</w:t>
      </w:r>
      <w:r w:rsidR="009F2B1D" w:rsidRPr="009F2B1D">
        <w:rPr>
          <w:rStyle w:val="None"/>
          <w:b/>
          <w:bCs/>
          <w:sz w:val="24"/>
          <w:szCs w:val="24"/>
        </w:rPr>
        <w:t>, including in any COVID-19 response plans and ensure the integration of measures to prevent and combat violence against women in such plans.</w:t>
      </w: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A"/>
          <w:sz w:val="24"/>
          <w:szCs w:val="24"/>
        </w:rPr>
      </w:pPr>
    </w:p>
    <w:p w:rsidR="00797025" w:rsidRDefault="006E703D">
      <w:pPr>
        <w:pStyle w:val="BodyA"/>
        <w:widowControl w:val="0"/>
        <w:spacing w:line="36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Noting the lack of information and data on violence against women in the context of the </w:t>
      </w:r>
      <w:r>
        <w:rPr>
          <w:rStyle w:val="None"/>
          <w:sz w:val="24"/>
          <w:szCs w:val="24"/>
        </w:rPr>
        <w:lastRenderedPageBreak/>
        <w:t>COVID-19</w:t>
      </w:r>
      <w:r w:rsidR="005D0DEF">
        <w:rPr>
          <w:rStyle w:val="None"/>
          <w:sz w:val="24"/>
          <w:szCs w:val="24"/>
        </w:rPr>
        <w:t xml:space="preserve"> pandemic’s restrictive measures,</w:t>
      </w:r>
      <w:r>
        <w:rPr>
          <w:rStyle w:val="None"/>
          <w:sz w:val="24"/>
          <w:szCs w:val="24"/>
        </w:rPr>
        <w:t xml:space="preserve"> on 9 April 2020, I issued a call for information on the availability of essential services for victims including the availability of shelters; access to courts and helplines, good practices etc. and I am sincerely grateful for the 274 submissions received, which informed and inspired this report. </w:t>
      </w: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A"/>
          <w:sz w:val="24"/>
          <w:szCs w:val="24"/>
        </w:rPr>
      </w:pPr>
    </w:p>
    <w:p w:rsidR="00797025" w:rsidRDefault="006E703D">
      <w:pPr>
        <w:pStyle w:val="BodyA"/>
        <w:widowControl w:val="0"/>
        <w:spacing w:line="36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The information received has revealed numerous shortcomings, and the general lack of a coordinated response by States in addressing and preventing gender-based violence against women.  While some countries have undertaken the necessary steps to ensure that essential services continue to operate, many others have closed or scaled back such services.</w:t>
      </w:r>
    </w:p>
    <w:p w:rsidR="00797025" w:rsidRDefault="006E703D">
      <w:pPr>
        <w:pStyle w:val="BodyA"/>
        <w:suppressAutoHyphens w:val="0"/>
        <w:spacing w:before="100" w:after="100" w:line="360" w:lineRule="auto"/>
        <w:jc w:val="both"/>
        <w:rPr>
          <w:rStyle w:val="None"/>
          <w:b/>
          <w:bCs/>
          <w:sz w:val="24"/>
          <w:szCs w:val="24"/>
        </w:rPr>
      </w:pPr>
      <w:r>
        <w:rPr>
          <w:rStyle w:val="None"/>
          <w:sz w:val="24"/>
          <w:szCs w:val="24"/>
        </w:rPr>
        <w:t xml:space="preserve">The main findings of my report note that the </w:t>
      </w:r>
      <w:r>
        <w:rPr>
          <w:rStyle w:val="None"/>
          <w:b/>
          <w:bCs/>
          <w:sz w:val="24"/>
          <w:szCs w:val="24"/>
        </w:rPr>
        <w:t xml:space="preserve">intersection between the COVID-19 pandemic and imposed gender-blind restrictive measures, and the pandemic of gender-based violence against women has negatively impacted women’s enjoyment of human rights, </w:t>
      </w:r>
      <w:r>
        <w:rPr>
          <w:rStyle w:val="None"/>
          <w:sz w:val="24"/>
          <w:szCs w:val="24"/>
        </w:rPr>
        <w:t>and has exposed and exacerbated pre-existing gaps and shortcomings in the prevention of violence against women, resulting in:</w:t>
      </w:r>
    </w:p>
    <w:p w:rsidR="00797025" w:rsidRDefault="006E703D">
      <w:pPr>
        <w:pStyle w:val="BodyA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sz w:val="24"/>
          <w:szCs w:val="24"/>
        </w:rPr>
      </w:pPr>
      <w:r>
        <w:rPr>
          <w:rStyle w:val="NoneA"/>
          <w:sz w:val="24"/>
          <w:szCs w:val="24"/>
        </w:rPr>
        <w:t>Increased  gender based violence against women, especially domestic violence</w:t>
      </w:r>
      <w:r w:rsidR="005D0DEF">
        <w:rPr>
          <w:rStyle w:val="NoneA"/>
          <w:sz w:val="24"/>
          <w:szCs w:val="24"/>
        </w:rPr>
        <w:t>;</w:t>
      </w:r>
    </w:p>
    <w:p w:rsidR="00797025" w:rsidRDefault="006E703D">
      <w:pPr>
        <w:pStyle w:val="BodyA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sz w:val="24"/>
          <w:szCs w:val="24"/>
        </w:rPr>
      </w:pPr>
      <w:r>
        <w:rPr>
          <w:rStyle w:val="None"/>
          <w:sz w:val="24"/>
          <w:szCs w:val="24"/>
          <w:u w:color="444444"/>
        </w:rPr>
        <w:t>Limited access to protection measures; limited access to helplines, shelters and safe accommodation</w:t>
      </w:r>
      <w:r w:rsidR="005D0DEF">
        <w:rPr>
          <w:rStyle w:val="None"/>
          <w:sz w:val="24"/>
          <w:szCs w:val="24"/>
          <w:u w:color="444444"/>
        </w:rPr>
        <w:t>;</w:t>
      </w:r>
    </w:p>
    <w:p w:rsidR="00797025" w:rsidRDefault="006E703D">
      <w:pPr>
        <w:pStyle w:val="BodyA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sz w:val="24"/>
          <w:szCs w:val="24"/>
        </w:rPr>
      </w:pPr>
      <w:r>
        <w:rPr>
          <w:rStyle w:val="None"/>
          <w:sz w:val="24"/>
          <w:szCs w:val="24"/>
          <w:u w:color="444444"/>
        </w:rPr>
        <w:t>Limitations to accessing sexual and reproductive health</w:t>
      </w:r>
      <w:r w:rsidR="005D0DEF">
        <w:rPr>
          <w:rStyle w:val="None"/>
          <w:sz w:val="24"/>
          <w:szCs w:val="24"/>
          <w:u w:color="444444"/>
        </w:rPr>
        <w:t>;</w:t>
      </w:r>
      <w:r>
        <w:rPr>
          <w:rStyle w:val="None"/>
          <w:sz w:val="24"/>
          <w:szCs w:val="24"/>
          <w:u w:color="444444"/>
        </w:rPr>
        <w:t xml:space="preserve"> </w:t>
      </w:r>
    </w:p>
    <w:p w:rsidR="00797025" w:rsidRPr="00DB6381" w:rsidRDefault="006E703D" w:rsidP="00DB6381">
      <w:pPr>
        <w:pStyle w:val="BodyA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Style w:val="NoneA"/>
          <w:sz w:val="24"/>
          <w:szCs w:val="24"/>
        </w:rPr>
      </w:pPr>
      <w:r>
        <w:rPr>
          <w:rStyle w:val="NoneA"/>
          <w:sz w:val="24"/>
          <w:szCs w:val="24"/>
        </w:rPr>
        <w:t xml:space="preserve">Revealed a lack of comparable data on violence against women and </w:t>
      </w:r>
      <w:proofErr w:type="spellStart"/>
      <w:r>
        <w:rPr>
          <w:rStyle w:val="NoneA"/>
          <w:sz w:val="24"/>
          <w:szCs w:val="24"/>
        </w:rPr>
        <w:t>femicide</w:t>
      </w:r>
      <w:proofErr w:type="spellEnd"/>
      <w:r>
        <w:rPr>
          <w:rStyle w:val="NoneA"/>
          <w:sz w:val="24"/>
          <w:szCs w:val="24"/>
        </w:rPr>
        <w:t>, both before an</w:t>
      </w:r>
      <w:r w:rsidR="005D0DEF">
        <w:rPr>
          <w:rStyle w:val="NoneA"/>
          <w:sz w:val="24"/>
          <w:szCs w:val="24"/>
        </w:rPr>
        <w:t>d during the COVID-19 pandemic.</w:t>
      </w:r>
    </w:p>
    <w:p w:rsidR="00797025" w:rsidRDefault="006E703D">
      <w:pPr>
        <w:pStyle w:val="BodyA"/>
        <w:suppressAutoHyphens w:val="0"/>
        <w:spacing w:before="100" w:after="100" w:line="36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These pre-existing gaps differ from country to country and have been elaborated in my previous 11 country visit reports, and 9 thematic reports, all of which reveal the gaps between international human rights standards and their implementation at the national level, and now additionally intersect with the impact of the COVID-19 pandemic on violence against women. </w:t>
      </w:r>
    </w:p>
    <w:p w:rsidR="00797025" w:rsidRDefault="006E703D">
      <w:pPr>
        <w:pStyle w:val="BodyA"/>
        <w:suppressAutoHyphens w:val="0"/>
        <w:spacing w:before="100" w:after="100" w:line="36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The pre-existing legal shortcomings in law and in practice in addressing gender based violence against women, including non-recognition of psychological violence as violence against women, the lack of criminalization of marital rape or lack of laws or measures to </w:t>
      </w:r>
      <w:proofErr w:type="gramStart"/>
      <w:r>
        <w:rPr>
          <w:rStyle w:val="None"/>
          <w:sz w:val="24"/>
          <w:szCs w:val="24"/>
        </w:rPr>
        <w:t xml:space="preserve">address 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sexual</w:t>
      </w:r>
      <w:proofErr w:type="gramEnd"/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violence, incest, forced early marriages, female genital mutilation, as well as other forms of sexual, psychological, physical and economic abuse also increase the risk of such violence during the COVID-19 pandemic</w:t>
      </w:r>
      <w:r>
        <w:rPr>
          <w:rStyle w:val="None"/>
          <w:sz w:val="24"/>
          <w:szCs w:val="24"/>
        </w:rPr>
        <w:t xml:space="preserve">. </w:t>
      </w:r>
    </w:p>
    <w:p w:rsidR="00797025" w:rsidRDefault="006E703D">
      <w:pPr>
        <w:pStyle w:val="BodyA"/>
        <w:suppressAutoHyphens w:val="0"/>
        <w:spacing w:before="100" w:after="100" w:line="36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lastRenderedPageBreak/>
        <w:t xml:space="preserve">States should ensure that restrictive measures and imposed home confinement </w:t>
      </w:r>
      <w:r>
        <w:rPr>
          <w:rStyle w:val="None"/>
          <w:b/>
          <w:bCs/>
          <w:sz w:val="24"/>
          <w:szCs w:val="24"/>
        </w:rPr>
        <w:t xml:space="preserve">do not have the unintended consequence of enabling and increasing violence against women and domestic violence at home. </w:t>
      </w:r>
    </w:p>
    <w:p w:rsidR="00797025" w:rsidRDefault="006E703D">
      <w:pPr>
        <w:pStyle w:val="BodyA"/>
        <w:widowControl w:val="0"/>
        <w:spacing w:line="360" w:lineRule="auto"/>
        <w:jc w:val="both"/>
        <w:rPr>
          <w:rStyle w:val="None"/>
          <w:sz w:val="24"/>
          <w:szCs w:val="24"/>
          <w:u w:color="444444"/>
        </w:rPr>
      </w:pPr>
      <w:r>
        <w:rPr>
          <w:rStyle w:val="None"/>
          <w:sz w:val="24"/>
          <w:szCs w:val="24"/>
          <w:u w:color="444444"/>
        </w:rPr>
        <w:t xml:space="preserve">In some States, women were fully included in the design of COVID-19 response plans, including in a leadership role, however, in the vast majority of countries women are largely absent from local, national and global COVID 19 response teams, policy spaces and decision-making.  </w:t>
      </w:r>
    </w:p>
    <w:p w:rsidR="00797025" w:rsidRDefault="006E703D">
      <w:pPr>
        <w:pStyle w:val="BodyA"/>
        <w:spacing w:before="100" w:after="100" w:line="360" w:lineRule="auto"/>
        <w:jc w:val="both"/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sz w:val="24"/>
          <w:szCs w:val="24"/>
          <w:u w:color="444444"/>
        </w:rPr>
        <w:t xml:space="preserve">Recently we commemorated 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25 years of the adoption of the Beijing Platform</w:t>
      </w:r>
      <w:r w:rsidR="00547D32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Action at a high l</w:t>
      </w:r>
      <w:r w:rsidR="00547D32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evel gathering during which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delegations highlighted the increased level of violence against</w:t>
      </w:r>
      <w:r w:rsidR="00547D32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women during this pandemic, with many raisin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issue o</w:t>
      </w:r>
      <w:bookmarkStart w:id="0" w:name="_GoBack"/>
      <w:bookmarkEnd w:id="0"/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 violence against women as national priority concern.   </w:t>
      </w:r>
    </w:p>
    <w:p w:rsidR="00797025" w:rsidRDefault="00547D32">
      <w:pPr>
        <w:pStyle w:val="BodyA"/>
        <w:spacing w:before="100" w:after="100" w:line="360" w:lineRule="auto"/>
        <w:jc w:val="both"/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my </w:t>
      </w:r>
      <w:r w:rsidR="00246596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statement I 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have recalled the words of 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the UN Secretary General that “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we must push back the p</w:t>
      </w:r>
      <w:r w:rsidR="0067719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ush backs" including the negative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effects of the COVID-19 p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andemic on women’s rights.  I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order to  “push forward” </w:t>
      </w:r>
      <w:r w:rsidR="0067719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agenda of gender equality</w:t>
      </w:r>
      <w:r w:rsidR="006E703D">
        <w:rPr>
          <w:rStyle w:val="None"/>
          <w:sz w:val="24"/>
          <w:szCs w:val="24"/>
          <w:u w:color="444444"/>
        </w:rPr>
        <w:t xml:space="preserve"> I believe that we must use the momentum to develop a</w:t>
      </w:r>
      <w:r w:rsidR="006362C5">
        <w:rPr>
          <w:rStyle w:val="None"/>
          <w:sz w:val="24"/>
          <w:szCs w:val="24"/>
          <w:u w:color="444444"/>
        </w:rPr>
        <w:t xml:space="preserve"> new global system wide strategy to combat</w:t>
      </w:r>
      <w:r w:rsidR="006E703D">
        <w:rPr>
          <w:rStyle w:val="None"/>
          <w:sz w:val="24"/>
          <w:szCs w:val="24"/>
          <w:u w:color="444444"/>
        </w:rPr>
        <w:t xml:space="preserve"> violence against women and girls, and to exert more energy and resources on bridging the gap between international and national laws and policy and ensure the harmonization of such laws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placing violence against women high on the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 agenda, as a standing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item of the CSW and by focusing on implementation measures and implementation strategies, such as the establishment of </w:t>
      </w:r>
      <w:proofErr w:type="spellStart"/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femicide</w:t>
      </w:r>
      <w:proofErr w:type="spellEnd"/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prevention 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watch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es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other measures outlined in my recent statement on the Beijing +25 commemoration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previous reports</w:t>
      </w:r>
      <w:r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including my 2019 report</w:t>
      </w:r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25 years of </w:t>
      </w:r>
      <w:proofErr w:type="gramStart"/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gramEnd"/>
      <w:r w:rsidR="006E703D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mandate. </w:t>
      </w:r>
    </w:p>
    <w:p w:rsidR="00797025" w:rsidRDefault="00797025">
      <w:pPr>
        <w:pStyle w:val="BodyB"/>
        <w:rPr>
          <w:rStyle w:val="NoneA"/>
        </w:rPr>
      </w:pPr>
    </w:p>
    <w:p w:rsidR="00797025" w:rsidRDefault="006E703D">
      <w:pPr>
        <w:pStyle w:val="BodyB"/>
        <w:rPr>
          <w:rStyle w:val="None"/>
          <w:i/>
          <w:iCs/>
        </w:rPr>
      </w:pPr>
      <w:r>
        <w:rPr>
          <w:rStyle w:val="None"/>
          <w:i/>
          <w:iCs/>
        </w:rPr>
        <w:t>Thank you</w:t>
      </w: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6E703D">
      <w:pPr>
        <w:pStyle w:val="BodyB"/>
        <w:widowControl w:val="0"/>
        <w:spacing w:line="360" w:lineRule="auto"/>
        <w:jc w:val="both"/>
      </w:pPr>
      <w:r>
        <w:rPr>
          <w:rStyle w:val="NoneA"/>
        </w:rPr>
        <w:t xml:space="preserve">    </w:t>
      </w:r>
    </w:p>
    <w:p w:rsidR="00797025" w:rsidRDefault="006E703D">
      <w:pPr>
        <w:pStyle w:val="BodyB"/>
        <w:widowControl w:val="0"/>
        <w:spacing w:line="360" w:lineRule="auto"/>
        <w:jc w:val="both"/>
      </w:pPr>
      <w:r>
        <w:rPr>
          <w:rStyle w:val="NoneA"/>
        </w:rPr>
        <w:t xml:space="preserve"> </w:t>
      </w:r>
    </w:p>
    <w:p w:rsidR="00797025" w:rsidRDefault="00797025">
      <w:pPr>
        <w:pStyle w:val="BodyB"/>
        <w:widowControl w:val="0"/>
        <w:spacing w:line="360" w:lineRule="auto"/>
        <w:jc w:val="both"/>
      </w:pPr>
    </w:p>
    <w:p w:rsidR="00797025" w:rsidRDefault="00797025">
      <w:pPr>
        <w:pStyle w:val="Body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</w:pPr>
    </w:p>
    <w:p w:rsidR="00797025" w:rsidRDefault="00797025">
      <w:pPr>
        <w:pStyle w:val="Body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</w:pPr>
    </w:p>
    <w:p w:rsidR="00797025" w:rsidRDefault="00797025">
      <w:pPr>
        <w:pStyle w:val="Body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</w:pPr>
    </w:p>
    <w:p w:rsidR="00797025" w:rsidRDefault="00797025">
      <w:pPr>
        <w:pStyle w:val="Body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</w:pPr>
    </w:p>
    <w:p w:rsidR="00797025" w:rsidRDefault="00797025">
      <w:pPr>
        <w:pStyle w:val="Body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</w:pPr>
    </w:p>
    <w:p w:rsidR="00797025" w:rsidRDefault="00797025">
      <w:pPr>
        <w:pStyle w:val="Body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jc w:val="both"/>
      </w:pPr>
    </w:p>
    <w:p w:rsidR="00797025" w:rsidRDefault="00797025">
      <w:pPr>
        <w:pStyle w:val="SingleTxt"/>
        <w:spacing w:after="0" w:line="120" w:lineRule="exact"/>
        <w:rPr>
          <w:rStyle w:val="NoneA"/>
          <w:sz w:val="10"/>
          <w:szCs w:val="10"/>
        </w:rPr>
      </w:pPr>
    </w:p>
    <w:p w:rsidR="00797025" w:rsidRDefault="00797025">
      <w:pPr>
        <w:pStyle w:val="SingleTxt"/>
        <w:spacing w:after="0" w:line="120" w:lineRule="exact"/>
        <w:rPr>
          <w:rStyle w:val="NoneA"/>
          <w:sz w:val="10"/>
          <w:szCs w:val="10"/>
        </w:rPr>
      </w:pPr>
    </w:p>
    <w:p w:rsidR="00797025" w:rsidRDefault="006E703D">
      <w:pPr>
        <w:pStyle w:val="HCh"/>
        <w:tabs>
          <w:tab w:val="clear" w:pos="1022"/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ind w:left="1267" w:right="1260" w:hanging="1267"/>
      </w:pPr>
      <w:r>
        <w:rPr>
          <w:rStyle w:val="NoneA"/>
        </w:rPr>
        <w:tab/>
      </w:r>
    </w:p>
    <w:p w:rsidR="00797025" w:rsidRDefault="00797025">
      <w:pPr>
        <w:pStyle w:val="SingleTxt"/>
        <w:spacing w:after="0" w:line="120" w:lineRule="exact"/>
        <w:rPr>
          <w:rStyle w:val="NoneA"/>
          <w:sz w:val="10"/>
          <w:szCs w:val="10"/>
        </w:rPr>
      </w:pPr>
    </w:p>
    <w:p w:rsidR="00797025" w:rsidRDefault="00797025">
      <w:pPr>
        <w:pStyle w:val="SingleTxt"/>
        <w:spacing w:after="0" w:line="120" w:lineRule="exact"/>
        <w:rPr>
          <w:rStyle w:val="NoneA"/>
          <w:sz w:val="10"/>
          <w:szCs w:val="10"/>
        </w:rPr>
      </w:pPr>
    </w:p>
    <w:p w:rsidR="00797025" w:rsidRDefault="00797025">
      <w:pPr>
        <w:pStyle w:val="SingleTxt"/>
        <w:spacing w:after="0" w:line="120" w:lineRule="exact"/>
        <w:rPr>
          <w:rStyle w:val="NoneA"/>
          <w:sz w:val="10"/>
          <w:szCs w:val="10"/>
        </w:rPr>
      </w:pPr>
    </w:p>
    <w:p w:rsidR="00797025" w:rsidRDefault="00797025">
      <w:pPr>
        <w:pStyle w:val="SingleTxt"/>
        <w:spacing w:after="0" w:line="120" w:lineRule="exact"/>
        <w:rPr>
          <w:rStyle w:val="NoneA"/>
          <w:sz w:val="10"/>
          <w:szCs w:val="10"/>
        </w:rPr>
      </w:pPr>
    </w:p>
    <w:p w:rsidR="00797025" w:rsidRDefault="006E703D">
      <w:pPr>
        <w:pStyle w:val="HCh"/>
        <w:tabs>
          <w:tab w:val="clear" w:pos="1022"/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ind w:left="1267" w:right="1260" w:hanging="1267"/>
      </w:pPr>
      <w:r>
        <w:rPr>
          <w:rStyle w:val="NoneA"/>
        </w:rPr>
        <w:tab/>
        <w:t xml:space="preserve"> </w:t>
      </w:r>
    </w:p>
    <w:p w:rsidR="00797025" w:rsidRDefault="00797025">
      <w:pPr>
        <w:pStyle w:val="SingleTxt"/>
        <w:spacing w:after="0" w:line="120" w:lineRule="exact"/>
      </w:pP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BodyA"/>
        <w:widowControl w:val="0"/>
        <w:spacing w:line="360" w:lineRule="auto"/>
        <w:jc w:val="both"/>
        <w:rPr>
          <w:rStyle w:val="NoneA"/>
          <w:sz w:val="24"/>
          <w:szCs w:val="24"/>
        </w:rPr>
      </w:pPr>
    </w:p>
    <w:p w:rsidR="00797025" w:rsidRDefault="00797025">
      <w:pPr>
        <w:pStyle w:val="SingleTxt"/>
        <w:spacing w:after="0" w:line="120" w:lineRule="exact"/>
        <w:rPr>
          <w:rStyle w:val="NoneA"/>
          <w:sz w:val="24"/>
          <w:szCs w:val="24"/>
        </w:rPr>
      </w:pPr>
    </w:p>
    <w:p w:rsidR="00797025" w:rsidRDefault="00797025">
      <w:pPr>
        <w:pStyle w:val="SingleTxt"/>
        <w:spacing w:after="0" w:line="120" w:lineRule="exact"/>
        <w:rPr>
          <w:rStyle w:val="NoneA"/>
          <w:sz w:val="24"/>
          <w:szCs w:val="24"/>
        </w:rPr>
      </w:pPr>
    </w:p>
    <w:p w:rsidR="00797025" w:rsidRDefault="00797025">
      <w:pPr>
        <w:pStyle w:val="SingleTxt"/>
        <w:spacing w:after="0" w:line="120" w:lineRule="exact"/>
        <w:rPr>
          <w:rStyle w:val="NoneA"/>
          <w:sz w:val="24"/>
          <w:szCs w:val="24"/>
        </w:rPr>
      </w:pPr>
    </w:p>
    <w:p w:rsidR="00797025" w:rsidRDefault="006E703D">
      <w:pPr>
        <w:pStyle w:val="HCh"/>
        <w:ind w:left="1267" w:right="1260" w:hanging="1267"/>
      </w:pPr>
      <w:r>
        <w:rPr>
          <w:rStyle w:val="None"/>
          <w:b w:val="0"/>
          <w:bCs w:val="0"/>
          <w:sz w:val="24"/>
          <w:szCs w:val="24"/>
        </w:rPr>
        <w:tab/>
        <w:t xml:space="preserve"> </w:t>
      </w:r>
    </w:p>
    <w:sectPr w:rsidR="0079702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600" w:rsidRDefault="006E703D">
      <w:r>
        <w:separator/>
      </w:r>
    </w:p>
  </w:endnote>
  <w:endnote w:type="continuationSeparator" w:id="0">
    <w:p w:rsidR="00242600" w:rsidRDefault="006E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25" w:rsidRDefault="00797025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25" w:rsidRDefault="00797025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25" w:rsidRDefault="006E703D">
      <w:r>
        <w:separator/>
      </w:r>
    </w:p>
  </w:footnote>
  <w:footnote w:type="continuationSeparator" w:id="0">
    <w:p w:rsidR="00797025" w:rsidRDefault="006E703D">
      <w:r>
        <w:continuationSeparator/>
      </w:r>
    </w:p>
  </w:footnote>
  <w:footnote w:type="continuationNotice" w:id="1">
    <w:p w:rsidR="00797025" w:rsidRDefault="00797025"/>
  </w:footnote>
  <w:footnote w:id="2">
    <w:p w:rsidR="00797025" w:rsidRDefault="006E703D">
      <w:pPr>
        <w:pStyle w:val="Footnote"/>
      </w:pPr>
      <w:r>
        <w:rPr>
          <w:sz w:val="24"/>
          <w:szCs w:val="24"/>
          <w:vertAlign w:val="superscript"/>
        </w:rPr>
        <w:footnoteRef/>
      </w:r>
      <w:r>
        <w:rPr>
          <w:rStyle w:val="NoneA"/>
          <w:rFonts w:eastAsia="Arial Unicode MS" w:cs="Arial Unicode MS"/>
        </w:rPr>
        <w:t>A/HRC/44/52</w:t>
      </w:r>
    </w:p>
  </w:footnote>
  <w:footnote w:id="3">
    <w:p w:rsidR="00797025" w:rsidRDefault="006E703D">
      <w:pPr>
        <w:pStyle w:val="Footnote"/>
      </w:pPr>
      <w:r>
        <w:rPr>
          <w:sz w:val="24"/>
          <w:szCs w:val="24"/>
          <w:vertAlign w:val="superscript"/>
        </w:rPr>
        <w:footnoteRef/>
      </w:r>
      <w:r>
        <w:rPr>
          <w:rStyle w:val="NoneA"/>
          <w:rFonts w:eastAsia="Arial Unicode MS" w:cs="Arial Unicode MS"/>
        </w:rPr>
        <w:t>A/HRC/44/52/Add.1</w:t>
      </w:r>
    </w:p>
  </w:footnote>
  <w:footnote w:id="4">
    <w:p w:rsidR="00797025" w:rsidRDefault="006E703D">
      <w:pPr>
        <w:pStyle w:val="Footnote"/>
      </w:pPr>
      <w:r>
        <w:rPr>
          <w:sz w:val="24"/>
          <w:szCs w:val="24"/>
          <w:vertAlign w:val="superscript"/>
        </w:rPr>
        <w:footnoteRef/>
      </w:r>
      <w:r>
        <w:rPr>
          <w:rStyle w:val="NoneA"/>
          <w:rFonts w:eastAsia="Arial Unicode MS" w:cs="Arial Unicode MS"/>
        </w:rPr>
        <w:t>A/HRC/44/52/Add.2</w:t>
      </w:r>
    </w:p>
  </w:footnote>
  <w:footnote w:id="5">
    <w:p w:rsidR="00797025" w:rsidRDefault="006E703D">
      <w:pPr>
        <w:pStyle w:val="Footnote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/>
      </w:r>
      <w:r>
        <w:rPr>
          <w:rFonts w:eastAsia="Arial Unicode MS" w:cs="Arial Unicode MS"/>
          <w:sz w:val="20"/>
          <w:szCs w:val="20"/>
        </w:rPr>
        <w:t xml:space="preserve">  EDVAW Platform of independent United Nations and regional expert mechanisms on violence against women and women’s rights: SRVAW, CEDAW, WGDAW, MESECVI, GREVIO,  SR WHR Africa CHR, SR WHR, and IACHR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1" w:history="1">
        <w:r>
          <w:rPr>
            <w:rStyle w:val="Hyperlink0"/>
            <w:rFonts w:eastAsia="Arial Unicode MS" w:cs="Arial Unicode MS"/>
          </w:rPr>
          <w:t>https://www.ohchr.org/EN/Issues/Women/SRWomen/Pages/CooperationGlobalRegionalMechanisms.aspx</w:t>
        </w:r>
      </w:hyperlink>
    </w:p>
  </w:footnote>
  <w:footnote w:id="6">
    <w:p w:rsidR="00797025" w:rsidRDefault="006E703D">
      <w:pPr>
        <w:pStyle w:val="Footnote"/>
      </w:pPr>
      <w:r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/>
      </w:r>
      <w:r>
        <w:rPr>
          <w:rStyle w:val="None"/>
          <w:rFonts w:ascii="Times New Roman" w:hAnsi="Times New Roman"/>
          <w:sz w:val="20"/>
          <w:szCs w:val="20"/>
        </w:rPr>
        <w:t>Available on the mandates webpage</w:t>
      </w:r>
      <w:r>
        <w:rPr>
          <w:rStyle w:val="None"/>
          <w:rFonts w:eastAsia="Arial Unicode MS" w:cs="Arial Unicode MS"/>
          <w:sz w:val="20"/>
          <w:szCs w:val="20"/>
        </w:rPr>
        <w:t>.</w:t>
      </w:r>
      <w:r>
        <w:rPr>
          <w:rStyle w:val="None"/>
          <w:rFonts w:eastAsia="Arial Unicode MS" w:cs="Arial Unicode MS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25" w:rsidRDefault="006E703D">
    <w:pPr>
      <w:pStyle w:val="HeaderFooterA"/>
      <w:tabs>
        <w:tab w:val="clear" w:pos="9020"/>
        <w:tab w:val="right" w:pos="9000"/>
      </w:tabs>
      <w:rPr>
        <w:rFonts w:hint="eastAsia"/>
      </w:rPr>
    </w:pP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6577955</wp:posOffset>
              </wp:positionH>
              <wp:positionV relativeFrom="page">
                <wp:posOffset>10003142</wp:posOffset>
              </wp:positionV>
              <wp:extent cx="64135" cy="146050"/>
              <wp:effectExtent l="0" t="0" r="0" b="0"/>
              <wp:wrapNone/>
              <wp:docPr id="1073741825" name="officeArt object" descr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97025" w:rsidRDefault="006E703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6596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4" style="position:absolute;margin-left:517.95pt;margin-top:787.65pt;width:5.05pt;height:11.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" filled="f" stroked="f" strokeweight="1pt">
              <v:stroke miterlimit="4"/>
              <v:textbox inset="0,0,0,0">
                <w:txbxContent>
                  <w:p w:rsidR="00797025" w:rsidRDefault="006E703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659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025" w:rsidRDefault="00797025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D2090"/>
    <w:multiLevelType w:val="hybridMultilevel"/>
    <w:tmpl w:val="D4BEF790"/>
    <w:styleLink w:val="ImportedStyle2"/>
    <w:lvl w:ilvl="0" w:tplc="D5523E96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609EC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3270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0E57C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B0D77A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76D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A26A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D8086E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7C05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1D321E2"/>
    <w:multiLevelType w:val="hybridMultilevel"/>
    <w:tmpl w:val="B830B826"/>
    <w:numStyleLink w:val="ImportedStyle1"/>
  </w:abstractNum>
  <w:abstractNum w:abstractNumId="2">
    <w:nsid w:val="3D6219BD"/>
    <w:multiLevelType w:val="hybridMultilevel"/>
    <w:tmpl w:val="D4BEF790"/>
    <w:numStyleLink w:val="ImportedStyle2"/>
  </w:abstractNum>
  <w:abstractNum w:abstractNumId="3">
    <w:nsid w:val="7D5B6C0C"/>
    <w:multiLevelType w:val="hybridMultilevel"/>
    <w:tmpl w:val="B830B826"/>
    <w:styleLink w:val="ImportedStyle1"/>
    <w:lvl w:ilvl="0" w:tplc="0B3C597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EE044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844A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747C6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16C5C6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06F8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9ED7B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82A7E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A407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25"/>
    <w:rsid w:val="00242600"/>
    <w:rsid w:val="00246596"/>
    <w:rsid w:val="00485688"/>
    <w:rsid w:val="00547D32"/>
    <w:rsid w:val="005D0DEF"/>
    <w:rsid w:val="006362C5"/>
    <w:rsid w:val="0067719D"/>
    <w:rsid w:val="006E703D"/>
    <w:rsid w:val="00797025"/>
    <w:rsid w:val="00844311"/>
    <w:rsid w:val="009F2B1D"/>
    <w:rsid w:val="00BE30F9"/>
    <w:rsid w:val="00D86929"/>
    <w:rsid w:val="00D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5CC23-75A0-4833-A6E0-3B8ACB10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A"/>
    <w:pPr>
      <w:keepNext/>
      <w:suppressAutoHyphens/>
      <w:jc w:val="center"/>
      <w:outlineLvl w:val="1"/>
    </w:pPr>
    <w:rPr>
      <w:rFonts w:eastAsia="Times New Roman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pPr>
      <w:keepNext/>
      <w:suppressAutoHyphens/>
      <w:outlineLvl w:val="2"/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uppressAutoHyphens/>
    </w:pPr>
    <w:rPr>
      <w:rFonts w:cs="Arial Unicode MS"/>
      <w:color w:val="000000"/>
      <w:u w:color="000000"/>
      <w:lang w:val="en-US"/>
    </w:rPr>
  </w:style>
  <w:style w:type="character" w:customStyle="1" w:styleId="NoneA">
    <w:name w:val="None A"/>
    <w:rPr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SingleTxt">
    <w:name w:val="__Single Txt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eastAsia="Times New Roman"/>
      <w:color w:val="000000"/>
      <w:kern w:val="3"/>
      <w:u w:color="000000"/>
      <w:lang w:val="en-US"/>
    </w:rPr>
  </w:style>
  <w:style w:type="paragraph" w:customStyle="1" w:styleId="HCh">
    <w:name w:val="_ H _Ch"/>
    <w:next w:val="SingleTxt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300" w:lineRule="exact"/>
      <w:outlineLvl w:val="0"/>
    </w:pPr>
    <w:rPr>
      <w:rFonts w:eastAsia="Times New Roman"/>
      <w:b/>
      <w:bCs/>
      <w:color w:val="000000"/>
      <w:spacing w:val="-2"/>
      <w:kern w:val="14"/>
      <w:sz w:val="28"/>
      <w:szCs w:val="2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hchr.org/EN/Issues/Women/SRWomen/Pages/CooperationGlobalRegionalMechanisms.asp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B5969F-E286-4632-AE79-5476FF5B9A57}"/>
</file>

<file path=customXml/itemProps2.xml><?xml version="1.0" encoding="utf-8"?>
<ds:datastoreItem xmlns:ds="http://schemas.openxmlformats.org/officeDocument/2006/customXml" ds:itemID="{6BBFF707-442F-4775-8377-53030D9D66C1}"/>
</file>

<file path=customXml/itemProps3.xml><?xml version="1.0" encoding="utf-8"?>
<ds:datastoreItem xmlns:ds="http://schemas.openxmlformats.org/officeDocument/2006/customXml" ds:itemID="{9380A6DB-DE69-4CB0-A6D5-41E9DDCCF0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MCCANN Orlagh</cp:lastModifiedBy>
  <cp:revision>11</cp:revision>
  <dcterms:created xsi:type="dcterms:W3CDTF">2020-10-08T16:13:00Z</dcterms:created>
  <dcterms:modified xsi:type="dcterms:W3CDTF">2020-10-09T13:57:00Z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