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CE0" w:rsidRDefault="00D81CE0" w:rsidP="00D81CE0">
      <w:pPr>
        <w:spacing w:after="0" w:line="240" w:lineRule="auto"/>
        <w:jc w:val="both"/>
        <w:rPr>
          <w:rFonts w:ascii="Verdana" w:hAnsi="Verdana"/>
          <w:b/>
          <w:sz w:val="20"/>
          <w:szCs w:val="20"/>
          <w:lang w:val="en-US"/>
        </w:rPr>
      </w:pPr>
      <w:bookmarkStart w:id="0" w:name="_GoBack"/>
      <w:bookmarkEnd w:id="0"/>
    </w:p>
    <w:p w:rsidR="00D81CE0" w:rsidRDefault="00D81CE0" w:rsidP="00D81CE0">
      <w:pPr>
        <w:spacing w:after="0" w:line="240" w:lineRule="auto"/>
        <w:jc w:val="both"/>
        <w:rPr>
          <w:rFonts w:ascii="Verdana" w:hAnsi="Verdana"/>
          <w:b/>
          <w:sz w:val="20"/>
          <w:szCs w:val="20"/>
          <w:lang w:val="en-US"/>
        </w:rPr>
      </w:pPr>
      <w:r w:rsidRPr="00D41DDF">
        <w:rPr>
          <w:rFonts w:ascii="Verdana" w:hAnsi="Verdana"/>
          <w:b/>
          <w:sz w:val="20"/>
          <w:szCs w:val="20"/>
          <w:lang w:val="en-US"/>
        </w:rPr>
        <w:t xml:space="preserve">List of </w:t>
      </w:r>
      <w:r>
        <w:rPr>
          <w:rFonts w:ascii="Verdana" w:hAnsi="Verdana"/>
          <w:b/>
          <w:sz w:val="20"/>
          <w:szCs w:val="20"/>
          <w:lang w:val="en-US"/>
        </w:rPr>
        <w:t>relevant judgements of the Inter-American Court</w:t>
      </w:r>
      <w:r w:rsidRPr="00D41DDF">
        <w:rPr>
          <w:rFonts w:ascii="Verdana" w:hAnsi="Verdana"/>
          <w:b/>
          <w:sz w:val="20"/>
          <w:szCs w:val="20"/>
          <w:lang w:val="en-US"/>
        </w:rPr>
        <w:t xml:space="preserve"> on gender issues</w:t>
      </w:r>
      <w:r>
        <w:rPr>
          <w:rFonts w:ascii="Verdana" w:hAnsi="Verdana"/>
          <w:b/>
          <w:sz w:val="20"/>
          <w:szCs w:val="20"/>
          <w:lang w:val="en-US"/>
        </w:rPr>
        <w:t xml:space="preserve"> </w:t>
      </w:r>
    </w:p>
    <w:p w:rsidR="00D81CE0" w:rsidRPr="00C70B7D" w:rsidRDefault="00D81CE0" w:rsidP="00D81CE0">
      <w:pPr>
        <w:spacing w:after="0" w:line="240" w:lineRule="auto"/>
        <w:jc w:val="both"/>
        <w:rPr>
          <w:rFonts w:ascii="Verdana" w:hAnsi="Verdana"/>
          <w:sz w:val="20"/>
          <w:szCs w:val="20"/>
          <w:lang w:val="en-US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928"/>
        <w:gridCol w:w="4126"/>
      </w:tblGrid>
      <w:tr w:rsidR="00D81CE0" w:rsidRPr="00285EC7" w:rsidTr="003E6667">
        <w:tc>
          <w:tcPr>
            <w:tcW w:w="4928" w:type="dxa"/>
          </w:tcPr>
          <w:p w:rsidR="00D81CE0" w:rsidRDefault="00D81CE0" w:rsidP="003E6667">
            <w:pPr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r w:rsidRPr="00D40F57">
              <w:rPr>
                <w:rFonts w:ascii="Verdana" w:hAnsi="Verdana"/>
                <w:sz w:val="20"/>
                <w:szCs w:val="20"/>
                <w:lang w:val="en-US"/>
              </w:rPr>
              <w:t>Proposed Amendments of the Naturalization Provisions of the Constitution of Costa Rica. Advisory Opinion OC-4/84 of January 19, 1984. Series A No. 4.</w:t>
            </w:r>
          </w:p>
        </w:tc>
        <w:tc>
          <w:tcPr>
            <w:tcW w:w="4126" w:type="dxa"/>
          </w:tcPr>
          <w:p w:rsidR="00D81CE0" w:rsidRDefault="006B1396" w:rsidP="003E6667">
            <w:pPr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hyperlink r:id="rId5" w:history="1">
              <w:r w:rsidR="00D81CE0" w:rsidRPr="00201EC7">
                <w:rPr>
                  <w:rStyle w:val="Hyperlink"/>
                  <w:rFonts w:ascii="Verdana" w:hAnsi="Verdana"/>
                  <w:sz w:val="20"/>
                  <w:szCs w:val="20"/>
                  <w:lang w:val="en-US"/>
                </w:rPr>
                <w:t>http://www.corteidh.or.cr/docs/opiniones/seriea_04_ing.pdf</w:t>
              </w:r>
            </w:hyperlink>
            <w:r w:rsidR="00D81CE0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</w:p>
        </w:tc>
      </w:tr>
      <w:tr w:rsidR="00D81CE0" w:rsidRPr="00285EC7" w:rsidTr="003E6667">
        <w:tc>
          <w:tcPr>
            <w:tcW w:w="4928" w:type="dxa"/>
          </w:tcPr>
          <w:p w:rsidR="00D81CE0" w:rsidRDefault="00D81CE0" w:rsidP="003E6667">
            <w:pPr>
              <w:tabs>
                <w:tab w:val="left" w:pos="913"/>
              </w:tabs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r w:rsidRPr="00D40F57">
              <w:rPr>
                <w:rFonts w:ascii="Verdana" w:hAnsi="Verdana"/>
                <w:sz w:val="20"/>
                <w:szCs w:val="20"/>
                <w:lang w:val="en-US"/>
              </w:rPr>
              <w:t>Case of González et al. (“Cotton Field”) v. Mexico. Preliminary Objection, Merits, Reparations and Costs. Judgment of November 16, 2009. Series C No. 205</w:t>
            </w:r>
          </w:p>
        </w:tc>
        <w:tc>
          <w:tcPr>
            <w:tcW w:w="4126" w:type="dxa"/>
          </w:tcPr>
          <w:p w:rsidR="00D81CE0" w:rsidRDefault="006B1396" w:rsidP="003E6667">
            <w:pPr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hyperlink r:id="rId6" w:history="1">
              <w:r w:rsidR="00D81CE0" w:rsidRPr="00201EC7">
                <w:rPr>
                  <w:rStyle w:val="Hyperlink"/>
                  <w:rFonts w:ascii="Verdana" w:hAnsi="Verdana"/>
                  <w:sz w:val="20"/>
                  <w:szCs w:val="20"/>
                  <w:lang w:val="en-US"/>
                </w:rPr>
                <w:t>http://www.corteidh.or.cr/docs/casos/articulos/seriec_205_ing.pdf</w:t>
              </w:r>
            </w:hyperlink>
            <w:r w:rsidR="00D81CE0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</w:p>
        </w:tc>
      </w:tr>
      <w:tr w:rsidR="00D81CE0" w:rsidRPr="00285EC7" w:rsidTr="003E6667">
        <w:tc>
          <w:tcPr>
            <w:tcW w:w="4928" w:type="dxa"/>
          </w:tcPr>
          <w:p w:rsidR="00D81CE0" w:rsidRDefault="00D81CE0" w:rsidP="003E6667">
            <w:pPr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r w:rsidRPr="00D40F57">
              <w:rPr>
                <w:rFonts w:ascii="Verdana" w:hAnsi="Verdana"/>
                <w:sz w:val="20"/>
                <w:szCs w:val="20"/>
                <w:lang w:val="en-US"/>
              </w:rPr>
              <w:t>Case of the Miguel Castro Castro Prison v. Peru. Merits, Reparations and Costs. Judgment of November 25, 2006. Series C No. 160</w:t>
            </w:r>
          </w:p>
        </w:tc>
        <w:tc>
          <w:tcPr>
            <w:tcW w:w="4126" w:type="dxa"/>
          </w:tcPr>
          <w:p w:rsidR="00D81CE0" w:rsidRDefault="006B1396" w:rsidP="003E6667">
            <w:pPr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hyperlink r:id="rId7" w:history="1">
              <w:r w:rsidR="00D81CE0" w:rsidRPr="00201EC7">
                <w:rPr>
                  <w:rStyle w:val="Hyperlink"/>
                  <w:rFonts w:ascii="Verdana" w:hAnsi="Verdana"/>
                  <w:sz w:val="20"/>
                  <w:szCs w:val="20"/>
                  <w:lang w:val="en-US"/>
                </w:rPr>
                <w:t>http://www.corteidh.or.cr/docs/casos/articulos/seriec_160_ing.pdf</w:t>
              </w:r>
            </w:hyperlink>
            <w:r w:rsidR="00D81CE0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</w:p>
        </w:tc>
      </w:tr>
      <w:tr w:rsidR="00D81CE0" w:rsidRPr="00285EC7" w:rsidTr="003E6667">
        <w:tc>
          <w:tcPr>
            <w:tcW w:w="4928" w:type="dxa"/>
          </w:tcPr>
          <w:p w:rsidR="00D81CE0" w:rsidRDefault="00D81CE0" w:rsidP="003E6667">
            <w:pPr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r w:rsidRPr="00D40F57">
              <w:rPr>
                <w:rFonts w:ascii="Verdana" w:hAnsi="Verdana"/>
                <w:sz w:val="20"/>
                <w:szCs w:val="20"/>
                <w:lang w:val="en-US"/>
              </w:rPr>
              <w:t>Case of Rosendo-Cantú et al. v. Mexico. Preliminary Objection, Merits, Reparations, and Costs. Judgment of August 31, 2010. Series C No. 216</w:t>
            </w:r>
          </w:p>
        </w:tc>
        <w:tc>
          <w:tcPr>
            <w:tcW w:w="4126" w:type="dxa"/>
          </w:tcPr>
          <w:p w:rsidR="00D81CE0" w:rsidRDefault="006B1396" w:rsidP="003E6667">
            <w:pPr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hyperlink r:id="rId8" w:history="1">
              <w:r w:rsidR="00D81CE0" w:rsidRPr="00201EC7">
                <w:rPr>
                  <w:rStyle w:val="Hyperlink"/>
                  <w:rFonts w:ascii="Verdana" w:hAnsi="Verdana"/>
                  <w:sz w:val="20"/>
                  <w:szCs w:val="20"/>
                  <w:lang w:val="en-US"/>
                </w:rPr>
                <w:t>http://www.corteidh.or.cr/docs/casos/articulos/seriec_216_ing.pdf</w:t>
              </w:r>
            </w:hyperlink>
            <w:r w:rsidR="00D81CE0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</w:p>
        </w:tc>
      </w:tr>
      <w:tr w:rsidR="00D81CE0" w:rsidRPr="00285EC7" w:rsidTr="003E6667">
        <w:tc>
          <w:tcPr>
            <w:tcW w:w="4928" w:type="dxa"/>
          </w:tcPr>
          <w:p w:rsidR="00D81CE0" w:rsidRDefault="00D81CE0" w:rsidP="003E6667">
            <w:pPr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r w:rsidRPr="00D40F57">
              <w:rPr>
                <w:rFonts w:ascii="Verdana" w:hAnsi="Verdana"/>
                <w:sz w:val="20"/>
                <w:szCs w:val="20"/>
              </w:rPr>
              <w:t xml:space="preserve">Case of Fernández Ortega et al. v. Mexico. </w:t>
            </w:r>
            <w:r w:rsidRPr="00D40F57">
              <w:rPr>
                <w:rFonts w:ascii="Verdana" w:hAnsi="Verdana"/>
                <w:sz w:val="20"/>
                <w:szCs w:val="20"/>
                <w:lang w:val="en-US"/>
              </w:rPr>
              <w:t>Preliminary Objection, Merits, Reparations, and Costs. Judgment of August 30, 2010. Series C No. 215</w:t>
            </w:r>
          </w:p>
        </w:tc>
        <w:tc>
          <w:tcPr>
            <w:tcW w:w="4126" w:type="dxa"/>
          </w:tcPr>
          <w:p w:rsidR="00D81CE0" w:rsidRDefault="006B1396" w:rsidP="003E6667">
            <w:pPr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hyperlink r:id="rId9" w:history="1">
              <w:r w:rsidR="00D81CE0" w:rsidRPr="00201EC7">
                <w:rPr>
                  <w:rStyle w:val="Hyperlink"/>
                  <w:rFonts w:ascii="Verdana" w:hAnsi="Verdana"/>
                  <w:sz w:val="20"/>
                  <w:szCs w:val="20"/>
                  <w:lang w:val="en-US"/>
                </w:rPr>
                <w:t>http://www.corteidh.or.cr/docs/casos/articulos/seriec_215_ing.pdf</w:t>
              </w:r>
            </w:hyperlink>
            <w:r w:rsidR="00D81CE0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</w:p>
        </w:tc>
      </w:tr>
      <w:tr w:rsidR="00D81CE0" w:rsidRPr="00285EC7" w:rsidTr="003E6667">
        <w:tc>
          <w:tcPr>
            <w:tcW w:w="4928" w:type="dxa"/>
          </w:tcPr>
          <w:p w:rsidR="00D81CE0" w:rsidRDefault="00D81CE0" w:rsidP="003E6667">
            <w:pPr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r w:rsidRPr="00D40F57">
              <w:rPr>
                <w:rFonts w:ascii="Verdana" w:hAnsi="Verdana"/>
                <w:sz w:val="20"/>
                <w:szCs w:val="20"/>
                <w:lang w:val="en-US"/>
              </w:rPr>
              <w:t>Case of Veliz Franco et al. v. Guatemala. Preliminary Objections, Merits, Reparations and Costs. Judgment of May 19, 2014. Series C No. 277</w:t>
            </w:r>
          </w:p>
        </w:tc>
        <w:tc>
          <w:tcPr>
            <w:tcW w:w="4126" w:type="dxa"/>
          </w:tcPr>
          <w:p w:rsidR="00D81CE0" w:rsidRDefault="006B1396" w:rsidP="003E6667">
            <w:pPr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hyperlink r:id="rId10" w:history="1">
              <w:r w:rsidR="00D81CE0" w:rsidRPr="00201EC7">
                <w:rPr>
                  <w:rStyle w:val="Hyperlink"/>
                  <w:rFonts w:ascii="Verdana" w:hAnsi="Verdana"/>
                  <w:sz w:val="20"/>
                  <w:szCs w:val="20"/>
                  <w:lang w:val="en-US"/>
                </w:rPr>
                <w:t>http://www.corteidh.or.cr/docs/casos/articulos/seriec_277_ing.pdf</w:t>
              </w:r>
            </w:hyperlink>
            <w:r w:rsidR="00D81CE0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</w:p>
        </w:tc>
      </w:tr>
      <w:tr w:rsidR="00D81CE0" w:rsidRPr="00285EC7" w:rsidTr="003E6667">
        <w:tc>
          <w:tcPr>
            <w:tcW w:w="4928" w:type="dxa"/>
          </w:tcPr>
          <w:p w:rsidR="00D81CE0" w:rsidRDefault="00D81CE0" w:rsidP="003E6667">
            <w:pPr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r w:rsidRPr="00D40F57">
              <w:rPr>
                <w:rFonts w:ascii="Verdana" w:hAnsi="Verdana"/>
                <w:sz w:val="20"/>
                <w:szCs w:val="20"/>
                <w:lang w:val="en-US"/>
              </w:rPr>
              <w:t>Case of Espinoza Gonzáles v. Peru. Preliminary Objections, Merits, Reparations and Costs. Judgment of November 20, 2014. Series C No. 289</w:t>
            </w:r>
          </w:p>
        </w:tc>
        <w:tc>
          <w:tcPr>
            <w:tcW w:w="4126" w:type="dxa"/>
          </w:tcPr>
          <w:p w:rsidR="00D81CE0" w:rsidRDefault="006B1396" w:rsidP="003E6667">
            <w:pPr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hyperlink r:id="rId11" w:history="1">
              <w:r w:rsidR="00D81CE0" w:rsidRPr="00201EC7">
                <w:rPr>
                  <w:rStyle w:val="Hyperlink"/>
                  <w:rFonts w:ascii="Verdana" w:hAnsi="Verdana"/>
                  <w:sz w:val="20"/>
                  <w:szCs w:val="20"/>
                  <w:lang w:val="en-US"/>
                </w:rPr>
                <w:t>http://www.corteidh.or.cr/docs/casos/articulos/seriec_289_ing.pdf</w:t>
              </w:r>
            </w:hyperlink>
            <w:r w:rsidR="00D81CE0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</w:p>
        </w:tc>
      </w:tr>
      <w:tr w:rsidR="00D81CE0" w:rsidRPr="00285EC7" w:rsidTr="003E6667">
        <w:tc>
          <w:tcPr>
            <w:tcW w:w="4928" w:type="dxa"/>
          </w:tcPr>
          <w:p w:rsidR="00D81CE0" w:rsidRDefault="00D81CE0" w:rsidP="003E6667">
            <w:pPr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r w:rsidRPr="00D40F57">
              <w:rPr>
                <w:rFonts w:ascii="Verdana" w:hAnsi="Verdana"/>
                <w:sz w:val="20"/>
                <w:szCs w:val="20"/>
                <w:lang w:val="en-US"/>
              </w:rPr>
              <w:t>Case of Atala Riffo and daughters v. Chile. Merits, Reparations and Costs. Judgment of February 24,2012. Series C No. 239</w:t>
            </w:r>
          </w:p>
        </w:tc>
        <w:tc>
          <w:tcPr>
            <w:tcW w:w="4126" w:type="dxa"/>
          </w:tcPr>
          <w:p w:rsidR="00D81CE0" w:rsidRDefault="006B1396" w:rsidP="003E6667">
            <w:pPr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hyperlink r:id="rId12" w:history="1">
              <w:r w:rsidR="00D81CE0" w:rsidRPr="00201EC7">
                <w:rPr>
                  <w:rStyle w:val="Hyperlink"/>
                  <w:rFonts w:ascii="Verdana" w:hAnsi="Verdana"/>
                  <w:sz w:val="20"/>
                  <w:szCs w:val="20"/>
                  <w:lang w:val="en-US"/>
                </w:rPr>
                <w:t>http://corteidh.or.cr/docs/casos/articulos/seriec_239_ing.pdf</w:t>
              </w:r>
            </w:hyperlink>
            <w:r w:rsidR="00D81CE0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</w:p>
        </w:tc>
      </w:tr>
      <w:tr w:rsidR="00D81CE0" w:rsidRPr="00285EC7" w:rsidTr="003E6667">
        <w:tc>
          <w:tcPr>
            <w:tcW w:w="4928" w:type="dxa"/>
          </w:tcPr>
          <w:p w:rsidR="00D81CE0" w:rsidRDefault="00D81CE0" w:rsidP="003E6667">
            <w:pPr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r w:rsidRPr="00D40F57">
              <w:rPr>
                <w:rFonts w:ascii="Verdana" w:hAnsi="Verdana"/>
                <w:sz w:val="20"/>
                <w:szCs w:val="20"/>
                <w:lang w:val="en-US"/>
              </w:rPr>
              <w:t>Case of Fornerón and daughter v. Argentina. Merits, Reparations and Costs. Judgment of April 27, 2012. Series C No. 242</w:t>
            </w:r>
          </w:p>
        </w:tc>
        <w:tc>
          <w:tcPr>
            <w:tcW w:w="4126" w:type="dxa"/>
          </w:tcPr>
          <w:p w:rsidR="00D81CE0" w:rsidRDefault="006B1396" w:rsidP="003E6667">
            <w:pPr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hyperlink r:id="rId13" w:history="1">
              <w:r w:rsidR="00D81CE0" w:rsidRPr="00201EC7">
                <w:rPr>
                  <w:rStyle w:val="Hyperlink"/>
                  <w:rFonts w:ascii="Verdana" w:hAnsi="Verdana"/>
                  <w:sz w:val="20"/>
                  <w:szCs w:val="20"/>
                  <w:lang w:val="en-US"/>
                </w:rPr>
                <w:t>http://corteidh.or.cr/docs/casos/articulos/seriec_242_ing.pdf</w:t>
              </w:r>
            </w:hyperlink>
            <w:r w:rsidR="00D81CE0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</w:p>
        </w:tc>
      </w:tr>
      <w:tr w:rsidR="00D81CE0" w:rsidRPr="00285EC7" w:rsidTr="003E6667">
        <w:tc>
          <w:tcPr>
            <w:tcW w:w="4928" w:type="dxa"/>
          </w:tcPr>
          <w:p w:rsidR="00D81CE0" w:rsidRDefault="00D81CE0" w:rsidP="003E6667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D40F57">
              <w:rPr>
                <w:rFonts w:ascii="Verdana" w:hAnsi="Verdana"/>
                <w:sz w:val="20"/>
                <w:szCs w:val="20"/>
              </w:rPr>
              <w:t xml:space="preserve">Case of Artavia Murillo et al. </w:t>
            </w:r>
            <w:r w:rsidRPr="00D40F57">
              <w:rPr>
                <w:rFonts w:ascii="Verdana" w:hAnsi="Verdana"/>
                <w:sz w:val="20"/>
                <w:szCs w:val="20"/>
                <w:lang w:val="en-US"/>
              </w:rPr>
              <w:t>("In vitro fertilization") v. Costa Rica. Preliminary Objections, Merits, Reparations and Costs. Judgment of November 28, 2012. Series C No. 257</w:t>
            </w:r>
          </w:p>
        </w:tc>
        <w:tc>
          <w:tcPr>
            <w:tcW w:w="4126" w:type="dxa"/>
          </w:tcPr>
          <w:p w:rsidR="00D81CE0" w:rsidRDefault="006B1396" w:rsidP="003E6667">
            <w:pPr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hyperlink r:id="rId14" w:history="1">
              <w:r w:rsidR="00D81CE0" w:rsidRPr="00201EC7">
                <w:rPr>
                  <w:rStyle w:val="Hyperlink"/>
                  <w:rFonts w:ascii="Verdana" w:hAnsi="Verdana"/>
                  <w:sz w:val="20"/>
                  <w:szCs w:val="20"/>
                  <w:lang w:val="en-US"/>
                </w:rPr>
                <w:t>http://www.corteidh.or.cr/docs/casos/articulos/seriec_257_ing.pdf</w:t>
              </w:r>
            </w:hyperlink>
            <w:r w:rsidR="00D81CE0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</w:p>
        </w:tc>
      </w:tr>
      <w:tr w:rsidR="00D81CE0" w:rsidRPr="00285EC7" w:rsidTr="003E6667">
        <w:tc>
          <w:tcPr>
            <w:tcW w:w="4928" w:type="dxa"/>
          </w:tcPr>
          <w:p w:rsidR="00D81CE0" w:rsidRDefault="00D81CE0" w:rsidP="003E6667">
            <w:pPr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r w:rsidRPr="00D40F57">
              <w:rPr>
                <w:rFonts w:ascii="Verdana" w:hAnsi="Verdana"/>
                <w:sz w:val="20"/>
                <w:szCs w:val="20"/>
                <w:lang w:val="en-US"/>
              </w:rPr>
              <w:t>Case of J. v. Peru. Preliminary Objection, Merits, Reparations and Costs. Judgment of November 27, 2013. Series C No. 275</w:t>
            </w:r>
          </w:p>
        </w:tc>
        <w:tc>
          <w:tcPr>
            <w:tcW w:w="4126" w:type="dxa"/>
          </w:tcPr>
          <w:p w:rsidR="00D81CE0" w:rsidRDefault="006B1396" w:rsidP="003E6667">
            <w:pPr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hyperlink r:id="rId15" w:history="1">
              <w:r w:rsidR="00D81CE0" w:rsidRPr="00201EC7">
                <w:rPr>
                  <w:rStyle w:val="Hyperlink"/>
                  <w:rFonts w:ascii="Verdana" w:hAnsi="Verdana"/>
                  <w:sz w:val="20"/>
                  <w:szCs w:val="20"/>
                  <w:lang w:val="en-US"/>
                </w:rPr>
                <w:t>http://www.corteidh.or.cr/docs/casos/articulos/seriec_275_ing.pdf</w:t>
              </w:r>
            </w:hyperlink>
            <w:r w:rsidR="00D81CE0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</w:p>
        </w:tc>
      </w:tr>
      <w:tr w:rsidR="00D81CE0" w:rsidRPr="00285EC7" w:rsidTr="003E6667">
        <w:tc>
          <w:tcPr>
            <w:tcW w:w="4928" w:type="dxa"/>
          </w:tcPr>
          <w:p w:rsidR="00D81CE0" w:rsidRDefault="00D81CE0" w:rsidP="003E6667">
            <w:pPr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r w:rsidRPr="00D40F57">
              <w:rPr>
                <w:rFonts w:ascii="Verdana" w:hAnsi="Verdana"/>
                <w:sz w:val="20"/>
                <w:szCs w:val="20"/>
                <w:lang w:val="en-US"/>
              </w:rPr>
              <w:t>Case of Velásquez Paiz et al. v. Guatemala. Preliminary Objections, Merits, Reparations and Costs. Judgment of November 19, 2015. Series C No. 307 (Only in Spanish)</w:t>
            </w:r>
          </w:p>
        </w:tc>
        <w:tc>
          <w:tcPr>
            <w:tcW w:w="4126" w:type="dxa"/>
          </w:tcPr>
          <w:p w:rsidR="00D81CE0" w:rsidRDefault="006B1396" w:rsidP="003E6667">
            <w:pPr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hyperlink r:id="rId16" w:history="1">
              <w:r w:rsidR="00D81CE0" w:rsidRPr="00201EC7">
                <w:rPr>
                  <w:rStyle w:val="Hyperlink"/>
                  <w:rFonts w:ascii="Verdana" w:hAnsi="Verdana"/>
                  <w:sz w:val="20"/>
                  <w:szCs w:val="20"/>
                  <w:lang w:val="en-US"/>
                </w:rPr>
                <w:t>http://www.corteidh.or.cr/docs/casos/articulos/seriec_307_esp.pdf</w:t>
              </w:r>
            </w:hyperlink>
            <w:r w:rsidR="00D81CE0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</w:p>
        </w:tc>
      </w:tr>
    </w:tbl>
    <w:p w:rsidR="00D81CE0" w:rsidRPr="00C70B7D" w:rsidRDefault="00D81CE0" w:rsidP="00D81CE0">
      <w:pPr>
        <w:spacing w:after="0" w:line="240" w:lineRule="auto"/>
        <w:jc w:val="both"/>
        <w:rPr>
          <w:rFonts w:ascii="Verdana" w:hAnsi="Verdana"/>
          <w:sz w:val="20"/>
          <w:szCs w:val="20"/>
          <w:lang w:val="en-US"/>
        </w:rPr>
      </w:pPr>
    </w:p>
    <w:p w:rsidR="007C7CF7" w:rsidRDefault="006B1396"/>
    <w:sectPr w:rsidR="007C7CF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CE0"/>
    <w:rsid w:val="00061B32"/>
    <w:rsid w:val="006B1396"/>
    <w:rsid w:val="00CC0E95"/>
    <w:rsid w:val="00D81CE0"/>
    <w:rsid w:val="00DE7808"/>
    <w:rsid w:val="00F83960"/>
    <w:rsid w:val="00FF1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R" w:eastAsia="es-C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CE0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81CE0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81CE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R" w:eastAsia="es-C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CE0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81CE0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81CE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rteidh.or.cr/docs/casos/articulos/seriec_216_ing.pdf" TargetMode="External"/><Relationship Id="rId13" Type="http://schemas.openxmlformats.org/officeDocument/2006/relationships/hyperlink" Target="http://corteidh.or.cr/docs/casos/articulos/seriec_242_ing.pdf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customXml" Target="../customXml/item3.xml"/><Relationship Id="rId7" Type="http://schemas.openxmlformats.org/officeDocument/2006/relationships/hyperlink" Target="http://www.corteidh.or.cr/docs/casos/articulos/seriec_160_ing.pdf" TargetMode="External"/><Relationship Id="rId12" Type="http://schemas.openxmlformats.org/officeDocument/2006/relationships/hyperlink" Target="http://corteidh.or.cr/docs/casos/articulos/seriec_239_ing.pdf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://www.corteidh.or.cr/docs/casos/articulos/seriec_307_esp.pdf" TargetMode="External"/><Relationship Id="rId20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hyperlink" Target="http://www.corteidh.or.cr/docs/casos/articulos/seriec_205_ing.pdf" TargetMode="External"/><Relationship Id="rId11" Type="http://schemas.openxmlformats.org/officeDocument/2006/relationships/hyperlink" Target="http://www.corteidh.or.cr/docs/casos/articulos/seriec_289_ing.pdf" TargetMode="External"/><Relationship Id="rId5" Type="http://schemas.openxmlformats.org/officeDocument/2006/relationships/hyperlink" Target="http://www.corteidh.or.cr/docs/opiniones/seriea_04_ing.pdf" TargetMode="External"/><Relationship Id="rId15" Type="http://schemas.openxmlformats.org/officeDocument/2006/relationships/hyperlink" Target="http://www.corteidh.or.cr/docs/casos/articulos/seriec_275_ing.pdf" TargetMode="External"/><Relationship Id="rId10" Type="http://schemas.openxmlformats.org/officeDocument/2006/relationships/hyperlink" Target="http://www.corteidh.or.cr/docs/casos/articulos/seriec_277_ing.pdf" TargetMode="External"/><Relationship Id="rId19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hyperlink" Target="http://www.corteidh.or.cr/docs/casos/articulos/seriec_215_ing.pdf" TargetMode="External"/><Relationship Id="rId14" Type="http://schemas.openxmlformats.org/officeDocument/2006/relationships/hyperlink" Target="http://www.corteidh.or.cr/docs/casos/articulos/seriec_257_ing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8F11062-7067-41B3-B22C-268D85A9FE2E}"/>
</file>

<file path=customXml/itemProps2.xml><?xml version="1.0" encoding="utf-8"?>
<ds:datastoreItem xmlns:ds="http://schemas.openxmlformats.org/officeDocument/2006/customXml" ds:itemID="{CCA0B8E8-FBBC-4C08-BA59-9A9CF920F12B}"/>
</file>

<file path=customXml/itemProps3.xml><?xml version="1.0" encoding="utf-8"?>
<ds:datastoreItem xmlns:ds="http://schemas.openxmlformats.org/officeDocument/2006/customXml" ds:itemID="{EA3CACA8-D337-4119-928F-E90F041B756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529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OHCHR</Company>
  <LinksUpToDate>false</LinksUpToDate>
  <CharactersWithSpaces>3541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Sandra Lewis</dc:creator>
  <cp:lastModifiedBy>Karin Hechenleitner Schacht</cp:lastModifiedBy>
  <cp:revision>2</cp:revision>
  <cp:lastPrinted>2016-06-09T17:03:00Z</cp:lastPrinted>
  <dcterms:created xsi:type="dcterms:W3CDTF">2016-06-09T17:03:00Z</dcterms:created>
  <dcterms:modified xsi:type="dcterms:W3CDTF">2016-06-09T17:03:00Z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  <property fmtid="{D5CDD505-2E9C-101B-9397-08002B2CF9AE}" pid="3" name="Order">
    <vt:r8>3638700</vt:r8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</Properties>
</file>