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67" w:rsidRPr="00F94F46" w:rsidRDefault="00064C67" w:rsidP="00F94F46">
      <w:pPr>
        <w:jc w:val="center"/>
        <w:rPr>
          <w:rFonts w:ascii="Times New Roman" w:hAnsi="Times New Roman" w:cs="Times New Roman"/>
          <w:b/>
          <w:u w:val="single"/>
        </w:rPr>
      </w:pPr>
      <w:r w:rsidRPr="003676A5">
        <w:rPr>
          <w:rFonts w:ascii="Times New Roman" w:hAnsi="Times New Roman" w:cs="Times New Roman"/>
          <w:b/>
          <w:u w:val="single"/>
        </w:rPr>
        <w:t xml:space="preserve">CONTRIBUTION OF THE REPUBLIC OF TURKEY FOR THE REPORT OF THE </w:t>
      </w:r>
      <w:r w:rsidR="00D52209">
        <w:rPr>
          <w:rFonts w:ascii="Times New Roman" w:hAnsi="Times New Roman" w:cs="Times New Roman"/>
          <w:b/>
          <w:u w:val="single"/>
        </w:rPr>
        <w:t>HIGH COMMISSIONER</w:t>
      </w:r>
      <w:r w:rsidRPr="003676A5">
        <w:rPr>
          <w:rFonts w:ascii="Times New Roman" w:hAnsi="Times New Roman" w:cs="Times New Roman"/>
          <w:b/>
          <w:u w:val="single"/>
        </w:rPr>
        <w:t xml:space="preserve"> PURSUANT RESOLUTION </w:t>
      </w:r>
      <w:r w:rsidR="00D52209">
        <w:rPr>
          <w:rFonts w:ascii="Times New Roman" w:hAnsi="Times New Roman" w:cs="Times New Roman"/>
          <w:b/>
          <w:u w:val="single"/>
        </w:rPr>
        <w:t>HRC/35/10</w:t>
      </w:r>
      <w:bookmarkStart w:id="0" w:name="_GoBack"/>
      <w:bookmarkEnd w:id="0"/>
    </w:p>
    <w:p w:rsidR="00520736" w:rsidRPr="003676A5" w:rsidRDefault="00F82C70" w:rsidP="00F82C70">
      <w:pPr>
        <w:pStyle w:val="Gvdemetni0"/>
        <w:shd w:val="clear" w:color="auto" w:fill="auto"/>
        <w:tabs>
          <w:tab w:val="left" w:pos="351"/>
        </w:tabs>
        <w:ind w:left="20" w:right="20" w:firstLine="0"/>
        <w:rPr>
          <w:rFonts w:ascii="Times New Roman" w:hAnsi="Times New Roman" w:cs="Times New Roman"/>
          <w:sz w:val="24"/>
          <w:szCs w:val="24"/>
        </w:rPr>
      </w:pPr>
      <w:r w:rsidRPr="003676A5">
        <w:rPr>
          <w:rFonts w:ascii="Times New Roman" w:hAnsi="Times New Roman" w:cs="Times New Roman"/>
          <w:sz w:val="24"/>
          <w:szCs w:val="24"/>
          <w:lang w:val="tr-TR"/>
        </w:rPr>
        <w:t>1-</w:t>
      </w:r>
      <w:r w:rsidR="006F3149" w:rsidRPr="003676A5">
        <w:rPr>
          <w:rFonts w:ascii="Times New Roman" w:hAnsi="Times New Roman" w:cs="Times New Roman"/>
          <w:sz w:val="24"/>
          <w:szCs w:val="24"/>
          <w:lang w:val="tr-TR"/>
        </w:rPr>
        <w:t xml:space="preserve">) </w:t>
      </w:r>
      <w:r w:rsidR="006F3149" w:rsidRPr="003676A5">
        <w:rPr>
          <w:rFonts w:ascii="Times New Roman" w:hAnsi="Times New Roman" w:cs="Times New Roman"/>
          <w:sz w:val="24"/>
          <w:szCs w:val="24"/>
        </w:rPr>
        <w:t>In combating violence against women and achieving equality between men and women, it is of significant importance to mainstream gender perspective into all policies and programs. In accordance with this purpose, action plans are implemented and activities are monitored by coordination boards and also awareness and consciousness levels of public servants are increased through trainings.</w:t>
      </w:r>
    </w:p>
    <w:p w:rsidR="00520736" w:rsidRPr="003676A5" w:rsidRDefault="006F3149">
      <w:pPr>
        <w:pStyle w:val="Gvdemetni0"/>
        <w:shd w:val="clear" w:color="auto" w:fill="auto"/>
        <w:spacing w:after="176"/>
        <w:ind w:left="20" w:right="20" w:firstLine="0"/>
        <w:rPr>
          <w:rFonts w:ascii="Times New Roman" w:hAnsi="Times New Roman" w:cs="Times New Roman"/>
          <w:sz w:val="24"/>
          <w:szCs w:val="24"/>
        </w:rPr>
      </w:pPr>
      <w:r w:rsidRPr="003676A5">
        <w:rPr>
          <w:rFonts w:ascii="Times New Roman" w:hAnsi="Times New Roman" w:cs="Times New Roman"/>
          <w:sz w:val="24"/>
          <w:szCs w:val="24"/>
        </w:rPr>
        <w:t>Action plans are prepared under coordination of the Ministry of Family and Social Policies General Directorate on the Status of Women in order to provide a framework for the steps to be taken in the field of combating violence against women and to be a guide to relevant institutional organizations. "National Action Plan on Combating Violence Against Women 2016-2020",which was ratified and put into effect in December 2016 and then distributed to relevant institutions/organisations, includes activities for men and boys. In this scope, it is planned to</w:t>
      </w:r>
    </w:p>
    <w:p w:rsidR="007865CA" w:rsidRPr="003676A5" w:rsidRDefault="006F3149" w:rsidP="007865CA">
      <w:pPr>
        <w:pStyle w:val="Gvdemetni0"/>
        <w:numPr>
          <w:ilvl w:val="0"/>
          <w:numId w:val="2"/>
        </w:numPr>
        <w:shd w:val="clear" w:color="auto" w:fill="auto"/>
        <w:spacing w:after="60" w:line="403" w:lineRule="exact"/>
        <w:ind w:right="20"/>
        <w:rPr>
          <w:rFonts w:ascii="Times New Roman" w:hAnsi="Times New Roman" w:cs="Times New Roman"/>
          <w:sz w:val="24"/>
          <w:szCs w:val="24"/>
        </w:rPr>
      </w:pPr>
      <w:r w:rsidRPr="003676A5">
        <w:rPr>
          <w:rFonts w:ascii="Times New Roman" w:hAnsi="Times New Roman" w:cs="Times New Roman"/>
          <w:sz w:val="24"/>
          <w:szCs w:val="24"/>
        </w:rPr>
        <w:t xml:space="preserve">carry out activities as a part of the objective of "awareness-raising and mentality transformation", to revise the current curriculum/programmes if required, and ensure effective implementation of them in scope of gender equality and combating violence against women at all levels of formal and informal education; </w:t>
      </w:r>
    </w:p>
    <w:p w:rsidR="007865CA" w:rsidRPr="003676A5" w:rsidRDefault="006F3149" w:rsidP="007865CA">
      <w:pPr>
        <w:pStyle w:val="Gvdemetni0"/>
        <w:numPr>
          <w:ilvl w:val="0"/>
          <w:numId w:val="2"/>
        </w:numPr>
        <w:shd w:val="clear" w:color="auto" w:fill="auto"/>
        <w:spacing w:after="60" w:line="403" w:lineRule="exact"/>
        <w:ind w:right="20"/>
        <w:rPr>
          <w:rFonts w:ascii="Times New Roman" w:hAnsi="Times New Roman" w:cs="Times New Roman"/>
          <w:sz w:val="24"/>
          <w:szCs w:val="24"/>
        </w:rPr>
      </w:pPr>
      <w:r w:rsidRPr="003676A5">
        <w:rPr>
          <w:rFonts w:ascii="Times New Roman" w:hAnsi="Times New Roman" w:cs="Times New Roman"/>
          <w:sz w:val="24"/>
          <w:szCs w:val="24"/>
        </w:rPr>
        <w:t xml:space="preserve">establish and increase the capacity of psycho-social support centers for the perpetrators of violence about whom preventive injunctions were issued under the Law No.6284 as a part of the purpose of "regulation and implementation of health services" and </w:t>
      </w:r>
    </w:p>
    <w:p w:rsidR="00520736" w:rsidRPr="003676A5" w:rsidRDefault="007865CA" w:rsidP="007865CA">
      <w:pPr>
        <w:pStyle w:val="Gvdemetni0"/>
        <w:numPr>
          <w:ilvl w:val="0"/>
          <w:numId w:val="2"/>
        </w:numPr>
        <w:shd w:val="clear" w:color="auto" w:fill="auto"/>
        <w:spacing w:after="60" w:line="403" w:lineRule="exact"/>
        <w:ind w:right="20"/>
        <w:rPr>
          <w:rFonts w:ascii="Times New Roman" w:hAnsi="Times New Roman" w:cs="Times New Roman"/>
          <w:sz w:val="24"/>
          <w:szCs w:val="24"/>
        </w:rPr>
      </w:pPr>
      <w:r w:rsidRPr="003676A5">
        <w:rPr>
          <w:rFonts w:ascii="Times New Roman" w:hAnsi="Times New Roman" w:cs="Times New Roman"/>
          <w:sz w:val="24"/>
          <w:szCs w:val="24"/>
        </w:rPr>
        <w:t>m</w:t>
      </w:r>
      <w:r w:rsidR="006F3149" w:rsidRPr="003676A5">
        <w:rPr>
          <w:rFonts w:ascii="Times New Roman" w:hAnsi="Times New Roman" w:cs="Times New Roman"/>
          <w:sz w:val="24"/>
          <w:szCs w:val="24"/>
        </w:rPr>
        <w:t>aintain current protocols and prepare new cooperation protocols in combating violence against women and to conduct research for revealing men's perception of violence, within scope of "inter-institutional cooperation and policy development".</w:t>
      </w:r>
    </w:p>
    <w:p w:rsidR="00520736" w:rsidRPr="003676A5" w:rsidRDefault="006F3149">
      <w:pPr>
        <w:pStyle w:val="Gvdemetni0"/>
        <w:shd w:val="clear" w:color="auto" w:fill="auto"/>
        <w:spacing w:after="60" w:line="403" w:lineRule="exact"/>
        <w:ind w:left="20" w:right="20" w:firstLine="0"/>
        <w:rPr>
          <w:rFonts w:ascii="Times New Roman" w:hAnsi="Times New Roman" w:cs="Times New Roman"/>
          <w:sz w:val="24"/>
          <w:szCs w:val="24"/>
        </w:rPr>
      </w:pPr>
      <w:r w:rsidRPr="003676A5">
        <w:rPr>
          <w:rFonts w:ascii="Times New Roman" w:hAnsi="Times New Roman" w:cs="Times New Roman"/>
          <w:sz w:val="24"/>
          <w:szCs w:val="24"/>
        </w:rPr>
        <w:t>Within scope of "the Project on Combating Domestic Violence" implemented between 2014 and 2016, Provincial Action Plans on Combating Violence against Women ,being currently implemented in 26 provinces, were created in order for more effective implementation of the National Action Plan at the provincial level. Activities for men and boys were included in the action plans. In addition, within scope of the project, training/trainers' trainings were organized for Police Officers, Healthcare Staff, Judges and Prosecutors, Experts at Family Courts, Editors in Chief and Personnel of our Ministry, 1280 people in total.</w:t>
      </w:r>
    </w:p>
    <w:p w:rsidR="00520736" w:rsidRPr="003676A5" w:rsidRDefault="006F3149">
      <w:pPr>
        <w:pStyle w:val="Gvdemetni0"/>
        <w:shd w:val="clear" w:color="auto" w:fill="auto"/>
        <w:spacing w:after="124" w:line="403" w:lineRule="exact"/>
        <w:ind w:left="20" w:right="20" w:firstLine="0"/>
        <w:rPr>
          <w:rFonts w:ascii="Times New Roman" w:hAnsi="Times New Roman" w:cs="Times New Roman"/>
          <w:sz w:val="24"/>
          <w:szCs w:val="24"/>
        </w:rPr>
      </w:pPr>
      <w:r w:rsidRPr="003676A5">
        <w:rPr>
          <w:rFonts w:ascii="Times New Roman" w:hAnsi="Times New Roman" w:cs="Times New Roman"/>
          <w:sz w:val="24"/>
          <w:szCs w:val="24"/>
        </w:rPr>
        <w:t xml:space="preserve">Within scope of the Protocol signed between Ministry of National Defense and MoFSP in order for raising men's awareness, trainings are organized for rank and files performing their military </w:t>
      </w:r>
      <w:r w:rsidRPr="003676A5">
        <w:rPr>
          <w:rFonts w:ascii="Times New Roman" w:hAnsi="Times New Roman" w:cs="Times New Roman"/>
          <w:sz w:val="24"/>
          <w:szCs w:val="24"/>
        </w:rPr>
        <w:lastRenderedPageBreak/>
        <w:t>services under Turkish Military Forces. Within scope of the program, four-phased training program is carried out and the subject of "gender equality" is included in varying periods and detail in every phase of thel5-day specialized trainers program, 5-day training for trainers, 2-day training for unit trainers and 6-hour trainings for raw and specialized rank and files.</w:t>
      </w:r>
    </w:p>
    <w:p w:rsidR="00520736" w:rsidRPr="003676A5" w:rsidRDefault="006F3149">
      <w:pPr>
        <w:pStyle w:val="Gvdemetni0"/>
        <w:shd w:val="clear" w:color="auto" w:fill="auto"/>
        <w:spacing w:after="116"/>
        <w:ind w:left="20" w:right="20" w:firstLine="0"/>
        <w:rPr>
          <w:rFonts w:ascii="Times New Roman" w:hAnsi="Times New Roman" w:cs="Times New Roman"/>
          <w:sz w:val="24"/>
          <w:szCs w:val="24"/>
        </w:rPr>
      </w:pPr>
      <w:r w:rsidRPr="003676A5">
        <w:rPr>
          <w:rFonts w:ascii="Times New Roman" w:hAnsi="Times New Roman" w:cs="Times New Roman"/>
          <w:sz w:val="24"/>
          <w:szCs w:val="24"/>
        </w:rPr>
        <w:t>The services to be provided for the violence perpetrators were identified under the Law No. 6284 and implementation and follow-up procedures of the injunctions related to health services at the VPMCs are carried out. Works with the Ministry of Health are maintained on implementing the measures regarding participation of the person with rehabilitation injunction in the rehabilitation programs. The duty of formation and implementation of rehabilitation programs for the perpetrators was assigned to the Ministry of Health. A protocol was signed between Our Ministry and Ministry of Health on this issue.</w:t>
      </w:r>
    </w:p>
    <w:p w:rsidR="00520736" w:rsidRPr="003676A5" w:rsidRDefault="006F3149">
      <w:pPr>
        <w:pStyle w:val="Gvdemetni0"/>
        <w:shd w:val="clear" w:color="auto" w:fill="auto"/>
        <w:spacing w:after="120" w:line="403" w:lineRule="exact"/>
        <w:ind w:left="20" w:right="20" w:firstLine="0"/>
        <w:rPr>
          <w:rFonts w:ascii="Times New Roman" w:hAnsi="Times New Roman" w:cs="Times New Roman"/>
          <w:sz w:val="24"/>
          <w:szCs w:val="24"/>
        </w:rPr>
      </w:pPr>
      <w:r w:rsidRPr="003676A5">
        <w:rPr>
          <w:rFonts w:ascii="Times New Roman" w:hAnsi="Times New Roman" w:cs="Times New Roman"/>
          <w:sz w:val="24"/>
          <w:szCs w:val="24"/>
        </w:rPr>
        <w:t>A total of 50.837 people, 37.680 women, 10.711 children and 2.446 men, received services from Violence Prevention and Monitoring Centers(VPMC) in 2016. At VPMCs, a total of 7.918 services, including 984 referrals to training and rehabilitation programs and counseling, 4.419 guidance and counseling for examination or treatment at any healthcare organization, 62 referrals and guidance for vocational courses, 2.453 psycho-social supports were provided for the perpetrators of violence.</w:t>
      </w:r>
    </w:p>
    <w:p w:rsidR="00520736" w:rsidRPr="003676A5" w:rsidRDefault="00525F58" w:rsidP="00525F58">
      <w:pPr>
        <w:pStyle w:val="Gvdemetni0"/>
        <w:shd w:val="clear" w:color="auto" w:fill="auto"/>
        <w:tabs>
          <w:tab w:val="left" w:pos="366"/>
        </w:tabs>
        <w:spacing w:after="120" w:line="403" w:lineRule="exact"/>
        <w:ind w:right="20" w:firstLine="0"/>
        <w:rPr>
          <w:rFonts w:ascii="Times New Roman" w:hAnsi="Times New Roman" w:cs="Times New Roman"/>
          <w:sz w:val="24"/>
          <w:szCs w:val="24"/>
        </w:rPr>
      </w:pPr>
      <w:r w:rsidRPr="003676A5">
        <w:rPr>
          <w:rFonts w:ascii="Times New Roman" w:hAnsi="Times New Roman" w:cs="Times New Roman"/>
          <w:sz w:val="24"/>
          <w:szCs w:val="24"/>
        </w:rPr>
        <w:t>2-</w:t>
      </w:r>
      <w:r w:rsidR="006F3149" w:rsidRPr="003676A5">
        <w:rPr>
          <w:rFonts w:ascii="Times New Roman" w:hAnsi="Times New Roman" w:cs="Times New Roman"/>
          <w:sz w:val="24"/>
          <w:szCs w:val="24"/>
        </w:rPr>
        <w:t>)</w:t>
      </w:r>
      <w:r w:rsidR="006F3149" w:rsidRPr="003676A5">
        <w:rPr>
          <w:rFonts w:ascii="Times New Roman" w:hAnsi="Times New Roman" w:cs="Times New Roman"/>
          <w:sz w:val="24"/>
          <w:szCs w:val="24"/>
        </w:rPr>
        <w:tab/>
        <w:t>The challenges in the activities targeting men are the inability to reach the target group, prejudices based on the refusal on part of men to recognize women's problems as "serious" issues", and such attitudes and behaviors of the perpetrators of violence particularly as "justifying" violence or blaming women for it.</w:t>
      </w:r>
    </w:p>
    <w:p w:rsidR="00520736" w:rsidRPr="003676A5" w:rsidRDefault="00525F58" w:rsidP="00525F58">
      <w:pPr>
        <w:pStyle w:val="Gvdemetni0"/>
        <w:shd w:val="clear" w:color="auto" w:fill="auto"/>
        <w:tabs>
          <w:tab w:val="left" w:pos="366"/>
        </w:tabs>
        <w:spacing w:after="0" w:line="403" w:lineRule="exact"/>
        <w:ind w:right="20" w:firstLine="0"/>
        <w:rPr>
          <w:rFonts w:ascii="Times New Roman" w:hAnsi="Times New Roman" w:cs="Times New Roman"/>
          <w:sz w:val="24"/>
          <w:szCs w:val="24"/>
        </w:rPr>
      </w:pPr>
      <w:r w:rsidRPr="003676A5">
        <w:rPr>
          <w:rFonts w:ascii="Times New Roman" w:hAnsi="Times New Roman" w:cs="Times New Roman"/>
          <w:sz w:val="24"/>
          <w:szCs w:val="24"/>
        </w:rPr>
        <w:t>3-</w:t>
      </w:r>
      <w:r w:rsidR="006F3149" w:rsidRPr="003676A5">
        <w:rPr>
          <w:rFonts w:ascii="Times New Roman" w:hAnsi="Times New Roman" w:cs="Times New Roman"/>
          <w:sz w:val="24"/>
          <w:szCs w:val="24"/>
        </w:rPr>
        <w:t>)</w:t>
      </w:r>
      <w:r w:rsidR="006F3149" w:rsidRPr="003676A5">
        <w:rPr>
          <w:rFonts w:ascii="Times New Roman" w:hAnsi="Times New Roman" w:cs="Times New Roman"/>
          <w:sz w:val="24"/>
          <w:szCs w:val="24"/>
        </w:rPr>
        <w:tab/>
        <w:t>It is endeavored to involve women and girls in the activities carried out to raise awareness and achieve mental transformation, the trainings run in scope of the protocols for the public personnel with overwhelming number of male members, review of curriculum and training materials and several other activities. In addition, special attention is paid to engage the relevant nongovernmental organizations in all the processes of policy-making and service provision. This is realized employing various methods such as involving NGOs in the related meetings and workshops, taking part in the NGO projects as stakeholders, reviewing the opinions, reports and etc. submitted by the nongovernmental organizations and transferring funds to nongovernmental organizations (grants were given to 19 NGOs from 11 provinces, in scope of the EU Project on Combating Domestic Violence against Women 2014-2016).</w:t>
      </w:r>
    </w:p>
    <w:sectPr w:rsidR="00520736" w:rsidRPr="003676A5">
      <w:type w:val="continuous"/>
      <w:pgSz w:w="11909" w:h="16838"/>
      <w:pgMar w:top="1726" w:right="1436" w:bottom="1482" w:left="9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E5" w:rsidRDefault="00A42BE5">
      <w:r>
        <w:separator/>
      </w:r>
    </w:p>
  </w:endnote>
  <w:endnote w:type="continuationSeparator" w:id="0">
    <w:p w:rsidR="00A42BE5" w:rsidRDefault="00A4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E5" w:rsidRDefault="00A42BE5"/>
  </w:footnote>
  <w:footnote w:type="continuationSeparator" w:id="0">
    <w:p w:rsidR="00A42BE5" w:rsidRDefault="00A42B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D6445"/>
    <w:multiLevelType w:val="hybridMultilevel"/>
    <w:tmpl w:val="24B6C702"/>
    <w:lvl w:ilvl="0" w:tplc="041F0001">
      <w:start w:val="1"/>
      <w:numFmt w:val="bullet"/>
      <w:lvlText w:val=""/>
      <w:lvlJc w:val="left"/>
      <w:pPr>
        <w:ind w:left="1100" w:hanging="360"/>
      </w:pPr>
      <w:rPr>
        <w:rFonts w:ascii="Symbol" w:hAnsi="Symbol" w:hint="default"/>
      </w:rPr>
    </w:lvl>
    <w:lvl w:ilvl="1" w:tplc="D710F7CE">
      <w:numFmt w:val="bullet"/>
      <w:lvlText w:val="•"/>
      <w:lvlJc w:val="left"/>
      <w:pPr>
        <w:ind w:left="1820" w:hanging="360"/>
      </w:pPr>
      <w:rPr>
        <w:rFonts w:ascii="Calibri" w:eastAsia="Calibri" w:hAnsi="Calibri" w:cs="Calibri"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1" w15:restartNumberingAfterBreak="0">
    <w:nsid w:val="77356EC5"/>
    <w:multiLevelType w:val="multilevel"/>
    <w:tmpl w:val="BA26EA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520736"/>
    <w:rsid w:val="00007AF7"/>
    <w:rsid w:val="00064C67"/>
    <w:rsid w:val="003676A5"/>
    <w:rsid w:val="00520736"/>
    <w:rsid w:val="00525F58"/>
    <w:rsid w:val="006F3149"/>
    <w:rsid w:val="00725176"/>
    <w:rsid w:val="007865CA"/>
    <w:rsid w:val="00A42BE5"/>
    <w:rsid w:val="00D3465A"/>
    <w:rsid w:val="00D52209"/>
    <w:rsid w:val="00F82C70"/>
    <w:rsid w:val="00F94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927CE"/>
  <w15:docId w15:val="{8C6E7CA8-8A9A-4C97-87CC-74CDE4D9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Resimyazs2Exact">
    <w:name w:val="Resim yazısı (2) Exact"/>
    <w:basedOn w:val="DefaultParagraphFont"/>
    <w:link w:val="Resimyazs2"/>
    <w:rPr>
      <w:rFonts w:ascii="Century Gothic" w:eastAsia="Century Gothic" w:hAnsi="Century Gothic" w:cs="Century Gothic"/>
      <w:b w:val="0"/>
      <w:bCs w:val="0"/>
      <w:i w:val="0"/>
      <w:iCs w:val="0"/>
      <w:smallCaps w:val="0"/>
      <w:strike w:val="0"/>
      <w:spacing w:val="30"/>
      <w:sz w:val="12"/>
      <w:szCs w:val="12"/>
      <w:u w:val="none"/>
      <w:lang w:val="tr-TR"/>
    </w:rPr>
  </w:style>
  <w:style w:type="character" w:customStyle="1" w:styleId="ResimyazsExact">
    <w:name w:val="Resim yazısı Exact"/>
    <w:basedOn w:val="DefaultParagraphFont"/>
    <w:rPr>
      <w:rFonts w:ascii="Times New Roman" w:eastAsia="Times New Roman" w:hAnsi="Times New Roman" w:cs="Times New Roman"/>
      <w:b w:val="0"/>
      <w:bCs w:val="0"/>
      <w:i w:val="0"/>
      <w:iCs w:val="0"/>
      <w:smallCaps w:val="0"/>
      <w:strike w:val="0"/>
      <w:spacing w:val="1"/>
      <w:sz w:val="14"/>
      <w:szCs w:val="14"/>
      <w:u w:val="none"/>
      <w:lang w:val="tr-TR"/>
    </w:rPr>
  </w:style>
  <w:style w:type="character" w:customStyle="1" w:styleId="Resimyazs3Exact">
    <w:name w:val="Resim yazısı (3) Exact"/>
    <w:basedOn w:val="DefaultParagraphFont"/>
    <w:link w:val="Resimyazs3"/>
    <w:rPr>
      <w:rFonts w:ascii="Times New Roman" w:eastAsia="Times New Roman" w:hAnsi="Times New Roman" w:cs="Times New Roman"/>
      <w:b w:val="0"/>
      <w:bCs w:val="0"/>
      <w:i w:val="0"/>
      <w:iCs w:val="0"/>
      <w:smallCaps w:val="0"/>
      <w:strike w:val="0"/>
      <w:spacing w:val="4"/>
      <w:sz w:val="15"/>
      <w:szCs w:val="15"/>
      <w:u w:val="none"/>
      <w:lang w:val="tr-TR"/>
    </w:rPr>
  </w:style>
  <w:style w:type="character" w:customStyle="1" w:styleId="Gvdemetni3Exact">
    <w:name w:val="Gövde metni (3) Exact"/>
    <w:basedOn w:val="DefaultParagraphFont"/>
    <w:link w:val="Gvdemetni3"/>
    <w:rPr>
      <w:rFonts w:ascii="Times New Roman" w:eastAsia="Times New Roman" w:hAnsi="Times New Roman" w:cs="Times New Roman"/>
      <w:b w:val="0"/>
      <w:bCs w:val="0"/>
      <w:i/>
      <w:iCs/>
      <w:smallCaps w:val="0"/>
      <w:strike w:val="0"/>
      <w:spacing w:val="-22"/>
      <w:sz w:val="33"/>
      <w:szCs w:val="33"/>
      <w:u w:val="none"/>
      <w:lang w:val="tr-TR"/>
    </w:rPr>
  </w:style>
  <w:style w:type="character" w:customStyle="1" w:styleId="Gvdemetni2">
    <w:name w:val="Gövde metni (2)_"/>
    <w:basedOn w:val="DefaultParagraphFont"/>
    <w:link w:val="Gvdemetni20"/>
    <w:rPr>
      <w:rFonts w:ascii="Times New Roman" w:eastAsia="Times New Roman" w:hAnsi="Times New Roman" w:cs="Times New Roman"/>
      <w:b w:val="0"/>
      <w:bCs w:val="0"/>
      <w:i w:val="0"/>
      <w:iCs w:val="0"/>
      <w:smallCaps w:val="0"/>
      <w:strike w:val="0"/>
      <w:sz w:val="21"/>
      <w:szCs w:val="21"/>
      <w:u w:val="none"/>
      <w:lang w:val="tr-TR"/>
    </w:rPr>
  </w:style>
  <w:style w:type="character" w:customStyle="1" w:styleId="Gvdemetni2Exact">
    <w:name w:val="Gövde metni (2) Exact"/>
    <w:basedOn w:val="DefaultParagraphFont"/>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Balk1">
    <w:name w:val="Başlık #1_"/>
    <w:basedOn w:val="DefaultParagraphFont"/>
    <w:link w:val="Balk10"/>
    <w:rPr>
      <w:rFonts w:ascii="Calibri" w:eastAsia="Calibri" w:hAnsi="Calibri" w:cs="Calibri"/>
      <w:b w:val="0"/>
      <w:bCs w:val="0"/>
      <w:i w:val="0"/>
      <w:iCs w:val="0"/>
      <w:smallCaps w:val="0"/>
      <w:strike w:val="0"/>
      <w:sz w:val="73"/>
      <w:szCs w:val="73"/>
      <w:u w:val="none"/>
      <w:lang w:val="tr-TR"/>
    </w:rPr>
  </w:style>
  <w:style w:type="character" w:customStyle="1" w:styleId="Balk11">
    <w:name w:val="Başlık #1"/>
    <w:basedOn w:val="Balk1"/>
    <w:rPr>
      <w:rFonts w:ascii="Calibri" w:eastAsia="Calibri" w:hAnsi="Calibri" w:cs="Calibri"/>
      <w:b w:val="0"/>
      <w:bCs w:val="0"/>
      <w:i w:val="0"/>
      <w:iCs w:val="0"/>
      <w:smallCaps w:val="0"/>
      <w:strike w:val="0"/>
      <w:color w:val="000000"/>
      <w:spacing w:val="0"/>
      <w:w w:val="100"/>
      <w:position w:val="0"/>
      <w:sz w:val="73"/>
      <w:szCs w:val="73"/>
      <w:u w:val="none"/>
      <w:lang w:val="tr-TR"/>
    </w:rPr>
  </w:style>
  <w:style w:type="character" w:customStyle="1" w:styleId="Gvdemetni5Exact">
    <w:name w:val="Gövde metni (5) Exact"/>
    <w:basedOn w:val="DefaultParagraphFont"/>
    <w:rPr>
      <w:rFonts w:ascii="Times New Roman" w:eastAsia="Times New Roman" w:hAnsi="Times New Roman" w:cs="Times New Roman"/>
      <w:b w:val="0"/>
      <w:bCs w:val="0"/>
      <w:i w:val="0"/>
      <w:iCs w:val="0"/>
      <w:smallCaps w:val="0"/>
      <w:strike w:val="0"/>
      <w:spacing w:val="-2"/>
      <w:sz w:val="12"/>
      <w:szCs w:val="12"/>
      <w:u w:val="none"/>
      <w:lang w:val="tr-TR"/>
    </w:rPr>
  </w:style>
  <w:style w:type="character" w:customStyle="1" w:styleId="Resimyazs">
    <w:name w:val="Resim yazısı_"/>
    <w:basedOn w:val="DefaultParagraphFont"/>
    <w:link w:val="Resimyazs0"/>
    <w:rPr>
      <w:rFonts w:ascii="Times New Roman" w:eastAsia="Times New Roman" w:hAnsi="Times New Roman" w:cs="Times New Roman"/>
      <w:b w:val="0"/>
      <w:bCs w:val="0"/>
      <w:i w:val="0"/>
      <w:iCs w:val="0"/>
      <w:smallCaps w:val="0"/>
      <w:strike w:val="0"/>
      <w:sz w:val="14"/>
      <w:szCs w:val="14"/>
      <w:u w:val="none"/>
    </w:rPr>
  </w:style>
  <w:style w:type="character" w:customStyle="1" w:styleId="Resimyazs1">
    <w:name w:val="Resim yazısı"/>
    <w:basedOn w:val="Resimyazs"/>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ResimyazsCalibri11pt">
    <w:name w:val="Resim yazısı + Calibri;11 pt"/>
    <w:basedOn w:val="Resimyazs"/>
    <w:rPr>
      <w:rFonts w:ascii="Calibri" w:eastAsia="Calibri" w:hAnsi="Calibri" w:cs="Calibri"/>
      <w:b w:val="0"/>
      <w:bCs w:val="0"/>
      <w:i w:val="0"/>
      <w:iCs w:val="0"/>
      <w:smallCaps w:val="0"/>
      <w:strike w:val="0"/>
      <w:color w:val="000000"/>
      <w:spacing w:val="0"/>
      <w:w w:val="100"/>
      <w:position w:val="0"/>
      <w:sz w:val="22"/>
      <w:szCs w:val="22"/>
      <w:u w:val="none"/>
      <w:lang w:val="tr-TR"/>
    </w:rPr>
  </w:style>
  <w:style w:type="character" w:customStyle="1" w:styleId="Gvdemetni4">
    <w:name w:val="Gövde metni (4)_"/>
    <w:basedOn w:val="DefaultParagraphFont"/>
    <w:link w:val="Gvdemetni40"/>
    <w:rPr>
      <w:rFonts w:ascii="Times New Roman" w:eastAsia="Times New Roman" w:hAnsi="Times New Roman" w:cs="Times New Roman"/>
      <w:b w:val="0"/>
      <w:bCs w:val="0"/>
      <w:i w:val="0"/>
      <w:iCs w:val="0"/>
      <w:smallCaps w:val="0"/>
      <w:strike w:val="0"/>
      <w:sz w:val="15"/>
      <w:szCs w:val="15"/>
      <w:u w:val="none"/>
      <w:lang w:val="tr-TR"/>
    </w:rPr>
  </w:style>
  <w:style w:type="character" w:customStyle="1" w:styleId="Gvdemetni5">
    <w:name w:val="Gövde metni (5)_"/>
    <w:basedOn w:val="DefaultParagraphFont"/>
    <w:link w:val="Gvdemetni50"/>
    <w:rPr>
      <w:rFonts w:ascii="Times New Roman" w:eastAsia="Times New Roman" w:hAnsi="Times New Roman" w:cs="Times New Roman"/>
      <w:b w:val="0"/>
      <w:bCs w:val="0"/>
      <w:i w:val="0"/>
      <w:iCs w:val="0"/>
      <w:smallCaps w:val="0"/>
      <w:strike w:val="0"/>
      <w:sz w:val="12"/>
      <w:szCs w:val="12"/>
      <w:u w:val="none"/>
      <w:lang w:val="tr-TR"/>
    </w:rPr>
  </w:style>
  <w:style w:type="character" w:customStyle="1" w:styleId="Gvdemetni51">
    <w:name w:val="Gövde metni (5)"/>
    <w:basedOn w:val="Gvdemetni5"/>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tr-TR"/>
    </w:rPr>
  </w:style>
  <w:style w:type="character" w:customStyle="1" w:styleId="Gvdemetni">
    <w:name w:val="Gövde metni_"/>
    <w:basedOn w:val="DefaultParagraphFont"/>
    <w:link w:val="Gvdemetni0"/>
    <w:rPr>
      <w:rFonts w:ascii="Calibri" w:eastAsia="Calibri" w:hAnsi="Calibri" w:cs="Calibri"/>
      <w:b w:val="0"/>
      <w:bCs w:val="0"/>
      <w:i w:val="0"/>
      <w:iCs w:val="0"/>
      <w:smallCaps w:val="0"/>
      <w:strike w:val="0"/>
      <w:sz w:val="21"/>
      <w:szCs w:val="21"/>
      <w:u w:val="none"/>
    </w:rPr>
  </w:style>
  <w:style w:type="character" w:customStyle="1" w:styleId="stbilgiveyaaltbilgi">
    <w:name w:val="Üst bilgi veya alt bilgi_"/>
    <w:basedOn w:val="DefaultParagraphFont"/>
    <w:link w:val="stbilgiveyaaltbilgi0"/>
    <w:rPr>
      <w:rFonts w:ascii="Calibri" w:eastAsia="Calibri" w:hAnsi="Calibri" w:cs="Calibri"/>
      <w:b/>
      <w:bCs/>
      <w:i w:val="0"/>
      <w:iCs w:val="0"/>
      <w:smallCaps w:val="0"/>
      <w:strike w:val="0"/>
      <w:sz w:val="21"/>
      <w:szCs w:val="21"/>
      <w:u w:val="none"/>
      <w:lang w:val="tr-TR"/>
    </w:rPr>
  </w:style>
  <w:style w:type="character" w:customStyle="1" w:styleId="stbilgiveyaaltbilgi1">
    <w:name w:val="Üst bilgi veya alt bilgi"/>
    <w:basedOn w:val="stbilgiveyaaltbilgi"/>
    <w:rPr>
      <w:rFonts w:ascii="Calibri" w:eastAsia="Calibri" w:hAnsi="Calibri" w:cs="Calibri"/>
      <w:b/>
      <w:bCs/>
      <w:i w:val="0"/>
      <w:iCs w:val="0"/>
      <w:smallCaps w:val="0"/>
      <w:strike w:val="0"/>
      <w:color w:val="000000"/>
      <w:spacing w:val="0"/>
      <w:w w:val="100"/>
      <w:position w:val="0"/>
      <w:sz w:val="21"/>
      <w:szCs w:val="21"/>
      <w:u w:val="none"/>
      <w:lang w:val="tr-TR"/>
    </w:rPr>
  </w:style>
  <w:style w:type="paragraph" w:customStyle="1" w:styleId="Resimyazs2">
    <w:name w:val="Resim yazısı (2)"/>
    <w:basedOn w:val="Normal"/>
    <w:link w:val="Resimyazs2Exact"/>
    <w:pPr>
      <w:shd w:val="clear" w:color="auto" w:fill="FFFFFF"/>
      <w:spacing w:line="0" w:lineRule="atLeast"/>
    </w:pPr>
    <w:rPr>
      <w:rFonts w:ascii="Century Gothic" w:eastAsia="Century Gothic" w:hAnsi="Century Gothic" w:cs="Century Gothic"/>
      <w:spacing w:val="30"/>
      <w:sz w:val="12"/>
      <w:szCs w:val="12"/>
      <w:lang w:val="tr-TR"/>
    </w:rPr>
  </w:style>
  <w:style w:type="paragraph" w:customStyle="1" w:styleId="Resimyazs0">
    <w:name w:val="Resim yazısı"/>
    <w:basedOn w:val="Normal"/>
    <w:link w:val="Resimyazs"/>
    <w:pPr>
      <w:shd w:val="clear" w:color="auto" w:fill="FFFFFF"/>
      <w:spacing w:line="120" w:lineRule="exact"/>
    </w:pPr>
    <w:rPr>
      <w:rFonts w:ascii="Times New Roman" w:eastAsia="Times New Roman" w:hAnsi="Times New Roman" w:cs="Times New Roman"/>
      <w:sz w:val="14"/>
      <w:szCs w:val="14"/>
    </w:rPr>
  </w:style>
  <w:style w:type="paragraph" w:customStyle="1" w:styleId="Resimyazs3">
    <w:name w:val="Resim yazısı (3)"/>
    <w:basedOn w:val="Normal"/>
    <w:link w:val="Resimyazs3Exact"/>
    <w:pPr>
      <w:shd w:val="clear" w:color="auto" w:fill="FFFFFF"/>
      <w:spacing w:line="120" w:lineRule="exact"/>
    </w:pPr>
    <w:rPr>
      <w:rFonts w:ascii="Times New Roman" w:eastAsia="Times New Roman" w:hAnsi="Times New Roman" w:cs="Times New Roman"/>
      <w:spacing w:val="4"/>
      <w:sz w:val="15"/>
      <w:szCs w:val="15"/>
      <w:lang w:val="tr-TR"/>
    </w:rPr>
  </w:style>
  <w:style w:type="paragraph" w:customStyle="1" w:styleId="Gvdemetni3">
    <w:name w:val="Gövde metni (3)"/>
    <w:basedOn w:val="Normal"/>
    <w:link w:val="Gvdemetni3Exact"/>
    <w:pPr>
      <w:shd w:val="clear" w:color="auto" w:fill="FFFFFF"/>
      <w:spacing w:line="0" w:lineRule="atLeast"/>
    </w:pPr>
    <w:rPr>
      <w:rFonts w:ascii="Times New Roman" w:eastAsia="Times New Roman" w:hAnsi="Times New Roman" w:cs="Times New Roman"/>
      <w:i/>
      <w:iCs/>
      <w:spacing w:val="-22"/>
      <w:sz w:val="33"/>
      <w:szCs w:val="33"/>
      <w:lang w:val="tr-TR"/>
    </w:rPr>
  </w:style>
  <w:style w:type="paragraph" w:customStyle="1" w:styleId="Gvdemetni20">
    <w:name w:val="Gövde metni (2)"/>
    <w:basedOn w:val="Normal"/>
    <w:link w:val="Gvdemetni2"/>
    <w:pPr>
      <w:shd w:val="clear" w:color="auto" w:fill="FFFFFF"/>
      <w:spacing w:line="259" w:lineRule="exact"/>
      <w:ind w:hanging="660"/>
    </w:pPr>
    <w:rPr>
      <w:rFonts w:ascii="Times New Roman" w:eastAsia="Times New Roman" w:hAnsi="Times New Roman" w:cs="Times New Roman"/>
      <w:sz w:val="21"/>
      <w:szCs w:val="21"/>
      <w:lang w:val="tr-TR"/>
    </w:rPr>
  </w:style>
  <w:style w:type="paragraph" w:customStyle="1" w:styleId="Balk10">
    <w:name w:val="Başlık #1"/>
    <w:basedOn w:val="Normal"/>
    <w:link w:val="Balk1"/>
    <w:pPr>
      <w:shd w:val="clear" w:color="auto" w:fill="FFFFFF"/>
      <w:spacing w:after="180" w:line="0" w:lineRule="atLeast"/>
      <w:jc w:val="right"/>
      <w:outlineLvl w:val="0"/>
    </w:pPr>
    <w:rPr>
      <w:rFonts w:ascii="Calibri" w:eastAsia="Calibri" w:hAnsi="Calibri" w:cs="Calibri"/>
      <w:sz w:val="73"/>
      <w:szCs w:val="73"/>
      <w:lang w:val="tr-TR"/>
    </w:rPr>
  </w:style>
  <w:style w:type="paragraph" w:customStyle="1" w:styleId="Gvdemetni50">
    <w:name w:val="Gövde metni (5)"/>
    <w:basedOn w:val="Normal"/>
    <w:link w:val="Gvdemetni5"/>
    <w:pPr>
      <w:shd w:val="clear" w:color="auto" w:fill="FFFFFF"/>
      <w:spacing w:before="300" w:line="178" w:lineRule="exact"/>
    </w:pPr>
    <w:rPr>
      <w:rFonts w:ascii="Times New Roman" w:eastAsia="Times New Roman" w:hAnsi="Times New Roman" w:cs="Times New Roman"/>
      <w:sz w:val="12"/>
      <w:szCs w:val="12"/>
      <w:lang w:val="tr-TR"/>
    </w:rPr>
  </w:style>
  <w:style w:type="paragraph" w:customStyle="1" w:styleId="Gvdemetni40">
    <w:name w:val="Gövde metni (4)"/>
    <w:basedOn w:val="Normal"/>
    <w:link w:val="Gvdemetni4"/>
    <w:pPr>
      <w:shd w:val="clear" w:color="auto" w:fill="FFFFFF"/>
      <w:spacing w:after="300" w:line="202" w:lineRule="exact"/>
    </w:pPr>
    <w:rPr>
      <w:rFonts w:ascii="Times New Roman" w:eastAsia="Times New Roman" w:hAnsi="Times New Roman" w:cs="Times New Roman"/>
      <w:sz w:val="15"/>
      <w:szCs w:val="15"/>
      <w:lang w:val="tr-TR"/>
    </w:rPr>
  </w:style>
  <w:style w:type="paragraph" w:customStyle="1" w:styleId="Gvdemetni0">
    <w:name w:val="Gövde metni"/>
    <w:basedOn w:val="Normal"/>
    <w:link w:val="Gvdemetni"/>
    <w:pPr>
      <w:shd w:val="clear" w:color="auto" w:fill="FFFFFF"/>
      <w:spacing w:after="180" w:line="398" w:lineRule="exact"/>
      <w:ind w:hanging="360"/>
      <w:jc w:val="both"/>
    </w:pPr>
    <w:rPr>
      <w:rFonts w:ascii="Calibri" w:eastAsia="Calibri" w:hAnsi="Calibri" w:cs="Calibri"/>
      <w:sz w:val="21"/>
      <w:szCs w:val="21"/>
    </w:rPr>
  </w:style>
  <w:style w:type="paragraph" w:customStyle="1" w:styleId="stbilgiveyaaltbilgi0">
    <w:name w:val="Üst bilgi veya alt bilgi"/>
    <w:basedOn w:val="Normal"/>
    <w:link w:val="stbilgiveyaaltbilgi"/>
    <w:pPr>
      <w:shd w:val="clear" w:color="auto" w:fill="FFFFFF"/>
      <w:spacing w:line="0" w:lineRule="atLeast"/>
    </w:pPr>
    <w:rPr>
      <w:rFonts w:ascii="Calibri" w:eastAsia="Calibri" w:hAnsi="Calibri" w:cs="Calibri"/>
      <w:b/>
      <w:bCs/>
      <w:sz w:val="21"/>
      <w:szCs w:val="21"/>
      <w:lang w:val="tr-TR"/>
    </w:rPr>
  </w:style>
  <w:style w:type="paragraph" w:styleId="Header">
    <w:name w:val="header"/>
    <w:basedOn w:val="Normal"/>
    <w:link w:val="HeaderChar"/>
    <w:uiPriority w:val="99"/>
    <w:unhideWhenUsed/>
    <w:rsid w:val="00064C67"/>
    <w:pPr>
      <w:tabs>
        <w:tab w:val="center" w:pos="4513"/>
        <w:tab w:val="right" w:pos="9026"/>
      </w:tabs>
    </w:pPr>
  </w:style>
  <w:style w:type="character" w:customStyle="1" w:styleId="HeaderChar">
    <w:name w:val="Header Char"/>
    <w:basedOn w:val="DefaultParagraphFont"/>
    <w:link w:val="Header"/>
    <w:uiPriority w:val="99"/>
    <w:rsid w:val="00064C67"/>
    <w:rPr>
      <w:color w:val="000000"/>
    </w:rPr>
  </w:style>
  <w:style w:type="paragraph" w:styleId="Footer">
    <w:name w:val="footer"/>
    <w:basedOn w:val="Normal"/>
    <w:link w:val="FooterChar"/>
    <w:uiPriority w:val="99"/>
    <w:unhideWhenUsed/>
    <w:rsid w:val="00064C67"/>
    <w:pPr>
      <w:tabs>
        <w:tab w:val="center" w:pos="4513"/>
        <w:tab w:val="right" w:pos="9026"/>
      </w:tabs>
    </w:pPr>
  </w:style>
  <w:style w:type="character" w:customStyle="1" w:styleId="FooterChar">
    <w:name w:val="Footer Char"/>
    <w:basedOn w:val="DefaultParagraphFont"/>
    <w:link w:val="Footer"/>
    <w:uiPriority w:val="99"/>
    <w:rsid w:val="00064C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8F79A3-C81B-4CC4-814C-98F024A6EA90}"/>
</file>

<file path=customXml/itemProps2.xml><?xml version="1.0" encoding="utf-8"?>
<ds:datastoreItem xmlns:ds="http://schemas.openxmlformats.org/officeDocument/2006/customXml" ds:itemID="{B172A672-72C9-4F53-B196-C804C0F428B5}"/>
</file>

<file path=customXml/itemProps3.xml><?xml version="1.0" encoding="utf-8"?>
<ds:datastoreItem xmlns:ds="http://schemas.openxmlformats.org/officeDocument/2006/customXml" ds:itemID="{2767D381-4D12-4BCE-AB38-1A4AB2839362}"/>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4569</Characters>
  <Application>Microsoft Office Word</Application>
  <DocSecurity>0</DocSecurity>
  <Lines>38</Lines>
  <Paragraphs>10</Paragraphs>
  <ScaleCrop>false</ScaleCrop>
  <Company>MFA</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Özbey</dc:creator>
  <cp:lastModifiedBy>Esra Dicle</cp:lastModifiedBy>
  <cp:revision>9</cp:revision>
  <dcterms:created xsi:type="dcterms:W3CDTF">2017-10-31T14:47:00Z</dcterms:created>
  <dcterms:modified xsi:type="dcterms:W3CDTF">2017-11-03T14:46:00Z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