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20799" w14:textId="77777777" w:rsidR="00AF4ED7" w:rsidRDefault="00AF4ED7" w:rsidP="00AF4ED7">
      <w:pPr>
        <w:spacing w:line="360" w:lineRule="auto"/>
        <w:jc w:val="center"/>
        <w:rPr>
          <w:rFonts w:ascii="Soberana Sans" w:hAnsi="Soberana Sans"/>
          <w:b/>
          <w:sz w:val="24"/>
          <w:szCs w:val="24"/>
          <w:lang w:val="es-ES_tradnl"/>
        </w:rPr>
      </w:pPr>
      <w:bookmarkStart w:id="0" w:name="_GoBack"/>
      <w:bookmarkEnd w:id="0"/>
    </w:p>
    <w:p w14:paraId="7202079A" w14:textId="77777777" w:rsidR="00AF4ED7" w:rsidRDefault="00AF4ED7" w:rsidP="00AF4ED7">
      <w:pPr>
        <w:spacing w:line="360" w:lineRule="auto"/>
        <w:jc w:val="center"/>
        <w:rPr>
          <w:rFonts w:ascii="Soberana Sans" w:hAnsi="Soberana Sans"/>
          <w:b/>
          <w:sz w:val="24"/>
          <w:szCs w:val="24"/>
          <w:lang w:val="es-ES_tradnl"/>
        </w:rPr>
      </w:pPr>
    </w:p>
    <w:p w14:paraId="7202079B" w14:textId="77777777" w:rsidR="00AF4ED7" w:rsidRDefault="00AF4ED7" w:rsidP="00AF4ED7">
      <w:pPr>
        <w:spacing w:line="360" w:lineRule="auto"/>
        <w:jc w:val="center"/>
        <w:rPr>
          <w:rFonts w:ascii="Soberana Sans" w:hAnsi="Soberana Sans"/>
          <w:b/>
          <w:sz w:val="24"/>
          <w:szCs w:val="24"/>
          <w:lang w:val="es-ES_tradnl"/>
        </w:rPr>
      </w:pPr>
    </w:p>
    <w:p w14:paraId="7202079C" w14:textId="77777777" w:rsidR="00AF4ED7" w:rsidRDefault="00AF4ED7" w:rsidP="00AF4ED7">
      <w:pPr>
        <w:spacing w:line="360" w:lineRule="auto"/>
        <w:jc w:val="center"/>
        <w:rPr>
          <w:rFonts w:ascii="Soberana Sans" w:hAnsi="Soberana Sans"/>
          <w:b/>
          <w:sz w:val="24"/>
          <w:szCs w:val="24"/>
          <w:lang w:val="es-ES_tradnl"/>
        </w:rPr>
      </w:pPr>
    </w:p>
    <w:p w14:paraId="7202079D" w14:textId="77777777" w:rsidR="00AF4ED7" w:rsidRDefault="00AF4ED7" w:rsidP="00AF4ED7">
      <w:pPr>
        <w:spacing w:line="360" w:lineRule="auto"/>
        <w:jc w:val="center"/>
        <w:rPr>
          <w:rFonts w:ascii="Soberana Sans" w:hAnsi="Soberana Sans"/>
          <w:b/>
          <w:sz w:val="24"/>
          <w:szCs w:val="24"/>
          <w:lang w:val="es-ES_tradnl"/>
        </w:rPr>
      </w:pPr>
    </w:p>
    <w:p w14:paraId="7202079E" w14:textId="77777777" w:rsidR="00AF4ED7" w:rsidRDefault="00AF4ED7" w:rsidP="00AF4ED7">
      <w:pPr>
        <w:spacing w:line="360" w:lineRule="auto"/>
        <w:jc w:val="center"/>
        <w:rPr>
          <w:rFonts w:ascii="Soberana Sans" w:hAnsi="Soberana Sans"/>
          <w:b/>
          <w:sz w:val="24"/>
          <w:szCs w:val="24"/>
          <w:lang w:val="es-ES_tradnl"/>
        </w:rPr>
      </w:pPr>
    </w:p>
    <w:p w14:paraId="7202079F" w14:textId="77777777" w:rsidR="00305EDD" w:rsidRDefault="00305EDD" w:rsidP="00AF4ED7">
      <w:pPr>
        <w:spacing w:line="360" w:lineRule="auto"/>
        <w:jc w:val="center"/>
        <w:rPr>
          <w:rFonts w:ascii="Soberana Sans" w:hAnsi="Soberana Sans"/>
          <w:b/>
          <w:sz w:val="24"/>
          <w:szCs w:val="24"/>
          <w:lang w:val="es-ES_tradnl"/>
        </w:rPr>
      </w:pPr>
      <w:r w:rsidRPr="00AF4ED7">
        <w:rPr>
          <w:rFonts w:ascii="Soberana Sans" w:hAnsi="Soberana Sans"/>
          <w:b/>
          <w:sz w:val="24"/>
          <w:szCs w:val="24"/>
          <w:lang w:val="es-ES_tradnl"/>
        </w:rPr>
        <w:t>ANEXOS</w:t>
      </w:r>
    </w:p>
    <w:p w14:paraId="720207A0" w14:textId="77777777" w:rsidR="00AF4ED7" w:rsidRPr="00AF4ED7" w:rsidRDefault="00AF4ED7" w:rsidP="00AF4ED7">
      <w:pPr>
        <w:spacing w:line="360" w:lineRule="auto"/>
        <w:jc w:val="center"/>
        <w:rPr>
          <w:rFonts w:ascii="Soberana Sans" w:hAnsi="Soberana Sans"/>
          <w:b/>
          <w:sz w:val="24"/>
          <w:szCs w:val="24"/>
          <w:lang w:val="es-ES_tradnl"/>
        </w:rPr>
      </w:pPr>
    </w:p>
    <w:p w14:paraId="720207A1" w14:textId="77777777" w:rsidR="00AF4ED7" w:rsidRPr="00AF4ED7" w:rsidRDefault="00B0323E" w:rsidP="00AF4ED7">
      <w:pPr>
        <w:spacing w:line="360" w:lineRule="auto"/>
        <w:ind w:left="1134" w:right="1134"/>
        <w:jc w:val="center"/>
        <w:rPr>
          <w:rFonts w:ascii="Soberana Sans" w:hAnsi="Soberana Sans"/>
          <w:b/>
          <w:sz w:val="28"/>
          <w:szCs w:val="28"/>
        </w:rPr>
      </w:pPr>
      <w:r w:rsidRPr="00AF4ED7">
        <w:rPr>
          <w:rFonts w:ascii="Soberana Sans" w:hAnsi="Soberana Sans"/>
          <w:b/>
          <w:sz w:val="28"/>
          <w:szCs w:val="28"/>
          <w:lang w:val="es-ES_tradnl"/>
        </w:rPr>
        <w:t>Cuestionario sobre la resolución 32/17 del Consejo de Derechos Humanos de Naciones Unidas  “Lucha contra los efectos de las formas múltiples e interseccionales de discriminación y violencia en el contexto del racismo, la discriminación racial, la xenofobia y las formas conexas de intolerancia sobre el pleno disfrute por las mujeres y las niñas de todos los derechos humanos</w:t>
      </w:r>
      <w:r w:rsidRPr="00AF4ED7">
        <w:rPr>
          <w:rFonts w:ascii="Soberana Texto" w:hAnsi="Soberana Texto"/>
          <w:b/>
          <w:sz w:val="28"/>
          <w:szCs w:val="28"/>
          <w:lang w:val="es-ES_tradnl"/>
        </w:rPr>
        <w:t>”</w:t>
      </w:r>
    </w:p>
    <w:p w14:paraId="720207A2" w14:textId="77777777" w:rsidR="00AF4ED7" w:rsidRDefault="00AF4ED7" w:rsidP="00AF4ED7">
      <w:pPr>
        <w:spacing w:line="360" w:lineRule="auto"/>
        <w:rPr>
          <w:rFonts w:ascii="Soberana Sans" w:hAnsi="Soberana Sans"/>
          <w:b/>
          <w:sz w:val="24"/>
          <w:szCs w:val="24"/>
        </w:rPr>
      </w:pPr>
      <w:r>
        <w:rPr>
          <w:rFonts w:ascii="Soberana Sans" w:hAnsi="Soberana Sans"/>
          <w:b/>
          <w:sz w:val="24"/>
          <w:szCs w:val="24"/>
        </w:rPr>
        <w:br w:type="page"/>
      </w:r>
    </w:p>
    <w:p w14:paraId="720207A3" w14:textId="77777777" w:rsidR="00AF4ED7" w:rsidRPr="00AF4ED7" w:rsidRDefault="00AF4ED7" w:rsidP="00AF4ED7">
      <w:pPr>
        <w:spacing w:line="240" w:lineRule="auto"/>
        <w:jc w:val="center"/>
        <w:rPr>
          <w:rFonts w:ascii="Soberana Sans" w:hAnsi="Soberana Sans"/>
          <w:b/>
          <w:sz w:val="24"/>
          <w:szCs w:val="24"/>
        </w:rPr>
      </w:pPr>
      <w:r w:rsidRPr="00AF4ED7">
        <w:rPr>
          <w:rFonts w:ascii="Soberana Sans" w:hAnsi="Soberana Sans"/>
          <w:b/>
          <w:sz w:val="24"/>
          <w:szCs w:val="24"/>
        </w:rPr>
        <w:lastRenderedPageBreak/>
        <w:t>ABREVIATURAS</w:t>
      </w:r>
    </w:p>
    <w:p w14:paraId="720207A4" w14:textId="77777777" w:rsidR="00AF4ED7" w:rsidRPr="00AF4ED7" w:rsidRDefault="00AF4ED7" w:rsidP="00AF4ED7">
      <w:pPr>
        <w:spacing w:line="240" w:lineRule="auto"/>
        <w:jc w:val="both"/>
        <w:rPr>
          <w:rFonts w:ascii="Soberana Sans" w:hAnsi="Soberana Sans"/>
          <w:b/>
          <w:sz w:val="24"/>
          <w:szCs w:val="24"/>
        </w:rPr>
      </w:pPr>
    </w:p>
    <w:tbl>
      <w:tblPr>
        <w:tblStyle w:val="TableGrid"/>
        <w:tblW w:w="9209" w:type="dxa"/>
        <w:tblInd w:w="-289" w:type="dxa"/>
        <w:tblLook w:val="04A0" w:firstRow="1" w:lastRow="0" w:firstColumn="1" w:lastColumn="0" w:noHBand="0" w:noVBand="1"/>
      </w:tblPr>
      <w:tblGrid>
        <w:gridCol w:w="2030"/>
        <w:gridCol w:w="7179"/>
      </w:tblGrid>
      <w:tr w:rsidR="00AF4ED7" w:rsidRPr="00AF4ED7" w14:paraId="720207A7" w14:textId="77777777" w:rsidTr="00B5312A">
        <w:tc>
          <w:tcPr>
            <w:tcW w:w="1891" w:type="dxa"/>
          </w:tcPr>
          <w:p w14:paraId="720207A5"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CAMI</w:t>
            </w:r>
          </w:p>
        </w:tc>
        <w:tc>
          <w:tcPr>
            <w:tcW w:w="7318" w:type="dxa"/>
          </w:tcPr>
          <w:p w14:paraId="720207A6" w14:textId="77777777" w:rsidR="00AF4ED7" w:rsidRPr="00AF4ED7" w:rsidRDefault="00AF4ED7" w:rsidP="00AF4ED7">
            <w:pPr>
              <w:spacing w:after="160"/>
              <w:jc w:val="both"/>
              <w:rPr>
                <w:rFonts w:ascii="Soberana Sans" w:hAnsi="Soberana Sans"/>
                <w:b/>
                <w:sz w:val="24"/>
                <w:szCs w:val="24"/>
                <w:lang w:val="es-ES"/>
              </w:rPr>
            </w:pPr>
            <w:r w:rsidRPr="00AF4ED7">
              <w:rPr>
                <w:rFonts w:ascii="Soberana Sans" w:hAnsi="Soberana Sans"/>
                <w:b/>
                <w:sz w:val="24"/>
                <w:szCs w:val="24"/>
              </w:rPr>
              <w:t>Modalidad Casas de la Mujer Indígena</w:t>
            </w:r>
          </w:p>
        </w:tc>
      </w:tr>
      <w:tr w:rsidR="00AF4ED7" w:rsidRPr="00AF4ED7" w14:paraId="720207AA" w14:textId="77777777" w:rsidTr="00B5312A">
        <w:tc>
          <w:tcPr>
            <w:tcW w:w="1891" w:type="dxa"/>
          </w:tcPr>
          <w:p w14:paraId="720207A8"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CDI</w:t>
            </w:r>
          </w:p>
        </w:tc>
        <w:tc>
          <w:tcPr>
            <w:tcW w:w="7318" w:type="dxa"/>
          </w:tcPr>
          <w:p w14:paraId="720207A9" w14:textId="77777777" w:rsidR="00AF4ED7" w:rsidRPr="00AF4ED7" w:rsidRDefault="00AF4ED7" w:rsidP="00AF4ED7">
            <w:pPr>
              <w:spacing w:after="160"/>
              <w:jc w:val="both"/>
              <w:rPr>
                <w:rFonts w:ascii="Soberana Sans" w:hAnsi="Soberana Sans"/>
                <w:b/>
                <w:sz w:val="24"/>
                <w:szCs w:val="24"/>
                <w:lang w:val="es-ES"/>
              </w:rPr>
            </w:pPr>
            <w:r w:rsidRPr="00AF4ED7">
              <w:rPr>
                <w:rFonts w:ascii="Soberana Sans" w:hAnsi="Soberana Sans"/>
                <w:b/>
                <w:sz w:val="24"/>
                <w:szCs w:val="24"/>
                <w:lang w:val="es-ES"/>
              </w:rPr>
              <w:t>Comisión Nacional para el Desarrollo de los Pueblos Indígenas</w:t>
            </w:r>
          </w:p>
        </w:tc>
      </w:tr>
      <w:tr w:rsidR="00AF4ED7" w:rsidRPr="00AF4ED7" w14:paraId="720207AD" w14:textId="77777777" w:rsidTr="00B5312A">
        <w:tc>
          <w:tcPr>
            <w:tcW w:w="1891" w:type="dxa"/>
          </w:tcPr>
          <w:p w14:paraId="720207AB"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CDPIM</w:t>
            </w:r>
          </w:p>
        </w:tc>
        <w:tc>
          <w:tcPr>
            <w:tcW w:w="7318" w:type="dxa"/>
          </w:tcPr>
          <w:p w14:paraId="720207AC" w14:textId="77777777" w:rsidR="00AF4ED7" w:rsidRPr="00AF4ED7" w:rsidRDefault="00AF4ED7" w:rsidP="00AF4ED7">
            <w:pPr>
              <w:spacing w:after="160"/>
              <w:jc w:val="both"/>
              <w:rPr>
                <w:rFonts w:ascii="Soberana Sans" w:hAnsi="Soberana Sans"/>
                <w:b/>
                <w:sz w:val="24"/>
                <w:szCs w:val="24"/>
                <w:lang w:val="es-ES"/>
              </w:rPr>
            </w:pPr>
            <w:r w:rsidRPr="00AF4ED7">
              <w:rPr>
                <w:rFonts w:ascii="Soberana Sans" w:hAnsi="Soberana Sans"/>
                <w:b/>
                <w:sz w:val="24"/>
                <w:szCs w:val="24"/>
                <w:lang w:val="es-ES"/>
              </w:rPr>
              <w:t>Comisión para el Diálogo de los Pueblos Indígenas de México</w:t>
            </w:r>
          </w:p>
        </w:tc>
      </w:tr>
      <w:tr w:rsidR="00AF4ED7" w:rsidRPr="00AF4ED7" w14:paraId="720207B0" w14:textId="77777777" w:rsidTr="00B5312A">
        <w:tc>
          <w:tcPr>
            <w:tcW w:w="1891" w:type="dxa"/>
          </w:tcPr>
          <w:p w14:paraId="720207AE"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CEAV</w:t>
            </w:r>
          </w:p>
        </w:tc>
        <w:tc>
          <w:tcPr>
            <w:tcW w:w="7318" w:type="dxa"/>
          </w:tcPr>
          <w:p w14:paraId="720207AF"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Comisión Ejecutiva de Atención a Víctimas</w:t>
            </w:r>
          </w:p>
        </w:tc>
      </w:tr>
      <w:tr w:rsidR="00AF4ED7" w:rsidRPr="00AF4ED7" w14:paraId="720207B3" w14:textId="77777777" w:rsidTr="00B5312A">
        <w:tc>
          <w:tcPr>
            <w:tcW w:w="1891" w:type="dxa"/>
          </w:tcPr>
          <w:p w14:paraId="720207B1"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CERD</w:t>
            </w:r>
          </w:p>
        </w:tc>
        <w:tc>
          <w:tcPr>
            <w:tcW w:w="7318" w:type="dxa"/>
          </w:tcPr>
          <w:p w14:paraId="720207B2"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Comité para la Eliminación de la Discriminación Racial</w:t>
            </w:r>
          </w:p>
        </w:tc>
      </w:tr>
      <w:tr w:rsidR="00AF4ED7" w:rsidRPr="00AF4ED7" w14:paraId="720207B6" w14:textId="77777777" w:rsidTr="00B5312A">
        <w:tc>
          <w:tcPr>
            <w:tcW w:w="1891" w:type="dxa"/>
          </w:tcPr>
          <w:p w14:paraId="720207B4"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CJM</w:t>
            </w:r>
          </w:p>
        </w:tc>
        <w:tc>
          <w:tcPr>
            <w:tcW w:w="7318" w:type="dxa"/>
          </w:tcPr>
          <w:p w14:paraId="720207B5"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Centros de Justicia para las Mujeres</w:t>
            </w:r>
          </w:p>
        </w:tc>
      </w:tr>
      <w:tr w:rsidR="00AF4ED7" w:rsidRPr="00AF4ED7" w14:paraId="720207B9" w14:textId="77777777" w:rsidTr="00B5312A">
        <w:tc>
          <w:tcPr>
            <w:tcW w:w="1891" w:type="dxa"/>
          </w:tcPr>
          <w:p w14:paraId="720207B7"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lang w:val="es-ES_tradnl"/>
              </w:rPr>
              <w:t>CONAPRED</w:t>
            </w:r>
          </w:p>
        </w:tc>
        <w:tc>
          <w:tcPr>
            <w:tcW w:w="7318" w:type="dxa"/>
          </w:tcPr>
          <w:p w14:paraId="720207B8"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Consejo Nacional para Prevenir la Discriminación</w:t>
            </w:r>
          </w:p>
        </w:tc>
      </w:tr>
      <w:tr w:rsidR="00AF4ED7" w:rsidRPr="00AF4ED7" w14:paraId="720207BC" w14:textId="77777777" w:rsidTr="00B5312A">
        <w:tc>
          <w:tcPr>
            <w:tcW w:w="1891" w:type="dxa"/>
          </w:tcPr>
          <w:p w14:paraId="720207BA" w14:textId="77777777" w:rsidR="00AF4ED7" w:rsidRPr="00AF4ED7" w:rsidRDefault="00AF4ED7" w:rsidP="00AF4ED7">
            <w:pPr>
              <w:spacing w:after="160"/>
              <w:jc w:val="both"/>
              <w:rPr>
                <w:rFonts w:ascii="Soberana Sans" w:hAnsi="Soberana Sans"/>
                <w:b/>
                <w:sz w:val="24"/>
                <w:szCs w:val="24"/>
                <w:lang w:val="es-ES_tradnl"/>
              </w:rPr>
            </w:pPr>
            <w:r w:rsidRPr="00AF4ED7">
              <w:rPr>
                <w:rFonts w:ascii="Soberana Sans" w:hAnsi="Soberana Sans"/>
                <w:b/>
                <w:sz w:val="24"/>
                <w:szCs w:val="24"/>
                <w:lang w:val="es-ES_tradnl"/>
              </w:rPr>
              <w:t>CONAVIM</w:t>
            </w:r>
          </w:p>
        </w:tc>
        <w:tc>
          <w:tcPr>
            <w:tcW w:w="7318" w:type="dxa"/>
          </w:tcPr>
          <w:p w14:paraId="720207BB"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Comisión Nacional para Prevenir y Erradicar la Violencia contra las Mujeres</w:t>
            </w:r>
          </w:p>
        </w:tc>
      </w:tr>
      <w:tr w:rsidR="00AF4ED7" w:rsidRPr="00AF4ED7" w14:paraId="720207BF" w14:textId="77777777" w:rsidTr="00B5312A">
        <w:trPr>
          <w:trHeight w:val="54"/>
        </w:trPr>
        <w:tc>
          <w:tcPr>
            <w:tcW w:w="1891" w:type="dxa"/>
          </w:tcPr>
          <w:p w14:paraId="720207BD"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ENDI-REH</w:t>
            </w:r>
          </w:p>
        </w:tc>
        <w:tc>
          <w:tcPr>
            <w:tcW w:w="7318" w:type="dxa"/>
          </w:tcPr>
          <w:p w14:paraId="720207BE"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Encuesta Nacional sobre la Dinámica de las Relaciones de los Hogares</w:t>
            </w:r>
          </w:p>
        </w:tc>
      </w:tr>
      <w:tr w:rsidR="00AF4ED7" w:rsidRPr="00AF4ED7" w14:paraId="720207C2" w14:textId="77777777" w:rsidTr="00B5312A">
        <w:trPr>
          <w:trHeight w:val="54"/>
        </w:trPr>
        <w:tc>
          <w:tcPr>
            <w:tcW w:w="1891" w:type="dxa"/>
          </w:tcPr>
          <w:p w14:paraId="720207C0"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ENOE</w:t>
            </w:r>
          </w:p>
        </w:tc>
        <w:tc>
          <w:tcPr>
            <w:tcW w:w="7318" w:type="dxa"/>
          </w:tcPr>
          <w:p w14:paraId="720207C1"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Encuesta Nacional de Ocupación y Empleo</w:t>
            </w:r>
          </w:p>
        </w:tc>
      </w:tr>
      <w:tr w:rsidR="00AF4ED7" w:rsidRPr="00AF4ED7" w14:paraId="720207C5" w14:textId="77777777" w:rsidTr="00B5312A">
        <w:trPr>
          <w:trHeight w:val="54"/>
        </w:trPr>
        <w:tc>
          <w:tcPr>
            <w:tcW w:w="1891" w:type="dxa"/>
          </w:tcPr>
          <w:p w14:paraId="720207C3"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EPU</w:t>
            </w:r>
          </w:p>
        </w:tc>
        <w:tc>
          <w:tcPr>
            <w:tcW w:w="7318" w:type="dxa"/>
          </w:tcPr>
          <w:p w14:paraId="720207C4"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Examen Periódico Universal</w:t>
            </w:r>
          </w:p>
        </w:tc>
      </w:tr>
      <w:tr w:rsidR="00AF4ED7" w:rsidRPr="00AF4ED7" w14:paraId="720207C8" w14:textId="77777777" w:rsidTr="00B5312A">
        <w:trPr>
          <w:trHeight w:val="54"/>
        </w:trPr>
        <w:tc>
          <w:tcPr>
            <w:tcW w:w="1891" w:type="dxa"/>
          </w:tcPr>
          <w:p w14:paraId="720207C6"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GT-CERD</w:t>
            </w:r>
          </w:p>
        </w:tc>
        <w:tc>
          <w:tcPr>
            <w:tcW w:w="7318" w:type="dxa"/>
          </w:tcPr>
          <w:p w14:paraId="720207C7"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Grupo de Trabajo del Comité para la Eliminación de la Discriminación Racial</w:t>
            </w:r>
          </w:p>
        </w:tc>
      </w:tr>
      <w:tr w:rsidR="00AF4ED7" w:rsidRPr="00AF4ED7" w14:paraId="720207CB" w14:textId="77777777" w:rsidTr="00B5312A">
        <w:trPr>
          <w:trHeight w:val="54"/>
        </w:trPr>
        <w:tc>
          <w:tcPr>
            <w:tcW w:w="1891" w:type="dxa"/>
          </w:tcPr>
          <w:p w14:paraId="720207C9"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INALI</w:t>
            </w:r>
          </w:p>
        </w:tc>
        <w:tc>
          <w:tcPr>
            <w:tcW w:w="7318" w:type="dxa"/>
          </w:tcPr>
          <w:p w14:paraId="720207CA"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Instituto Nacional de Lenguas Indígenas</w:t>
            </w:r>
          </w:p>
        </w:tc>
      </w:tr>
      <w:tr w:rsidR="00AF4ED7" w:rsidRPr="00AF4ED7" w14:paraId="720207CE" w14:textId="77777777" w:rsidTr="00B5312A">
        <w:trPr>
          <w:trHeight w:val="54"/>
        </w:trPr>
        <w:tc>
          <w:tcPr>
            <w:tcW w:w="1891" w:type="dxa"/>
          </w:tcPr>
          <w:p w14:paraId="720207CC"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INE</w:t>
            </w:r>
          </w:p>
        </w:tc>
        <w:tc>
          <w:tcPr>
            <w:tcW w:w="7318" w:type="dxa"/>
          </w:tcPr>
          <w:p w14:paraId="720207CD"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Instituto Nacional Electoral</w:t>
            </w:r>
          </w:p>
        </w:tc>
      </w:tr>
      <w:tr w:rsidR="00AF4ED7" w:rsidRPr="00AF4ED7" w14:paraId="720207D1" w14:textId="77777777" w:rsidTr="00B5312A">
        <w:tc>
          <w:tcPr>
            <w:tcW w:w="1891" w:type="dxa"/>
            <w:shd w:val="clear" w:color="auto" w:fill="auto"/>
          </w:tcPr>
          <w:p w14:paraId="720207CF"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NSJP</w:t>
            </w:r>
          </w:p>
        </w:tc>
        <w:tc>
          <w:tcPr>
            <w:tcW w:w="7318" w:type="dxa"/>
            <w:shd w:val="clear" w:color="auto" w:fill="auto"/>
          </w:tcPr>
          <w:p w14:paraId="720207D0"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Nuevo sistema de Justicia Penal</w:t>
            </w:r>
          </w:p>
        </w:tc>
      </w:tr>
      <w:tr w:rsidR="00AF4ED7" w:rsidRPr="00AF4ED7" w14:paraId="720207D4" w14:textId="77777777" w:rsidTr="00B5312A">
        <w:tc>
          <w:tcPr>
            <w:tcW w:w="1891" w:type="dxa"/>
          </w:tcPr>
          <w:p w14:paraId="720207D2"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PGR</w:t>
            </w:r>
          </w:p>
        </w:tc>
        <w:tc>
          <w:tcPr>
            <w:tcW w:w="7318" w:type="dxa"/>
          </w:tcPr>
          <w:p w14:paraId="720207D3"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Procuraduría General de la República</w:t>
            </w:r>
          </w:p>
        </w:tc>
      </w:tr>
      <w:tr w:rsidR="00AF4ED7" w:rsidRPr="00AF4ED7" w14:paraId="720207D7" w14:textId="77777777" w:rsidTr="00B5312A">
        <w:tc>
          <w:tcPr>
            <w:tcW w:w="1891" w:type="dxa"/>
          </w:tcPr>
          <w:p w14:paraId="720207D5"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PND</w:t>
            </w:r>
          </w:p>
        </w:tc>
        <w:tc>
          <w:tcPr>
            <w:tcW w:w="7318" w:type="dxa"/>
          </w:tcPr>
          <w:p w14:paraId="720207D6"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Plan Nacional de Desarrollo</w:t>
            </w:r>
          </w:p>
        </w:tc>
      </w:tr>
      <w:tr w:rsidR="00AF4ED7" w:rsidRPr="00AF4ED7" w14:paraId="720207DA" w14:textId="77777777" w:rsidTr="00B5312A">
        <w:tc>
          <w:tcPr>
            <w:tcW w:w="1891" w:type="dxa"/>
          </w:tcPr>
          <w:p w14:paraId="720207D8"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PROIGUALDAD</w:t>
            </w:r>
          </w:p>
        </w:tc>
        <w:tc>
          <w:tcPr>
            <w:tcW w:w="7318" w:type="dxa"/>
          </w:tcPr>
          <w:p w14:paraId="720207D9"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Programa Nacional para la Igualdad de Oportunidades y no Discriminación contra las Mujeres 2013-2018</w:t>
            </w:r>
          </w:p>
        </w:tc>
      </w:tr>
      <w:tr w:rsidR="00AF4ED7" w:rsidRPr="00AF4ED7" w14:paraId="720207DD" w14:textId="77777777" w:rsidTr="00B5312A">
        <w:tc>
          <w:tcPr>
            <w:tcW w:w="1891" w:type="dxa"/>
          </w:tcPr>
          <w:p w14:paraId="720207DB"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PRONAIND</w:t>
            </w:r>
          </w:p>
        </w:tc>
        <w:tc>
          <w:tcPr>
            <w:tcW w:w="7318" w:type="dxa"/>
          </w:tcPr>
          <w:p w14:paraId="720207DC"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lang w:val="es-ES_tradnl"/>
              </w:rPr>
              <w:t>Programa Nacional para la Igualdad y No Discriminación 2014–2018</w:t>
            </w:r>
          </w:p>
        </w:tc>
      </w:tr>
      <w:tr w:rsidR="00AF4ED7" w:rsidRPr="00AF4ED7" w14:paraId="720207E0" w14:textId="77777777" w:rsidTr="00B5312A">
        <w:tc>
          <w:tcPr>
            <w:tcW w:w="1891" w:type="dxa"/>
          </w:tcPr>
          <w:p w14:paraId="720207DE"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SCJN</w:t>
            </w:r>
          </w:p>
        </w:tc>
        <w:tc>
          <w:tcPr>
            <w:tcW w:w="7318" w:type="dxa"/>
          </w:tcPr>
          <w:p w14:paraId="720207DF" w14:textId="77777777" w:rsidR="00AF4ED7" w:rsidRPr="00AF4ED7" w:rsidRDefault="00AF4ED7" w:rsidP="00AF4ED7">
            <w:pPr>
              <w:spacing w:after="160"/>
              <w:jc w:val="both"/>
              <w:rPr>
                <w:rFonts w:ascii="Soberana Sans" w:hAnsi="Soberana Sans"/>
                <w:b/>
                <w:sz w:val="24"/>
                <w:szCs w:val="24"/>
                <w:lang w:val="es-ES_tradnl"/>
              </w:rPr>
            </w:pPr>
            <w:r w:rsidRPr="00AF4ED7">
              <w:rPr>
                <w:rFonts w:ascii="Soberana Sans" w:hAnsi="Soberana Sans"/>
                <w:b/>
                <w:sz w:val="24"/>
                <w:szCs w:val="24"/>
                <w:lang w:val="es-ES_tradnl"/>
              </w:rPr>
              <w:t>Suprema Corte de Justicia de la Nación</w:t>
            </w:r>
          </w:p>
        </w:tc>
      </w:tr>
      <w:tr w:rsidR="00AF4ED7" w:rsidRPr="00AF4ED7" w14:paraId="720207E3" w14:textId="77777777" w:rsidTr="00B5312A">
        <w:tc>
          <w:tcPr>
            <w:tcW w:w="1891" w:type="dxa"/>
          </w:tcPr>
          <w:p w14:paraId="720207E1"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SEGOB</w:t>
            </w:r>
          </w:p>
        </w:tc>
        <w:tc>
          <w:tcPr>
            <w:tcW w:w="7318" w:type="dxa"/>
          </w:tcPr>
          <w:p w14:paraId="720207E2" w14:textId="77777777" w:rsidR="00AF4ED7" w:rsidRPr="00AF4ED7" w:rsidRDefault="00AF4ED7" w:rsidP="00AF4ED7">
            <w:pPr>
              <w:spacing w:after="160"/>
              <w:jc w:val="both"/>
              <w:rPr>
                <w:rFonts w:ascii="Soberana Sans" w:hAnsi="Soberana Sans"/>
                <w:b/>
                <w:sz w:val="24"/>
                <w:szCs w:val="24"/>
                <w:lang w:val="es-ES_tradnl"/>
              </w:rPr>
            </w:pPr>
            <w:r w:rsidRPr="00AF4ED7">
              <w:rPr>
                <w:rFonts w:ascii="Soberana Sans" w:hAnsi="Soberana Sans"/>
                <w:b/>
                <w:sz w:val="24"/>
                <w:szCs w:val="24"/>
                <w:lang w:val="es-ES_tradnl"/>
              </w:rPr>
              <w:t>Secretaría de Gobernación</w:t>
            </w:r>
          </w:p>
        </w:tc>
      </w:tr>
      <w:tr w:rsidR="00AF4ED7" w:rsidRPr="00AF4ED7" w14:paraId="720207E6" w14:textId="77777777" w:rsidTr="00B5312A">
        <w:tc>
          <w:tcPr>
            <w:tcW w:w="1891" w:type="dxa"/>
          </w:tcPr>
          <w:p w14:paraId="720207E4"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TEPJF</w:t>
            </w:r>
          </w:p>
        </w:tc>
        <w:tc>
          <w:tcPr>
            <w:tcW w:w="7318" w:type="dxa"/>
          </w:tcPr>
          <w:p w14:paraId="720207E5" w14:textId="77777777" w:rsidR="00AF4ED7" w:rsidRPr="00AF4ED7" w:rsidRDefault="00AF4ED7" w:rsidP="00AF4ED7">
            <w:pPr>
              <w:spacing w:after="160"/>
              <w:jc w:val="both"/>
              <w:rPr>
                <w:rFonts w:ascii="Soberana Sans" w:hAnsi="Soberana Sans"/>
                <w:b/>
                <w:sz w:val="24"/>
                <w:szCs w:val="24"/>
              </w:rPr>
            </w:pPr>
            <w:r w:rsidRPr="00AF4ED7">
              <w:rPr>
                <w:rFonts w:ascii="Soberana Sans" w:hAnsi="Soberana Sans"/>
                <w:b/>
                <w:sz w:val="24"/>
                <w:szCs w:val="24"/>
              </w:rPr>
              <w:t>Tribunal Electoral del Poder Judicial de la Federación</w:t>
            </w:r>
          </w:p>
        </w:tc>
      </w:tr>
    </w:tbl>
    <w:p w14:paraId="720207E7" w14:textId="77777777" w:rsidR="00AF4ED7" w:rsidRDefault="00AF4ED7" w:rsidP="00AF4ED7">
      <w:pPr>
        <w:spacing w:line="240" w:lineRule="auto"/>
        <w:jc w:val="both"/>
        <w:rPr>
          <w:rFonts w:ascii="Soberana Sans" w:hAnsi="Soberana Sans"/>
          <w:b/>
          <w:sz w:val="24"/>
          <w:szCs w:val="24"/>
        </w:rPr>
      </w:pPr>
    </w:p>
    <w:p w14:paraId="720207E8" w14:textId="77777777" w:rsidR="00AF4ED7" w:rsidRDefault="00AF4ED7">
      <w:pPr>
        <w:rPr>
          <w:rFonts w:ascii="Soberana Sans" w:hAnsi="Soberana Sans"/>
          <w:b/>
          <w:sz w:val="24"/>
          <w:szCs w:val="24"/>
        </w:rPr>
      </w:pPr>
      <w:r>
        <w:rPr>
          <w:rFonts w:ascii="Soberana Sans" w:hAnsi="Soberana Sans"/>
          <w:b/>
          <w:sz w:val="24"/>
          <w:szCs w:val="24"/>
        </w:rPr>
        <w:br w:type="page"/>
      </w:r>
    </w:p>
    <w:p w14:paraId="720207E9" w14:textId="77777777" w:rsidR="00305EDD" w:rsidRPr="00AF4ED7" w:rsidRDefault="00305EDD" w:rsidP="00B0323E">
      <w:pPr>
        <w:spacing w:line="240" w:lineRule="auto"/>
        <w:jc w:val="both"/>
        <w:rPr>
          <w:rFonts w:ascii="Soberana Sans" w:hAnsi="Soberana Sans"/>
          <w:b/>
          <w:sz w:val="24"/>
          <w:szCs w:val="24"/>
        </w:rPr>
      </w:pPr>
      <w:r w:rsidRPr="00AF4ED7">
        <w:rPr>
          <w:rFonts w:ascii="Soberana Sans" w:hAnsi="Soberana Sans"/>
          <w:b/>
          <w:sz w:val="24"/>
          <w:szCs w:val="24"/>
        </w:rPr>
        <w:lastRenderedPageBreak/>
        <w:t>ANEXO 1</w:t>
      </w:r>
    </w:p>
    <w:p w14:paraId="720207EA" w14:textId="77777777" w:rsidR="00763179" w:rsidRPr="00AF4ED7" w:rsidRDefault="00305EDD" w:rsidP="00B0323E">
      <w:pPr>
        <w:spacing w:line="240" w:lineRule="auto"/>
        <w:jc w:val="both"/>
        <w:rPr>
          <w:rFonts w:ascii="Soberana Sans" w:hAnsi="Soberana Sans"/>
          <w:b/>
          <w:sz w:val="24"/>
          <w:szCs w:val="24"/>
        </w:rPr>
      </w:pPr>
      <w:r w:rsidRPr="00AF4ED7">
        <w:rPr>
          <w:rFonts w:ascii="Soberana Sans" w:hAnsi="Soberana Sans"/>
          <w:b/>
          <w:sz w:val="24"/>
          <w:szCs w:val="24"/>
        </w:rPr>
        <w:t>E</w:t>
      </w:r>
      <w:r w:rsidR="00763179" w:rsidRPr="00AF4ED7">
        <w:rPr>
          <w:rFonts w:ascii="Soberana Sans" w:hAnsi="Soberana Sans"/>
          <w:b/>
          <w:sz w:val="24"/>
          <w:szCs w:val="24"/>
        </w:rPr>
        <w:t>stadísticas o investigaciones sobre la prevalencia de violencia y discriminación contra mujeres y niñas pertenecientes a alguna minoría nacional o étnica, religiosa o lingüística; mujeres y niñas migrantes o solicitantes de asilo, mujeres y niñas supervivientes de trata de personas o violencia sexual y de género, mujeres y niñas indígenas; mujeres y niñas de Afro descendientes o pertenecientes a otros grupos que enfrentan racismo, discriminación racial, xenofobia y</w:t>
      </w:r>
      <w:r w:rsidRPr="00AF4ED7">
        <w:rPr>
          <w:rFonts w:ascii="Soberana Sans" w:hAnsi="Soberana Sans"/>
          <w:b/>
          <w:sz w:val="24"/>
          <w:szCs w:val="24"/>
        </w:rPr>
        <w:t xml:space="preserve"> formas conexas de intolerancia</w:t>
      </w:r>
    </w:p>
    <w:p w14:paraId="720207EB" w14:textId="77777777" w:rsidR="00E95C6D" w:rsidRPr="00AF4ED7" w:rsidRDefault="00E95C6D" w:rsidP="00B0323E">
      <w:pPr>
        <w:spacing w:line="240" w:lineRule="auto"/>
        <w:jc w:val="both"/>
        <w:rPr>
          <w:rFonts w:ascii="Soberana Sans" w:hAnsi="Soberana Sans"/>
          <w:sz w:val="24"/>
          <w:szCs w:val="24"/>
        </w:rPr>
      </w:pPr>
      <w:r w:rsidRPr="00AF4ED7">
        <w:rPr>
          <w:rFonts w:ascii="Soberana Sans" w:hAnsi="Soberana Sans"/>
          <w:sz w:val="24"/>
          <w:szCs w:val="24"/>
        </w:rPr>
        <w:t xml:space="preserve">El Instituto Nacional de Estadística y Geografía (INEGI), realiza dos encuestas que tienen vinculación con el tema de la violencia contra las mujeres: la </w:t>
      </w:r>
      <w:r w:rsidRPr="00AF4ED7">
        <w:rPr>
          <w:rFonts w:ascii="Soberana Sans" w:hAnsi="Soberana Sans"/>
          <w:i/>
          <w:sz w:val="24"/>
          <w:szCs w:val="24"/>
        </w:rPr>
        <w:t>Encuesta Nacional de Victimización y Percepción sobre Seguridad Pública</w:t>
      </w:r>
      <w:r w:rsidRPr="00AF4ED7">
        <w:rPr>
          <w:rFonts w:ascii="Soberana Sans" w:hAnsi="Soberana Sans"/>
          <w:sz w:val="24"/>
          <w:szCs w:val="24"/>
        </w:rPr>
        <w:t xml:space="preserve"> (ENVIPE) y </w:t>
      </w:r>
      <w:r w:rsidRPr="00AF4ED7">
        <w:rPr>
          <w:rFonts w:ascii="Soberana Sans" w:hAnsi="Soberana Sans"/>
          <w:i/>
          <w:sz w:val="24"/>
          <w:szCs w:val="24"/>
        </w:rPr>
        <w:t>la Encuesta sobre la Dinámica de las Relaciones en los Hogares</w:t>
      </w:r>
      <w:r w:rsidRPr="00AF4ED7">
        <w:rPr>
          <w:rFonts w:ascii="Soberana Sans" w:hAnsi="Soberana Sans"/>
          <w:sz w:val="24"/>
          <w:szCs w:val="24"/>
        </w:rPr>
        <w:t xml:space="preserve"> (ENDIREH). </w:t>
      </w:r>
    </w:p>
    <w:p w14:paraId="720207EC" w14:textId="77777777" w:rsidR="000C4F9E" w:rsidRPr="00AF4ED7" w:rsidRDefault="00BF190F" w:rsidP="000C4F9E">
      <w:pPr>
        <w:spacing w:line="240" w:lineRule="auto"/>
        <w:jc w:val="both"/>
        <w:rPr>
          <w:rFonts w:ascii="Soberana Sans" w:hAnsi="Soberana Sans"/>
          <w:sz w:val="24"/>
          <w:szCs w:val="24"/>
        </w:rPr>
      </w:pPr>
      <w:r w:rsidRPr="00AF4ED7">
        <w:rPr>
          <w:rFonts w:ascii="Soberana Sans" w:hAnsi="Soberana Sans"/>
          <w:sz w:val="24"/>
          <w:szCs w:val="24"/>
        </w:rPr>
        <w:t>L</w:t>
      </w:r>
      <w:r w:rsidR="00C71CA3" w:rsidRPr="00AF4ED7">
        <w:rPr>
          <w:rFonts w:ascii="Soberana Sans" w:hAnsi="Soberana Sans"/>
          <w:sz w:val="24"/>
          <w:szCs w:val="24"/>
        </w:rPr>
        <w:t xml:space="preserve">a </w:t>
      </w:r>
      <w:r w:rsidR="00E95C6D" w:rsidRPr="00AF4ED7">
        <w:rPr>
          <w:rFonts w:ascii="Soberana Sans" w:hAnsi="Soberana Sans"/>
          <w:sz w:val="24"/>
          <w:szCs w:val="24"/>
        </w:rPr>
        <w:t>ENVIPE</w:t>
      </w:r>
      <w:r w:rsidR="00E95C6D" w:rsidRPr="00AF4ED7">
        <w:rPr>
          <w:rFonts w:ascii="Soberana Sans" w:hAnsi="Soberana Sans"/>
          <w:i/>
          <w:sz w:val="24"/>
          <w:szCs w:val="24"/>
        </w:rPr>
        <w:t xml:space="preserve"> </w:t>
      </w:r>
      <w:r w:rsidR="00E95C6D" w:rsidRPr="00AF4ED7">
        <w:rPr>
          <w:rFonts w:ascii="Soberana Sans" w:hAnsi="Soberana Sans"/>
          <w:sz w:val="24"/>
          <w:szCs w:val="24"/>
        </w:rPr>
        <w:t>se ha realizado en seis ocasiones permitiendo</w:t>
      </w:r>
      <w:r w:rsidR="00C71CA3" w:rsidRPr="00AF4ED7">
        <w:rPr>
          <w:rFonts w:ascii="Soberana Sans" w:hAnsi="Soberana Sans"/>
          <w:sz w:val="24"/>
          <w:szCs w:val="24"/>
        </w:rPr>
        <w:t xml:space="preserve"> estimar la prevalencia e incidencia d</w:t>
      </w:r>
      <w:r w:rsidR="00E95C6D" w:rsidRPr="00AF4ED7">
        <w:rPr>
          <w:rFonts w:ascii="Soberana Sans" w:hAnsi="Soberana Sans"/>
          <w:sz w:val="24"/>
          <w:szCs w:val="24"/>
        </w:rPr>
        <w:t xml:space="preserve">elictiva, en hogares y personas. Además, </w:t>
      </w:r>
      <w:r w:rsidR="00C71CA3" w:rsidRPr="00AF4ED7">
        <w:rPr>
          <w:rFonts w:ascii="Soberana Sans" w:hAnsi="Soberana Sans"/>
          <w:sz w:val="24"/>
          <w:szCs w:val="24"/>
        </w:rPr>
        <w:t>genera información sobre la per</w:t>
      </w:r>
      <w:r w:rsidR="00E95C6D" w:rsidRPr="00AF4ED7">
        <w:rPr>
          <w:rFonts w:ascii="Soberana Sans" w:hAnsi="Soberana Sans"/>
          <w:sz w:val="24"/>
          <w:szCs w:val="24"/>
        </w:rPr>
        <w:t>cepción de la seguridad pública</w:t>
      </w:r>
      <w:r w:rsidR="00C71CA3" w:rsidRPr="00AF4ED7">
        <w:rPr>
          <w:rFonts w:ascii="Soberana Sans" w:hAnsi="Soberana Sans"/>
          <w:sz w:val="24"/>
          <w:szCs w:val="24"/>
        </w:rPr>
        <w:t xml:space="preserve"> y sobre la actuación de las autoridades. </w:t>
      </w:r>
      <w:r w:rsidR="00E95C6D" w:rsidRPr="00AF4ED7">
        <w:rPr>
          <w:rFonts w:ascii="Soberana Sans" w:hAnsi="Soberana Sans"/>
          <w:sz w:val="24"/>
          <w:szCs w:val="24"/>
        </w:rPr>
        <w:t>Cabe destacar que u</w:t>
      </w:r>
      <w:r w:rsidR="00A574CD" w:rsidRPr="00AF4ED7">
        <w:rPr>
          <w:rFonts w:ascii="Soberana Sans" w:hAnsi="Soberana Sans"/>
          <w:sz w:val="24"/>
          <w:szCs w:val="24"/>
        </w:rPr>
        <w:t>na de la preguntas</w:t>
      </w:r>
      <w:r w:rsidR="00E95C6D" w:rsidRPr="00AF4ED7">
        <w:rPr>
          <w:rFonts w:ascii="Soberana Sans" w:hAnsi="Soberana Sans"/>
          <w:sz w:val="24"/>
          <w:szCs w:val="24"/>
        </w:rPr>
        <w:t xml:space="preserve"> de la encuesta</w:t>
      </w:r>
      <w:r w:rsidR="00A574CD" w:rsidRPr="00AF4ED7">
        <w:rPr>
          <w:rFonts w:ascii="Soberana Sans" w:hAnsi="Soberana Sans"/>
          <w:sz w:val="24"/>
          <w:szCs w:val="24"/>
        </w:rPr>
        <w:t xml:space="preserve"> se enfoca en </w:t>
      </w:r>
      <w:r w:rsidR="00E85C86" w:rsidRPr="00AF4ED7">
        <w:rPr>
          <w:rFonts w:ascii="Soberana Sans" w:hAnsi="Soberana Sans"/>
          <w:sz w:val="24"/>
          <w:szCs w:val="24"/>
        </w:rPr>
        <w:t>obtener información sobre si</w:t>
      </w:r>
      <w:r w:rsidR="00E95C6D" w:rsidRPr="00AF4ED7">
        <w:rPr>
          <w:rFonts w:ascii="Soberana Sans" w:hAnsi="Soberana Sans"/>
          <w:sz w:val="24"/>
          <w:szCs w:val="24"/>
        </w:rPr>
        <w:t xml:space="preserve"> la población ha experimentado situaciones de </w:t>
      </w:r>
      <w:r w:rsidR="00A574CD" w:rsidRPr="00AF4ED7">
        <w:rPr>
          <w:rFonts w:ascii="Soberana Sans" w:hAnsi="Soberana Sans"/>
          <w:sz w:val="24"/>
          <w:szCs w:val="24"/>
        </w:rPr>
        <w:t>violencia sexu</w:t>
      </w:r>
      <w:r w:rsidR="00E95C6D" w:rsidRPr="00AF4ED7">
        <w:rPr>
          <w:rFonts w:ascii="Soberana Sans" w:hAnsi="Soberana Sans"/>
          <w:sz w:val="24"/>
          <w:szCs w:val="24"/>
        </w:rPr>
        <w:t>al (hostigamiento, acoso, manoseo, exhibicionismo)</w:t>
      </w:r>
      <w:r w:rsidR="000C4F9E" w:rsidRPr="00AF4ED7">
        <w:rPr>
          <w:rFonts w:ascii="Soberana Sans" w:hAnsi="Soberana Sans"/>
          <w:sz w:val="24"/>
          <w:szCs w:val="24"/>
        </w:rPr>
        <w:t xml:space="preserve">. </w:t>
      </w:r>
    </w:p>
    <w:p w14:paraId="720207ED" w14:textId="77777777" w:rsidR="00A574CD" w:rsidRPr="00AF4ED7" w:rsidRDefault="00E95C6D" w:rsidP="00B0323E">
      <w:pPr>
        <w:spacing w:line="240" w:lineRule="auto"/>
        <w:jc w:val="both"/>
        <w:rPr>
          <w:rFonts w:ascii="Soberana Sans" w:hAnsi="Soberana Sans"/>
          <w:sz w:val="24"/>
          <w:szCs w:val="24"/>
        </w:rPr>
      </w:pPr>
      <w:r w:rsidRPr="00AF4ED7">
        <w:rPr>
          <w:rFonts w:ascii="Soberana Sans" w:hAnsi="Soberana Sans"/>
          <w:sz w:val="24"/>
          <w:szCs w:val="24"/>
        </w:rPr>
        <w:t xml:space="preserve">Por su parte, </w:t>
      </w:r>
      <w:r w:rsidR="00147345" w:rsidRPr="00AF4ED7">
        <w:rPr>
          <w:rFonts w:ascii="Soberana Sans" w:hAnsi="Soberana Sans"/>
          <w:sz w:val="24"/>
          <w:szCs w:val="24"/>
        </w:rPr>
        <w:t xml:space="preserve">la ENDIREH, </w:t>
      </w:r>
      <w:r w:rsidR="001C5931" w:rsidRPr="00AF4ED7">
        <w:rPr>
          <w:rFonts w:ascii="Soberana Sans" w:hAnsi="Soberana Sans"/>
          <w:sz w:val="24"/>
          <w:szCs w:val="24"/>
        </w:rPr>
        <w:t xml:space="preserve">realizada en tres ocasiones (2003, 2006 y 2011), da cuenta de la violencia contra las mujeres en los ámbitos público y privado. </w:t>
      </w:r>
      <w:r w:rsidR="00FC2400" w:rsidRPr="00AF4ED7">
        <w:rPr>
          <w:rFonts w:ascii="Soberana Sans" w:hAnsi="Soberana Sans"/>
          <w:sz w:val="24"/>
          <w:szCs w:val="24"/>
        </w:rPr>
        <w:t>En particular, proporciona información desagregada sobre la prevalencia de esta problemática en los distintos niveles educativos, en la Población Económicamente Activa, en la Población no Económicamente Activa, los tipos de violencia y las clases de violencia</w:t>
      </w:r>
      <w:r w:rsidR="00147345" w:rsidRPr="00AF4ED7">
        <w:rPr>
          <w:rFonts w:ascii="Soberana Sans" w:hAnsi="Soberana Sans"/>
          <w:sz w:val="24"/>
          <w:szCs w:val="24"/>
        </w:rPr>
        <w:t xml:space="preserve"> que experimentan las mujeres</w:t>
      </w:r>
      <w:r w:rsidR="00FC2400" w:rsidRPr="00AF4ED7">
        <w:rPr>
          <w:rFonts w:ascii="Soberana Sans" w:hAnsi="Soberana Sans"/>
          <w:sz w:val="24"/>
          <w:szCs w:val="24"/>
        </w:rPr>
        <w:t xml:space="preserve">. </w:t>
      </w:r>
      <w:r w:rsidR="001C5931" w:rsidRPr="00AF4ED7">
        <w:rPr>
          <w:rFonts w:ascii="Soberana Sans" w:hAnsi="Soberana Sans"/>
          <w:sz w:val="24"/>
          <w:szCs w:val="24"/>
        </w:rPr>
        <w:t xml:space="preserve">Se espera que en el año 2016, se realice el cuarto levantamiento de la Encuesta. </w:t>
      </w:r>
    </w:p>
    <w:p w14:paraId="720207EE" w14:textId="77777777" w:rsidR="00C71CA3" w:rsidRPr="00AF4ED7" w:rsidRDefault="00147345" w:rsidP="00B0323E">
      <w:pPr>
        <w:spacing w:line="240" w:lineRule="auto"/>
        <w:jc w:val="both"/>
        <w:rPr>
          <w:rFonts w:ascii="Soberana Sans" w:hAnsi="Soberana Sans"/>
          <w:sz w:val="24"/>
          <w:szCs w:val="24"/>
        </w:rPr>
      </w:pPr>
      <w:r w:rsidRPr="00AF4ED7">
        <w:rPr>
          <w:rFonts w:ascii="Soberana Sans" w:hAnsi="Soberana Sans"/>
          <w:sz w:val="24"/>
          <w:szCs w:val="24"/>
        </w:rPr>
        <w:t xml:space="preserve">De igual manera, </w:t>
      </w:r>
      <w:r w:rsidR="0035222E" w:rsidRPr="00AF4ED7">
        <w:rPr>
          <w:rFonts w:ascii="Soberana Sans" w:hAnsi="Soberana Sans"/>
          <w:sz w:val="24"/>
          <w:szCs w:val="24"/>
        </w:rPr>
        <w:t xml:space="preserve">en el marco del </w:t>
      </w:r>
      <w:r w:rsidRPr="00AF4ED7">
        <w:rPr>
          <w:rFonts w:ascii="Soberana Sans" w:hAnsi="Soberana Sans"/>
          <w:sz w:val="24"/>
          <w:szCs w:val="24"/>
        </w:rPr>
        <w:t xml:space="preserve">Sistema Nacional de Información Estadística y Geográfica, </w:t>
      </w:r>
      <w:r w:rsidR="0035222E" w:rsidRPr="00AF4ED7">
        <w:rPr>
          <w:rFonts w:ascii="Soberana Sans" w:hAnsi="Soberana Sans"/>
          <w:sz w:val="24"/>
          <w:szCs w:val="24"/>
        </w:rPr>
        <w:t xml:space="preserve"> el </w:t>
      </w:r>
      <w:r w:rsidRPr="00AF4ED7">
        <w:rPr>
          <w:rFonts w:ascii="Soberana Sans" w:hAnsi="Soberana Sans"/>
          <w:sz w:val="24"/>
          <w:szCs w:val="24"/>
        </w:rPr>
        <w:t>Comité Técnico Especializado de Informa</w:t>
      </w:r>
      <w:r w:rsidR="0035222E" w:rsidRPr="00AF4ED7">
        <w:rPr>
          <w:rFonts w:ascii="Soberana Sans" w:hAnsi="Soberana Sans"/>
          <w:sz w:val="24"/>
          <w:szCs w:val="24"/>
        </w:rPr>
        <w:t xml:space="preserve">ción con Perspectiva de Género generará en el año 2016, </w:t>
      </w:r>
      <w:r w:rsidRPr="00AF4ED7">
        <w:rPr>
          <w:rFonts w:ascii="Soberana Sans" w:hAnsi="Soberana Sans"/>
          <w:sz w:val="24"/>
          <w:szCs w:val="24"/>
        </w:rPr>
        <w:t>un Sistema Integrado de Estadísticas sobre Viole</w:t>
      </w:r>
      <w:r w:rsidR="0035222E" w:rsidRPr="00AF4ED7">
        <w:rPr>
          <w:rFonts w:ascii="Soberana Sans" w:hAnsi="Soberana Sans"/>
          <w:sz w:val="24"/>
          <w:szCs w:val="24"/>
        </w:rPr>
        <w:t>ncia contra las Mujeres, mismo que</w:t>
      </w:r>
      <w:r w:rsidRPr="00AF4ED7">
        <w:rPr>
          <w:rFonts w:ascii="Soberana Sans" w:hAnsi="Soberana Sans"/>
          <w:sz w:val="24"/>
          <w:szCs w:val="24"/>
        </w:rPr>
        <w:t xml:space="preserve"> permitirá </w:t>
      </w:r>
      <w:r w:rsidR="00C71CA3" w:rsidRPr="00AF4ED7">
        <w:rPr>
          <w:rFonts w:ascii="Soberana Sans" w:hAnsi="Soberana Sans"/>
          <w:sz w:val="24"/>
          <w:szCs w:val="24"/>
        </w:rPr>
        <w:t xml:space="preserve">integrar la información </w:t>
      </w:r>
      <w:r w:rsidRPr="00AF4ED7">
        <w:rPr>
          <w:rFonts w:ascii="Soberana Sans" w:hAnsi="Soberana Sans"/>
          <w:sz w:val="24"/>
          <w:szCs w:val="24"/>
        </w:rPr>
        <w:t xml:space="preserve">nacional de 28 proyectos estadísticos que tratan temas </w:t>
      </w:r>
      <w:r w:rsidR="00436ACE" w:rsidRPr="00AF4ED7">
        <w:rPr>
          <w:rFonts w:ascii="Soberana Sans" w:hAnsi="Soberana Sans"/>
          <w:sz w:val="24"/>
          <w:szCs w:val="24"/>
        </w:rPr>
        <w:t xml:space="preserve">de esta índole. </w:t>
      </w:r>
    </w:p>
    <w:p w14:paraId="720207EF" w14:textId="77777777" w:rsidR="00C71CA3" w:rsidRPr="00AF4ED7" w:rsidRDefault="00C71CA3"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 xml:space="preserve">El Banco Nacional de Datos e Información sobre Casos de Violencia contra las Mujeres (BANAVIM) </w:t>
      </w:r>
      <w:r w:rsidR="00436ACE" w:rsidRPr="00AF4ED7">
        <w:rPr>
          <w:rFonts w:ascii="Soberana Sans" w:hAnsi="Soberana Sans" w:cs="Arial"/>
          <w:sz w:val="24"/>
          <w:szCs w:val="24"/>
        </w:rPr>
        <w:t>es una plataforma electrónica que tiene como</w:t>
      </w:r>
      <w:r w:rsidR="00E85C86" w:rsidRPr="00AF4ED7">
        <w:rPr>
          <w:rFonts w:ascii="Soberana Sans" w:hAnsi="Soberana Sans" w:cs="Arial"/>
          <w:sz w:val="24"/>
          <w:szCs w:val="24"/>
        </w:rPr>
        <w:t xml:space="preserve"> finalidad </w:t>
      </w:r>
      <w:r w:rsidRPr="00AF4ED7">
        <w:rPr>
          <w:rFonts w:ascii="Soberana Sans" w:hAnsi="Soberana Sans" w:cs="Arial"/>
          <w:sz w:val="24"/>
          <w:szCs w:val="24"/>
        </w:rPr>
        <w:t>recabar datos sobre cada caso de violencia contra las mujeres</w:t>
      </w:r>
      <w:r w:rsidR="00E85C86" w:rsidRPr="00AF4ED7">
        <w:rPr>
          <w:rFonts w:ascii="Soberana Sans" w:hAnsi="Soberana Sans" w:cs="Arial"/>
          <w:sz w:val="24"/>
          <w:szCs w:val="24"/>
        </w:rPr>
        <w:t>. Se enfoca a mostrar datos de</w:t>
      </w:r>
      <w:r w:rsidR="00E91AF5" w:rsidRPr="00AF4ED7">
        <w:rPr>
          <w:rFonts w:ascii="Soberana Sans" w:hAnsi="Soberana Sans" w:cs="Arial"/>
          <w:sz w:val="24"/>
          <w:szCs w:val="24"/>
        </w:rPr>
        <w:t xml:space="preserve"> las modalidades</w:t>
      </w:r>
      <w:r w:rsidR="00E85C86" w:rsidRPr="00AF4ED7">
        <w:rPr>
          <w:rFonts w:ascii="Soberana Sans" w:hAnsi="Soberana Sans" w:cs="Arial"/>
          <w:sz w:val="24"/>
          <w:szCs w:val="24"/>
        </w:rPr>
        <w:t xml:space="preserve"> de violencia</w:t>
      </w:r>
      <w:r w:rsidR="00E91AF5" w:rsidRPr="00AF4ED7">
        <w:rPr>
          <w:rFonts w:ascii="Soberana Sans" w:hAnsi="Soberana Sans" w:cs="Arial"/>
          <w:sz w:val="24"/>
          <w:szCs w:val="24"/>
        </w:rPr>
        <w:t xml:space="preserve">, victimarios, víctimas por edad y por tipo de violencia, entre otros. El Banco </w:t>
      </w:r>
      <w:r w:rsidRPr="00AF4ED7">
        <w:rPr>
          <w:rFonts w:ascii="Soberana Sans" w:hAnsi="Soberana Sans" w:cs="Arial"/>
          <w:sz w:val="24"/>
          <w:szCs w:val="24"/>
        </w:rPr>
        <w:t>genera</w:t>
      </w:r>
      <w:r w:rsidR="00E91AF5" w:rsidRPr="00AF4ED7">
        <w:rPr>
          <w:rFonts w:ascii="Soberana Sans" w:hAnsi="Soberana Sans" w:cs="Arial"/>
          <w:sz w:val="24"/>
          <w:szCs w:val="24"/>
        </w:rPr>
        <w:t xml:space="preserve"> estadísticas con base en </w:t>
      </w:r>
      <w:r w:rsidR="00AF4ED7" w:rsidRPr="00AF4ED7">
        <w:rPr>
          <w:rFonts w:ascii="Soberana Sans" w:hAnsi="Soberana Sans" w:cs="Arial"/>
          <w:sz w:val="24"/>
          <w:szCs w:val="24"/>
        </w:rPr>
        <w:t>la información</w:t>
      </w:r>
      <w:r w:rsidRPr="00AF4ED7">
        <w:rPr>
          <w:rFonts w:ascii="Soberana Sans" w:hAnsi="Soberana Sans" w:cs="Arial"/>
          <w:sz w:val="24"/>
          <w:szCs w:val="24"/>
        </w:rPr>
        <w:t xml:space="preserve"> de 22 </w:t>
      </w:r>
      <w:r w:rsidR="00E91AF5" w:rsidRPr="00AF4ED7">
        <w:rPr>
          <w:rFonts w:ascii="Soberana Sans" w:hAnsi="Soberana Sans" w:cs="Arial"/>
          <w:sz w:val="24"/>
          <w:szCs w:val="24"/>
        </w:rPr>
        <w:t xml:space="preserve">Entidades Federativas. En 2015, la Secretaría de Gobernación </w:t>
      </w:r>
      <w:r w:rsidRPr="00AF4ED7">
        <w:rPr>
          <w:rFonts w:ascii="Soberana Sans" w:hAnsi="Soberana Sans" w:cs="Arial"/>
          <w:sz w:val="24"/>
          <w:szCs w:val="24"/>
        </w:rPr>
        <w:t>elaboró un programa de</w:t>
      </w:r>
      <w:r w:rsidR="00E91AF5" w:rsidRPr="00AF4ED7">
        <w:rPr>
          <w:rFonts w:ascii="Soberana Sans" w:hAnsi="Soberana Sans" w:cs="Arial"/>
          <w:sz w:val="24"/>
          <w:szCs w:val="24"/>
        </w:rPr>
        <w:t xml:space="preserve"> trabajo para mejorar la plataforma y</w:t>
      </w:r>
      <w:r w:rsidRPr="00AF4ED7">
        <w:rPr>
          <w:rFonts w:ascii="Soberana Sans" w:hAnsi="Soberana Sans" w:cs="Arial"/>
          <w:sz w:val="24"/>
          <w:szCs w:val="24"/>
        </w:rPr>
        <w:t xml:space="preserve"> en 2016 se decidió rediseñar el Banco.</w:t>
      </w:r>
    </w:p>
    <w:p w14:paraId="720207F0" w14:textId="77777777" w:rsidR="00BB662B" w:rsidRPr="00AF4ED7" w:rsidRDefault="00E03A4F"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 xml:space="preserve">En diversas entidades federativas, se tienen bases de datos que registran </w:t>
      </w:r>
      <w:r w:rsidR="00AF4ED7" w:rsidRPr="00AF4ED7">
        <w:rPr>
          <w:rFonts w:ascii="Soberana Sans" w:hAnsi="Soberana Sans" w:cs="Arial"/>
          <w:sz w:val="24"/>
          <w:szCs w:val="24"/>
        </w:rPr>
        <w:t>casos de</w:t>
      </w:r>
      <w:r w:rsidRPr="00AF4ED7">
        <w:rPr>
          <w:rFonts w:ascii="Soberana Sans" w:hAnsi="Soberana Sans" w:cs="Arial"/>
          <w:sz w:val="24"/>
          <w:szCs w:val="24"/>
        </w:rPr>
        <w:t xml:space="preserve"> violencia contra las mujeres. En particular, </w:t>
      </w:r>
      <w:r w:rsidR="00C71CA3" w:rsidRPr="00AF4ED7">
        <w:rPr>
          <w:rFonts w:ascii="Soberana Sans" w:hAnsi="Soberana Sans" w:cs="Arial"/>
          <w:sz w:val="24"/>
          <w:szCs w:val="24"/>
        </w:rPr>
        <w:t>Sinaloa, tiene el ‘</w:t>
      </w:r>
      <w:r w:rsidR="00C71CA3" w:rsidRPr="00AF4ED7">
        <w:rPr>
          <w:rFonts w:ascii="Soberana Sans" w:hAnsi="Soberana Sans" w:cs="Arial"/>
          <w:i/>
          <w:sz w:val="24"/>
          <w:szCs w:val="24"/>
        </w:rPr>
        <w:t>Sistema Estatal de Indicadores de Género del Estado</w:t>
      </w:r>
      <w:r w:rsidR="00C71CA3" w:rsidRPr="00AF4ED7">
        <w:rPr>
          <w:rFonts w:ascii="Soberana Sans" w:hAnsi="Soberana Sans" w:cs="Arial"/>
          <w:sz w:val="24"/>
          <w:szCs w:val="24"/>
        </w:rPr>
        <w:t>’</w:t>
      </w:r>
      <w:r w:rsidR="00AF4ED7" w:rsidRPr="00AF4ED7">
        <w:rPr>
          <w:rFonts w:ascii="Soberana Sans" w:hAnsi="Soberana Sans" w:cs="Arial"/>
          <w:sz w:val="24"/>
          <w:szCs w:val="24"/>
        </w:rPr>
        <w:t>, Baja</w:t>
      </w:r>
      <w:r w:rsidR="00C71CA3" w:rsidRPr="00AF4ED7">
        <w:rPr>
          <w:rFonts w:ascii="Soberana Sans" w:hAnsi="Soberana Sans" w:cs="Arial"/>
          <w:sz w:val="24"/>
          <w:szCs w:val="24"/>
        </w:rPr>
        <w:t xml:space="preserve"> California </w:t>
      </w:r>
      <w:r w:rsidR="00BB662B" w:rsidRPr="00AF4ED7">
        <w:rPr>
          <w:rFonts w:ascii="Soberana Sans" w:hAnsi="Soberana Sans" w:cs="Arial"/>
          <w:sz w:val="24"/>
          <w:szCs w:val="24"/>
        </w:rPr>
        <w:t xml:space="preserve">creó en 2015 la </w:t>
      </w:r>
      <w:r w:rsidR="00C71CA3" w:rsidRPr="00AF4ED7">
        <w:rPr>
          <w:rFonts w:ascii="Soberana Sans" w:hAnsi="Soberana Sans" w:cs="Arial"/>
          <w:sz w:val="24"/>
          <w:szCs w:val="24"/>
        </w:rPr>
        <w:t>‘</w:t>
      </w:r>
      <w:r w:rsidR="00C71CA3" w:rsidRPr="00AF4ED7">
        <w:rPr>
          <w:rFonts w:ascii="Soberana Sans" w:hAnsi="Soberana Sans" w:cs="Arial"/>
          <w:i/>
          <w:sz w:val="24"/>
          <w:szCs w:val="24"/>
        </w:rPr>
        <w:t>Base Estatal de Datos e Información sobre Casos de Violencia contra las Mujeres</w:t>
      </w:r>
      <w:r w:rsidR="00BB662B" w:rsidRPr="00AF4ED7">
        <w:rPr>
          <w:rFonts w:ascii="Soberana Sans" w:hAnsi="Soberana Sans" w:cs="Arial"/>
          <w:sz w:val="24"/>
          <w:szCs w:val="24"/>
        </w:rPr>
        <w:t xml:space="preserve">’ y </w:t>
      </w:r>
      <w:r w:rsidR="00C71CA3" w:rsidRPr="00AF4ED7">
        <w:rPr>
          <w:rFonts w:ascii="Soberana Sans" w:hAnsi="Soberana Sans" w:cs="Arial"/>
          <w:sz w:val="24"/>
          <w:szCs w:val="24"/>
        </w:rPr>
        <w:t>Campeche, en 2015 diseñó el ‘</w:t>
      </w:r>
      <w:r w:rsidR="00C71CA3" w:rsidRPr="00AF4ED7">
        <w:rPr>
          <w:rFonts w:ascii="Soberana Sans" w:hAnsi="Soberana Sans" w:cs="Arial"/>
          <w:i/>
          <w:sz w:val="24"/>
          <w:szCs w:val="24"/>
        </w:rPr>
        <w:t>Sistema de indicadores para el seguimiento de brechas de género</w:t>
      </w:r>
      <w:r w:rsidR="00C71CA3" w:rsidRPr="00AF4ED7">
        <w:rPr>
          <w:rFonts w:ascii="Soberana Sans" w:hAnsi="Soberana Sans" w:cs="Arial"/>
          <w:sz w:val="24"/>
          <w:szCs w:val="24"/>
        </w:rPr>
        <w:t xml:space="preserve">’. </w:t>
      </w:r>
    </w:p>
    <w:p w14:paraId="720207F1" w14:textId="77777777" w:rsidR="001C6C59" w:rsidRPr="00AF4ED7" w:rsidRDefault="001C6C59"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 xml:space="preserve">Con respecto al tema de la discriminación es importante destacar que el artículo 43 de la Ley Federal para Prevenir la Discriminación establece que el Consejo Nacional para Prevenir la Discriminación </w:t>
      </w:r>
      <w:r w:rsidR="00BD124B" w:rsidRPr="00AF4ED7">
        <w:rPr>
          <w:rFonts w:ascii="Soberana Sans" w:hAnsi="Soberana Sans" w:cs="Arial"/>
          <w:sz w:val="24"/>
          <w:szCs w:val="24"/>
        </w:rPr>
        <w:t xml:space="preserve">(CONAPRED) </w:t>
      </w:r>
      <w:r w:rsidRPr="00AF4ED7">
        <w:rPr>
          <w:rFonts w:ascii="Soberana Sans" w:hAnsi="Soberana Sans" w:cs="Arial"/>
          <w:sz w:val="24"/>
          <w:szCs w:val="24"/>
        </w:rPr>
        <w:t xml:space="preserve">es competente para conocer de conductas discriminatorias dentro del territorio mexicano. Así, tiene conocimiento de los procedimientos de queja por presuntos actos, omisiones o prácticas sociales presuntamente discriminatorias por parte de particulares o se servidores públicos. </w:t>
      </w:r>
    </w:p>
    <w:p w14:paraId="720207F2" w14:textId="77777777" w:rsidR="0046015D" w:rsidRPr="00AF4ED7" w:rsidRDefault="001C6C59"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 xml:space="preserve">Según las bases de datos de ese Consejo, en lo que va del año 2016, se han recibido 273 quejas por actos discriminatorios contra mujeres y niñas, de los cuales 205 son por actos atribuidos a </w:t>
      </w:r>
      <w:r w:rsidRPr="00AF4ED7">
        <w:rPr>
          <w:rFonts w:ascii="Soberana Sans" w:hAnsi="Soberana Sans" w:cs="Arial"/>
          <w:sz w:val="24"/>
          <w:szCs w:val="24"/>
        </w:rPr>
        <w:lastRenderedPageBreak/>
        <w:t xml:space="preserve">particulares y 68 por servidores públicos. </w:t>
      </w:r>
      <w:r w:rsidR="006026FA" w:rsidRPr="00AF4ED7">
        <w:rPr>
          <w:rFonts w:ascii="Soberana Sans" w:hAnsi="Soberana Sans" w:cs="Arial"/>
          <w:sz w:val="24"/>
          <w:szCs w:val="24"/>
        </w:rPr>
        <w:t xml:space="preserve">Más aún, se cuenta con estadísticas desagregadas sobre el motivo de dichos actos: apariencia física, color de piel, nacionalidad, lengua, lugar de nacimiento, preferencia u orientación sexual, origen nacional, origen étnico, racial y xenofobia. </w:t>
      </w:r>
    </w:p>
    <w:p w14:paraId="720207F3" w14:textId="77777777" w:rsidR="00305EDD"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ANEXO 2</w:t>
      </w:r>
    </w:p>
    <w:p w14:paraId="720207F4" w14:textId="77777777" w:rsidR="00305EDD"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P</w:t>
      </w:r>
      <w:r w:rsidR="001E08BD" w:rsidRPr="00AF4ED7">
        <w:rPr>
          <w:rFonts w:ascii="Soberana Sans" w:hAnsi="Soberana Sans" w:cs="Arial"/>
          <w:b/>
          <w:sz w:val="24"/>
          <w:szCs w:val="24"/>
        </w:rPr>
        <w:t>rácticas e iniciativas positivas para abordar formas múltiples e interseccionales de discriminación y violencia contra las mujeres y las niñas</w:t>
      </w:r>
    </w:p>
    <w:p w14:paraId="720207F5" w14:textId="77777777" w:rsidR="00D663F8" w:rsidRPr="00AF4ED7" w:rsidRDefault="002B75DD"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sz w:val="24"/>
          <w:szCs w:val="24"/>
        </w:rPr>
        <w:t>El</w:t>
      </w:r>
      <w:r w:rsidRPr="00AF4ED7">
        <w:rPr>
          <w:rFonts w:ascii="Soberana Sans" w:hAnsi="Soberana Sans"/>
          <w:i/>
          <w:sz w:val="24"/>
          <w:szCs w:val="24"/>
        </w:rPr>
        <w:t xml:space="preserve"> Plan Nacional de Desarrollo 2013-2018</w:t>
      </w:r>
      <w:r w:rsidRPr="00AF4ED7">
        <w:rPr>
          <w:rFonts w:ascii="Soberana Sans" w:hAnsi="Soberana Sans"/>
          <w:sz w:val="24"/>
          <w:szCs w:val="24"/>
        </w:rPr>
        <w:t xml:space="preserve"> (PND), promueve transversalmente la inclusión de la Perspectiva de Género en todas las p</w:t>
      </w:r>
      <w:r w:rsidR="00BE29E4" w:rsidRPr="00AF4ED7">
        <w:rPr>
          <w:rFonts w:ascii="Soberana Sans" w:hAnsi="Soberana Sans"/>
          <w:sz w:val="24"/>
          <w:szCs w:val="24"/>
        </w:rPr>
        <w:t>ol</w:t>
      </w:r>
      <w:r w:rsidR="00D663F8" w:rsidRPr="00AF4ED7">
        <w:rPr>
          <w:rFonts w:ascii="Soberana Sans" w:hAnsi="Soberana Sans"/>
          <w:sz w:val="24"/>
          <w:szCs w:val="24"/>
        </w:rPr>
        <w:t>íticas públicas. Así, con el fin de responder a este compromiso, se creó</w:t>
      </w:r>
      <w:r w:rsidR="00BE29E4" w:rsidRPr="00AF4ED7">
        <w:rPr>
          <w:rFonts w:ascii="Soberana Sans" w:hAnsi="Soberana Sans"/>
          <w:sz w:val="24"/>
          <w:szCs w:val="24"/>
        </w:rPr>
        <w:t xml:space="preserve"> e</w:t>
      </w:r>
      <w:r w:rsidRPr="00AF4ED7">
        <w:rPr>
          <w:rFonts w:ascii="Soberana Sans" w:hAnsi="Soberana Sans"/>
          <w:sz w:val="24"/>
          <w:szCs w:val="24"/>
        </w:rPr>
        <w:t xml:space="preserve">l </w:t>
      </w:r>
      <w:r w:rsidRPr="00AF4ED7">
        <w:rPr>
          <w:rFonts w:ascii="Soberana Sans" w:hAnsi="Soberana Sans"/>
          <w:i/>
          <w:sz w:val="24"/>
          <w:szCs w:val="24"/>
        </w:rPr>
        <w:t>Programa Nacional para la Igualdad de Oportunidades y no Discriminación contra las Mujeres</w:t>
      </w:r>
      <w:r w:rsidRPr="00AF4ED7">
        <w:rPr>
          <w:rFonts w:ascii="Soberana Sans" w:hAnsi="Soberana Sans"/>
          <w:sz w:val="24"/>
          <w:szCs w:val="24"/>
        </w:rPr>
        <w:t xml:space="preserve"> 2013-2018 (PROIGUALDAD)</w:t>
      </w:r>
      <w:r w:rsidR="00D663F8" w:rsidRPr="00AF4ED7">
        <w:rPr>
          <w:rFonts w:ascii="Soberana Sans" w:hAnsi="Soberana Sans"/>
          <w:sz w:val="24"/>
          <w:szCs w:val="24"/>
        </w:rPr>
        <w:t>.</w:t>
      </w:r>
    </w:p>
    <w:p w14:paraId="720207F6" w14:textId="77777777" w:rsidR="002B75DD" w:rsidRPr="00AF4ED7" w:rsidRDefault="00D663F8"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sz w:val="24"/>
          <w:szCs w:val="24"/>
        </w:rPr>
        <w:t xml:space="preserve">Este programa establece una serie de estrategias y líneas de acción enfocadas a la erradicación de las formas múltiples e intersectoriales de discriminación y violencia contra las mujeres y niñas, en particular, las pertenecientes a </w:t>
      </w:r>
      <w:r w:rsidR="00BB2B68" w:rsidRPr="00AF4ED7">
        <w:rPr>
          <w:rFonts w:ascii="Soberana Sans" w:hAnsi="Soberana Sans"/>
          <w:sz w:val="24"/>
          <w:szCs w:val="24"/>
        </w:rPr>
        <w:t>comunidades indígenas</w:t>
      </w:r>
      <w:r w:rsidRPr="00AF4ED7">
        <w:rPr>
          <w:rFonts w:ascii="Soberana Sans" w:hAnsi="Soberana Sans"/>
          <w:sz w:val="24"/>
          <w:szCs w:val="24"/>
        </w:rPr>
        <w:t xml:space="preserve">. </w:t>
      </w:r>
      <w:r w:rsidR="00BB2B68" w:rsidRPr="00AF4ED7">
        <w:rPr>
          <w:rFonts w:ascii="Soberana Sans" w:hAnsi="Soberana Sans"/>
          <w:sz w:val="24"/>
          <w:szCs w:val="24"/>
        </w:rPr>
        <w:t xml:space="preserve">Entre ellas, se destacan: medidas para garantizar su participación política por medio de su incorporación al padrón electoral; garantizar el acceso a servicios de salud y la difusión de sus derechos sexuales y reproductivos; realizar programas para el fortalecimiento de sus capacidades; y la creación de campañas para crear un ambiente libre de violencia para las mujeres, </w:t>
      </w:r>
      <w:r w:rsidR="0035222E" w:rsidRPr="00AF4ED7">
        <w:rPr>
          <w:rFonts w:ascii="Soberana Sans" w:hAnsi="Soberana Sans"/>
          <w:sz w:val="24"/>
          <w:szCs w:val="24"/>
        </w:rPr>
        <w:t>niñas, indígenas</w:t>
      </w:r>
      <w:r w:rsidR="00BB2B68" w:rsidRPr="00AF4ED7">
        <w:rPr>
          <w:rFonts w:ascii="Soberana Sans" w:hAnsi="Soberana Sans"/>
          <w:sz w:val="24"/>
          <w:szCs w:val="24"/>
        </w:rPr>
        <w:t>, migr</w:t>
      </w:r>
      <w:r w:rsidR="0035222E" w:rsidRPr="00AF4ED7">
        <w:rPr>
          <w:rFonts w:ascii="Soberana Sans" w:hAnsi="Soberana Sans"/>
          <w:sz w:val="24"/>
          <w:szCs w:val="24"/>
        </w:rPr>
        <w:t xml:space="preserve">antes y </w:t>
      </w:r>
      <w:r w:rsidR="00BB2B68" w:rsidRPr="00AF4ED7">
        <w:rPr>
          <w:rFonts w:ascii="Soberana Sans" w:hAnsi="Soberana Sans"/>
          <w:sz w:val="24"/>
          <w:szCs w:val="24"/>
        </w:rPr>
        <w:t xml:space="preserve">jornaleras. </w:t>
      </w:r>
    </w:p>
    <w:p w14:paraId="720207F7" w14:textId="77777777" w:rsidR="00BB2B68" w:rsidRPr="00AF4ED7" w:rsidRDefault="00BB2B68"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sz w:val="24"/>
          <w:szCs w:val="24"/>
        </w:rPr>
        <w:t xml:space="preserve">Asimismo, el </w:t>
      </w:r>
      <w:r w:rsidRPr="00AF4ED7">
        <w:rPr>
          <w:rFonts w:ascii="Soberana Sans" w:hAnsi="Soberana Sans" w:cs="Arial"/>
          <w:i/>
          <w:sz w:val="24"/>
          <w:szCs w:val="24"/>
        </w:rPr>
        <w:t>Programa Nacional para la Igualdad y la no Discriminación</w:t>
      </w:r>
      <w:r w:rsidRPr="00AF4ED7">
        <w:rPr>
          <w:rFonts w:ascii="Soberana Sans" w:hAnsi="Soberana Sans" w:cs="Arial"/>
          <w:sz w:val="24"/>
          <w:szCs w:val="24"/>
        </w:rPr>
        <w:t xml:space="preserve"> 2014-2018</w:t>
      </w:r>
      <w:r w:rsidR="00AF4ED7">
        <w:rPr>
          <w:rFonts w:ascii="Soberana Sans" w:hAnsi="Soberana Sans" w:cs="Arial"/>
          <w:sz w:val="24"/>
          <w:szCs w:val="24"/>
        </w:rPr>
        <w:t xml:space="preserve"> </w:t>
      </w:r>
      <w:r w:rsidR="00AF4ED7" w:rsidRPr="00AF4ED7">
        <w:rPr>
          <w:rFonts w:ascii="Soberana Sans" w:hAnsi="Soberana Sans" w:cs="Arial"/>
          <w:sz w:val="24"/>
          <w:szCs w:val="24"/>
        </w:rPr>
        <w:t>(PRONAID)</w:t>
      </w:r>
      <w:r w:rsidRPr="00AF4ED7">
        <w:rPr>
          <w:rFonts w:ascii="Soberana Sans" w:hAnsi="Soberana Sans" w:cs="Arial"/>
          <w:sz w:val="24"/>
          <w:szCs w:val="24"/>
        </w:rPr>
        <w:t>, involucra a toda la Administración Pública Federal en el avance sustantivo hacia la igualdad de trato. Se establecen líneas de acción que impulsan la modificación de reglamentos internos, procedimientos administrativos, servicios públicos con el objetivo de garantizar en condiciones de igualdad y no discriminación del acc</w:t>
      </w:r>
      <w:r w:rsidR="00F5079B" w:rsidRPr="00AF4ED7">
        <w:rPr>
          <w:rFonts w:ascii="Soberana Sans" w:hAnsi="Soberana Sans" w:cs="Arial"/>
          <w:sz w:val="24"/>
          <w:szCs w:val="24"/>
        </w:rPr>
        <w:t xml:space="preserve">eso de mujeres y niñas a sus derechos.  </w:t>
      </w:r>
    </w:p>
    <w:p w14:paraId="720207F8" w14:textId="77777777" w:rsidR="00BB2B68" w:rsidRPr="00AF4ED7" w:rsidRDefault="00BB2B68" w:rsidP="00BB2B68">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Las líneas de acción más destacadas se enfocan a incluir criterios en la normativa laboral de la Administ</w:t>
      </w:r>
      <w:r w:rsidR="00B24CE7" w:rsidRPr="00AF4ED7">
        <w:rPr>
          <w:rFonts w:ascii="Soberana Sans" w:hAnsi="Soberana Sans" w:cs="Arial"/>
          <w:sz w:val="24"/>
          <w:szCs w:val="24"/>
        </w:rPr>
        <w:t>ración Pública Federal</w:t>
      </w:r>
      <w:r w:rsidRPr="00AF4ED7">
        <w:rPr>
          <w:rFonts w:ascii="Soberana Sans" w:hAnsi="Soberana Sans" w:cs="Arial"/>
          <w:sz w:val="24"/>
          <w:szCs w:val="24"/>
        </w:rPr>
        <w:t xml:space="preserve"> que favorezcan la contratación y permanencia de personas que pertenecen a grup</w:t>
      </w:r>
      <w:r w:rsidR="00F5079B" w:rsidRPr="00AF4ED7">
        <w:rPr>
          <w:rFonts w:ascii="Soberana Sans" w:hAnsi="Soberana Sans" w:cs="Arial"/>
          <w:sz w:val="24"/>
          <w:szCs w:val="24"/>
        </w:rPr>
        <w:t xml:space="preserve">os discriminados; promover el trabajo decente y eliminar las barreras de acceso a crédito para estos sectores; </w:t>
      </w:r>
      <w:r w:rsidRPr="00AF4ED7">
        <w:rPr>
          <w:rFonts w:ascii="Soberana Sans" w:hAnsi="Soberana Sans" w:cs="Arial"/>
          <w:sz w:val="24"/>
          <w:szCs w:val="24"/>
        </w:rPr>
        <w:t>garantizar la cobertura universal de servicio</w:t>
      </w:r>
      <w:r w:rsidR="00F5079B" w:rsidRPr="00AF4ED7">
        <w:rPr>
          <w:rFonts w:ascii="Soberana Sans" w:hAnsi="Soberana Sans" w:cs="Arial"/>
          <w:sz w:val="24"/>
          <w:szCs w:val="24"/>
        </w:rPr>
        <w:t xml:space="preserve">s de salud a mujeres indígenas; </w:t>
      </w:r>
      <w:r w:rsidRPr="00AF4ED7">
        <w:rPr>
          <w:rFonts w:ascii="Soberana Sans" w:hAnsi="Soberana Sans" w:cs="Arial"/>
          <w:sz w:val="24"/>
          <w:szCs w:val="24"/>
        </w:rPr>
        <w:t>incrementar la participación de mujeres afrodescendiente</w:t>
      </w:r>
      <w:r w:rsidR="00F5079B" w:rsidRPr="00AF4ED7">
        <w:rPr>
          <w:rFonts w:ascii="Soberana Sans" w:hAnsi="Soberana Sans" w:cs="Arial"/>
          <w:sz w:val="24"/>
          <w:szCs w:val="24"/>
        </w:rPr>
        <w:t>s</w:t>
      </w:r>
      <w:r w:rsidRPr="00AF4ED7">
        <w:rPr>
          <w:rFonts w:ascii="Soberana Sans" w:hAnsi="Soberana Sans" w:cs="Arial"/>
          <w:sz w:val="24"/>
          <w:szCs w:val="24"/>
        </w:rPr>
        <w:t xml:space="preserve"> e indígenas en la esfera política y c</w:t>
      </w:r>
      <w:r w:rsidR="00F5079B" w:rsidRPr="00AF4ED7">
        <w:rPr>
          <w:rFonts w:ascii="Soberana Sans" w:hAnsi="Soberana Sans" w:cs="Arial"/>
          <w:sz w:val="24"/>
          <w:szCs w:val="24"/>
        </w:rPr>
        <w:t>argos de representación popular;</w:t>
      </w:r>
      <w:r w:rsidRPr="00AF4ED7">
        <w:rPr>
          <w:rFonts w:ascii="Soberana Sans" w:hAnsi="Soberana Sans" w:cs="Arial"/>
          <w:sz w:val="24"/>
          <w:szCs w:val="24"/>
        </w:rPr>
        <w:t xml:space="preserve"> entre otros. </w:t>
      </w:r>
    </w:p>
    <w:p w14:paraId="720207F9" w14:textId="77777777" w:rsidR="00BE29E4" w:rsidRPr="00AF4ED7" w:rsidRDefault="00BB2B68"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sz w:val="24"/>
          <w:szCs w:val="24"/>
        </w:rPr>
        <w:t>Por otro lado, el marco jurídico nacional, cuenta con leyes encargadas de atender las múltiples e intersectoriales formas de discriminación y la violencia ejercida contra estos grupos de mujeres.</w:t>
      </w:r>
      <w:r w:rsidR="001D0838" w:rsidRPr="00AF4ED7">
        <w:rPr>
          <w:rFonts w:ascii="Soberana Sans" w:hAnsi="Soberana Sans"/>
          <w:sz w:val="24"/>
          <w:szCs w:val="24"/>
        </w:rPr>
        <w:t xml:space="preserve"> Por un lado, la </w:t>
      </w:r>
      <w:r w:rsidR="00BE29E4" w:rsidRPr="00AF4ED7">
        <w:rPr>
          <w:rFonts w:ascii="Soberana Sans" w:hAnsi="Soberana Sans"/>
          <w:i/>
          <w:sz w:val="24"/>
          <w:szCs w:val="24"/>
        </w:rPr>
        <w:t xml:space="preserve">Ley General para la Igualdad entre </w:t>
      </w:r>
      <w:r w:rsidR="00004B75" w:rsidRPr="00AF4ED7">
        <w:rPr>
          <w:rFonts w:ascii="Soberana Sans" w:hAnsi="Soberana Sans"/>
          <w:i/>
          <w:sz w:val="24"/>
          <w:szCs w:val="24"/>
        </w:rPr>
        <w:t>Mujeres y Hombres</w:t>
      </w:r>
      <w:r w:rsidR="00004B75" w:rsidRPr="00AF4ED7">
        <w:rPr>
          <w:rFonts w:ascii="Soberana Sans" w:hAnsi="Soberana Sans"/>
          <w:sz w:val="24"/>
          <w:szCs w:val="24"/>
        </w:rPr>
        <w:t xml:space="preserve">, tiene por objeto garantizar las mismas oportunidades para ambos, independientemente de su edad, cultura, origen étnico o nacional, condición social, opinión, discapacidad, entre otros. </w:t>
      </w:r>
      <w:r w:rsidR="00BE29E4" w:rsidRPr="00AF4ED7">
        <w:rPr>
          <w:rFonts w:ascii="Soberana Sans" w:hAnsi="Soberana Sans"/>
          <w:sz w:val="24"/>
          <w:szCs w:val="24"/>
        </w:rPr>
        <w:t xml:space="preserve"> </w:t>
      </w:r>
    </w:p>
    <w:p w14:paraId="720207FA" w14:textId="77777777" w:rsidR="00DF6891" w:rsidRPr="00AF4ED7" w:rsidRDefault="006D6D8A"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sz w:val="24"/>
          <w:szCs w:val="24"/>
        </w:rPr>
        <w:t xml:space="preserve">De igual manera, </w:t>
      </w:r>
      <w:r w:rsidRPr="00AF4ED7">
        <w:rPr>
          <w:rFonts w:ascii="Soberana Sans" w:hAnsi="Soberana Sans"/>
          <w:i/>
          <w:sz w:val="24"/>
          <w:szCs w:val="24"/>
        </w:rPr>
        <w:t xml:space="preserve">la </w:t>
      </w:r>
      <w:r w:rsidR="00BE29E4" w:rsidRPr="00AF4ED7">
        <w:rPr>
          <w:rFonts w:ascii="Soberana Sans" w:hAnsi="Soberana Sans"/>
          <w:i/>
          <w:sz w:val="24"/>
          <w:szCs w:val="24"/>
        </w:rPr>
        <w:t>Ley General de Acceso a las Mujere</w:t>
      </w:r>
      <w:r w:rsidRPr="00AF4ED7">
        <w:rPr>
          <w:rFonts w:ascii="Soberana Sans" w:hAnsi="Soberana Sans"/>
          <w:i/>
          <w:sz w:val="24"/>
          <w:szCs w:val="24"/>
        </w:rPr>
        <w:t xml:space="preserve">s a una vida Libre de Violencia, </w:t>
      </w:r>
      <w:r w:rsidRPr="00AF4ED7">
        <w:rPr>
          <w:rFonts w:ascii="Soberana Sans" w:hAnsi="Soberana Sans"/>
          <w:sz w:val="24"/>
          <w:szCs w:val="24"/>
        </w:rPr>
        <w:t xml:space="preserve">junto con el </w:t>
      </w:r>
      <w:r w:rsidRPr="00AF4ED7">
        <w:rPr>
          <w:rFonts w:ascii="Soberana Sans" w:hAnsi="Soberana Sans"/>
          <w:i/>
          <w:sz w:val="24"/>
          <w:szCs w:val="24"/>
        </w:rPr>
        <w:t xml:space="preserve">Programa Integral para Prevenir, Atender, Sancionar </w:t>
      </w:r>
      <w:r w:rsidR="00DF6891" w:rsidRPr="00AF4ED7">
        <w:rPr>
          <w:rFonts w:ascii="Soberana Sans" w:hAnsi="Soberana Sans"/>
          <w:i/>
          <w:sz w:val="24"/>
          <w:szCs w:val="24"/>
        </w:rPr>
        <w:t>y Erradicar la Violencia las Mujer</w:t>
      </w:r>
      <w:r w:rsidR="00E839B9" w:rsidRPr="00AF4ED7">
        <w:rPr>
          <w:rFonts w:ascii="Soberana Sans" w:hAnsi="Soberana Sans"/>
          <w:i/>
          <w:sz w:val="24"/>
          <w:szCs w:val="24"/>
        </w:rPr>
        <w:t>es</w:t>
      </w:r>
      <w:r w:rsidR="00E839B9" w:rsidRPr="00AF4ED7">
        <w:rPr>
          <w:rFonts w:ascii="Soberana Sans" w:hAnsi="Soberana Sans"/>
          <w:sz w:val="24"/>
          <w:szCs w:val="24"/>
        </w:rPr>
        <w:t xml:space="preserve">, </w:t>
      </w:r>
      <w:r w:rsidR="00DF6891" w:rsidRPr="00AF4ED7">
        <w:rPr>
          <w:rFonts w:ascii="Soberana Sans" w:hAnsi="Soberana Sans"/>
          <w:sz w:val="24"/>
          <w:szCs w:val="24"/>
        </w:rPr>
        <w:t xml:space="preserve">han establecido acciones para erradicar esta problemática. En particular, el Programa prevé acciones específicas para enfrentar la violencia que sufren las mujeres indígenas, con discapacidad, migrantes, adolescentes, adultas mayores y privadas de su libertad. </w:t>
      </w:r>
    </w:p>
    <w:p w14:paraId="720207FB" w14:textId="77777777" w:rsidR="006A0530" w:rsidRPr="00AF4ED7" w:rsidRDefault="00DF6891"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Además, l</w:t>
      </w:r>
      <w:r w:rsidR="006A0530" w:rsidRPr="00AF4ED7">
        <w:rPr>
          <w:rFonts w:ascii="Soberana Sans" w:hAnsi="Soberana Sans" w:cs="Arial"/>
          <w:sz w:val="24"/>
          <w:szCs w:val="24"/>
        </w:rPr>
        <w:t xml:space="preserve">a </w:t>
      </w:r>
      <w:r w:rsidR="006A0530" w:rsidRPr="00AF4ED7">
        <w:rPr>
          <w:rFonts w:ascii="Soberana Sans" w:hAnsi="Soberana Sans" w:cs="Arial"/>
          <w:i/>
          <w:sz w:val="24"/>
          <w:szCs w:val="24"/>
        </w:rPr>
        <w:t>Ley Federal para Prevenir y Eliminar la Discriminación</w:t>
      </w:r>
      <w:r w:rsidRPr="00AF4ED7">
        <w:rPr>
          <w:rFonts w:ascii="Soberana Sans" w:hAnsi="Soberana Sans" w:cs="Arial"/>
          <w:sz w:val="24"/>
          <w:szCs w:val="24"/>
        </w:rPr>
        <w:t xml:space="preserve">, derivada de la reforma en materia </w:t>
      </w:r>
      <w:r w:rsidR="001D0838" w:rsidRPr="00AF4ED7">
        <w:rPr>
          <w:rFonts w:ascii="Soberana Sans" w:hAnsi="Soberana Sans" w:cs="Arial"/>
          <w:sz w:val="24"/>
          <w:szCs w:val="24"/>
        </w:rPr>
        <w:t>de derechos humanos del año 2011</w:t>
      </w:r>
      <w:r w:rsidRPr="00AF4ED7">
        <w:rPr>
          <w:rFonts w:ascii="Soberana Sans" w:hAnsi="Soberana Sans" w:cs="Arial"/>
          <w:sz w:val="24"/>
          <w:szCs w:val="24"/>
        </w:rPr>
        <w:t xml:space="preserve">, </w:t>
      </w:r>
      <w:r w:rsidR="006A0530" w:rsidRPr="00AF4ED7">
        <w:rPr>
          <w:rFonts w:ascii="Soberana Sans" w:hAnsi="Soberana Sans" w:cs="Arial"/>
          <w:sz w:val="24"/>
          <w:szCs w:val="24"/>
        </w:rPr>
        <w:t xml:space="preserve">incluyó una definición amplia de discriminación, </w:t>
      </w:r>
      <w:r w:rsidRPr="00AF4ED7">
        <w:rPr>
          <w:rFonts w:ascii="Soberana Sans" w:hAnsi="Soberana Sans" w:cs="Arial"/>
          <w:sz w:val="24"/>
          <w:szCs w:val="24"/>
        </w:rPr>
        <w:t xml:space="preserve">así como nuevas medidas de reparación del daño y la incorporación de nuevos </w:t>
      </w:r>
      <w:r w:rsidR="006A0530" w:rsidRPr="00AF4ED7">
        <w:rPr>
          <w:rFonts w:ascii="Soberana Sans" w:hAnsi="Soberana Sans" w:cs="Arial"/>
          <w:sz w:val="24"/>
          <w:szCs w:val="24"/>
        </w:rPr>
        <w:t xml:space="preserve">motivos de </w:t>
      </w:r>
      <w:r w:rsidR="006A0530" w:rsidRPr="00AF4ED7">
        <w:rPr>
          <w:rFonts w:ascii="Soberana Sans" w:hAnsi="Soberana Sans" w:cs="Arial"/>
          <w:sz w:val="24"/>
          <w:szCs w:val="24"/>
        </w:rPr>
        <w:lastRenderedPageBreak/>
        <w:t>discriminación</w:t>
      </w:r>
      <w:r w:rsidRPr="00AF4ED7">
        <w:rPr>
          <w:rFonts w:ascii="Soberana Sans" w:hAnsi="Soberana Sans" w:cs="Arial"/>
          <w:sz w:val="24"/>
          <w:szCs w:val="24"/>
        </w:rPr>
        <w:t xml:space="preserve"> como </w:t>
      </w:r>
      <w:r w:rsidR="006A0530" w:rsidRPr="00AF4ED7">
        <w:rPr>
          <w:rFonts w:ascii="Soberana Sans" w:hAnsi="Soberana Sans" w:cs="Arial"/>
          <w:sz w:val="24"/>
          <w:szCs w:val="24"/>
        </w:rPr>
        <w:t>la homofobia, la misoginia, la segregación r</w:t>
      </w:r>
      <w:r w:rsidR="00F5079B" w:rsidRPr="00AF4ED7">
        <w:rPr>
          <w:rFonts w:ascii="Soberana Sans" w:hAnsi="Soberana Sans" w:cs="Arial"/>
          <w:sz w:val="24"/>
          <w:szCs w:val="24"/>
        </w:rPr>
        <w:t>acial, la discriminación racial y</w:t>
      </w:r>
      <w:r w:rsidR="006A0530" w:rsidRPr="00AF4ED7">
        <w:rPr>
          <w:rFonts w:ascii="Soberana Sans" w:hAnsi="Soberana Sans" w:cs="Arial"/>
          <w:sz w:val="24"/>
          <w:szCs w:val="24"/>
        </w:rPr>
        <w:t xml:space="preserve"> las</w:t>
      </w:r>
      <w:r w:rsidRPr="00AF4ED7">
        <w:rPr>
          <w:rFonts w:ascii="Soberana Sans" w:hAnsi="Soberana Sans" w:cs="Arial"/>
          <w:sz w:val="24"/>
          <w:szCs w:val="24"/>
        </w:rPr>
        <w:t xml:space="preserve"> formas conexas de intolerancia. </w:t>
      </w:r>
    </w:p>
    <w:p w14:paraId="720207FC" w14:textId="77777777" w:rsidR="00DF6891" w:rsidRPr="00AF4ED7" w:rsidRDefault="00DF6891"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 xml:space="preserve">Finalmente, la </w:t>
      </w:r>
      <w:r w:rsidRPr="00AF4ED7">
        <w:rPr>
          <w:rFonts w:ascii="Soberana Sans" w:hAnsi="Soberana Sans" w:cs="Arial"/>
          <w:i/>
          <w:sz w:val="24"/>
          <w:szCs w:val="24"/>
        </w:rPr>
        <w:t>Norma Mexicana NMX-R-025SCFI-2015</w:t>
      </w:r>
      <w:r w:rsidRPr="00AF4ED7">
        <w:rPr>
          <w:rFonts w:ascii="Soberana Sans" w:hAnsi="Soberana Sans" w:cs="Arial"/>
          <w:sz w:val="24"/>
          <w:szCs w:val="24"/>
        </w:rPr>
        <w:t xml:space="preserve"> </w:t>
      </w:r>
      <w:r w:rsidRPr="00AF4ED7">
        <w:rPr>
          <w:rFonts w:ascii="Soberana Sans" w:hAnsi="Soberana Sans" w:cs="Arial"/>
          <w:i/>
          <w:sz w:val="24"/>
          <w:szCs w:val="24"/>
        </w:rPr>
        <w:t>en Igualdad Laboral y No Discriminación</w:t>
      </w:r>
      <w:r w:rsidRPr="00AF4ED7">
        <w:rPr>
          <w:rFonts w:ascii="Soberana Sans" w:hAnsi="Soberana Sans" w:cs="Arial"/>
          <w:sz w:val="24"/>
          <w:szCs w:val="24"/>
        </w:rPr>
        <w:t xml:space="preserve">  tiene como propósito fundamental el acceso a un empleo digno, productivo y bien remunerado a favor de todas las personas sin importar su origen étnico o nacional, sexo, edad, discapacidad, condición social o económica, condiciones de salud, embarazo, lengua, religión, opiniones, preferencias sexuales, estado civil o conyugal, entre otros. </w:t>
      </w:r>
    </w:p>
    <w:p w14:paraId="720207FD" w14:textId="77777777" w:rsidR="00DF6891" w:rsidRPr="00AF4ED7" w:rsidRDefault="00DF6891" w:rsidP="00B0323E">
      <w:pPr>
        <w:autoSpaceDE w:val="0"/>
        <w:autoSpaceDN w:val="0"/>
        <w:adjustRightInd w:val="0"/>
        <w:spacing w:after="100" w:afterAutospacing="1" w:line="240" w:lineRule="auto"/>
        <w:jc w:val="both"/>
        <w:rPr>
          <w:rFonts w:ascii="Soberana Sans" w:hAnsi="Soberana Sans"/>
          <w:sz w:val="24"/>
          <w:szCs w:val="24"/>
        </w:rPr>
      </w:pPr>
      <w:r w:rsidRPr="00AF4ED7">
        <w:rPr>
          <w:rFonts w:ascii="Soberana Sans" w:hAnsi="Soberana Sans" w:cs="Arial"/>
          <w:sz w:val="24"/>
          <w:szCs w:val="24"/>
        </w:rPr>
        <w:t>La norma convoca a un proceso de certificación de centros de trabajo del sector público, privado y social</w:t>
      </w:r>
      <w:r w:rsidR="00E249D0" w:rsidRPr="00AF4ED7">
        <w:rPr>
          <w:rFonts w:ascii="Soberana Sans" w:hAnsi="Soberana Sans" w:cs="Arial"/>
          <w:sz w:val="24"/>
          <w:szCs w:val="24"/>
        </w:rPr>
        <w:t xml:space="preserve">, mismo que implica el cumplimiento de 14 requisitos de aplicación de políticas de inclusión y no discriminación y culmina con una auditoría. Hasta la fecha, 24 centros de trabajo, entre ellos 14 empresas privadas y 10 instituciones del sector público, se han certificado conforme a la norma. </w:t>
      </w:r>
    </w:p>
    <w:p w14:paraId="720207FE" w14:textId="77777777" w:rsidR="00305EDD"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ANEXO 3</w:t>
      </w:r>
    </w:p>
    <w:p w14:paraId="720207FF" w14:textId="77777777" w:rsidR="00B74CA8"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M</w:t>
      </w:r>
      <w:r w:rsidR="00BF190F" w:rsidRPr="00AF4ED7">
        <w:rPr>
          <w:rFonts w:ascii="Soberana Sans" w:hAnsi="Soberana Sans" w:cs="Arial"/>
          <w:b/>
          <w:sz w:val="24"/>
          <w:szCs w:val="24"/>
        </w:rPr>
        <w:t>ecanismos que aseguran la participación significativa de las mujeres y niñas pertenecientes a grupos que enfrentan racismo, discriminación racial, xenofobia y formas conexas de intolerancia en la toma de decisiones a todos los niveles</w:t>
      </w:r>
    </w:p>
    <w:p w14:paraId="72020800" w14:textId="77777777" w:rsidR="00CF1D48" w:rsidRPr="00AF4ED7" w:rsidRDefault="00CF1D48" w:rsidP="00B0323E">
      <w:pPr>
        <w:autoSpaceDE w:val="0"/>
        <w:autoSpaceDN w:val="0"/>
        <w:adjustRightInd w:val="0"/>
        <w:spacing w:after="100" w:afterAutospacing="1" w:line="240" w:lineRule="auto"/>
        <w:jc w:val="both"/>
        <w:rPr>
          <w:rFonts w:ascii="Soberana Sans" w:hAnsi="Soberana Sans" w:cs="Arial"/>
          <w:sz w:val="24"/>
          <w:szCs w:val="24"/>
        </w:rPr>
      </w:pPr>
      <w:r w:rsidRPr="00AF4ED7">
        <w:rPr>
          <w:rFonts w:ascii="Soberana Sans" w:hAnsi="Soberana Sans" w:cs="Arial"/>
          <w:sz w:val="24"/>
          <w:szCs w:val="24"/>
        </w:rPr>
        <w:t>En México se han realizado importantes reformas a los Artículos 2</w:t>
      </w:r>
      <w:r w:rsidR="00497476" w:rsidRPr="00AF4ED7">
        <w:rPr>
          <w:rFonts w:ascii="Soberana Sans" w:hAnsi="Soberana Sans" w:cs="Arial"/>
          <w:sz w:val="24"/>
          <w:szCs w:val="24"/>
        </w:rPr>
        <w:t>°</w:t>
      </w:r>
      <w:r w:rsidRPr="00AF4ED7">
        <w:rPr>
          <w:rFonts w:ascii="Soberana Sans" w:hAnsi="Soberana Sans" w:cs="Arial"/>
          <w:sz w:val="24"/>
          <w:szCs w:val="24"/>
        </w:rPr>
        <w:t xml:space="preserve"> al 26 Constitucionales que garantizan la participación de mujeres y hombres en condiciones de igualdad.</w:t>
      </w:r>
      <w:r w:rsidR="001D0838" w:rsidRPr="00AF4ED7">
        <w:rPr>
          <w:rFonts w:ascii="Soberana Sans" w:hAnsi="Soberana Sans" w:cs="Arial"/>
          <w:sz w:val="24"/>
          <w:szCs w:val="24"/>
        </w:rPr>
        <w:t xml:space="preserve"> En este sentido, diversas instituciones gubernamentales han implementado algunas acciones. </w:t>
      </w:r>
    </w:p>
    <w:p w14:paraId="72020801" w14:textId="77777777" w:rsidR="00647B75" w:rsidRPr="00AF4ED7" w:rsidRDefault="001D0838"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sz w:val="24"/>
          <w:szCs w:val="24"/>
        </w:rPr>
        <w:t>Por un lado, l</w:t>
      </w:r>
      <w:r w:rsidR="00CF1D48" w:rsidRPr="00AF4ED7">
        <w:rPr>
          <w:rFonts w:ascii="Soberana Sans" w:hAnsi="Soberana Sans" w:cs="Arial"/>
          <w:sz w:val="24"/>
          <w:szCs w:val="24"/>
        </w:rPr>
        <w:t>a Comisión Nacional para el Desarrollo de los Pueblos Indígenas</w:t>
      </w:r>
      <w:r w:rsidR="00AF4ED7" w:rsidRPr="00AF4ED7">
        <w:rPr>
          <w:rFonts w:ascii="Soberana Sans" w:hAnsi="Soberana Sans" w:cs="Arial"/>
          <w:sz w:val="24"/>
          <w:szCs w:val="24"/>
        </w:rPr>
        <w:t xml:space="preserve"> (CDI)</w:t>
      </w:r>
      <w:r w:rsidR="00CF1D48" w:rsidRPr="00AF4ED7">
        <w:rPr>
          <w:rFonts w:ascii="Soberana Sans" w:hAnsi="Soberana Sans" w:cs="Arial"/>
          <w:sz w:val="24"/>
          <w:szCs w:val="24"/>
        </w:rPr>
        <w:t xml:space="preserve">, en el marco del </w:t>
      </w:r>
      <w:r w:rsidR="00CF1D48" w:rsidRPr="00AF4ED7">
        <w:rPr>
          <w:rFonts w:ascii="Soberana Sans" w:hAnsi="Soberana Sans" w:cs="Arial"/>
          <w:i/>
          <w:sz w:val="24"/>
          <w:szCs w:val="24"/>
        </w:rPr>
        <w:t>Programa de Derechos Indígenas</w:t>
      </w:r>
      <w:r w:rsidR="00CF1D48" w:rsidRPr="00AF4ED7">
        <w:rPr>
          <w:rFonts w:ascii="Soberana Sans" w:hAnsi="Soberana Sans" w:cs="Arial"/>
          <w:sz w:val="24"/>
          <w:szCs w:val="24"/>
        </w:rPr>
        <w:t xml:space="preserve">, se encarga de apoyar las iniciativas comunitarias y de incentivar la participación de las mujeres, a través </w:t>
      </w:r>
      <w:r w:rsidR="00692D96" w:rsidRPr="00AF4ED7">
        <w:rPr>
          <w:rFonts w:ascii="Soberana Sans" w:hAnsi="Soberana Sans" w:cs="Arial"/>
          <w:sz w:val="24"/>
          <w:szCs w:val="24"/>
        </w:rPr>
        <w:t>d</w:t>
      </w:r>
      <w:r w:rsidR="00497476" w:rsidRPr="00AF4ED7">
        <w:rPr>
          <w:rFonts w:ascii="Soberana Sans" w:hAnsi="Soberana Sans" w:cs="Arial"/>
          <w:sz w:val="24"/>
          <w:szCs w:val="24"/>
        </w:rPr>
        <w:t>el fortalecimiento de liderazgos</w:t>
      </w:r>
      <w:r w:rsidR="00692D96" w:rsidRPr="00AF4ED7">
        <w:rPr>
          <w:rFonts w:ascii="Soberana Sans" w:hAnsi="Soberana Sans" w:cs="Arial"/>
          <w:sz w:val="24"/>
          <w:szCs w:val="24"/>
        </w:rPr>
        <w:t xml:space="preserve"> femeninos indígenas que han beneficiado a</w:t>
      </w:r>
      <w:r w:rsidR="00497476" w:rsidRPr="00AF4ED7">
        <w:rPr>
          <w:rFonts w:ascii="Soberana Sans" w:hAnsi="Soberana Sans" w:cs="Arial"/>
          <w:sz w:val="24"/>
          <w:szCs w:val="24"/>
        </w:rPr>
        <w:t xml:space="preserve"> </w:t>
      </w:r>
      <w:r w:rsidR="00692D96" w:rsidRPr="00AF4ED7">
        <w:rPr>
          <w:rFonts w:ascii="Soberana Sans" w:hAnsi="Soberana Sans"/>
          <w:sz w:val="24"/>
          <w:szCs w:val="24"/>
          <w:lang w:eastAsia="es-MX"/>
        </w:rPr>
        <w:t xml:space="preserve">5023 mujeres. En total, la participación de las mujeres indígenas </w:t>
      </w:r>
      <w:r w:rsidR="00CF1D48" w:rsidRPr="00AF4ED7">
        <w:rPr>
          <w:rFonts w:ascii="Soberana Sans" w:hAnsi="Soberana Sans" w:cs="Arial"/>
          <w:sz w:val="24"/>
          <w:szCs w:val="24"/>
        </w:rPr>
        <w:t xml:space="preserve">alcanzó un 46.1% en 2014, y </w:t>
      </w:r>
      <w:r w:rsidR="00692D96" w:rsidRPr="00AF4ED7">
        <w:rPr>
          <w:rFonts w:ascii="Soberana Sans" w:hAnsi="Soberana Sans" w:cs="Arial"/>
          <w:sz w:val="24"/>
          <w:szCs w:val="24"/>
        </w:rPr>
        <w:t xml:space="preserve">un </w:t>
      </w:r>
      <w:r w:rsidR="00F5079B" w:rsidRPr="00AF4ED7">
        <w:rPr>
          <w:rFonts w:ascii="Soberana Sans" w:hAnsi="Soberana Sans" w:cs="Arial"/>
          <w:sz w:val="24"/>
          <w:szCs w:val="24"/>
        </w:rPr>
        <w:t>52.1 %</w:t>
      </w:r>
      <w:r w:rsidR="00CF1D48" w:rsidRPr="00AF4ED7">
        <w:rPr>
          <w:rFonts w:ascii="Soberana Sans" w:hAnsi="Soberana Sans" w:cs="Arial"/>
          <w:sz w:val="24"/>
          <w:szCs w:val="24"/>
        </w:rPr>
        <w:t xml:space="preserve"> en 2015.</w:t>
      </w:r>
    </w:p>
    <w:p w14:paraId="72020802" w14:textId="77777777" w:rsidR="004813D6" w:rsidRPr="00AF4ED7" w:rsidRDefault="004813D6" w:rsidP="00B0323E">
      <w:pPr>
        <w:jc w:val="both"/>
        <w:rPr>
          <w:rFonts w:ascii="Soberana Sans" w:hAnsi="Soberana Sans"/>
          <w:sz w:val="24"/>
          <w:szCs w:val="24"/>
          <w:lang w:eastAsia="es-MX"/>
        </w:rPr>
      </w:pPr>
      <w:r w:rsidRPr="00AF4ED7">
        <w:rPr>
          <w:rFonts w:ascii="Soberana Sans" w:hAnsi="Soberana Sans"/>
          <w:sz w:val="24"/>
          <w:szCs w:val="24"/>
          <w:lang w:eastAsia="es-MX"/>
        </w:rPr>
        <w:t>En mayo de 2013, la CDI y el T</w:t>
      </w:r>
      <w:r w:rsidR="00692D96" w:rsidRPr="00AF4ED7">
        <w:rPr>
          <w:rFonts w:ascii="Soberana Sans" w:hAnsi="Soberana Sans"/>
          <w:sz w:val="24"/>
          <w:szCs w:val="24"/>
          <w:lang w:eastAsia="es-MX"/>
        </w:rPr>
        <w:t xml:space="preserve">ribunal </w:t>
      </w:r>
      <w:r w:rsidRPr="00AF4ED7">
        <w:rPr>
          <w:rFonts w:ascii="Soberana Sans" w:hAnsi="Soberana Sans"/>
          <w:sz w:val="24"/>
          <w:szCs w:val="24"/>
          <w:lang w:eastAsia="es-MX"/>
        </w:rPr>
        <w:t>E</w:t>
      </w:r>
      <w:r w:rsidR="00692D96" w:rsidRPr="00AF4ED7">
        <w:rPr>
          <w:rFonts w:ascii="Soberana Sans" w:hAnsi="Soberana Sans"/>
          <w:sz w:val="24"/>
          <w:szCs w:val="24"/>
          <w:lang w:eastAsia="es-MX"/>
        </w:rPr>
        <w:t xml:space="preserve">lectoral del </w:t>
      </w:r>
      <w:r w:rsidRPr="00AF4ED7">
        <w:rPr>
          <w:rFonts w:ascii="Soberana Sans" w:hAnsi="Soberana Sans"/>
          <w:sz w:val="24"/>
          <w:szCs w:val="24"/>
          <w:lang w:eastAsia="es-MX"/>
        </w:rPr>
        <w:t>P</w:t>
      </w:r>
      <w:r w:rsidR="00692D96" w:rsidRPr="00AF4ED7">
        <w:rPr>
          <w:rFonts w:ascii="Soberana Sans" w:hAnsi="Soberana Sans"/>
          <w:sz w:val="24"/>
          <w:szCs w:val="24"/>
          <w:lang w:eastAsia="es-MX"/>
        </w:rPr>
        <w:t xml:space="preserve">oder </w:t>
      </w:r>
      <w:r w:rsidRPr="00AF4ED7">
        <w:rPr>
          <w:rFonts w:ascii="Soberana Sans" w:hAnsi="Soberana Sans"/>
          <w:sz w:val="24"/>
          <w:szCs w:val="24"/>
          <w:lang w:eastAsia="es-MX"/>
        </w:rPr>
        <w:t>J</w:t>
      </w:r>
      <w:r w:rsidR="00692D96" w:rsidRPr="00AF4ED7">
        <w:rPr>
          <w:rFonts w:ascii="Soberana Sans" w:hAnsi="Soberana Sans"/>
          <w:sz w:val="24"/>
          <w:szCs w:val="24"/>
          <w:lang w:eastAsia="es-MX"/>
        </w:rPr>
        <w:t xml:space="preserve">udicial de la </w:t>
      </w:r>
      <w:r w:rsidRPr="00AF4ED7">
        <w:rPr>
          <w:rFonts w:ascii="Soberana Sans" w:hAnsi="Soberana Sans"/>
          <w:sz w:val="24"/>
          <w:szCs w:val="24"/>
          <w:lang w:eastAsia="es-MX"/>
        </w:rPr>
        <w:t>F</w:t>
      </w:r>
      <w:r w:rsidR="00692D96" w:rsidRPr="00AF4ED7">
        <w:rPr>
          <w:rFonts w:ascii="Soberana Sans" w:hAnsi="Soberana Sans"/>
          <w:sz w:val="24"/>
          <w:szCs w:val="24"/>
          <w:lang w:eastAsia="es-MX"/>
        </w:rPr>
        <w:t>ederación (TEPJF)</w:t>
      </w:r>
      <w:r w:rsidRPr="00AF4ED7">
        <w:rPr>
          <w:rFonts w:ascii="Soberana Sans" w:hAnsi="Soberana Sans"/>
          <w:sz w:val="24"/>
          <w:szCs w:val="24"/>
          <w:lang w:eastAsia="es-MX"/>
        </w:rPr>
        <w:t xml:space="preserve"> suscribieron un Convenio General de Colaboración Interinstitucional, para desarrollar proyectos conjuntos que permitan el fortalecimiento, promoción y di</w:t>
      </w:r>
      <w:r w:rsidR="00CF1D48" w:rsidRPr="00AF4ED7">
        <w:rPr>
          <w:rFonts w:ascii="Soberana Sans" w:hAnsi="Soberana Sans"/>
          <w:sz w:val="24"/>
          <w:szCs w:val="24"/>
          <w:lang w:eastAsia="es-MX"/>
        </w:rPr>
        <w:t>fusión de los derechos político-</w:t>
      </w:r>
      <w:r w:rsidRPr="00AF4ED7">
        <w:rPr>
          <w:rFonts w:ascii="Soberana Sans" w:hAnsi="Soberana Sans"/>
          <w:sz w:val="24"/>
          <w:szCs w:val="24"/>
          <w:lang w:eastAsia="es-MX"/>
        </w:rPr>
        <w:t xml:space="preserve">electorales de la población indígena. </w:t>
      </w:r>
    </w:p>
    <w:p w14:paraId="72020803" w14:textId="77777777" w:rsidR="00692D96" w:rsidRPr="00AF4ED7" w:rsidRDefault="00692D96" w:rsidP="00692D96">
      <w:pPr>
        <w:jc w:val="both"/>
        <w:rPr>
          <w:rFonts w:ascii="Soberana Sans" w:hAnsi="Soberana Sans"/>
          <w:sz w:val="24"/>
          <w:szCs w:val="24"/>
          <w:lang w:eastAsia="es-MX"/>
        </w:rPr>
      </w:pPr>
      <w:r w:rsidRPr="00AF4ED7">
        <w:rPr>
          <w:rFonts w:ascii="Soberana Sans" w:hAnsi="Soberana Sans"/>
          <w:sz w:val="24"/>
          <w:szCs w:val="24"/>
          <w:lang w:eastAsia="es-MX"/>
        </w:rPr>
        <w:t xml:space="preserve">Asimismo, en marzo 2016, se creó la Defensoría Pública Electoral para Pueblos y Comunidades Indígenas del TEPJF, para que pueblos y comunidades indígenas puedan acceder de manera gratuita, a la defensa de sus derechos político-electorales. Además, sobre la tutela judicial de los pueblos y comunidades indígenas y sus integrantes, el TEPJF resolvió diversos medios de impugnación y garantizó la participación de las mujeres en elecciones regidas por sistemas normativos internos.  </w:t>
      </w:r>
    </w:p>
    <w:p w14:paraId="72020804" w14:textId="77777777" w:rsidR="004813D6" w:rsidRPr="00AF4ED7" w:rsidRDefault="004813D6" w:rsidP="00B0323E">
      <w:pPr>
        <w:jc w:val="both"/>
        <w:rPr>
          <w:rFonts w:ascii="Soberana Sans" w:hAnsi="Soberana Sans"/>
          <w:sz w:val="24"/>
          <w:szCs w:val="24"/>
          <w:lang w:eastAsia="es-MX"/>
        </w:rPr>
      </w:pPr>
      <w:r w:rsidRPr="00AF4ED7">
        <w:rPr>
          <w:rFonts w:ascii="Soberana Sans" w:hAnsi="Soberana Sans"/>
          <w:sz w:val="24"/>
          <w:szCs w:val="24"/>
          <w:lang w:eastAsia="es-MX"/>
        </w:rPr>
        <w:t>El I</w:t>
      </w:r>
      <w:r w:rsidR="00692D96" w:rsidRPr="00AF4ED7">
        <w:rPr>
          <w:rFonts w:ascii="Soberana Sans" w:hAnsi="Soberana Sans"/>
          <w:sz w:val="24"/>
          <w:szCs w:val="24"/>
          <w:lang w:eastAsia="es-MX"/>
        </w:rPr>
        <w:t xml:space="preserve">nstituto </w:t>
      </w:r>
      <w:r w:rsidRPr="00AF4ED7">
        <w:rPr>
          <w:rFonts w:ascii="Soberana Sans" w:hAnsi="Soberana Sans"/>
          <w:sz w:val="24"/>
          <w:szCs w:val="24"/>
          <w:lang w:eastAsia="es-MX"/>
        </w:rPr>
        <w:t>N</w:t>
      </w:r>
      <w:r w:rsidR="00692D96" w:rsidRPr="00AF4ED7">
        <w:rPr>
          <w:rFonts w:ascii="Soberana Sans" w:hAnsi="Soberana Sans"/>
          <w:sz w:val="24"/>
          <w:szCs w:val="24"/>
          <w:lang w:eastAsia="es-MX"/>
        </w:rPr>
        <w:t xml:space="preserve">acional </w:t>
      </w:r>
      <w:r w:rsidRPr="00AF4ED7">
        <w:rPr>
          <w:rFonts w:ascii="Soberana Sans" w:hAnsi="Soberana Sans"/>
          <w:sz w:val="24"/>
          <w:szCs w:val="24"/>
          <w:lang w:eastAsia="es-MX"/>
        </w:rPr>
        <w:t>E</w:t>
      </w:r>
      <w:r w:rsidR="00692D96" w:rsidRPr="00AF4ED7">
        <w:rPr>
          <w:rFonts w:ascii="Soberana Sans" w:hAnsi="Soberana Sans"/>
          <w:sz w:val="24"/>
          <w:szCs w:val="24"/>
          <w:lang w:eastAsia="es-MX"/>
        </w:rPr>
        <w:t>lectoral</w:t>
      </w:r>
      <w:r w:rsidRPr="00AF4ED7">
        <w:rPr>
          <w:rFonts w:ascii="Soberana Sans" w:hAnsi="Soberana Sans"/>
          <w:sz w:val="24"/>
          <w:szCs w:val="24"/>
          <w:lang w:eastAsia="es-MX"/>
        </w:rPr>
        <w:t xml:space="preserve"> </w:t>
      </w:r>
      <w:r w:rsidR="001E10F5" w:rsidRPr="00AF4ED7">
        <w:rPr>
          <w:rFonts w:ascii="Soberana Sans" w:hAnsi="Soberana Sans"/>
          <w:sz w:val="24"/>
          <w:szCs w:val="24"/>
          <w:lang w:eastAsia="es-MX"/>
        </w:rPr>
        <w:t xml:space="preserve">(INE) </w:t>
      </w:r>
      <w:r w:rsidRPr="00AF4ED7">
        <w:rPr>
          <w:rFonts w:ascii="Soberana Sans" w:hAnsi="Soberana Sans"/>
          <w:sz w:val="24"/>
          <w:szCs w:val="24"/>
          <w:lang w:eastAsia="es-MX"/>
        </w:rPr>
        <w:t xml:space="preserve">cuenta con un programa para la participación política de mujeres indígenas, y con dos manuales para la formación y fortalecimiento de su participación. Asimismo, </w:t>
      </w:r>
      <w:r w:rsidR="00F5079B" w:rsidRPr="00AF4ED7">
        <w:rPr>
          <w:rFonts w:ascii="Soberana Sans" w:hAnsi="Soberana Sans"/>
          <w:sz w:val="24"/>
          <w:szCs w:val="24"/>
          <w:lang w:eastAsia="es-MX"/>
        </w:rPr>
        <w:t>financió 76 proyectos de organizaciones de la sociedad civil</w:t>
      </w:r>
      <w:r w:rsidR="00692D96" w:rsidRPr="00AF4ED7">
        <w:rPr>
          <w:rFonts w:ascii="Soberana Sans" w:hAnsi="Soberana Sans"/>
          <w:sz w:val="24"/>
          <w:szCs w:val="24"/>
          <w:lang w:eastAsia="es-MX"/>
        </w:rPr>
        <w:t xml:space="preserve"> en 24 entidades, dirigidos a promover la participación de las mujeres en el ámbito público, desarrollando competencias cív</w:t>
      </w:r>
      <w:r w:rsidR="001D0838" w:rsidRPr="00AF4ED7">
        <w:rPr>
          <w:rFonts w:ascii="Soberana Sans" w:hAnsi="Soberana Sans"/>
          <w:sz w:val="24"/>
          <w:szCs w:val="24"/>
          <w:lang w:eastAsia="es-MX"/>
        </w:rPr>
        <w:t>icas y fortaleciendo liderazgos;</w:t>
      </w:r>
      <w:r w:rsidR="00692D96" w:rsidRPr="00AF4ED7">
        <w:rPr>
          <w:rFonts w:ascii="Soberana Sans" w:hAnsi="Soberana Sans"/>
          <w:sz w:val="24"/>
          <w:szCs w:val="24"/>
          <w:lang w:eastAsia="es-MX"/>
        </w:rPr>
        <w:t xml:space="preserve"> 47 de ellos (61.8%) centraron su atención en mujeres indígenas. A nivel estatal, el INE trabaja con diferentes pueblos originarios, promoviendo la integración de las mujeres indígenas dentro d</w:t>
      </w:r>
      <w:r w:rsidR="001E10F5" w:rsidRPr="00AF4ED7">
        <w:rPr>
          <w:rFonts w:ascii="Soberana Sans" w:hAnsi="Soberana Sans"/>
          <w:sz w:val="24"/>
          <w:szCs w:val="24"/>
          <w:lang w:eastAsia="es-MX"/>
        </w:rPr>
        <w:t>e los órganos de representación y desarrollando acciones para incorporar a la población al Padrón Electoral</w:t>
      </w:r>
      <w:r w:rsidR="002E22CF" w:rsidRPr="00AF4ED7">
        <w:rPr>
          <w:rFonts w:ascii="Soberana Sans" w:hAnsi="Soberana Sans"/>
          <w:sz w:val="24"/>
          <w:szCs w:val="24"/>
          <w:lang w:eastAsia="es-MX"/>
        </w:rPr>
        <w:t>.</w:t>
      </w:r>
    </w:p>
    <w:p w14:paraId="72020805" w14:textId="77777777" w:rsidR="004813D6" w:rsidRPr="00AF4ED7" w:rsidRDefault="004813D6" w:rsidP="00B0323E">
      <w:pPr>
        <w:jc w:val="both"/>
        <w:rPr>
          <w:rFonts w:ascii="Soberana Sans" w:hAnsi="Soberana Sans"/>
          <w:sz w:val="24"/>
          <w:szCs w:val="24"/>
          <w:lang w:eastAsia="es-MX"/>
        </w:rPr>
      </w:pPr>
      <w:r w:rsidRPr="00AF4ED7">
        <w:rPr>
          <w:rFonts w:ascii="Soberana Sans" w:hAnsi="Soberana Sans"/>
          <w:sz w:val="24"/>
          <w:szCs w:val="24"/>
          <w:lang w:eastAsia="es-MX"/>
        </w:rPr>
        <w:lastRenderedPageBreak/>
        <w:t>La F</w:t>
      </w:r>
      <w:r w:rsidR="00692D96" w:rsidRPr="00AF4ED7">
        <w:rPr>
          <w:rFonts w:ascii="Soberana Sans" w:hAnsi="Soberana Sans"/>
          <w:sz w:val="24"/>
          <w:szCs w:val="24"/>
          <w:lang w:eastAsia="es-MX"/>
        </w:rPr>
        <w:t xml:space="preserve">iscalía </w:t>
      </w:r>
      <w:r w:rsidRPr="00AF4ED7">
        <w:rPr>
          <w:rFonts w:ascii="Soberana Sans" w:hAnsi="Soberana Sans"/>
          <w:sz w:val="24"/>
          <w:szCs w:val="24"/>
          <w:lang w:eastAsia="es-MX"/>
        </w:rPr>
        <w:t>E</w:t>
      </w:r>
      <w:r w:rsidR="00692D96" w:rsidRPr="00AF4ED7">
        <w:rPr>
          <w:rFonts w:ascii="Soberana Sans" w:hAnsi="Soberana Sans"/>
          <w:sz w:val="24"/>
          <w:szCs w:val="24"/>
          <w:lang w:eastAsia="es-MX"/>
        </w:rPr>
        <w:t xml:space="preserve">specializada para la </w:t>
      </w:r>
      <w:r w:rsidRPr="00AF4ED7">
        <w:rPr>
          <w:rFonts w:ascii="Soberana Sans" w:hAnsi="Soberana Sans"/>
          <w:sz w:val="24"/>
          <w:szCs w:val="24"/>
          <w:lang w:eastAsia="es-MX"/>
        </w:rPr>
        <w:t>A</w:t>
      </w:r>
      <w:r w:rsidR="00692D96" w:rsidRPr="00AF4ED7">
        <w:rPr>
          <w:rFonts w:ascii="Soberana Sans" w:hAnsi="Soberana Sans"/>
          <w:sz w:val="24"/>
          <w:szCs w:val="24"/>
          <w:lang w:eastAsia="es-MX"/>
        </w:rPr>
        <w:t xml:space="preserve">tención de </w:t>
      </w:r>
      <w:r w:rsidRPr="00AF4ED7">
        <w:rPr>
          <w:rFonts w:ascii="Soberana Sans" w:hAnsi="Soberana Sans"/>
          <w:sz w:val="24"/>
          <w:szCs w:val="24"/>
          <w:lang w:eastAsia="es-MX"/>
        </w:rPr>
        <w:t>D</w:t>
      </w:r>
      <w:r w:rsidR="00692D96" w:rsidRPr="00AF4ED7">
        <w:rPr>
          <w:rFonts w:ascii="Soberana Sans" w:hAnsi="Soberana Sans"/>
          <w:sz w:val="24"/>
          <w:szCs w:val="24"/>
          <w:lang w:eastAsia="es-MX"/>
        </w:rPr>
        <w:t xml:space="preserve">elitos </w:t>
      </w:r>
      <w:r w:rsidRPr="00AF4ED7">
        <w:rPr>
          <w:rFonts w:ascii="Soberana Sans" w:hAnsi="Soberana Sans"/>
          <w:sz w:val="24"/>
          <w:szCs w:val="24"/>
          <w:lang w:eastAsia="es-MX"/>
        </w:rPr>
        <w:t>E</w:t>
      </w:r>
      <w:r w:rsidR="00692D96" w:rsidRPr="00AF4ED7">
        <w:rPr>
          <w:rFonts w:ascii="Soberana Sans" w:hAnsi="Soberana Sans"/>
          <w:sz w:val="24"/>
          <w:szCs w:val="24"/>
          <w:lang w:eastAsia="es-MX"/>
        </w:rPr>
        <w:t>lectorales (FEPADE)</w:t>
      </w:r>
      <w:r w:rsidRPr="00AF4ED7">
        <w:rPr>
          <w:rFonts w:ascii="Soberana Sans" w:hAnsi="Soberana Sans"/>
          <w:sz w:val="24"/>
          <w:szCs w:val="24"/>
          <w:lang w:eastAsia="es-MX"/>
        </w:rPr>
        <w:t xml:space="preserve"> a partir de 2015, </w:t>
      </w:r>
      <w:r w:rsidR="002E22CF" w:rsidRPr="00AF4ED7">
        <w:rPr>
          <w:rFonts w:ascii="Soberana Sans" w:hAnsi="Soberana Sans" w:cs="Arial"/>
          <w:sz w:val="24"/>
          <w:szCs w:val="24"/>
        </w:rPr>
        <w:t xml:space="preserve">inició el registro de denuncias y quejas de violencia política de género, para ello cuenta con </w:t>
      </w:r>
      <w:r w:rsidR="002E22CF" w:rsidRPr="00AF4ED7">
        <w:rPr>
          <w:rFonts w:ascii="Soberana Sans" w:hAnsi="Soberana Sans" w:cs="Arial"/>
          <w:i/>
          <w:sz w:val="24"/>
          <w:szCs w:val="24"/>
        </w:rPr>
        <w:t>FEPADETEL y FEPADENET</w:t>
      </w:r>
      <w:r w:rsidR="002E22CF" w:rsidRPr="00AF4ED7">
        <w:rPr>
          <w:rFonts w:ascii="Soberana Sans" w:hAnsi="Soberana Sans" w:cs="Arial"/>
          <w:sz w:val="24"/>
          <w:szCs w:val="24"/>
        </w:rPr>
        <w:t>. En 2015 se recibieron 129 denuncias y 38 en 2016 (hasta junio).</w:t>
      </w:r>
    </w:p>
    <w:p w14:paraId="72020806" w14:textId="77777777" w:rsidR="00305EDD"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ANEXO 4</w:t>
      </w:r>
    </w:p>
    <w:p w14:paraId="72020807" w14:textId="77777777" w:rsidR="00647B75" w:rsidRPr="00AF4ED7" w:rsidRDefault="00305EDD" w:rsidP="00B0323E">
      <w:pPr>
        <w:autoSpaceDE w:val="0"/>
        <w:autoSpaceDN w:val="0"/>
        <w:adjustRightInd w:val="0"/>
        <w:spacing w:after="100" w:afterAutospacing="1" w:line="240" w:lineRule="auto"/>
        <w:jc w:val="both"/>
        <w:rPr>
          <w:rFonts w:ascii="Soberana Sans" w:hAnsi="Soberana Sans" w:cs="Arial"/>
          <w:b/>
          <w:sz w:val="24"/>
          <w:szCs w:val="24"/>
        </w:rPr>
      </w:pPr>
      <w:r w:rsidRPr="00AF4ED7">
        <w:rPr>
          <w:rFonts w:ascii="Soberana Sans" w:hAnsi="Soberana Sans" w:cs="Arial"/>
          <w:b/>
          <w:sz w:val="24"/>
          <w:szCs w:val="24"/>
        </w:rPr>
        <w:t>I</w:t>
      </w:r>
      <w:r w:rsidR="004813D6" w:rsidRPr="00AF4ED7">
        <w:rPr>
          <w:rFonts w:ascii="Soberana Sans" w:hAnsi="Soberana Sans" w:cs="Arial"/>
          <w:b/>
          <w:sz w:val="24"/>
          <w:szCs w:val="24"/>
        </w:rPr>
        <w:t xml:space="preserve">nformación sobre las medidas adoptadas para fortalecer, informar y desarrollar conocimientos, habilidades y capacidades de las mujeres y niñas que enfrentan racismo, discriminación racial, xenofobia y </w:t>
      </w:r>
      <w:r w:rsidRPr="00AF4ED7">
        <w:rPr>
          <w:rFonts w:ascii="Soberana Sans" w:hAnsi="Soberana Sans" w:cs="Arial"/>
          <w:b/>
          <w:sz w:val="24"/>
          <w:szCs w:val="24"/>
        </w:rPr>
        <w:t xml:space="preserve">formas conexas de intolerancia, </w:t>
      </w:r>
      <w:r w:rsidR="004813D6" w:rsidRPr="00AF4ED7">
        <w:rPr>
          <w:rFonts w:ascii="Soberana Sans" w:hAnsi="Soberana Sans" w:cs="Arial"/>
          <w:b/>
          <w:sz w:val="24"/>
          <w:szCs w:val="24"/>
        </w:rPr>
        <w:t xml:space="preserve">para prevenir y mitigar el impacto de la discriminación y violencia en el pleno disfrute de todos sus derechos. </w:t>
      </w:r>
    </w:p>
    <w:p w14:paraId="72020808" w14:textId="77777777" w:rsidR="003E58DC" w:rsidRPr="00AF4ED7" w:rsidRDefault="003E58DC"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El Instituto Nacional de la Economía Social (organismo desconcentrado de la Secretaría de Economía), otorga, a través del </w:t>
      </w:r>
      <w:r w:rsidRPr="00AF4ED7">
        <w:rPr>
          <w:rFonts w:ascii="Soberana Sans" w:hAnsi="Soberana Sans"/>
          <w:i/>
          <w:sz w:val="24"/>
          <w:szCs w:val="24"/>
          <w:lang w:eastAsia="es-MX"/>
        </w:rPr>
        <w:t>Programa de Fomento a la Economía Social</w:t>
      </w:r>
      <w:r w:rsidRPr="00AF4ED7">
        <w:rPr>
          <w:rFonts w:ascii="Soberana Sans" w:hAnsi="Soberana Sans"/>
          <w:sz w:val="24"/>
          <w:szCs w:val="24"/>
          <w:lang w:eastAsia="es-MX"/>
        </w:rPr>
        <w:t xml:space="preserve">, una serie de apoyos para fortalecer las capacidades y medios de los grupos sociales integrados por personas con ingresos por debajo de la línea de bienestar, que cuenten con iniciativas productivas. </w:t>
      </w:r>
    </w:p>
    <w:p w14:paraId="72020809" w14:textId="77777777" w:rsidR="003E58DC" w:rsidRPr="00AF4ED7" w:rsidRDefault="00E440EF"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Cabe destacar que desde el año </w:t>
      </w:r>
      <w:r w:rsidR="003E58DC" w:rsidRPr="00AF4ED7">
        <w:rPr>
          <w:rFonts w:ascii="Soberana Sans" w:hAnsi="Soberana Sans"/>
          <w:sz w:val="24"/>
          <w:szCs w:val="24"/>
          <w:lang w:eastAsia="es-MX"/>
        </w:rPr>
        <w:t>2008, el Programa otorga</w:t>
      </w:r>
      <w:r w:rsidRPr="00AF4ED7">
        <w:rPr>
          <w:rFonts w:ascii="Soberana Sans" w:hAnsi="Soberana Sans"/>
          <w:sz w:val="24"/>
          <w:szCs w:val="24"/>
          <w:lang w:eastAsia="es-MX"/>
        </w:rPr>
        <w:t xml:space="preserve"> apoyos a mujeres que son víctimas de situaciones de violencia. Particularmente, en 2014, a través de las distintas convocatorias, se benefició a 747 mujeres en situación de violencia. En total, de 2008 a 2014, 11,594 mujeres con proyectos productivos han sido apoyadas con el Programa. </w:t>
      </w:r>
    </w:p>
    <w:p w14:paraId="7202080A" w14:textId="77777777" w:rsidR="00405CE6" w:rsidRPr="00AF4ED7" w:rsidRDefault="00E440EF"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Por otro lado, </w:t>
      </w:r>
      <w:r w:rsidR="00405CE6" w:rsidRPr="00AF4ED7">
        <w:rPr>
          <w:rFonts w:ascii="Soberana Sans" w:hAnsi="Soberana Sans"/>
          <w:sz w:val="24"/>
          <w:szCs w:val="24"/>
          <w:lang w:eastAsia="es-MX"/>
        </w:rPr>
        <w:t>la Secretaría de Gobernación, a través de la Comisión Nacional para Prevenir y Erradicar la Violencia c</w:t>
      </w:r>
      <w:r w:rsidR="000E51DD" w:rsidRPr="00AF4ED7">
        <w:rPr>
          <w:rFonts w:ascii="Soberana Sans" w:hAnsi="Soberana Sans"/>
          <w:sz w:val="24"/>
          <w:szCs w:val="24"/>
          <w:lang w:eastAsia="es-MX"/>
        </w:rPr>
        <w:t>ontra las Mujeres (CONAVIM), ha</w:t>
      </w:r>
      <w:r w:rsidR="00405CE6" w:rsidRPr="00AF4ED7">
        <w:rPr>
          <w:rFonts w:ascii="Soberana Sans" w:hAnsi="Soberana Sans"/>
          <w:sz w:val="24"/>
          <w:szCs w:val="24"/>
          <w:lang w:eastAsia="es-MX"/>
        </w:rPr>
        <w:t xml:space="preserve"> puesto en marcha </w:t>
      </w:r>
      <w:r w:rsidRPr="00AF4ED7">
        <w:rPr>
          <w:rFonts w:ascii="Soberana Sans" w:hAnsi="Soberana Sans"/>
          <w:sz w:val="24"/>
          <w:szCs w:val="24"/>
          <w:lang w:eastAsia="es-MX"/>
        </w:rPr>
        <w:t xml:space="preserve">los Centros de Justicia para Mujeres (CJM) </w:t>
      </w:r>
      <w:r w:rsidR="00405CE6" w:rsidRPr="00AF4ED7">
        <w:rPr>
          <w:rFonts w:ascii="Soberana Sans" w:hAnsi="Soberana Sans"/>
          <w:sz w:val="24"/>
          <w:szCs w:val="24"/>
          <w:lang w:eastAsia="es-MX"/>
        </w:rPr>
        <w:t xml:space="preserve">con la finalidad de otorgar una atención integral a las mujeres en situación de violencia. De manera particular, los centros otorgan servicios de talleres de empoderamiento social y económico para apoyar a las mujeres a salir del círculo de violencia. </w:t>
      </w:r>
    </w:p>
    <w:p w14:paraId="7202080B" w14:textId="77777777" w:rsidR="00405CE6" w:rsidRPr="00AF4ED7" w:rsidRDefault="00405CE6"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De 2013-2016, los CJM se han incrementado de 7 a 30, operando bajo un esquema de cooperación federal-estatal. Actualmente se encuentran 9 en proceso de construcción. </w:t>
      </w:r>
    </w:p>
    <w:p w14:paraId="7202080C" w14:textId="77777777" w:rsidR="00BB662B" w:rsidRPr="00AF4ED7" w:rsidRDefault="00405CE6" w:rsidP="00BB662B">
      <w:pPr>
        <w:jc w:val="both"/>
        <w:rPr>
          <w:rFonts w:ascii="Soberana Sans" w:hAnsi="Soberana Sans"/>
          <w:sz w:val="24"/>
          <w:szCs w:val="24"/>
          <w:lang w:eastAsia="es-MX"/>
        </w:rPr>
      </w:pPr>
      <w:r w:rsidRPr="00AF4ED7">
        <w:rPr>
          <w:rFonts w:ascii="Soberana Sans" w:hAnsi="Soberana Sans"/>
          <w:sz w:val="24"/>
          <w:szCs w:val="24"/>
          <w:lang w:eastAsia="es-MX"/>
        </w:rPr>
        <w:t>De igual manera, l</w:t>
      </w:r>
      <w:r w:rsidR="000400EC" w:rsidRPr="00AF4ED7">
        <w:rPr>
          <w:rFonts w:ascii="Soberana Sans" w:hAnsi="Soberana Sans"/>
          <w:sz w:val="24"/>
          <w:szCs w:val="24"/>
          <w:lang w:eastAsia="es-MX"/>
        </w:rPr>
        <w:t>a CDI, a través d</w:t>
      </w:r>
      <w:r w:rsidR="00BB662B" w:rsidRPr="00AF4ED7">
        <w:rPr>
          <w:rFonts w:ascii="Soberana Sans" w:hAnsi="Soberana Sans"/>
          <w:sz w:val="24"/>
          <w:szCs w:val="24"/>
          <w:lang w:eastAsia="es-MX"/>
        </w:rPr>
        <w:t xml:space="preserve">el </w:t>
      </w:r>
      <w:r w:rsidR="00BB662B" w:rsidRPr="00AF4ED7">
        <w:rPr>
          <w:rFonts w:ascii="Soberana Sans" w:hAnsi="Soberana Sans"/>
          <w:i/>
          <w:sz w:val="24"/>
          <w:szCs w:val="24"/>
          <w:lang w:eastAsia="es-MX"/>
        </w:rPr>
        <w:t>Programa de Derechos Indígenas</w:t>
      </w:r>
      <w:r w:rsidR="00BB662B" w:rsidRPr="00AF4ED7">
        <w:rPr>
          <w:rFonts w:ascii="Soberana Sans" w:hAnsi="Soberana Sans"/>
          <w:sz w:val="24"/>
          <w:szCs w:val="24"/>
          <w:lang w:eastAsia="es-MX"/>
        </w:rPr>
        <w:t xml:space="preserve"> incide en la promoción del derecho a la igualdad y apoya a 24 Casas de la Mujer Indígena (CAMI), operadas por mujeres indígenas, con un </w:t>
      </w:r>
      <w:r w:rsidR="00BB662B" w:rsidRPr="00AF4ED7">
        <w:rPr>
          <w:rFonts w:ascii="Soberana Sans" w:hAnsi="Soberana Sans"/>
          <w:i/>
          <w:sz w:val="24"/>
          <w:szCs w:val="24"/>
          <w:lang w:eastAsia="es-MX"/>
        </w:rPr>
        <w:t>Modelo participativo de atención a la salud sexual y reproductiva y la violencia de género</w:t>
      </w:r>
      <w:r w:rsidR="00BB662B" w:rsidRPr="00AF4ED7">
        <w:rPr>
          <w:rFonts w:ascii="Soberana Sans" w:hAnsi="Soberana Sans"/>
          <w:sz w:val="24"/>
          <w:szCs w:val="24"/>
          <w:lang w:eastAsia="es-MX"/>
        </w:rPr>
        <w:t xml:space="preserve"> que brinda a mujeres indígenas atención culturalmente p</w:t>
      </w:r>
      <w:r w:rsidR="000E51DD" w:rsidRPr="00AF4ED7">
        <w:rPr>
          <w:rFonts w:ascii="Soberana Sans" w:hAnsi="Soberana Sans"/>
          <w:sz w:val="24"/>
          <w:szCs w:val="24"/>
          <w:lang w:eastAsia="es-MX"/>
        </w:rPr>
        <w:t>ertinente, diferenciada, con perspectiva de género</w:t>
      </w:r>
      <w:r w:rsidR="00280E3A" w:rsidRPr="00AF4ED7">
        <w:rPr>
          <w:rFonts w:ascii="Soberana Sans" w:hAnsi="Soberana Sans"/>
          <w:sz w:val="24"/>
          <w:szCs w:val="24"/>
          <w:lang w:eastAsia="es-MX"/>
        </w:rPr>
        <w:t xml:space="preserve"> y de derechos. </w:t>
      </w:r>
      <w:r w:rsidR="00BB662B" w:rsidRPr="00AF4ED7">
        <w:rPr>
          <w:rFonts w:ascii="Soberana Sans" w:hAnsi="Soberana Sans"/>
          <w:sz w:val="24"/>
          <w:szCs w:val="24"/>
          <w:lang w:eastAsia="es-MX"/>
        </w:rPr>
        <w:t>De igual manera, se apoyaron 286 proyectos sobre prevención y atención de la violencia contra mujeres con enfoque intercultural y 466 de fortalecimiento para el ejercicio de derechos de las mujeres indígenas.</w:t>
      </w:r>
    </w:p>
    <w:p w14:paraId="7202080D" w14:textId="77777777" w:rsidR="00BB662B" w:rsidRPr="00AF4ED7" w:rsidRDefault="00BB662B"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La CDI fusionó distintos programas de apoyo a proyectos productivos para las mujeres indígenas, mejorando su eficiencia e incrementando la promoción de políticas de igualdad con enfoque intercultural. El </w:t>
      </w:r>
      <w:r w:rsidRPr="00AF4ED7">
        <w:rPr>
          <w:rFonts w:ascii="Soberana Sans" w:hAnsi="Soberana Sans"/>
          <w:i/>
          <w:sz w:val="24"/>
          <w:szCs w:val="24"/>
          <w:lang w:eastAsia="es-MX"/>
        </w:rPr>
        <w:t>Sistema de Radiodifusoras Culturales Indigenistas</w:t>
      </w:r>
      <w:r w:rsidRPr="00AF4ED7">
        <w:rPr>
          <w:rFonts w:ascii="Soberana Sans" w:hAnsi="Soberana Sans"/>
          <w:sz w:val="24"/>
          <w:szCs w:val="24"/>
          <w:lang w:eastAsia="es-MX"/>
        </w:rPr>
        <w:t>, continuamente promueve la igualdad de género, la salud reproductiva, el acceso a la justicia, la prevención de violencia intrafamiliar y la trata de persona</w:t>
      </w:r>
      <w:r w:rsidR="000E51DD" w:rsidRPr="00AF4ED7">
        <w:rPr>
          <w:rFonts w:ascii="Soberana Sans" w:hAnsi="Soberana Sans"/>
          <w:sz w:val="24"/>
          <w:szCs w:val="24"/>
          <w:lang w:eastAsia="es-MX"/>
        </w:rPr>
        <w:t xml:space="preserve">s, en 36 lenguas </w:t>
      </w:r>
      <w:r w:rsidRPr="00AF4ED7">
        <w:rPr>
          <w:rFonts w:ascii="Soberana Sans" w:hAnsi="Soberana Sans"/>
          <w:sz w:val="24"/>
          <w:szCs w:val="24"/>
          <w:lang w:eastAsia="es-MX"/>
        </w:rPr>
        <w:t>(se difunden también las traducciones de la CEDAW, Belén do Pará, protocolos de justicia y leyes nacionales).</w:t>
      </w:r>
    </w:p>
    <w:p w14:paraId="7202080E" w14:textId="77777777" w:rsidR="00BB662B" w:rsidRPr="00AF4ED7" w:rsidRDefault="00BB662B"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Con el </w:t>
      </w:r>
      <w:r w:rsidRPr="00AF4ED7">
        <w:rPr>
          <w:rFonts w:ascii="Soberana Sans" w:hAnsi="Soberana Sans"/>
          <w:i/>
          <w:sz w:val="24"/>
          <w:szCs w:val="24"/>
          <w:lang w:eastAsia="es-MX"/>
        </w:rPr>
        <w:t>Modelo de Atención a la Salud Intercultural de Pueblos Indígenas y Afrodescendientes</w:t>
      </w:r>
      <w:r w:rsidRPr="00AF4ED7">
        <w:rPr>
          <w:rFonts w:ascii="Soberana Sans" w:hAnsi="Soberana Sans"/>
          <w:sz w:val="24"/>
          <w:szCs w:val="24"/>
          <w:lang w:eastAsia="es-MX"/>
        </w:rPr>
        <w:t xml:space="preserve"> se atienden 230 jurisdicciones sanitarias con población indígena. En 2015, se contrataron 81 enlaces interculturales, hablantes de lenguas indígenas, en nueve estados, para apoyar en la atención obstétrica de mujeres indígenas, tanto en urgencias como en la consulta médica.</w:t>
      </w:r>
    </w:p>
    <w:p w14:paraId="7202080F" w14:textId="77777777" w:rsidR="00BB662B" w:rsidRPr="00AF4ED7" w:rsidRDefault="00BB662B" w:rsidP="00BB662B">
      <w:pPr>
        <w:jc w:val="both"/>
        <w:rPr>
          <w:rFonts w:ascii="Soberana Sans" w:hAnsi="Soberana Sans"/>
          <w:sz w:val="24"/>
          <w:szCs w:val="24"/>
          <w:lang w:eastAsia="es-MX"/>
        </w:rPr>
      </w:pPr>
      <w:r w:rsidRPr="00AF4ED7">
        <w:rPr>
          <w:rFonts w:ascii="Soberana Sans" w:hAnsi="Soberana Sans"/>
          <w:sz w:val="24"/>
          <w:szCs w:val="24"/>
          <w:lang w:eastAsia="es-MX"/>
        </w:rPr>
        <w:lastRenderedPageBreak/>
        <w:t>Se cuenta con la línea 01800 MATERNA, con información en 13 lenguas indígenas. Se impulsa la partería tradicional y técnica, actualmente están registradas 15996 parteras, de las cuales 14996 están activas. Para asegurar la atención en complicaciones obstétricas en localidades dispersas, se establecieron 110 Posadas de Atención a la Mujer Embarazada (AME), donde las mujeres reciben hospedaje, alimentación e incluso apoyo para cuidar de sus hijas e hijos; y se cuenta con el servicio de transporte AME.</w:t>
      </w:r>
    </w:p>
    <w:p w14:paraId="72020810" w14:textId="77777777" w:rsidR="00BB662B" w:rsidRPr="00AF4ED7" w:rsidRDefault="00BB662B" w:rsidP="00BB662B">
      <w:pPr>
        <w:jc w:val="both"/>
        <w:rPr>
          <w:rFonts w:ascii="Soberana Sans" w:hAnsi="Soberana Sans"/>
          <w:sz w:val="24"/>
          <w:szCs w:val="24"/>
          <w:lang w:eastAsia="es-MX"/>
        </w:rPr>
      </w:pPr>
      <w:r w:rsidRPr="00AF4ED7">
        <w:rPr>
          <w:rFonts w:ascii="Soberana Sans" w:hAnsi="Soberana Sans"/>
          <w:sz w:val="24"/>
          <w:szCs w:val="24"/>
          <w:lang w:eastAsia="es-MX"/>
        </w:rPr>
        <w:t xml:space="preserve">El INMUJERES y la CDI difunden la serie </w:t>
      </w:r>
      <w:r w:rsidRPr="00AF4ED7">
        <w:rPr>
          <w:rFonts w:ascii="Soberana Sans" w:hAnsi="Soberana Sans"/>
          <w:i/>
          <w:sz w:val="24"/>
          <w:szCs w:val="24"/>
          <w:lang w:eastAsia="es-MX"/>
        </w:rPr>
        <w:t xml:space="preserve">radiofónica </w:t>
      </w:r>
      <w:r w:rsidR="000E51DD" w:rsidRPr="00AF4ED7">
        <w:rPr>
          <w:rFonts w:ascii="Soberana Sans" w:hAnsi="Soberana Sans"/>
          <w:i/>
          <w:sz w:val="24"/>
          <w:szCs w:val="24"/>
          <w:lang w:eastAsia="es-MX"/>
        </w:rPr>
        <w:t>“</w:t>
      </w:r>
      <w:r w:rsidRPr="00AF4ED7">
        <w:rPr>
          <w:rFonts w:ascii="Soberana Sans" w:hAnsi="Soberana Sans"/>
          <w:i/>
          <w:sz w:val="24"/>
          <w:szCs w:val="24"/>
          <w:lang w:eastAsia="es-MX"/>
        </w:rPr>
        <w:t>Por tu seguridad, hazle caso a las señales de tu cuerpo</w:t>
      </w:r>
      <w:r w:rsidR="000E51DD" w:rsidRPr="00AF4ED7">
        <w:rPr>
          <w:rFonts w:ascii="Soberana Sans" w:hAnsi="Soberana Sans"/>
          <w:i/>
          <w:sz w:val="24"/>
          <w:szCs w:val="24"/>
          <w:lang w:eastAsia="es-MX"/>
        </w:rPr>
        <w:t>”</w:t>
      </w:r>
      <w:r w:rsidRPr="00AF4ED7">
        <w:rPr>
          <w:rFonts w:ascii="Soberana Sans" w:hAnsi="Soberana Sans"/>
          <w:sz w:val="24"/>
          <w:szCs w:val="24"/>
          <w:lang w:eastAsia="es-MX"/>
        </w:rPr>
        <w:t xml:space="preserve">, que brinda a las mujeres indígenas información sobre síntomas de alarma durante el embarazo, parto y puerperio; las cápsulas se transmiten en nueve lenguas indígenas.  </w:t>
      </w:r>
    </w:p>
    <w:p w14:paraId="72020811" w14:textId="77777777" w:rsidR="00305EDD" w:rsidRPr="00AF4ED7" w:rsidRDefault="00305EDD" w:rsidP="00B0323E">
      <w:pPr>
        <w:jc w:val="both"/>
        <w:rPr>
          <w:rFonts w:ascii="Soberana Sans" w:hAnsi="Soberana Sans"/>
          <w:b/>
          <w:sz w:val="24"/>
          <w:szCs w:val="24"/>
          <w:lang w:eastAsia="es-MX"/>
        </w:rPr>
      </w:pPr>
      <w:r w:rsidRPr="00AF4ED7">
        <w:rPr>
          <w:rFonts w:ascii="Soberana Sans" w:hAnsi="Soberana Sans"/>
          <w:b/>
          <w:sz w:val="24"/>
          <w:szCs w:val="24"/>
          <w:lang w:eastAsia="es-MX"/>
        </w:rPr>
        <w:t>ANEXO 5</w:t>
      </w:r>
    </w:p>
    <w:p w14:paraId="72020812" w14:textId="77777777" w:rsidR="00DD42D9" w:rsidRPr="00AF4ED7" w:rsidRDefault="00305EDD" w:rsidP="00B0323E">
      <w:pPr>
        <w:jc w:val="both"/>
        <w:rPr>
          <w:rFonts w:ascii="Soberana Sans" w:hAnsi="Soberana Sans"/>
          <w:b/>
          <w:sz w:val="24"/>
          <w:szCs w:val="24"/>
          <w:lang w:eastAsia="es-MX"/>
        </w:rPr>
      </w:pPr>
      <w:r w:rsidRPr="00AF4ED7">
        <w:rPr>
          <w:rFonts w:ascii="Soberana Sans" w:hAnsi="Soberana Sans"/>
          <w:b/>
          <w:sz w:val="24"/>
          <w:szCs w:val="24"/>
          <w:lang w:eastAsia="es-MX"/>
        </w:rPr>
        <w:t xml:space="preserve"> M</w:t>
      </w:r>
      <w:r w:rsidR="00DD42D9" w:rsidRPr="00AF4ED7">
        <w:rPr>
          <w:rFonts w:ascii="Soberana Sans" w:hAnsi="Soberana Sans"/>
          <w:b/>
          <w:sz w:val="24"/>
          <w:szCs w:val="24"/>
          <w:lang w:eastAsia="es-MX"/>
        </w:rPr>
        <w:t>edidas se han tomado para garantizar la reparación y promover la recuperación, rehabilitación y la reinserción social de las mujeres y niñas que han sufrido discriminación y violencia, en particular mujeres y niñas pertenecientes a minorías nacionales o étnicas; religiosas o lingüísticas; mujeres y niñas migrantes o solicitantes de asilo; mujeres y niñas supervivientes de la trata de personas o violencia sexual o de género; mujeres y niñas indígenas; mujeres y niñas Afro descendientes u otros grupos que sufren racismo, discriminación racial, xenofobia y</w:t>
      </w:r>
      <w:r w:rsidRPr="00AF4ED7">
        <w:rPr>
          <w:rFonts w:ascii="Soberana Sans" w:hAnsi="Soberana Sans"/>
          <w:b/>
          <w:sz w:val="24"/>
          <w:szCs w:val="24"/>
          <w:lang w:eastAsia="es-MX"/>
        </w:rPr>
        <w:t xml:space="preserve"> formas conexas de intolerancia</w:t>
      </w:r>
      <w:r w:rsidR="00DD42D9" w:rsidRPr="00AF4ED7">
        <w:rPr>
          <w:rFonts w:ascii="Soberana Sans" w:hAnsi="Soberana Sans"/>
          <w:b/>
          <w:sz w:val="24"/>
          <w:szCs w:val="24"/>
          <w:lang w:eastAsia="es-MX"/>
        </w:rPr>
        <w:t xml:space="preserve"> </w:t>
      </w:r>
    </w:p>
    <w:p w14:paraId="72020813" w14:textId="77777777" w:rsidR="00133BCC" w:rsidRPr="00AF4ED7" w:rsidRDefault="00280E3A" w:rsidP="00B0323E">
      <w:pPr>
        <w:jc w:val="both"/>
        <w:rPr>
          <w:rFonts w:ascii="Soberana Sans" w:hAnsi="Soberana Sans"/>
          <w:sz w:val="24"/>
          <w:szCs w:val="24"/>
          <w:lang w:eastAsia="es-MX"/>
        </w:rPr>
      </w:pPr>
      <w:r w:rsidRPr="00AF4ED7">
        <w:rPr>
          <w:rFonts w:ascii="Soberana Sans" w:hAnsi="Soberana Sans"/>
          <w:sz w:val="24"/>
          <w:szCs w:val="24"/>
          <w:lang w:eastAsia="es-MX"/>
        </w:rPr>
        <w:t>El Estado mexicano dispone</w:t>
      </w:r>
      <w:r w:rsidR="00B6590B" w:rsidRPr="00AF4ED7">
        <w:rPr>
          <w:rFonts w:ascii="Soberana Sans" w:hAnsi="Soberana Sans"/>
          <w:sz w:val="24"/>
          <w:szCs w:val="24"/>
          <w:lang w:eastAsia="es-MX"/>
        </w:rPr>
        <w:t xml:space="preserve"> de un marco no</w:t>
      </w:r>
      <w:r w:rsidR="001E10F5" w:rsidRPr="00AF4ED7">
        <w:rPr>
          <w:rFonts w:ascii="Soberana Sans" w:hAnsi="Soberana Sans"/>
          <w:sz w:val="24"/>
          <w:szCs w:val="24"/>
          <w:lang w:eastAsia="es-MX"/>
        </w:rPr>
        <w:t>rmativo a favor de las víctimas a través de</w:t>
      </w:r>
      <w:r w:rsidR="00B6590B" w:rsidRPr="00AF4ED7">
        <w:rPr>
          <w:rFonts w:ascii="Soberana Sans" w:hAnsi="Soberana Sans"/>
          <w:sz w:val="24"/>
          <w:szCs w:val="24"/>
          <w:lang w:eastAsia="es-MX"/>
        </w:rPr>
        <w:t xml:space="preserve"> meca</w:t>
      </w:r>
      <w:r w:rsidR="001E10F5" w:rsidRPr="00AF4ED7">
        <w:rPr>
          <w:rFonts w:ascii="Soberana Sans" w:hAnsi="Soberana Sans"/>
          <w:sz w:val="24"/>
          <w:szCs w:val="24"/>
          <w:lang w:eastAsia="es-MX"/>
        </w:rPr>
        <w:t>nismos de reparación del daño, mismos que se</w:t>
      </w:r>
      <w:r w:rsidR="00B6590B" w:rsidRPr="00AF4ED7">
        <w:rPr>
          <w:rFonts w:ascii="Soberana Sans" w:hAnsi="Soberana Sans"/>
          <w:sz w:val="24"/>
          <w:szCs w:val="24"/>
          <w:lang w:eastAsia="es-MX"/>
        </w:rPr>
        <w:t xml:space="preserve"> han fortalecido con el cumplimiento de las sentencias y recomendaciones que organismos internacionales de D</w:t>
      </w:r>
      <w:r w:rsidR="001E10F5" w:rsidRPr="00AF4ED7">
        <w:rPr>
          <w:rFonts w:ascii="Soberana Sans" w:hAnsi="Soberana Sans"/>
          <w:sz w:val="24"/>
          <w:szCs w:val="24"/>
          <w:lang w:eastAsia="es-MX"/>
        </w:rPr>
        <w:t xml:space="preserve">erechos </w:t>
      </w:r>
      <w:r w:rsidR="00B6590B" w:rsidRPr="00AF4ED7">
        <w:rPr>
          <w:rFonts w:ascii="Soberana Sans" w:hAnsi="Soberana Sans"/>
          <w:sz w:val="24"/>
          <w:szCs w:val="24"/>
          <w:lang w:eastAsia="es-MX"/>
        </w:rPr>
        <w:t>H</w:t>
      </w:r>
      <w:r w:rsidR="001E10F5" w:rsidRPr="00AF4ED7">
        <w:rPr>
          <w:rFonts w:ascii="Soberana Sans" w:hAnsi="Soberana Sans"/>
          <w:sz w:val="24"/>
          <w:szCs w:val="24"/>
          <w:lang w:eastAsia="es-MX"/>
        </w:rPr>
        <w:t xml:space="preserve">umanos </w:t>
      </w:r>
      <w:r w:rsidR="00B6590B" w:rsidRPr="00AF4ED7">
        <w:rPr>
          <w:rFonts w:ascii="Soberana Sans" w:hAnsi="Soberana Sans"/>
          <w:sz w:val="24"/>
          <w:szCs w:val="24"/>
          <w:lang w:eastAsia="es-MX"/>
        </w:rPr>
        <w:t xml:space="preserve">han formulado. </w:t>
      </w:r>
    </w:p>
    <w:p w14:paraId="72020814" w14:textId="77777777" w:rsidR="002937D8" w:rsidRPr="00AF4ED7" w:rsidRDefault="00B6590B" w:rsidP="00B0323E">
      <w:pPr>
        <w:jc w:val="both"/>
        <w:rPr>
          <w:rFonts w:ascii="Soberana Sans" w:hAnsi="Soberana Sans"/>
          <w:sz w:val="24"/>
          <w:szCs w:val="24"/>
          <w:lang w:eastAsia="es-MX"/>
        </w:rPr>
      </w:pPr>
      <w:r w:rsidRPr="00AF4ED7">
        <w:rPr>
          <w:rFonts w:ascii="Soberana Sans" w:hAnsi="Soberana Sans"/>
          <w:sz w:val="24"/>
          <w:szCs w:val="24"/>
          <w:lang w:eastAsia="es-MX"/>
        </w:rPr>
        <w:t>La S</w:t>
      </w:r>
      <w:r w:rsidR="001E10F5" w:rsidRPr="00AF4ED7">
        <w:rPr>
          <w:rFonts w:ascii="Soberana Sans" w:hAnsi="Soberana Sans"/>
          <w:sz w:val="24"/>
          <w:szCs w:val="24"/>
          <w:lang w:eastAsia="es-MX"/>
        </w:rPr>
        <w:t xml:space="preserve">uprema </w:t>
      </w:r>
      <w:r w:rsidRPr="00AF4ED7">
        <w:rPr>
          <w:rFonts w:ascii="Soberana Sans" w:hAnsi="Soberana Sans"/>
          <w:sz w:val="24"/>
          <w:szCs w:val="24"/>
          <w:lang w:eastAsia="es-MX"/>
        </w:rPr>
        <w:t>C</w:t>
      </w:r>
      <w:r w:rsidR="001E10F5" w:rsidRPr="00AF4ED7">
        <w:rPr>
          <w:rFonts w:ascii="Soberana Sans" w:hAnsi="Soberana Sans"/>
          <w:sz w:val="24"/>
          <w:szCs w:val="24"/>
          <w:lang w:eastAsia="es-MX"/>
        </w:rPr>
        <w:t xml:space="preserve">orte de </w:t>
      </w:r>
      <w:r w:rsidRPr="00AF4ED7">
        <w:rPr>
          <w:rFonts w:ascii="Soberana Sans" w:hAnsi="Soberana Sans"/>
          <w:sz w:val="24"/>
          <w:szCs w:val="24"/>
          <w:lang w:eastAsia="es-MX"/>
        </w:rPr>
        <w:t>J</w:t>
      </w:r>
      <w:r w:rsidR="001E10F5" w:rsidRPr="00AF4ED7">
        <w:rPr>
          <w:rFonts w:ascii="Soberana Sans" w:hAnsi="Soberana Sans"/>
          <w:sz w:val="24"/>
          <w:szCs w:val="24"/>
          <w:lang w:eastAsia="es-MX"/>
        </w:rPr>
        <w:t xml:space="preserve">usticia de la </w:t>
      </w:r>
      <w:r w:rsidRPr="00AF4ED7">
        <w:rPr>
          <w:rFonts w:ascii="Soberana Sans" w:hAnsi="Soberana Sans"/>
          <w:sz w:val="24"/>
          <w:szCs w:val="24"/>
          <w:lang w:eastAsia="es-MX"/>
        </w:rPr>
        <w:t>N</w:t>
      </w:r>
      <w:r w:rsidR="001E10F5" w:rsidRPr="00AF4ED7">
        <w:rPr>
          <w:rFonts w:ascii="Soberana Sans" w:hAnsi="Soberana Sans"/>
          <w:sz w:val="24"/>
          <w:szCs w:val="24"/>
          <w:lang w:eastAsia="es-MX"/>
        </w:rPr>
        <w:t>ación</w:t>
      </w:r>
      <w:r w:rsidR="00133BCC" w:rsidRPr="00AF4ED7">
        <w:rPr>
          <w:rFonts w:ascii="Soberana Sans" w:hAnsi="Soberana Sans"/>
          <w:sz w:val="24"/>
          <w:szCs w:val="24"/>
          <w:lang w:eastAsia="es-MX"/>
        </w:rPr>
        <w:t xml:space="preserve"> (SCJN)</w:t>
      </w:r>
      <w:r w:rsidRPr="00AF4ED7">
        <w:rPr>
          <w:rFonts w:ascii="Soberana Sans" w:hAnsi="Soberana Sans"/>
          <w:sz w:val="24"/>
          <w:szCs w:val="24"/>
          <w:lang w:eastAsia="es-MX"/>
        </w:rPr>
        <w:t xml:space="preserve"> estableció que las víctimas de violaciones a los D</w:t>
      </w:r>
      <w:r w:rsidR="00E03A4F" w:rsidRPr="00AF4ED7">
        <w:rPr>
          <w:rFonts w:ascii="Soberana Sans" w:hAnsi="Soberana Sans"/>
          <w:sz w:val="24"/>
          <w:szCs w:val="24"/>
          <w:lang w:eastAsia="es-MX"/>
        </w:rPr>
        <w:t xml:space="preserve">erechos Humanos </w:t>
      </w:r>
      <w:r w:rsidRPr="00AF4ED7">
        <w:rPr>
          <w:rFonts w:ascii="Soberana Sans" w:hAnsi="Soberana Sans"/>
          <w:sz w:val="24"/>
          <w:szCs w:val="24"/>
          <w:lang w:eastAsia="es-MX"/>
        </w:rPr>
        <w:t xml:space="preserve">o sus familiares tienen derecho a la reparación </w:t>
      </w:r>
      <w:r w:rsidR="00FA3E94" w:rsidRPr="00AF4ED7">
        <w:rPr>
          <w:rFonts w:ascii="Soberana Sans" w:hAnsi="Soberana Sans"/>
          <w:sz w:val="24"/>
          <w:szCs w:val="24"/>
          <w:lang w:eastAsia="es-MX"/>
        </w:rPr>
        <w:t xml:space="preserve">integral del daño (restitución, rehabilitación, satisfacción, compensación económica, atención médica y garantías de no repetición) así como el derecho de </w:t>
      </w:r>
      <w:r w:rsidRPr="00AF4ED7">
        <w:rPr>
          <w:rFonts w:ascii="Soberana Sans" w:hAnsi="Soberana Sans"/>
          <w:sz w:val="24"/>
          <w:szCs w:val="24"/>
          <w:lang w:eastAsia="es-MX"/>
        </w:rPr>
        <w:t xml:space="preserve">interponer recursos frente </w:t>
      </w:r>
      <w:r w:rsidR="00FA3E94" w:rsidRPr="00AF4ED7">
        <w:rPr>
          <w:rFonts w:ascii="Soberana Sans" w:hAnsi="Soberana Sans"/>
          <w:sz w:val="24"/>
          <w:szCs w:val="24"/>
          <w:lang w:eastAsia="es-MX"/>
        </w:rPr>
        <w:t>a actuaciones judiciales, y de</w:t>
      </w:r>
      <w:r w:rsidRPr="00AF4ED7">
        <w:rPr>
          <w:rFonts w:ascii="Soberana Sans" w:hAnsi="Soberana Sans"/>
          <w:sz w:val="24"/>
          <w:szCs w:val="24"/>
          <w:lang w:eastAsia="es-MX"/>
        </w:rPr>
        <w:t xml:space="preserve"> aportar pruebas durante la etapa de averiguación previa en el proceso penal.  </w:t>
      </w:r>
    </w:p>
    <w:p w14:paraId="72020815" w14:textId="77777777" w:rsidR="00B6590B" w:rsidRPr="00AF4ED7" w:rsidRDefault="00B6590B" w:rsidP="00B0323E">
      <w:pPr>
        <w:jc w:val="both"/>
        <w:rPr>
          <w:rFonts w:ascii="Soberana Sans" w:hAnsi="Soberana Sans"/>
          <w:sz w:val="24"/>
          <w:szCs w:val="24"/>
          <w:lang w:eastAsia="es-MX"/>
        </w:rPr>
      </w:pPr>
      <w:r w:rsidRPr="00AF4ED7">
        <w:rPr>
          <w:rFonts w:ascii="Soberana Sans" w:hAnsi="Soberana Sans"/>
          <w:sz w:val="24"/>
          <w:szCs w:val="24"/>
          <w:lang w:eastAsia="es-MX"/>
        </w:rPr>
        <w:t>En febrero 2016, en la 50° Reunión de la CONAGO, la C</w:t>
      </w:r>
      <w:r w:rsidR="00742A20" w:rsidRPr="00AF4ED7">
        <w:rPr>
          <w:rFonts w:ascii="Soberana Sans" w:hAnsi="Soberana Sans"/>
          <w:sz w:val="24"/>
          <w:szCs w:val="24"/>
          <w:lang w:eastAsia="es-MX"/>
        </w:rPr>
        <w:t xml:space="preserve">omisión </w:t>
      </w:r>
      <w:r w:rsidRPr="00AF4ED7">
        <w:rPr>
          <w:rFonts w:ascii="Soberana Sans" w:hAnsi="Soberana Sans"/>
          <w:sz w:val="24"/>
          <w:szCs w:val="24"/>
          <w:lang w:eastAsia="es-MX"/>
        </w:rPr>
        <w:t>E</w:t>
      </w:r>
      <w:r w:rsidR="00742A20" w:rsidRPr="00AF4ED7">
        <w:rPr>
          <w:rFonts w:ascii="Soberana Sans" w:hAnsi="Soberana Sans"/>
          <w:sz w:val="24"/>
          <w:szCs w:val="24"/>
          <w:lang w:eastAsia="es-MX"/>
        </w:rPr>
        <w:t xml:space="preserve">jecutiva de </w:t>
      </w:r>
      <w:r w:rsidRPr="00AF4ED7">
        <w:rPr>
          <w:rFonts w:ascii="Soberana Sans" w:hAnsi="Soberana Sans"/>
          <w:sz w:val="24"/>
          <w:szCs w:val="24"/>
          <w:lang w:eastAsia="es-MX"/>
        </w:rPr>
        <w:t>A</w:t>
      </w:r>
      <w:r w:rsidR="00742A20" w:rsidRPr="00AF4ED7">
        <w:rPr>
          <w:rFonts w:ascii="Soberana Sans" w:hAnsi="Soberana Sans"/>
          <w:sz w:val="24"/>
          <w:szCs w:val="24"/>
          <w:lang w:eastAsia="es-MX"/>
        </w:rPr>
        <w:t xml:space="preserve">tención a </w:t>
      </w:r>
      <w:r w:rsidRPr="00AF4ED7">
        <w:rPr>
          <w:rFonts w:ascii="Soberana Sans" w:hAnsi="Soberana Sans"/>
          <w:sz w:val="24"/>
          <w:szCs w:val="24"/>
          <w:lang w:eastAsia="es-MX"/>
        </w:rPr>
        <w:t>V</w:t>
      </w:r>
      <w:r w:rsidR="00742A20" w:rsidRPr="00AF4ED7">
        <w:rPr>
          <w:rFonts w:ascii="Soberana Sans" w:hAnsi="Soberana Sans"/>
          <w:sz w:val="24"/>
          <w:szCs w:val="24"/>
          <w:lang w:eastAsia="es-MX"/>
        </w:rPr>
        <w:t>íctimas (CEAV)</w:t>
      </w:r>
      <w:r w:rsidRPr="00AF4ED7">
        <w:rPr>
          <w:rFonts w:ascii="Soberana Sans" w:hAnsi="Soberana Sans"/>
          <w:sz w:val="24"/>
          <w:szCs w:val="24"/>
          <w:lang w:eastAsia="es-MX"/>
        </w:rPr>
        <w:t xml:space="preserve"> acordó con los titulares </w:t>
      </w:r>
      <w:r w:rsidR="00742A20" w:rsidRPr="00AF4ED7">
        <w:rPr>
          <w:rFonts w:ascii="Soberana Sans" w:hAnsi="Soberana Sans"/>
          <w:sz w:val="24"/>
          <w:szCs w:val="24"/>
          <w:lang w:eastAsia="es-MX"/>
        </w:rPr>
        <w:t>del poder ejecutivo de las 32 entidades federativas</w:t>
      </w:r>
      <w:r w:rsidRPr="00AF4ED7">
        <w:rPr>
          <w:rFonts w:ascii="Soberana Sans" w:hAnsi="Soberana Sans"/>
          <w:sz w:val="24"/>
          <w:szCs w:val="24"/>
          <w:lang w:eastAsia="es-MX"/>
        </w:rPr>
        <w:t xml:space="preserve">, la suscripción del </w:t>
      </w:r>
      <w:r w:rsidR="000E51DD" w:rsidRPr="00AF4ED7">
        <w:rPr>
          <w:rFonts w:ascii="Soberana Sans" w:hAnsi="Soberana Sans"/>
          <w:sz w:val="24"/>
          <w:szCs w:val="24"/>
          <w:lang w:eastAsia="es-MX"/>
        </w:rPr>
        <w:t>“</w:t>
      </w:r>
      <w:r w:rsidRPr="00AF4ED7">
        <w:rPr>
          <w:rFonts w:ascii="Soberana Sans" w:hAnsi="Soberana Sans"/>
          <w:i/>
          <w:sz w:val="24"/>
          <w:szCs w:val="24"/>
          <w:lang w:eastAsia="es-MX"/>
        </w:rPr>
        <w:t>Convenio Marco de Coordinación y Colaboración en Materia de Atención a Personas en Situación de Víctimas, Intercambio de Información, Diseño y Ejecución de Políticas Públicas</w:t>
      </w:r>
      <w:r w:rsidR="000E51DD" w:rsidRPr="00AF4ED7">
        <w:rPr>
          <w:rFonts w:ascii="Soberana Sans" w:hAnsi="Soberana Sans"/>
          <w:sz w:val="24"/>
          <w:szCs w:val="24"/>
          <w:lang w:eastAsia="es-MX"/>
        </w:rPr>
        <w:t>”,</w:t>
      </w:r>
      <w:r w:rsidRPr="00AF4ED7">
        <w:rPr>
          <w:rFonts w:ascii="Soberana Sans" w:hAnsi="Soberana Sans"/>
          <w:sz w:val="24"/>
          <w:szCs w:val="24"/>
          <w:lang w:eastAsia="es-MX"/>
        </w:rPr>
        <w:t xml:space="preserve"> para establecer las bases, mecanismos y acciones de coordinación y colaboración en la atención, asistencia y protección de las víctimas de delitos o a las que se les hayan violado sus DH.  La CEAV cuenta con la Asesoría Jurídica Federal, instancia que orienta y representa jurídicamente a las víctimas en el país.</w:t>
      </w:r>
    </w:p>
    <w:p w14:paraId="72020816" w14:textId="77777777" w:rsidR="00173FF7" w:rsidRPr="00AF4ED7" w:rsidRDefault="00173FF7" w:rsidP="00173FF7">
      <w:pPr>
        <w:jc w:val="both"/>
        <w:rPr>
          <w:rFonts w:ascii="Soberana Sans" w:hAnsi="Soberana Sans"/>
          <w:sz w:val="24"/>
          <w:szCs w:val="24"/>
          <w:lang w:eastAsia="es-MX"/>
        </w:rPr>
      </w:pPr>
      <w:r w:rsidRPr="00AF4ED7">
        <w:rPr>
          <w:rFonts w:ascii="Soberana Sans" w:hAnsi="Soberana Sans"/>
          <w:sz w:val="24"/>
          <w:szCs w:val="24"/>
          <w:lang w:eastAsia="es-MX"/>
        </w:rPr>
        <w:t xml:space="preserve">Por su parte, los Centros de Justicia para Mujeres, además de las funciones de asesoría para el empoderamiento económico y social de las mujeres, antes mencionadas, otorgan </w:t>
      </w:r>
      <w:r w:rsidRPr="00AF4ED7">
        <w:rPr>
          <w:rFonts w:ascii="Soberana Sans" w:hAnsi="Soberana Sans" w:cs="Arial"/>
          <w:sz w:val="24"/>
          <w:szCs w:val="24"/>
        </w:rPr>
        <w:t xml:space="preserve">servicios integrales de asesoría legal, atención y acompañamiento jurídico; atención médica y psicológica; atención especializada a niñas y niños, y canalización a casas de resguardo, albergues y refugios. Este tipo de atención, también es brindada por la Red Nacional de Refugios, </w:t>
      </w:r>
      <w:r w:rsidRPr="00AF4ED7">
        <w:rPr>
          <w:rFonts w:ascii="Soberana Sans" w:hAnsi="Soberana Sans"/>
          <w:sz w:val="24"/>
          <w:szCs w:val="24"/>
          <w:lang w:eastAsia="es-MX"/>
        </w:rPr>
        <w:t xml:space="preserve">organización de la sociedad civil que opera a través de un sistema de 44 refugios tanto públicos como privados atendiendo a mujeres en situación de violencia a lo largo del país.  </w:t>
      </w:r>
    </w:p>
    <w:p w14:paraId="72020817" w14:textId="77777777" w:rsidR="002937D8" w:rsidRPr="00AF4ED7" w:rsidRDefault="00173FF7" w:rsidP="00B0323E">
      <w:pPr>
        <w:jc w:val="both"/>
        <w:rPr>
          <w:rFonts w:ascii="Soberana Sans" w:hAnsi="Soberana Sans"/>
          <w:sz w:val="24"/>
          <w:szCs w:val="24"/>
          <w:lang w:eastAsia="es-MX"/>
        </w:rPr>
      </w:pPr>
      <w:r w:rsidRPr="00AF4ED7">
        <w:rPr>
          <w:rFonts w:ascii="Soberana Sans" w:hAnsi="Soberana Sans"/>
          <w:sz w:val="24"/>
          <w:szCs w:val="24"/>
          <w:lang w:eastAsia="es-MX"/>
        </w:rPr>
        <w:t>A nivel local</w:t>
      </w:r>
      <w:r w:rsidR="00BB662B" w:rsidRPr="00AF4ED7">
        <w:rPr>
          <w:rFonts w:ascii="Soberana Sans" w:hAnsi="Soberana Sans"/>
          <w:sz w:val="24"/>
          <w:szCs w:val="24"/>
          <w:lang w:eastAsia="es-MX"/>
        </w:rPr>
        <w:t>, l</w:t>
      </w:r>
      <w:r w:rsidR="002937D8" w:rsidRPr="00AF4ED7">
        <w:rPr>
          <w:rFonts w:ascii="Soberana Sans" w:hAnsi="Soberana Sans"/>
          <w:sz w:val="24"/>
          <w:szCs w:val="24"/>
          <w:lang w:eastAsia="es-MX"/>
        </w:rPr>
        <w:t>a C</w:t>
      </w:r>
      <w:r w:rsidR="00BB662B" w:rsidRPr="00AF4ED7">
        <w:rPr>
          <w:rFonts w:ascii="Soberana Sans" w:hAnsi="Soberana Sans"/>
          <w:sz w:val="24"/>
          <w:szCs w:val="24"/>
          <w:lang w:eastAsia="es-MX"/>
        </w:rPr>
        <w:t>iudad de México</w:t>
      </w:r>
      <w:r w:rsidR="002937D8" w:rsidRPr="00AF4ED7">
        <w:rPr>
          <w:rFonts w:ascii="Soberana Sans" w:hAnsi="Soberana Sans"/>
          <w:sz w:val="24"/>
          <w:szCs w:val="24"/>
          <w:lang w:eastAsia="es-MX"/>
        </w:rPr>
        <w:t xml:space="preserve"> estableció la </w:t>
      </w:r>
      <w:r w:rsidR="002937D8" w:rsidRPr="00AF4ED7">
        <w:rPr>
          <w:rFonts w:ascii="Soberana Sans" w:hAnsi="Soberana Sans"/>
          <w:i/>
          <w:sz w:val="24"/>
          <w:szCs w:val="24"/>
          <w:lang w:eastAsia="es-MX"/>
        </w:rPr>
        <w:t>Fiscalía Central de Investigación para la Atención del Delito de Trata de Personas</w:t>
      </w:r>
      <w:r w:rsidR="002937D8" w:rsidRPr="00AF4ED7">
        <w:rPr>
          <w:rFonts w:ascii="Soberana Sans" w:hAnsi="Soberana Sans"/>
          <w:sz w:val="24"/>
          <w:szCs w:val="24"/>
          <w:lang w:eastAsia="es-MX"/>
        </w:rPr>
        <w:t xml:space="preserve">, y tiene un Refugio Especializado para Mujeres, Niñas y Niños </w:t>
      </w:r>
      <w:r w:rsidR="002937D8" w:rsidRPr="00AF4ED7">
        <w:rPr>
          <w:rFonts w:ascii="Soberana Sans" w:hAnsi="Soberana Sans"/>
          <w:sz w:val="24"/>
          <w:szCs w:val="24"/>
          <w:lang w:eastAsia="es-MX"/>
        </w:rPr>
        <w:lastRenderedPageBreak/>
        <w:t>Víctimas del Delito de Trata de Personas que brinda servicios de protección y seguridad, atención integral, de manera continua e interrumpida, con alojamiento de puertas cerradas y acceso restringido. Coahuila</w:t>
      </w:r>
      <w:r w:rsidR="00BB662B" w:rsidRPr="00AF4ED7">
        <w:rPr>
          <w:rFonts w:ascii="Soberana Sans" w:hAnsi="Soberana Sans"/>
          <w:sz w:val="24"/>
          <w:szCs w:val="24"/>
          <w:lang w:eastAsia="es-MX"/>
        </w:rPr>
        <w:t>, por su parte,</w:t>
      </w:r>
      <w:r w:rsidR="002937D8" w:rsidRPr="00AF4ED7">
        <w:rPr>
          <w:rFonts w:ascii="Soberana Sans" w:hAnsi="Soberana Sans"/>
          <w:sz w:val="24"/>
          <w:szCs w:val="24"/>
          <w:lang w:eastAsia="es-MX"/>
        </w:rPr>
        <w:t xml:space="preserve"> expidió el </w:t>
      </w:r>
      <w:r w:rsidR="002937D8" w:rsidRPr="00AF4ED7">
        <w:rPr>
          <w:rFonts w:ascii="Soberana Sans" w:hAnsi="Soberana Sans"/>
          <w:i/>
          <w:sz w:val="24"/>
          <w:szCs w:val="24"/>
          <w:lang w:eastAsia="es-MX"/>
        </w:rPr>
        <w:t>Protocolo para la Atención Integral, Capacitación e Inserción Laboral para Víctimas de Trata de Personas</w:t>
      </w:r>
      <w:r w:rsidR="002937D8" w:rsidRPr="00AF4ED7">
        <w:rPr>
          <w:rFonts w:ascii="Soberana Sans" w:hAnsi="Soberana Sans"/>
          <w:sz w:val="24"/>
          <w:szCs w:val="24"/>
          <w:lang w:eastAsia="es-MX"/>
        </w:rPr>
        <w:t xml:space="preserve"> que brinda servicios de protección y seguridad, atención integral, de manera continua e interrumpida, con alojamiento de puertas cerradas y acceso restringido.</w:t>
      </w:r>
    </w:p>
    <w:p w14:paraId="72020818" w14:textId="77777777" w:rsidR="00305EDD" w:rsidRPr="00AF4ED7" w:rsidRDefault="00305EDD" w:rsidP="00B0323E">
      <w:pPr>
        <w:jc w:val="both"/>
        <w:rPr>
          <w:rFonts w:ascii="Soberana Sans" w:hAnsi="Soberana Sans"/>
          <w:b/>
          <w:sz w:val="24"/>
          <w:szCs w:val="24"/>
          <w:lang w:eastAsia="es-MX"/>
        </w:rPr>
      </w:pPr>
      <w:r w:rsidRPr="00AF4ED7">
        <w:rPr>
          <w:rFonts w:ascii="Soberana Sans" w:hAnsi="Soberana Sans"/>
          <w:b/>
          <w:sz w:val="24"/>
          <w:szCs w:val="24"/>
          <w:lang w:eastAsia="es-MX"/>
        </w:rPr>
        <w:t>ANEXO 6</w:t>
      </w:r>
    </w:p>
    <w:p w14:paraId="72020819" w14:textId="77777777" w:rsidR="007A03A9" w:rsidRPr="00AF4ED7" w:rsidRDefault="00305EDD" w:rsidP="00B0323E">
      <w:pPr>
        <w:jc w:val="both"/>
        <w:rPr>
          <w:rFonts w:ascii="Soberana Sans" w:hAnsi="Soberana Sans"/>
          <w:b/>
          <w:sz w:val="24"/>
          <w:szCs w:val="24"/>
          <w:lang w:eastAsia="es-MX"/>
        </w:rPr>
      </w:pPr>
      <w:r w:rsidRPr="00AF4ED7">
        <w:rPr>
          <w:rFonts w:ascii="Soberana Sans" w:hAnsi="Soberana Sans"/>
          <w:b/>
          <w:sz w:val="24"/>
          <w:szCs w:val="24"/>
          <w:lang w:eastAsia="es-MX"/>
        </w:rPr>
        <w:t>M</w:t>
      </w:r>
      <w:r w:rsidR="007A03A9" w:rsidRPr="00AF4ED7">
        <w:rPr>
          <w:rFonts w:ascii="Soberana Sans" w:hAnsi="Soberana Sans"/>
          <w:b/>
          <w:sz w:val="24"/>
          <w:szCs w:val="24"/>
          <w:lang w:eastAsia="es-MX"/>
        </w:rPr>
        <w:t>edidas para fomentar la capacidad de actores clave como profesionales de la salud, sociales, educación, judiciales, aplicación de la ley, migraciones, refugiados, y solicitantes de asilo, sectores del empleo para responder a las necesidades específicas de las mujeres y niñas afectadas o con riesgo de ser afectadas por formas múltiples e interseccionadas de discriminación y</w:t>
      </w:r>
      <w:r w:rsidRPr="00AF4ED7">
        <w:rPr>
          <w:rFonts w:ascii="Soberana Sans" w:hAnsi="Soberana Sans"/>
          <w:b/>
          <w:sz w:val="24"/>
          <w:szCs w:val="24"/>
          <w:lang w:eastAsia="es-MX"/>
        </w:rPr>
        <w:t xml:space="preserve"> violencia</w:t>
      </w:r>
    </w:p>
    <w:p w14:paraId="7202081A" w14:textId="77777777" w:rsidR="006D6E40" w:rsidRPr="00AF4ED7" w:rsidRDefault="006D6E40" w:rsidP="00B0323E">
      <w:pPr>
        <w:jc w:val="both"/>
        <w:rPr>
          <w:rFonts w:ascii="Soberana Sans" w:hAnsi="Soberana Sans"/>
          <w:sz w:val="24"/>
          <w:szCs w:val="24"/>
          <w:lang w:eastAsia="es-MX"/>
        </w:rPr>
      </w:pPr>
      <w:r w:rsidRPr="00AF4ED7">
        <w:rPr>
          <w:rFonts w:ascii="Soberana Sans" w:hAnsi="Soberana Sans"/>
          <w:sz w:val="24"/>
          <w:szCs w:val="24"/>
          <w:lang w:eastAsia="es-MX"/>
        </w:rPr>
        <w:t>La Suprema Corte de Justicia de la Nación (SCJN) implementó en el año</w:t>
      </w:r>
      <w:r w:rsidR="001A3449" w:rsidRPr="00AF4ED7">
        <w:rPr>
          <w:rFonts w:ascii="Soberana Sans" w:hAnsi="Soberana Sans"/>
          <w:sz w:val="24"/>
          <w:szCs w:val="24"/>
          <w:lang w:eastAsia="es-MX"/>
        </w:rPr>
        <w:t xml:space="preserve"> 2013</w:t>
      </w:r>
      <w:r w:rsidRPr="00AF4ED7">
        <w:rPr>
          <w:rFonts w:ascii="Soberana Sans" w:hAnsi="Soberana Sans"/>
          <w:sz w:val="24"/>
          <w:szCs w:val="24"/>
          <w:lang w:eastAsia="es-MX"/>
        </w:rPr>
        <w:t xml:space="preserve">, el </w:t>
      </w:r>
      <w:r w:rsidR="00DE7B28" w:rsidRPr="00AF4ED7">
        <w:rPr>
          <w:rFonts w:ascii="Soberana Sans" w:hAnsi="Soberana Sans"/>
          <w:sz w:val="24"/>
          <w:szCs w:val="24"/>
          <w:lang w:eastAsia="es-MX"/>
        </w:rPr>
        <w:t>“</w:t>
      </w:r>
      <w:r w:rsidRPr="00AF4ED7">
        <w:rPr>
          <w:rFonts w:ascii="Soberana Sans" w:hAnsi="Soberana Sans"/>
          <w:i/>
          <w:sz w:val="24"/>
          <w:szCs w:val="24"/>
          <w:lang w:eastAsia="es-MX"/>
        </w:rPr>
        <w:t>Protocolo para juzgar con perspectiva de género</w:t>
      </w:r>
      <w:r w:rsidR="00DE7B28" w:rsidRPr="00AF4ED7">
        <w:rPr>
          <w:rFonts w:ascii="Soberana Sans" w:hAnsi="Soberana Sans"/>
          <w:i/>
          <w:sz w:val="24"/>
          <w:szCs w:val="24"/>
          <w:lang w:eastAsia="es-MX"/>
        </w:rPr>
        <w:t>”</w:t>
      </w:r>
      <w:r w:rsidR="00C567BC" w:rsidRPr="00AF4ED7">
        <w:rPr>
          <w:rFonts w:ascii="Soberana Sans" w:hAnsi="Soberana Sans"/>
          <w:sz w:val="24"/>
          <w:szCs w:val="24"/>
          <w:lang w:eastAsia="es-MX"/>
        </w:rPr>
        <w:t xml:space="preserve">, dirigido a las autoridades impartidoras de justicia con el objetivo de garantizar el derecho a la igualdad y de hacer que se manifieste como un principio fundamental en la búsqueda de soluciones justas. </w:t>
      </w:r>
    </w:p>
    <w:p w14:paraId="7202081B" w14:textId="77777777" w:rsidR="00C567BC" w:rsidRPr="00AF4ED7" w:rsidRDefault="00C567BC" w:rsidP="00B0323E">
      <w:pPr>
        <w:jc w:val="both"/>
        <w:rPr>
          <w:rFonts w:ascii="Soberana Sans" w:hAnsi="Soberana Sans"/>
          <w:sz w:val="24"/>
          <w:szCs w:val="24"/>
          <w:lang w:eastAsia="es-MX"/>
        </w:rPr>
      </w:pPr>
      <w:r w:rsidRPr="00AF4ED7">
        <w:rPr>
          <w:rFonts w:ascii="Soberana Sans" w:hAnsi="Soberana Sans"/>
          <w:sz w:val="24"/>
          <w:szCs w:val="24"/>
          <w:lang w:eastAsia="es-MX"/>
        </w:rPr>
        <w:t>Respecto al acceso a la justicia en las comunidades y pueblos indígenas, la SCJN diseñó el</w:t>
      </w:r>
      <w:r w:rsidR="00DE7B28" w:rsidRPr="00AF4ED7">
        <w:rPr>
          <w:rFonts w:ascii="Soberana Sans" w:hAnsi="Soberana Sans"/>
          <w:sz w:val="24"/>
          <w:szCs w:val="24"/>
          <w:lang w:eastAsia="es-MX"/>
        </w:rPr>
        <w:t xml:space="preserve"> “</w:t>
      </w:r>
      <w:r w:rsidRPr="00AF4ED7">
        <w:rPr>
          <w:rFonts w:ascii="Soberana Sans" w:hAnsi="Soberana Sans"/>
          <w:i/>
          <w:sz w:val="24"/>
          <w:szCs w:val="24"/>
          <w:lang w:eastAsia="es-MX"/>
        </w:rPr>
        <w:t>Protocolo de actuación para quienes imparten justicia en casos que involucren derechos de personas, comunidades y pueblos indígena</w:t>
      </w:r>
      <w:r w:rsidR="00DE7B28" w:rsidRPr="00AF4ED7">
        <w:rPr>
          <w:rFonts w:ascii="Soberana Sans" w:hAnsi="Soberana Sans"/>
          <w:i/>
          <w:sz w:val="24"/>
          <w:szCs w:val="24"/>
          <w:lang w:eastAsia="es-MX"/>
        </w:rPr>
        <w:t>s”</w:t>
      </w:r>
      <w:r w:rsidRPr="00AF4ED7">
        <w:rPr>
          <w:rFonts w:ascii="Soberana Sans" w:hAnsi="Soberana Sans"/>
          <w:sz w:val="24"/>
          <w:szCs w:val="24"/>
          <w:lang w:eastAsia="es-MX"/>
        </w:rPr>
        <w:t xml:space="preserve">, acompañado de un curso virtual para su aplicación, y el fortalecimiento del capital social étnico para el acceso equitativo en la procuración e impartición de justicia de los pueblos indígenas. </w:t>
      </w:r>
    </w:p>
    <w:p w14:paraId="7202081C" w14:textId="77777777" w:rsidR="004476F5" w:rsidRPr="00AF4ED7" w:rsidRDefault="00C567BC" w:rsidP="00B0323E">
      <w:pPr>
        <w:jc w:val="both"/>
        <w:rPr>
          <w:rFonts w:ascii="Soberana Sans" w:hAnsi="Soberana Sans"/>
          <w:sz w:val="24"/>
          <w:szCs w:val="24"/>
          <w:lang w:eastAsia="es-MX"/>
        </w:rPr>
      </w:pPr>
      <w:r w:rsidRPr="00AF4ED7">
        <w:rPr>
          <w:rFonts w:ascii="Soberana Sans" w:hAnsi="Soberana Sans"/>
          <w:sz w:val="24"/>
          <w:szCs w:val="24"/>
          <w:lang w:eastAsia="es-MX"/>
        </w:rPr>
        <w:t>Por su parte</w:t>
      </w:r>
      <w:r w:rsidR="006D6E40" w:rsidRPr="00AF4ED7">
        <w:rPr>
          <w:rFonts w:ascii="Soberana Sans" w:hAnsi="Soberana Sans"/>
          <w:sz w:val="24"/>
          <w:szCs w:val="24"/>
          <w:lang w:eastAsia="es-MX"/>
        </w:rPr>
        <w:t>, l</w:t>
      </w:r>
      <w:r w:rsidR="004476F5" w:rsidRPr="00AF4ED7">
        <w:rPr>
          <w:rFonts w:ascii="Soberana Sans" w:hAnsi="Soberana Sans"/>
          <w:sz w:val="24"/>
          <w:szCs w:val="24"/>
          <w:lang w:eastAsia="es-MX"/>
        </w:rPr>
        <w:t xml:space="preserve">a CDI </w:t>
      </w:r>
      <w:r w:rsidR="00E51CA6" w:rsidRPr="00AF4ED7">
        <w:rPr>
          <w:rFonts w:ascii="Soberana Sans" w:hAnsi="Soberana Sans"/>
          <w:sz w:val="24"/>
          <w:szCs w:val="24"/>
          <w:lang w:eastAsia="es-MX"/>
        </w:rPr>
        <w:t>s</w:t>
      </w:r>
      <w:r w:rsidR="004476F5" w:rsidRPr="00AF4ED7">
        <w:rPr>
          <w:rFonts w:ascii="Soberana Sans" w:hAnsi="Soberana Sans"/>
          <w:sz w:val="24"/>
          <w:szCs w:val="24"/>
          <w:lang w:eastAsia="es-MX"/>
        </w:rPr>
        <w:t xml:space="preserve">uscribió el </w:t>
      </w:r>
      <w:r w:rsidR="004476F5" w:rsidRPr="00AF4ED7">
        <w:rPr>
          <w:rFonts w:ascii="Soberana Sans" w:hAnsi="Soberana Sans"/>
          <w:i/>
          <w:sz w:val="24"/>
          <w:szCs w:val="24"/>
          <w:lang w:eastAsia="es-MX"/>
        </w:rPr>
        <w:t>Convenio de Colaboración para la implementación del Nuevo Sistema de Justicia Penal con Perspectiva Intercultural y Multilingüe</w:t>
      </w:r>
      <w:r w:rsidR="004476F5" w:rsidRPr="00AF4ED7">
        <w:rPr>
          <w:rFonts w:ascii="Soberana Sans" w:hAnsi="Soberana Sans"/>
          <w:sz w:val="24"/>
          <w:szCs w:val="24"/>
          <w:lang w:eastAsia="es-MX"/>
        </w:rPr>
        <w:t xml:space="preserve">, con </w:t>
      </w:r>
      <w:r w:rsidR="00E51CA6" w:rsidRPr="00AF4ED7">
        <w:rPr>
          <w:rFonts w:ascii="Soberana Sans" w:hAnsi="Soberana Sans"/>
          <w:sz w:val="24"/>
          <w:szCs w:val="24"/>
          <w:lang w:eastAsia="es-MX"/>
        </w:rPr>
        <w:t xml:space="preserve">el </w:t>
      </w:r>
      <w:r w:rsidR="004476F5" w:rsidRPr="00AF4ED7">
        <w:rPr>
          <w:rFonts w:ascii="Soberana Sans" w:hAnsi="Soberana Sans"/>
          <w:sz w:val="24"/>
          <w:szCs w:val="24"/>
          <w:lang w:eastAsia="es-MX"/>
        </w:rPr>
        <w:t>C</w:t>
      </w:r>
      <w:r w:rsidR="00E51CA6" w:rsidRPr="00AF4ED7">
        <w:rPr>
          <w:rFonts w:ascii="Soberana Sans" w:hAnsi="Soberana Sans"/>
          <w:sz w:val="24"/>
          <w:szCs w:val="24"/>
          <w:lang w:eastAsia="es-MX"/>
        </w:rPr>
        <w:t xml:space="preserve">onsejo de la </w:t>
      </w:r>
      <w:r w:rsidR="004476F5" w:rsidRPr="00AF4ED7">
        <w:rPr>
          <w:rFonts w:ascii="Soberana Sans" w:hAnsi="Soberana Sans"/>
          <w:sz w:val="24"/>
          <w:szCs w:val="24"/>
          <w:lang w:eastAsia="es-MX"/>
        </w:rPr>
        <w:t>J</w:t>
      </w:r>
      <w:r w:rsidR="00E51CA6" w:rsidRPr="00AF4ED7">
        <w:rPr>
          <w:rFonts w:ascii="Soberana Sans" w:hAnsi="Soberana Sans"/>
          <w:sz w:val="24"/>
          <w:szCs w:val="24"/>
          <w:lang w:eastAsia="es-MX"/>
        </w:rPr>
        <w:t xml:space="preserve">udicatura </w:t>
      </w:r>
      <w:r w:rsidR="004476F5" w:rsidRPr="00AF4ED7">
        <w:rPr>
          <w:rFonts w:ascii="Soberana Sans" w:hAnsi="Soberana Sans"/>
          <w:sz w:val="24"/>
          <w:szCs w:val="24"/>
          <w:lang w:eastAsia="es-MX"/>
        </w:rPr>
        <w:t>F</w:t>
      </w:r>
      <w:r w:rsidR="00E51CA6" w:rsidRPr="00AF4ED7">
        <w:rPr>
          <w:rFonts w:ascii="Soberana Sans" w:hAnsi="Soberana Sans"/>
          <w:sz w:val="24"/>
          <w:szCs w:val="24"/>
          <w:lang w:eastAsia="es-MX"/>
        </w:rPr>
        <w:t>ederal</w:t>
      </w:r>
      <w:r w:rsidR="004476F5" w:rsidRPr="00AF4ED7">
        <w:rPr>
          <w:rFonts w:ascii="Soberana Sans" w:hAnsi="Soberana Sans"/>
          <w:sz w:val="24"/>
          <w:szCs w:val="24"/>
          <w:lang w:eastAsia="es-MX"/>
        </w:rPr>
        <w:t xml:space="preserve">, </w:t>
      </w:r>
      <w:r w:rsidR="00E51CA6" w:rsidRPr="00AF4ED7">
        <w:rPr>
          <w:rFonts w:ascii="Soberana Sans" w:hAnsi="Soberana Sans"/>
          <w:sz w:val="24"/>
          <w:szCs w:val="24"/>
          <w:lang w:eastAsia="es-MX"/>
        </w:rPr>
        <w:t>la Secretaría de Gobernación</w:t>
      </w:r>
      <w:r w:rsidR="004476F5" w:rsidRPr="00AF4ED7">
        <w:rPr>
          <w:rFonts w:ascii="Soberana Sans" w:hAnsi="Soberana Sans"/>
          <w:sz w:val="24"/>
          <w:szCs w:val="24"/>
          <w:lang w:eastAsia="es-MX"/>
        </w:rPr>
        <w:t xml:space="preserve">, </w:t>
      </w:r>
      <w:r w:rsidR="00E51CA6" w:rsidRPr="00AF4ED7">
        <w:rPr>
          <w:rFonts w:ascii="Soberana Sans" w:hAnsi="Soberana Sans"/>
          <w:sz w:val="24"/>
          <w:szCs w:val="24"/>
          <w:lang w:eastAsia="es-MX"/>
        </w:rPr>
        <w:t xml:space="preserve">la </w:t>
      </w:r>
      <w:r w:rsidR="004476F5" w:rsidRPr="00AF4ED7">
        <w:rPr>
          <w:rFonts w:ascii="Soberana Sans" w:hAnsi="Soberana Sans"/>
          <w:sz w:val="24"/>
          <w:szCs w:val="24"/>
          <w:lang w:eastAsia="es-MX"/>
        </w:rPr>
        <w:t>P</w:t>
      </w:r>
      <w:r w:rsidR="00E51CA6" w:rsidRPr="00AF4ED7">
        <w:rPr>
          <w:rFonts w:ascii="Soberana Sans" w:hAnsi="Soberana Sans"/>
          <w:sz w:val="24"/>
          <w:szCs w:val="24"/>
          <w:lang w:eastAsia="es-MX"/>
        </w:rPr>
        <w:t xml:space="preserve">rocuraduría </w:t>
      </w:r>
      <w:r w:rsidR="004476F5" w:rsidRPr="00AF4ED7">
        <w:rPr>
          <w:rFonts w:ascii="Soberana Sans" w:hAnsi="Soberana Sans"/>
          <w:sz w:val="24"/>
          <w:szCs w:val="24"/>
          <w:lang w:eastAsia="es-MX"/>
        </w:rPr>
        <w:t>G</w:t>
      </w:r>
      <w:r w:rsidR="00E51CA6" w:rsidRPr="00AF4ED7">
        <w:rPr>
          <w:rFonts w:ascii="Soberana Sans" w:hAnsi="Soberana Sans"/>
          <w:sz w:val="24"/>
          <w:szCs w:val="24"/>
          <w:lang w:eastAsia="es-MX"/>
        </w:rPr>
        <w:t xml:space="preserve">eneral de la </w:t>
      </w:r>
      <w:r w:rsidR="004476F5" w:rsidRPr="00AF4ED7">
        <w:rPr>
          <w:rFonts w:ascii="Soberana Sans" w:hAnsi="Soberana Sans"/>
          <w:sz w:val="24"/>
          <w:szCs w:val="24"/>
          <w:lang w:eastAsia="es-MX"/>
        </w:rPr>
        <w:t>R</w:t>
      </w:r>
      <w:r w:rsidR="00E51CA6" w:rsidRPr="00AF4ED7">
        <w:rPr>
          <w:rFonts w:ascii="Soberana Sans" w:hAnsi="Soberana Sans"/>
          <w:sz w:val="24"/>
          <w:szCs w:val="24"/>
          <w:lang w:eastAsia="es-MX"/>
        </w:rPr>
        <w:t>epública</w:t>
      </w:r>
      <w:r w:rsidR="004476F5" w:rsidRPr="00AF4ED7">
        <w:rPr>
          <w:rFonts w:ascii="Soberana Sans" w:hAnsi="Soberana Sans"/>
          <w:sz w:val="24"/>
          <w:szCs w:val="24"/>
          <w:lang w:eastAsia="es-MX"/>
        </w:rPr>
        <w:t xml:space="preserve">, </w:t>
      </w:r>
      <w:r w:rsidR="00E51CA6" w:rsidRPr="00AF4ED7">
        <w:rPr>
          <w:rFonts w:ascii="Soberana Sans" w:hAnsi="Soberana Sans"/>
          <w:sz w:val="24"/>
          <w:szCs w:val="24"/>
          <w:lang w:eastAsia="es-MX"/>
        </w:rPr>
        <w:t xml:space="preserve">el Instituto Nacional de Lenguas Indígenas y la Comisión Ejecutiva de Atención a Víctimas, </w:t>
      </w:r>
      <w:r w:rsidR="004476F5" w:rsidRPr="00AF4ED7">
        <w:rPr>
          <w:rFonts w:ascii="Soberana Sans" w:hAnsi="Soberana Sans"/>
          <w:sz w:val="24"/>
          <w:szCs w:val="24"/>
          <w:lang w:eastAsia="es-MX"/>
        </w:rPr>
        <w:t>para fortalecer la capacitación de abogados indígenas bilingües, intérpretes-traductores en el N</w:t>
      </w:r>
      <w:r w:rsidR="00984309" w:rsidRPr="00AF4ED7">
        <w:rPr>
          <w:rFonts w:ascii="Soberana Sans" w:hAnsi="Soberana Sans"/>
          <w:sz w:val="24"/>
          <w:szCs w:val="24"/>
          <w:lang w:eastAsia="es-MX"/>
        </w:rPr>
        <w:t xml:space="preserve">uevo </w:t>
      </w:r>
      <w:r w:rsidR="004476F5" w:rsidRPr="00AF4ED7">
        <w:rPr>
          <w:rFonts w:ascii="Soberana Sans" w:hAnsi="Soberana Sans"/>
          <w:sz w:val="24"/>
          <w:szCs w:val="24"/>
          <w:lang w:eastAsia="es-MX"/>
        </w:rPr>
        <w:t>S</w:t>
      </w:r>
      <w:r w:rsidR="00984309" w:rsidRPr="00AF4ED7">
        <w:rPr>
          <w:rFonts w:ascii="Soberana Sans" w:hAnsi="Soberana Sans"/>
          <w:sz w:val="24"/>
          <w:szCs w:val="24"/>
          <w:lang w:eastAsia="es-MX"/>
        </w:rPr>
        <w:t xml:space="preserve">istema de </w:t>
      </w:r>
      <w:r w:rsidR="004476F5" w:rsidRPr="00AF4ED7">
        <w:rPr>
          <w:rFonts w:ascii="Soberana Sans" w:hAnsi="Soberana Sans"/>
          <w:sz w:val="24"/>
          <w:szCs w:val="24"/>
          <w:lang w:eastAsia="es-MX"/>
        </w:rPr>
        <w:t>J</w:t>
      </w:r>
      <w:r w:rsidR="00984309" w:rsidRPr="00AF4ED7">
        <w:rPr>
          <w:rFonts w:ascii="Soberana Sans" w:hAnsi="Soberana Sans"/>
          <w:sz w:val="24"/>
          <w:szCs w:val="24"/>
          <w:lang w:eastAsia="es-MX"/>
        </w:rPr>
        <w:t xml:space="preserve">ustica </w:t>
      </w:r>
      <w:r w:rsidR="004476F5" w:rsidRPr="00AF4ED7">
        <w:rPr>
          <w:rFonts w:ascii="Soberana Sans" w:hAnsi="Soberana Sans"/>
          <w:sz w:val="24"/>
          <w:szCs w:val="24"/>
          <w:lang w:eastAsia="es-MX"/>
        </w:rPr>
        <w:t>P</w:t>
      </w:r>
      <w:r w:rsidR="00984309" w:rsidRPr="00AF4ED7">
        <w:rPr>
          <w:rFonts w:ascii="Soberana Sans" w:hAnsi="Soberana Sans"/>
          <w:sz w:val="24"/>
          <w:szCs w:val="24"/>
          <w:lang w:eastAsia="es-MX"/>
        </w:rPr>
        <w:t>enal</w:t>
      </w:r>
      <w:r w:rsidR="004476F5" w:rsidRPr="00AF4ED7">
        <w:rPr>
          <w:rFonts w:ascii="Soberana Sans" w:hAnsi="Soberana Sans"/>
          <w:sz w:val="24"/>
          <w:szCs w:val="24"/>
          <w:lang w:eastAsia="es-MX"/>
        </w:rPr>
        <w:t xml:space="preserve">, y servidores públicos. </w:t>
      </w:r>
      <w:r w:rsidRPr="00AF4ED7">
        <w:rPr>
          <w:rFonts w:ascii="Soberana Sans" w:hAnsi="Soberana Sans"/>
          <w:sz w:val="24"/>
          <w:szCs w:val="24"/>
          <w:lang w:eastAsia="es-MX"/>
        </w:rPr>
        <w:t>Asimismo, e</w:t>
      </w:r>
      <w:r w:rsidR="004476F5" w:rsidRPr="00AF4ED7">
        <w:rPr>
          <w:rFonts w:ascii="Soberana Sans" w:hAnsi="Soberana Sans"/>
          <w:sz w:val="24"/>
          <w:szCs w:val="24"/>
          <w:lang w:eastAsia="es-MX"/>
        </w:rPr>
        <w:t>l INALI desde 2014 capacita intérpretes y traductoras/es en procesos judiciales (actualmente son 115).</w:t>
      </w:r>
    </w:p>
    <w:p w14:paraId="7202081D" w14:textId="77777777" w:rsidR="004476F5" w:rsidRPr="00AF4ED7" w:rsidRDefault="004476F5" w:rsidP="00B0323E">
      <w:pPr>
        <w:jc w:val="both"/>
        <w:rPr>
          <w:rFonts w:ascii="Soberana Sans" w:hAnsi="Soberana Sans"/>
          <w:sz w:val="24"/>
          <w:szCs w:val="24"/>
          <w:lang w:eastAsia="es-MX"/>
        </w:rPr>
      </w:pPr>
      <w:r w:rsidRPr="00AF4ED7">
        <w:rPr>
          <w:rFonts w:ascii="Soberana Sans" w:hAnsi="Soberana Sans"/>
          <w:sz w:val="24"/>
          <w:szCs w:val="24"/>
          <w:lang w:eastAsia="es-MX"/>
        </w:rPr>
        <w:t xml:space="preserve">La Defensoría Pública Federal ha integrado personal administrativo indígena, a efecto de que asistan a los defensores públicos. </w:t>
      </w:r>
    </w:p>
    <w:p w14:paraId="7202081E" w14:textId="77777777" w:rsidR="001A13F6" w:rsidRPr="00AF4ED7" w:rsidRDefault="001A13F6" w:rsidP="00B0323E">
      <w:pPr>
        <w:jc w:val="both"/>
        <w:rPr>
          <w:rFonts w:ascii="Soberana Sans" w:hAnsi="Soberana Sans"/>
          <w:sz w:val="24"/>
          <w:szCs w:val="24"/>
          <w:lang w:eastAsia="es-MX"/>
        </w:rPr>
      </w:pPr>
      <w:r w:rsidRPr="00AF4ED7">
        <w:rPr>
          <w:rFonts w:ascii="Soberana Sans" w:hAnsi="Soberana Sans"/>
          <w:sz w:val="24"/>
          <w:szCs w:val="24"/>
          <w:lang w:eastAsia="es-MX"/>
        </w:rPr>
        <w:t xml:space="preserve">Por su parte, el </w:t>
      </w:r>
      <w:r w:rsidR="00C567BC" w:rsidRPr="00AF4ED7">
        <w:rPr>
          <w:rFonts w:ascii="Soberana Sans" w:hAnsi="Soberana Sans"/>
          <w:sz w:val="24"/>
          <w:szCs w:val="24"/>
          <w:lang w:eastAsia="es-MX"/>
        </w:rPr>
        <w:t xml:space="preserve">Programa Nacional para la Prevención de la Violencia y la Delincuencia (PNPSVD) </w:t>
      </w:r>
      <w:r w:rsidRPr="00AF4ED7">
        <w:rPr>
          <w:rFonts w:ascii="Soberana Sans" w:hAnsi="Soberana Sans"/>
          <w:sz w:val="24"/>
          <w:szCs w:val="24"/>
          <w:lang w:eastAsia="es-MX"/>
        </w:rPr>
        <w:t>contempla la capacitación y formación, tanto de fuerzas policiales, como de servidores(as) públicos, en materia de D</w:t>
      </w:r>
      <w:r w:rsidR="00C567BC" w:rsidRPr="00AF4ED7">
        <w:rPr>
          <w:rFonts w:ascii="Soberana Sans" w:hAnsi="Soberana Sans"/>
          <w:sz w:val="24"/>
          <w:szCs w:val="24"/>
          <w:lang w:eastAsia="es-MX"/>
        </w:rPr>
        <w:t xml:space="preserve">erechos </w:t>
      </w:r>
      <w:r w:rsidRPr="00AF4ED7">
        <w:rPr>
          <w:rFonts w:ascii="Soberana Sans" w:hAnsi="Soberana Sans"/>
          <w:sz w:val="24"/>
          <w:szCs w:val="24"/>
          <w:lang w:eastAsia="es-MX"/>
        </w:rPr>
        <w:t>H</w:t>
      </w:r>
      <w:r w:rsidR="00C567BC" w:rsidRPr="00AF4ED7">
        <w:rPr>
          <w:rFonts w:ascii="Soberana Sans" w:hAnsi="Soberana Sans"/>
          <w:sz w:val="24"/>
          <w:szCs w:val="24"/>
          <w:lang w:eastAsia="es-MX"/>
        </w:rPr>
        <w:t>umanos y</w:t>
      </w:r>
      <w:r w:rsidRPr="00AF4ED7">
        <w:rPr>
          <w:rFonts w:ascii="Soberana Sans" w:hAnsi="Soberana Sans"/>
          <w:sz w:val="24"/>
          <w:szCs w:val="24"/>
          <w:lang w:eastAsia="es-MX"/>
        </w:rPr>
        <w:t xml:space="preserve"> de prevención y atención de la violencia contra las mujeres, la violencia familiar, la violencia en el noviazgo, y la trata de personas.</w:t>
      </w:r>
    </w:p>
    <w:p w14:paraId="7202081F" w14:textId="77777777" w:rsidR="00C567BC" w:rsidRPr="00AF4ED7" w:rsidRDefault="005E63FA" w:rsidP="00B0323E">
      <w:pPr>
        <w:jc w:val="both"/>
        <w:rPr>
          <w:rFonts w:ascii="Soberana Sans" w:hAnsi="Soberana Sans"/>
          <w:sz w:val="24"/>
          <w:szCs w:val="24"/>
          <w:lang w:eastAsia="es-MX"/>
        </w:rPr>
      </w:pPr>
      <w:r w:rsidRPr="00AF4ED7">
        <w:rPr>
          <w:rFonts w:ascii="Soberana Sans" w:hAnsi="Soberana Sans"/>
          <w:sz w:val="24"/>
          <w:szCs w:val="24"/>
          <w:lang w:eastAsia="es-MX"/>
        </w:rPr>
        <w:t xml:space="preserve">El Consejo Nacional para Prevenir la Discriminación </w:t>
      </w:r>
      <w:r w:rsidR="00CE0202" w:rsidRPr="00AF4ED7">
        <w:rPr>
          <w:rFonts w:ascii="Soberana Sans" w:hAnsi="Soberana Sans"/>
          <w:sz w:val="24"/>
          <w:szCs w:val="24"/>
          <w:lang w:eastAsia="es-MX"/>
        </w:rPr>
        <w:t>desarrolló</w:t>
      </w:r>
      <w:r w:rsidR="00C567BC" w:rsidRPr="00AF4ED7">
        <w:rPr>
          <w:rFonts w:ascii="Soberana Sans" w:hAnsi="Soberana Sans"/>
          <w:sz w:val="24"/>
          <w:szCs w:val="24"/>
          <w:lang w:eastAsia="es-MX"/>
        </w:rPr>
        <w:t xml:space="preserve"> el </w:t>
      </w:r>
      <w:r w:rsidR="00C567BC" w:rsidRPr="00AF4ED7">
        <w:rPr>
          <w:rFonts w:ascii="Soberana Sans" w:hAnsi="Soberana Sans"/>
          <w:i/>
          <w:sz w:val="24"/>
          <w:szCs w:val="24"/>
          <w:lang w:eastAsia="es-MX"/>
        </w:rPr>
        <w:t>Catálogo de Medidas para la I</w:t>
      </w:r>
      <w:r w:rsidRPr="00AF4ED7">
        <w:rPr>
          <w:rFonts w:ascii="Soberana Sans" w:hAnsi="Soberana Sans"/>
          <w:i/>
          <w:sz w:val="24"/>
          <w:szCs w:val="24"/>
          <w:lang w:eastAsia="es-MX"/>
        </w:rPr>
        <w:t>gualdad</w:t>
      </w:r>
      <w:r w:rsidRPr="00AF4ED7">
        <w:rPr>
          <w:rFonts w:ascii="Soberana Sans" w:hAnsi="Soberana Sans"/>
          <w:sz w:val="24"/>
          <w:szCs w:val="24"/>
          <w:lang w:eastAsia="es-MX"/>
        </w:rPr>
        <w:t xml:space="preserve"> cuyo contenido concentra conceptos clave del enfoque antidiscriminatorio </w:t>
      </w:r>
      <w:r w:rsidR="00CE0202" w:rsidRPr="00AF4ED7">
        <w:rPr>
          <w:rFonts w:ascii="Soberana Sans" w:hAnsi="Soberana Sans"/>
          <w:sz w:val="24"/>
          <w:szCs w:val="24"/>
          <w:lang w:eastAsia="es-MX"/>
        </w:rPr>
        <w:t>y algunos ejemplos de medidas para la igualdad, con el propósito de que en México todas las personas sean tratadas en condiciones de igualdad y no discriminación al acceder a cualquier servicio público.</w:t>
      </w:r>
    </w:p>
    <w:p w14:paraId="72020820" w14:textId="77777777" w:rsidR="00823805" w:rsidRPr="00AF4ED7" w:rsidRDefault="00C567BC" w:rsidP="00305EDD">
      <w:pPr>
        <w:jc w:val="both"/>
        <w:rPr>
          <w:rFonts w:ascii="Soberana Sans" w:hAnsi="Soberana Sans"/>
          <w:sz w:val="24"/>
          <w:szCs w:val="24"/>
          <w:lang w:eastAsia="es-MX"/>
        </w:rPr>
      </w:pPr>
      <w:r w:rsidRPr="00AF4ED7">
        <w:rPr>
          <w:rFonts w:ascii="Soberana Sans" w:hAnsi="Soberana Sans"/>
          <w:sz w:val="24"/>
          <w:szCs w:val="24"/>
          <w:lang w:eastAsia="es-MX"/>
        </w:rPr>
        <w:t xml:space="preserve">Asimismo, se </w:t>
      </w:r>
      <w:r w:rsidR="00E51CA6" w:rsidRPr="00AF4ED7">
        <w:rPr>
          <w:rFonts w:ascii="Soberana Sans" w:hAnsi="Soberana Sans"/>
          <w:sz w:val="24"/>
          <w:szCs w:val="24"/>
          <w:lang w:eastAsia="es-MX"/>
        </w:rPr>
        <w:t>creó</w:t>
      </w:r>
      <w:r w:rsidR="00CE0202" w:rsidRPr="00AF4ED7">
        <w:rPr>
          <w:rFonts w:ascii="Soberana Sans" w:hAnsi="Soberana Sans"/>
          <w:sz w:val="24"/>
          <w:szCs w:val="24"/>
          <w:lang w:eastAsia="es-MX"/>
        </w:rPr>
        <w:t xml:space="preserve"> la plataforma digital “Conéctate” cuyo objetivo principal es informar y sensibilizar al personal de la Administración Pública Federal, Estatal y Municipal, así como integrantes de la sociedad civil y población en general en materia del derecho a la igualdad y no </w:t>
      </w:r>
      <w:r w:rsidR="00CE0202" w:rsidRPr="00AF4ED7">
        <w:rPr>
          <w:rFonts w:ascii="Soberana Sans" w:hAnsi="Soberana Sans"/>
          <w:sz w:val="24"/>
          <w:szCs w:val="24"/>
          <w:lang w:eastAsia="es-MX"/>
        </w:rPr>
        <w:lastRenderedPageBreak/>
        <w:t xml:space="preserve">discriminación para identificar, prevenir y eliminar las prácticas discriminatorias que puedan ocurrir en su entorno laboral, social y familiar.  </w:t>
      </w:r>
    </w:p>
    <w:p w14:paraId="72020821" w14:textId="77777777" w:rsidR="00823805" w:rsidRPr="00AF4ED7" w:rsidRDefault="00823805" w:rsidP="00572D24">
      <w:pPr>
        <w:spacing w:line="276" w:lineRule="auto"/>
        <w:jc w:val="both"/>
        <w:rPr>
          <w:rFonts w:ascii="Soberana Sans" w:hAnsi="Soberana Sans"/>
          <w:sz w:val="24"/>
          <w:szCs w:val="24"/>
          <w:lang w:eastAsia="es-MX"/>
        </w:rPr>
      </w:pPr>
      <w:r w:rsidRPr="00AF4ED7">
        <w:rPr>
          <w:rFonts w:ascii="Soberana Sans" w:hAnsi="Soberana Sans"/>
          <w:sz w:val="24"/>
          <w:szCs w:val="24"/>
          <w:lang w:eastAsia="es-MX"/>
        </w:rPr>
        <w:t xml:space="preserve">En lo que respecta a la sociedad civil, una de las principales preocupaciones en el año 2013, ha sido el establecimiento de un diálogo intercultural que permita a los pueblos indígenas incidir en los procesos de toma de decisiones. </w:t>
      </w:r>
    </w:p>
    <w:p w14:paraId="72020822" w14:textId="77777777" w:rsidR="00BD124B" w:rsidRPr="00AF4ED7" w:rsidRDefault="00BD124B" w:rsidP="00572D24">
      <w:pPr>
        <w:pStyle w:val="Subtitle"/>
        <w:numPr>
          <w:ilvl w:val="0"/>
          <w:numId w:val="0"/>
        </w:numPr>
        <w:spacing w:line="276" w:lineRule="auto"/>
        <w:jc w:val="both"/>
        <w:rPr>
          <w:rFonts w:ascii="Soberana Sans" w:hAnsi="Soberana Sans" w:cs="Arial"/>
          <w:sz w:val="24"/>
          <w:szCs w:val="24"/>
        </w:rPr>
      </w:pPr>
      <w:r w:rsidRPr="00AF4ED7">
        <w:rPr>
          <w:rFonts w:ascii="Soberana Sans" w:hAnsi="Soberana Sans" w:cs="Arial"/>
          <w:sz w:val="24"/>
          <w:szCs w:val="24"/>
        </w:rPr>
        <w:t>En este sentido, el Gobierno Federal ha implementado medidas para la inclusión de los intereses y derechos de los pueblos indígenas. En 2013, la Comisión para el Diálogo con los Pueblos Indígenas de México (CDPIM), inició el proceso de armonización jurídica con los tratados y convenios internacionales en materia indígena. Además, en 2014, se incluyeron los aspectos que garantizan los derechos de las mujeres indígenas.</w:t>
      </w:r>
    </w:p>
    <w:p w14:paraId="72020823" w14:textId="77777777" w:rsidR="007A03A9" w:rsidRPr="00AF4ED7" w:rsidRDefault="00BD124B" w:rsidP="00572D24">
      <w:pPr>
        <w:jc w:val="both"/>
        <w:rPr>
          <w:rFonts w:ascii="Soberana Sans" w:hAnsi="Soberana Sans" w:cs="Arial"/>
          <w:sz w:val="24"/>
          <w:szCs w:val="24"/>
        </w:rPr>
      </w:pPr>
      <w:r w:rsidRPr="00AF4ED7">
        <w:rPr>
          <w:rFonts w:ascii="Soberana Sans" w:hAnsi="Soberana Sans" w:cs="Arial"/>
          <w:sz w:val="24"/>
          <w:szCs w:val="24"/>
        </w:rPr>
        <w:t xml:space="preserve">La CDI, por su parte, se encarga de apoyar las iniciativas comunitarias y de incentivar la participación de las mujeres, en el marco del Programa de Derechos Indígenas. Dicha participación, alcanzó un 46.1% en 2014 </w:t>
      </w:r>
      <w:r w:rsidR="00572D24" w:rsidRPr="00AF4ED7">
        <w:rPr>
          <w:rFonts w:ascii="Soberana Sans" w:hAnsi="Soberana Sans" w:cs="Arial"/>
          <w:sz w:val="24"/>
          <w:szCs w:val="24"/>
        </w:rPr>
        <w:t xml:space="preserve">y 52.1 por ciento en 2015. </w:t>
      </w:r>
    </w:p>
    <w:p w14:paraId="72020824" w14:textId="77777777" w:rsidR="004D048F" w:rsidRPr="00AF4ED7" w:rsidRDefault="004D048F" w:rsidP="00572D24">
      <w:pPr>
        <w:jc w:val="both"/>
        <w:rPr>
          <w:rFonts w:ascii="Soberana Sans" w:hAnsi="Soberana Sans" w:cs="Arial"/>
          <w:sz w:val="24"/>
          <w:szCs w:val="24"/>
        </w:rPr>
      </w:pPr>
    </w:p>
    <w:p w14:paraId="72020825" w14:textId="77777777" w:rsidR="004D048F" w:rsidRPr="00AF4ED7" w:rsidRDefault="004D048F" w:rsidP="00572D24">
      <w:pPr>
        <w:jc w:val="both"/>
        <w:rPr>
          <w:rFonts w:ascii="Soberana Sans" w:hAnsi="Soberana Sans" w:cs="Arial"/>
          <w:sz w:val="24"/>
          <w:szCs w:val="24"/>
        </w:rPr>
      </w:pPr>
      <w:r w:rsidRPr="00AF4ED7">
        <w:rPr>
          <w:rFonts w:ascii="Soberana Sans" w:hAnsi="Soberana Sans" w:cs="Arial"/>
          <w:sz w:val="24"/>
          <w:szCs w:val="24"/>
        </w:rPr>
        <w:t xml:space="preserve">Actividades del Grupo de Trabajo Interinstitucional de Seguimiento al Cumplimiento de las Observaciones Finales </w:t>
      </w:r>
      <w:r w:rsidR="00AF4ED7">
        <w:rPr>
          <w:rFonts w:ascii="Soberana Sans" w:hAnsi="Soberana Sans" w:cs="Arial"/>
          <w:sz w:val="24"/>
          <w:szCs w:val="24"/>
        </w:rPr>
        <w:t>del 16° y</w:t>
      </w:r>
      <w:r w:rsidRPr="00AF4ED7">
        <w:rPr>
          <w:rFonts w:ascii="Soberana Sans" w:hAnsi="Soberana Sans" w:cs="Arial"/>
          <w:sz w:val="24"/>
          <w:szCs w:val="24"/>
        </w:rPr>
        <w:t xml:space="preserve"> 17° Informe ante el Comité de Todas las Formas de Discriminación Racial (CERD)</w:t>
      </w:r>
    </w:p>
    <w:p w14:paraId="72020826"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Mecanismo de seguimiento (2012)</w:t>
      </w:r>
    </w:p>
    <w:p w14:paraId="72020827"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En el marco de la 1ª y 2ª Reunión del 2012 del GT-CERD, se acordó la creación de un Mecanismo de Seguimiento de las Recomendaciones de la última sustentación para dar cumplimiento a las obligaciones del Estado mexicano</w:t>
      </w:r>
    </w:p>
    <w:p w14:paraId="72020828"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Mecanismo de seguimiento (2013)</w:t>
      </w:r>
    </w:p>
    <w:p w14:paraId="72020829"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 xml:space="preserve">Durante el 2013, se pidió a las 43 instancias parte del GT-CERD que informarán sobre el avance a las recomendaciones en el periodo de noviembre de 2012 a junio de 2013. El </w:t>
      </w:r>
      <w:r w:rsidR="00AF4ED7" w:rsidRPr="00AF4ED7">
        <w:rPr>
          <w:rFonts w:ascii="Soberana Sans" w:hAnsi="Soberana Sans"/>
          <w:sz w:val="24"/>
          <w:szCs w:val="24"/>
        </w:rPr>
        <w:t xml:space="preserve">CONAPRED </w:t>
      </w:r>
      <w:r w:rsidRPr="00AF4ED7">
        <w:rPr>
          <w:rFonts w:ascii="Soberana Sans" w:hAnsi="Soberana Sans"/>
          <w:sz w:val="24"/>
          <w:szCs w:val="24"/>
        </w:rPr>
        <w:t>conjuntó la información en un documento en diciembre de 2013.</w:t>
      </w:r>
    </w:p>
    <w:p w14:paraId="7202082A"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Foro Nacional de Poblaciones Afrodescendientes en México (2012)</w:t>
      </w:r>
    </w:p>
    <w:p w14:paraId="7202082B"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 xml:space="preserve">Como parte de las actividades de cumplimiento de las Recomendaciones, específicamente la relativa al reconocimiento de la población afrodescendiente (Recomendación 10), el </w:t>
      </w:r>
      <w:r w:rsidR="00AF4ED7" w:rsidRPr="00AF4ED7">
        <w:rPr>
          <w:rFonts w:ascii="Soberana Sans" w:hAnsi="Soberana Sans"/>
          <w:sz w:val="24"/>
          <w:szCs w:val="24"/>
        </w:rPr>
        <w:t xml:space="preserve">CONAPRED </w:t>
      </w:r>
      <w:r w:rsidRPr="00AF4ED7">
        <w:rPr>
          <w:rFonts w:ascii="Soberana Sans" w:hAnsi="Soberana Sans"/>
          <w:sz w:val="24"/>
          <w:szCs w:val="24"/>
        </w:rPr>
        <w:t>junto con la SRE, realizó el Primer Foro Nacional de Poblaciones Afrodescendientes en México en septiembre de 2012, con la participación de diversas comunidades y pueblos afrodescendientes, personas del servicio público de niveles municipales, estatales y federales, organizaciones y redes de la sociedad civil, académicos e investigadores e invitados internacionales de diversos países de América Latina y organismos internacionales.</w:t>
      </w:r>
    </w:p>
    <w:p w14:paraId="7202082C"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Campaña "¡Soy afro! Me reconozco y cuento" (22 de febrero - 31 de marzo de 2015)</w:t>
      </w:r>
    </w:p>
    <w:p w14:paraId="7202082D"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En el marco de la incorporación de la pregunta de autoadscripción afrodescendiente o afromexicana dentro de la Encuesta Intercensal del Instituto Nacional de Estadística y Geografía (INEGI) que permitió conocer más sobre este grupo social mediante datos concretos, a decir; quiénes son, dónde están, visibilizarles e incluirles en las políticas públicas, se desarrolló la campaña ¡Soy afro! Me reconozco y cuento".</w:t>
      </w:r>
    </w:p>
    <w:p w14:paraId="7202082E"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lastRenderedPageBreak/>
        <w:t xml:space="preserve">Esta campaña constituyó un esfuerzo del Gobierno Federal para conocer e identificar a las poblaciones afrodescendientes en México como sujetos colectivos de derecho, en el marco del GT-CERD se inició la iniciativa por parte del </w:t>
      </w:r>
      <w:r w:rsidR="00AF4ED7" w:rsidRPr="00AF4ED7">
        <w:rPr>
          <w:rFonts w:ascii="Soberana Sans" w:hAnsi="Soberana Sans"/>
          <w:sz w:val="24"/>
          <w:szCs w:val="24"/>
        </w:rPr>
        <w:t>CONAPRED</w:t>
      </w:r>
      <w:r w:rsidRPr="00AF4ED7">
        <w:rPr>
          <w:rFonts w:ascii="Soberana Sans" w:hAnsi="Soberana Sans"/>
          <w:sz w:val="24"/>
          <w:szCs w:val="24"/>
        </w:rPr>
        <w:t>, la Secretaría de Gobernación, el Instituto Nacional de Estadística y Geografía (INEGI) y el Instituto Nacional de Antropología e Historia (INAH), y después la invitación a participar se abriría para otras instancias federales. La campaña se llevó a cabo en 14 entidades federativas: Campeche, Veracruz, Coahuila, Michoacán, Morelos, Colima, Chiapas, Tabasco, Guanajuato, San Luis Potosí, Sinaloa, Zacatecas, Estado de México y Oaxaca.</w:t>
      </w:r>
    </w:p>
    <w:p w14:paraId="7202082F"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b) Red de Investigación Interdisciplinaria sobre Identidades, Racismo y Xenofobia en América Latina (INTEGRA).</w:t>
      </w:r>
    </w:p>
    <w:p w14:paraId="72020830" w14:textId="77777777" w:rsidR="004D048F" w:rsidRPr="00AF4ED7" w:rsidRDefault="004D048F" w:rsidP="004D048F">
      <w:pPr>
        <w:jc w:val="both"/>
        <w:rPr>
          <w:rFonts w:ascii="Soberana Sans" w:hAnsi="Soberana Sans"/>
          <w:sz w:val="24"/>
          <w:szCs w:val="24"/>
        </w:rPr>
      </w:pPr>
      <w:r w:rsidRPr="00AF4ED7">
        <w:rPr>
          <w:rFonts w:ascii="Soberana Sans" w:hAnsi="Soberana Sans"/>
          <w:sz w:val="24"/>
          <w:szCs w:val="24"/>
        </w:rPr>
        <w:t xml:space="preserve">El </w:t>
      </w:r>
      <w:r w:rsidR="00231F62" w:rsidRPr="00AF4ED7">
        <w:rPr>
          <w:rFonts w:ascii="Soberana Sans" w:hAnsi="Soberana Sans"/>
          <w:sz w:val="24"/>
          <w:szCs w:val="24"/>
        </w:rPr>
        <w:t xml:space="preserve">CONAPRED </w:t>
      </w:r>
      <w:r w:rsidRPr="00AF4ED7">
        <w:rPr>
          <w:rFonts w:ascii="Soberana Sans" w:hAnsi="Soberana Sans"/>
          <w:sz w:val="24"/>
          <w:szCs w:val="24"/>
        </w:rPr>
        <w:t xml:space="preserve">forma parte de las instituciones promotoras de la Red de Investigación Interdisciplinaria sobre Identidades, Racismo y Xenofobia en América Latina (INTEGRA), cuyo objetivo es generar espacios de sinergias e interlocución entre la academia, la sociedad civil y el sector público y privado, con la finalidad de evidenciar el racismo, la xenofobia o cualquier otra forma de intolerancia, además de </w:t>
      </w:r>
      <w:r w:rsidRPr="00AF4ED7">
        <w:rPr>
          <w:rFonts w:ascii="Soberana Sans" w:hAnsi="Soberana Sans"/>
          <w:sz w:val="24"/>
          <w:szCs w:val="24"/>
          <w:lang w:eastAsia="es-MX"/>
        </w:rPr>
        <w:t>desarrollar acciones para su combate, a través de la generación de nuevo conocimiento académico y el trabajo con organizaciones públicas, sociales y privadas.</w:t>
      </w:r>
    </w:p>
    <w:p w14:paraId="72020831" w14:textId="77777777" w:rsidR="007A03A9" w:rsidRPr="00AF4ED7" w:rsidRDefault="004D048F" w:rsidP="004D048F">
      <w:pPr>
        <w:jc w:val="both"/>
        <w:rPr>
          <w:rFonts w:ascii="Soberana Sans" w:hAnsi="Soberana Sans"/>
          <w:sz w:val="24"/>
          <w:szCs w:val="24"/>
          <w:lang w:eastAsia="es-MX"/>
        </w:rPr>
      </w:pPr>
      <w:r w:rsidRPr="00AF4ED7">
        <w:rPr>
          <w:rFonts w:ascii="Soberana Sans" w:hAnsi="Soberana Sans"/>
          <w:sz w:val="24"/>
          <w:szCs w:val="24"/>
          <w:lang w:eastAsia="es-MX"/>
        </w:rPr>
        <w:t>Reconociendo que el racismo y la xenofobia generan contextos de discriminación, marginación y exclusión en las vidas de todas las personas, la Red INTEGRA tiene como finalidad incidir en la articulación de políticas públicas, en la legislación y en las relaciones sociales para contribuir al cierre de brechas de desigualdad y promover un cambio cultural en favor de la diversidad.</w:t>
      </w:r>
    </w:p>
    <w:p w14:paraId="72020832" w14:textId="77777777" w:rsidR="007A03A9" w:rsidRPr="00AF4ED7" w:rsidRDefault="007A03A9" w:rsidP="00B0323E">
      <w:pPr>
        <w:jc w:val="both"/>
        <w:rPr>
          <w:rFonts w:ascii="Soberana Sans" w:hAnsi="Soberana Sans"/>
          <w:b/>
          <w:sz w:val="24"/>
          <w:szCs w:val="24"/>
          <w:lang w:eastAsia="es-MX"/>
        </w:rPr>
      </w:pPr>
    </w:p>
    <w:p w14:paraId="72020833" w14:textId="77777777" w:rsidR="00B74CA8" w:rsidRPr="00AF4ED7" w:rsidRDefault="00B74CA8" w:rsidP="00B0323E">
      <w:pPr>
        <w:jc w:val="both"/>
        <w:rPr>
          <w:rFonts w:ascii="Soberana Sans" w:hAnsi="Soberana Sans"/>
          <w:sz w:val="24"/>
          <w:szCs w:val="24"/>
          <w:lang w:eastAsia="es-MX"/>
        </w:rPr>
      </w:pPr>
    </w:p>
    <w:p w14:paraId="72020834" w14:textId="77777777" w:rsidR="00B74CA8" w:rsidRPr="00AF4ED7" w:rsidRDefault="00B74CA8" w:rsidP="00B0323E">
      <w:pPr>
        <w:jc w:val="both"/>
        <w:rPr>
          <w:rFonts w:ascii="Soberana Sans" w:hAnsi="Soberana Sans"/>
          <w:sz w:val="24"/>
          <w:szCs w:val="24"/>
          <w:lang w:eastAsia="es-MX"/>
        </w:rPr>
      </w:pPr>
    </w:p>
    <w:p w14:paraId="72020835" w14:textId="77777777" w:rsidR="00B74CA8" w:rsidRPr="00AF4ED7" w:rsidRDefault="00B74CA8" w:rsidP="00B0323E">
      <w:pPr>
        <w:jc w:val="both"/>
        <w:rPr>
          <w:sz w:val="24"/>
          <w:szCs w:val="24"/>
          <w:lang w:eastAsia="es-MX"/>
        </w:rPr>
      </w:pPr>
    </w:p>
    <w:p w14:paraId="72020836" w14:textId="77777777" w:rsidR="004813D6" w:rsidRPr="00AF4ED7" w:rsidRDefault="004813D6" w:rsidP="00B0323E">
      <w:pPr>
        <w:autoSpaceDE w:val="0"/>
        <w:autoSpaceDN w:val="0"/>
        <w:adjustRightInd w:val="0"/>
        <w:spacing w:after="100" w:afterAutospacing="1" w:line="240" w:lineRule="auto"/>
        <w:jc w:val="both"/>
        <w:rPr>
          <w:rFonts w:ascii="Soberana Sans" w:hAnsi="Soberana Sans" w:cs="Arial"/>
          <w:b/>
          <w:sz w:val="24"/>
          <w:szCs w:val="24"/>
        </w:rPr>
      </w:pPr>
    </w:p>
    <w:p w14:paraId="72020837" w14:textId="77777777" w:rsidR="00647B75" w:rsidRPr="00AF4ED7" w:rsidRDefault="00647B75" w:rsidP="00B0323E">
      <w:pPr>
        <w:autoSpaceDE w:val="0"/>
        <w:autoSpaceDN w:val="0"/>
        <w:adjustRightInd w:val="0"/>
        <w:spacing w:after="100" w:afterAutospacing="1" w:line="240" w:lineRule="auto"/>
        <w:jc w:val="both"/>
        <w:rPr>
          <w:rFonts w:ascii="Soberana Sans" w:hAnsi="Soberana Sans" w:cs="Arial"/>
          <w:sz w:val="24"/>
          <w:szCs w:val="24"/>
        </w:rPr>
      </w:pPr>
    </w:p>
    <w:p w14:paraId="72020838" w14:textId="77777777" w:rsidR="00647B75" w:rsidRPr="00AF4ED7" w:rsidRDefault="00647B75" w:rsidP="00B0323E">
      <w:pPr>
        <w:autoSpaceDE w:val="0"/>
        <w:autoSpaceDN w:val="0"/>
        <w:adjustRightInd w:val="0"/>
        <w:spacing w:after="100" w:afterAutospacing="1" w:line="240" w:lineRule="auto"/>
        <w:jc w:val="both"/>
        <w:rPr>
          <w:rFonts w:ascii="Soberana Sans" w:hAnsi="Soberana Sans" w:cs="Arial"/>
          <w:sz w:val="24"/>
          <w:szCs w:val="24"/>
        </w:rPr>
      </w:pPr>
    </w:p>
    <w:p w14:paraId="72020839" w14:textId="77777777" w:rsidR="00BF190F" w:rsidRPr="00AF4ED7" w:rsidRDefault="00BF190F" w:rsidP="00B0323E">
      <w:pPr>
        <w:autoSpaceDE w:val="0"/>
        <w:autoSpaceDN w:val="0"/>
        <w:adjustRightInd w:val="0"/>
        <w:spacing w:after="100" w:afterAutospacing="1" w:line="240" w:lineRule="auto"/>
        <w:jc w:val="both"/>
        <w:rPr>
          <w:rFonts w:ascii="Soberana Sans" w:hAnsi="Soberana Sans" w:cs="Arial"/>
          <w:sz w:val="24"/>
          <w:szCs w:val="24"/>
        </w:rPr>
      </w:pPr>
    </w:p>
    <w:p w14:paraId="7202083A" w14:textId="77777777" w:rsidR="00763179" w:rsidRPr="00AF4ED7" w:rsidRDefault="00763179" w:rsidP="00B0323E">
      <w:pPr>
        <w:spacing w:line="240" w:lineRule="auto"/>
        <w:jc w:val="both"/>
        <w:rPr>
          <w:sz w:val="24"/>
          <w:szCs w:val="24"/>
        </w:rPr>
      </w:pPr>
    </w:p>
    <w:p w14:paraId="7202083B" w14:textId="77777777" w:rsidR="00763179" w:rsidRPr="00AF4ED7" w:rsidRDefault="00763179" w:rsidP="00B0323E">
      <w:pPr>
        <w:spacing w:line="240" w:lineRule="auto"/>
        <w:jc w:val="both"/>
        <w:rPr>
          <w:sz w:val="24"/>
          <w:szCs w:val="24"/>
        </w:rPr>
      </w:pPr>
    </w:p>
    <w:p w14:paraId="7202083C" w14:textId="77777777" w:rsidR="00763179" w:rsidRPr="00AF4ED7" w:rsidRDefault="00763179" w:rsidP="00B0323E">
      <w:pPr>
        <w:jc w:val="both"/>
        <w:rPr>
          <w:sz w:val="24"/>
          <w:szCs w:val="24"/>
        </w:rPr>
      </w:pPr>
    </w:p>
    <w:sectPr w:rsidR="00763179" w:rsidRPr="00AF4ED7" w:rsidSect="00AF4ED7">
      <w:pgSz w:w="11907" w:h="16840"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2083F" w14:textId="77777777" w:rsidR="009462E8" w:rsidRDefault="009462E8" w:rsidP="00B45B06">
      <w:pPr>
        <w:spacing w:after="0" w:line="240" w:lineRule="auto"/>
      </w:pPr>
      <w:r>
        <w:separator/>
      </w:r>
    </w:p>
  </w:endnote>
  <w:endnote w:type="continuationSeparator" w:id="0">
    <w:p w14:paraId="72020840" w14:textId="77777777" w:rsidR="009462E8" w:rsidRDefault="009462E8" w:rsidP="00B4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charset w:val="00"/>
    <w:family w:val="auto"/>
    <w:pitch w:val="default"/>
  </w:font>
  <w:font w:name="Soberana Texto">
    <w:altName w:val="Times New Roman"/>
    <w:panose1 w:val="00000000000000000000"/>
    <w:charset w:val="00"/>
    <w:family w:val="modern"/>
    <w:notTrueType/>
    <w:pitch w:val="variable"/>
    <w:sig w:usb0="00000003" w:usb1="4000A04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2083D" w14:textId="77777777" w:rsidR="009462E8" w:rsidRDefault="009462E8" w:rsidP="00B45B06">
      <w:pPr>
        <w:spacing w:after="0" w:line="240" w:lineRule="auto"/>
      </w:pPr>
      <w:r>
        <w:separator/>
      </w:r>
    </w:p>
  </w:footnote>
  <w:footnote w:type="continuationSeparator" w:id="0">
    <w:p w14:paraId="7202083E" w14:textId="77777777" w:rsidR="009462E8" w:rsidRDefault="009462E8" w:rsidP="00B45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79"/>
    <w:rsid w:val="00004B75"/>
    <w:rsid w:val="00030411"/>
    <w:rsid w:val="000400EC"/>
    <w:rsid w:val="000B34BB"/>
    <w:rsid w:val="000C4F9E"/>
    <w:rsid w:val="000E51DD"/>
    <w:rsid w:val="00110C67"/>
    <w:rsid w:val="00114D08"/>
    <w:rsid w:val="00133BCC"/>
    <w:rsid w:val="00147345"/>
    <w:rsid w:val="00173FF7"/>
    <w:rsid w:val="001A13F6"/>
    <w:rsid w:val="001A3449"/>
    <w:rsid w:val="001C5931"/>
    <w:rsid w:val="001C6C59"/>
    <w:rsid w:val="001D0800"/>
    <w:rsid w:val="001D0838"/>
    <w:rsid w:val="001D299D"/>
    <w:rsid w:val="001E08BD"/>
    <w:rsid w:val="001E10F5"/>
    <w:rsid w:val="002065F6"/>
    <w:rsid w:val="0020718B"/>
    <w:rsid w:val="00231F62"/>
    <w:rsid w:val="00236831"/>
    <w:rsid w:val="00251E6B"/>
    <w:rsid w:val="00280E3A"/>
    <w:rsid w:val="002937D8"/>
    <w:rsid w:val="002B75DD"/>
    <w:rsid w:val="002E22CF"/>
    <w:rsid w:val="00305EDD"/>
    <w:rsid w:val="0035222E"/>
    <w:rsid w:val="003B3015"/>
    <w:rsid w:val="003E58DC"/>
    <w:rsid w:val="00405CE6"/>
    <w:rsid w:val="00436962"/>
    <w:rsid w:val="00436ACE"/>
    <w:rsid w:val="004476F5"/>
    <w:rsid w:val="0046015D"/>
    <w:rsid w:val="00461B7A"/>
    <w:rsid w:val="004813D6"/>
    <w:rsid w:val="00497476"/>
    <w:rsid w:val="004C3612"/>
    <w:rsid w:val="004D048F"/>
    <w:rsid w:val="004F38A3"/>
    <w:rsid w:val="005224DD"/>
    <w:rsid w:val="005468E9"/>
    <w:rsid w:val="00572D24"/>
    <w:rsid w:val="005E22F0"/>
    <w:rsid w:val="005E63FA"/>
    <w:rsid w:val="006026FA"/>
    <w:rsid w:val="00647B75"/>
    <w:rsid w:val="006725A8"/>
    <w:rsid w:val="00692D96"/>
    <w:rsid w:val="006A0530"/>
    <w:rsid w:val="006B11CB"/>
    <w:rsid w:val="006D6D8A"/>
    <w:rsid w:val="006D6E40"/>
    <w:rsid w:val="00716836"/>
    <w:rsid w:val="00742A20"/>
    <w:rsid w:val="00763179"/>
    <w:rsid w:val="007A03A9"/>
    <w:rsid w:val="007A7ADA"/>
    <w:rsid w:val="0080536F"/>
    <w:rsid w:val="00823805"/>
    <w:rsid w:val="00840810"/>
    <w:rsid w:val="00887BBF"/>
    <w:rsid w:val="008F40BF"/>
    <w:rsid w:val="008F5322"/>
    <w:rsid w:val="00905656"/>
    <w:rsid w:val="009462E8"/>
    <w:rsid w:val="00970FEF"/>
    <w:rsid w:val="00984309"/>
    <w:rsid w:val="0099241C"/>
    <w:rsid w:val="009A0A82"/>
    <w:rsid w:val="00A220EF"/>
    <w:rsid w:val="00A5212A"/>
    <w:rsid w:val="00A574CD"/>
    <w:rsid w:val="00A6243A"/>
    <w:rsid w:val="00A7599F"/>
    <w:rsid w:val="00AF4ED7"/>
    <w:rsid w:val="00B0323E"/>
    <w:rsid w:val="00B24CE7"/>
    <w:rsid w:val="00B25910"/>
    <w:rsid w:val="00B40477"/>
    <w:rsid w:val="00B45B06"/>
    <w:rsid w:val="00B64F9F"/>
    <w:rsid w:val="00B6590B"/>
    <w:rsid w:val="00B74CA8"/>
    <w:rsid w:val="00BB2B68"/>
    <w:rsid w:val="00BB662B"/>
    <w:rsid w:val="00BD124B"/>
    <w:rsid w:val="00BE29E4"/>
    <w:rsid w:val="00BF190F"/>
    <w:rsid w:val="00C00D35"/>
    <w:rsid w:val="00C567BC"/>
    <w:rsid w:val="00C71CA3"/>
    <w:rsid w:val="00CE0202"/>
    <w:rsid w:val="00CF1D48"/>
    <w:rsid w:val="00D36C5C"/>
    <w:rsid w:val="00D663F8"/>
    <w:rsid w:val="00DA256C"/>
    <w:rsid w:val="00DD42D9"/>
    <w:rsid w:val="00DE7B28"/>
    <w:rsid w:val="00DF6891"/>
    <w:rsid w:val="00E03A4F"/>
    <w:rsid w:val="00E213C8"/>
    <w:rsid w:val="00E249D0"/>
    <w:rsid w:val="00E267DC"/>
    <w:rsid w:val="00E440EF"/>
    <w:rsid w:val="00E51CA6"/>
    <w:rsid w:val="00E839B9"/>
    <w:rsid w:val="00E85C86"/>
    <w:rsid w:val="00E91AF5"/>
    <w:rsid w:val="00E95C6D"/>
    <w:rsid w:val="00EA6C8B"/>
    <w:rsid w:val="00F5079B"/>
    <w:rsid w:val="00FA3E94"/>
    <w:rsid w:val="00FB0CFA"/>
    <w:rsid w:val="00FC2400"/>
    <w:rsid w:val="00FE1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5B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o nota pie Car Car Car Car Car Car,Texto nota pie Car Car Car Car Car,Texto nota pie Car Car Car Car Car Car1 Car Car Car,Texto nota pie Car Car Car Car Car Car1 Car Car,nota,pie,independiente,Letrero,margen,Car,footnote,fn,fn Car Car"/>
    <w:basedOn w:val="Normal"/>
    <w:link w:val="FootnoteTextChar"/>
    <w:uiPriority w:val="99"/>
    <w:unhideWhenUsed/>
    <w:rsid w:val="00B45B06"/>
    <w:pPr>
      <w:spacing w:line="240" w:lineRule="auto"/>
    </w:pPr>
    <w:rPr>
      <w:rFonts w:eastAsiaTheme="minorEastAsia"/>
      <w:sz w:val="20"/>
      <w:szCs w:val="20"/>
      <w:lang w:eastAsia="es-MX"/>
    </w:rPr>
  </w:style>
  <w:style w:type="character" w:customStyle="1" w:styleId="FootnoteTextChar">
    <w:name w:val="Footnote Text Char"/>
    <w:aliases w:val="Texto nota pie Car Car Car Car Car Car Char,Texto nota pie Car Car Car Car Car Char,Texto nota pie Car Car Car Car Car Car1 Car Car Car Char,Texto nota pie Car Car Car Car Car Car1 Car Car Char,nota Char,pie Char,independiente Char"/>
    <w:basedOn w:val="DefaultParagraphFont"/>
    <w:link w:val="FootnoteText"/>
    <w:uiPriority w:val="99"/>
    <w:rsid w:val="00B45B06"/>
    <w:rPr>
      <w:rFonts w:eastAsiaTheme="minorEastAsia"/>
      <w:sz w:val="20"/>
      <w:szCs w:val="20"/>
      <w:lang w:eastAsia="es-MX"/>
    </w:rPr>
  </w:style>
  <w:style w:type="character" w:styleId="FootnoteReference">
    <w:name w:val="footnote reference"/>
    <w:aliases w:val="normal,Appel note de bas de page,Ref,de nota al pie,Footnotes refss,ftref,Texto nota al pie,BVI fnr,BVI fnr Car Car Car Car,BVI fnr Car Car Car Car Char,BVI fnr Car Car,Texto de nota al pie,referencia nota al pie,Char Car Car Car Car"/>
    <w:uiPriority w:val="99"/>
    <w:unhideWhenUsed/>
    <w:rsid w:val="00B45B06"/>
    <w:rPr>
      <w:vertAlign w:val="superscript"/>
    </w:rPr>
  </w:style>
  <w:style w:type="character" w:customStyle="1" w:styleId="apple-converted-space">
    <w:name w:val="apple-converted-space"/>
    <w:basedOn w:val="DefaultParagraphFont"/>
    <w:rsid w:val="00B45B06"/>
  </w:style>
  <w:style w:type="character" w:customStyle="1" w:styleId="Heading1Char">
    <w:name w:val="Heading 1 Char"/>
    <w:basedOn w:val="DefaultParagraphFont"/>
    <w:link w:val="Heading1"/>
    <w:uiPriority w:val="9"/>
    <w:rsid w:val="00B45B06"/>
    <w:rPr>
      <w:rFonts w:asciiTheme="majorHAnsi" w:eastAsiaTheme="majorEastAsia" w:hAnsiTheme="majorHAnsi" w:cstheme="majorBidi"/>
      <w:color w:val="2E74B5" w:themeColor="accent1" w:themeShade="BF"/>
      <w:sz w:val="32"/>
      <w:szCs w:val="32"/>
    </w:rPr>
  </w:style>
  <w:style w:type="character" w:styleId="Hyperlink">
    <w:name w:val="Hyperlink"/>
    <w:aliases w:val="Título 1 Car1"/>
    <w:uiPriority w:val="99"/>
    <w:unhideWhenUsed/>
    <w:rsid w:val="002065F6"/>
    <w:rPr>
      <w:color w:val="0000FF"/>
      <w:u w:val="single"/>
    </w:rPr>
  </w:style>
  <w:style w:type="paragraph" w:styleId="Subtitle">
    <w:name w:val="Subtitle"/>
    <w:basedOn w:val="Normal"/>
    <w:next w:val="Normal"/>
    <w:link w:val="SubtitleChar"/>
    <w:uiPriority w:val="11"/>
    <w:qFormat/>
    <w:rsid w:val="00647B75"/>
    <w:pPr>
      <w:numPr>
        <w:ilvl w:val="1"/>
      </w:numPr>
      <w:spacing w:line="240" w:lineRule="auto"/>
    </w:pPr>
    <w:rPr>
      <w:rFonts w:asciiTheme="majorHAnsi" w:eastAsiaTheme="majorEastAsia" w:hAnsiTheme="majorHAnsi" w:cstheme="majorBidi"/>
      <w:lang w:eastAsia="es-MX"/>
    </w:rPr>
  </w:style>
  <w:style w:type="character" w:customStyle="1" w:styleId="SubtitleChar">
    <w:name w:val="Subtitle Char"/>
    <w:basedOn w:val="DefaultParagraphFont"/>
    <w:link w:val="Subtitle"/>
    <w:uiPriority w:val="11"/>
    <w:rsid w:val="00647B75"/>
    <w:rPr>
      <w:rFonts w:asciiTheme="majorHAnsi" w:eastAsiaTheme="majorEastAsia" w:hAnsiTheme="majorHAnsi" w:cstheme="majorBidi"/>
      <w:lang w:eastAsia="es-MX"/>
    </w:rPr>
  </w:style>
  <w:style w:type="paragraph" w:styleId="BalloonText">
    <w:name w:val="Balloon Text"/>
    <w:basedOn w:val="Normal"/>
    <w:link w:val="BalloonTextChar"/>
    <w:uiPriority w:val="99"/>
    <w:semiHidden/>
    <w:unhideWhenUsed/>
    <w:rsid w:val="00B0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3E"/>
    <w:rPr>
      <w:rFonts w:ascii="Segoe UI" w:hAnsi="Segoe UI" w:cs="Segoe UI"/>
      <w:sz w:val="18"/>
      <w:szCs w:val="18"/>
    </w:rPr>
  </w:style>
  <w:style w:type="paragraph" w:styleId="ListParagraph">
    <w:name w:val="List Paragraph"/>
    <w:basedOn w:val="Normal"/>
    <w:uiPriority w:val="34"/>
    <w:qFormat/>
    <w:rsid w:val="00DE7B28"/>
    <w:pPr>
      <w:ind w:left="720"/>
      <w:contextualSpacing/>
    </w:pPr>
  </w:style>
  <w:style w:type="table" w:styleId="TableGrid">
    <w:name w:val="Table Grid"/>
    <w:basedOn w:val="TableNormal"/>
    <w:uiPriority w:val="39"/>
    <w:rsid w:val="00AF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5B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o nota pie Car Car Car Car Car Car,Texto nota pie Car Car Car Car Car,Texto nota pie Car Car Car Car Car Car1 Car Car Car,Texto nota pie Car Car Car Car Car Car1 Car Car,nota,pie,independiente,Letrero,margen,Car,footnote,fn,fn Car Car"/>
    <w:basedOn w:val="Normal"/>
    <w:link w:val="FootnoteTextChar"/>
    <w:uiPriority w:val="99"/>
    <w:unhideWhenUsed/>
    <w:rsid w:val="00B45B06"/>
    <w:pPr>
      <w:spacing w:line="240" w:lineRule="auto"/>
    </w:pPr>
    <w:rPr>
      <w:rFonts w:eastAsiaTheme="minorEastAsia"/>
      <w:sz w:val="20"/>
      <w:szCs w:val="20"/>
      <w:lang w:eastAsia="es-MX"/>
    </w:rPr>
  </w:style>
  <w:style w:type="character" w:customStyle="1" w:styleId="FootnoteTextChar">
    <w:name w:val="Footnote Text Char"/>
    <w:aliases w:val="Texto nota pie Car Car Car Car Car Car Char,Texto nota pie Car Car Car Car Car Char,Texto nota pie Car Car Car Car Car Car1 Car Car Car Char,Texto nota pie Car Car Car Car Car Car1 Car Car Char,nota Char,pie Char,independiente Char"/>
    <w:basedOn w:val="DefaultParagraphFont"/>
    <w:link w:val="FootnoteText"/>
    <w:uiPriority w:val="99"/>
    <w:rsid w:val="00B45B06"/>
    <w:rPr>
      <w:rFonts w:eastAsiaTheme="minorEastAsia"/>
      <w:sz w:val="20"/>
      <w:szCs w:val="20"/>
      <w:lang w:eastAsia="es-MX"/>
    </w:rPr>
  </w:style>
  <w:style w:type="character" w:styleId="FootnoteReference">
    <w:name w:val="footnote reference"/>
    <w:aliases w:val="normal,Appel note de bas de page,Ref,de nota al pie,Footnotes refss,ftref,Texto nota al pie,BVI fnr,BVI fnr Car Car Car Car,BVI fnr Car Car Car Car Char,BVI fnr Car Car,Texto de nota al pie,referencia nota al pie,Char Car Car Car Car"/>
    <w:uiPriority w:val="99"/>
    <w:unhideWhenUsed/>
    <w:rsid w:val="00B45B06"/>
    <w:rPr>
      <w:vertAlign w:val="superscript"/>
    </w:rPr>
  </w:style>
  <w:style w:type="character" w:customStyle="1" w:styleId="apple-converted-space">
    <w:name w:val="apple-converted-space"/>
    <w:basedOn w:val="DefaultParagraphFont"/>
    <w:rsid w:val="00B45B06"/>
  </w:style>
  <w:style w:type="character" w:customStyle="1" w:styleId="Heading1Char">
    <w:name w:val="Heading 1 Char"/>
    <w:basedOn w:val="DefaultParagraphFont"/>
    <w:link w:val="Heading1"/>
    <w:uiPriority w:val="9"/>
    <w:rsid w:val="00B45B06"/>
    <w:rPr>
      <w:rFonts w:asciiTheme="majorHAnsi" w:eastAsiaTheme="majorEastAsia" w:hAnsiTheme="majorHAnsi" w:cstheme="majorBidi"/>
      <w:color w:val="2E74B5" w:themeColor="accent1" w:themeShade="BF"/>
      <w:sz w:val="32"/>
      <w:szCs w:val="32"/>
    </w:rPr>
  </w:style>
  <w:style w:type="character" w:styleId="Hyperlink">
    <w:name w:val="Hyperlink"/>
    <w:aliases w:val="Título 1 Car1"/>
    <w:uiPriority w:val="99"/>
    <w:unhideWhenUsed/>
    <w:rsid w:val="002065F6"/>
    <w:rPr>
      <w:color w:val="0000FF"/>
      <w:u w:val="single"/>
    </w:rPr>
  </w:style>
  <w:style w:type="paragraph" w:styleId="Subtitle">
    <w:name w:val="Subtitle"/>
    <w:basedOn w:val="Normal"/>
    <w:next w:val="Normal"/>
    <w:link w:val="SubtitleChar"/>
    <w:uiPriority w:val="11"/>
    <w:qFormat/>
    <w:rsid w:val="00647B75"/>
    <w:pPr>
      <w:numPr>
        <w:ilvl w:val="1"/>
      </w:numPr>
      <w:spacing w:line="240" w:lineRule="auto"/>
    </w:pPr>
    <w:rPr>
      <w:rFonts w:asciiTheme="majorHAnsi" w:eastAsiaTheme="majorEastAsia" w:hAnsiTheme="majorHAnsi" w:cstheme="majorBidi"/>
      <w:lang w:eastAsia="es-MX"/>
    </w:rPr>
  </w:style>
  <w:style w:type="character" w:customStyle="1" w:styleId="SubtitleChar">
    <w:name w:val="Subtitle Char"/>
    <w:basedOn w:val="DefaultParagraphFont"/>
    <w:link w:val="Subtitle"/>
    <w:uiPriority w:val="11"/>
    <w:rsid w:val="00647B75"/>
    <w:rPr>
      <w:rFonts w:asciiTheme="majorHAnsi" w:eastAsiaTheme="majorEastAsia" w:hAnsiTheme="majorHAnsi" w:cstheme="majorBidi"/>
      <w:lang w:eastAsia="es-MX"/>
    </w:rPr>
  </w:style>
  <w:style w:type="paragraph" w:styleId="BalloonText">
    <w:name w:val="Balloon Text"/>
    <w:basedOn w:val="Normal"/>
    <w:link w:val="BalloonTextChar"/>
    <w:uiPriority w:val="99"/>
    <w:semiHidden/>
    <w:unhideWhenUsed/>
    <w:rsid w:val="00B0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3E"/>
    <w:rPr>
      <w:rFonts w:ascii="Segoe UI" w:hAnsi="Segoe UI" w:cs="Segoe UI"/>
      <w:sz w:val="18"/>
      <w:szCs w:val="18"/>
    </w:rPr>
  </w:style>
  <w:style w:type="paragraph" w:styleId="ListParagraph">
    <w:name w:val="List Paragraph"/>
    <w:basedOn w:val="Normal"/>
    <w:uiPriority w:val="34"/>
    <w:qFormat/>
    <w:rsid w:val="00DE7B28"/>
    <w:pPr>
      <w:ind w:left="720"/>
      <w:contextualSpacing/>
    </w:pPr>
  </w:style>
  <w:style w:type="table" w:styleId="TableGrid">
    <w:name w:val="Table Grid"/>
    <w:basedOn w:val="TableNormal"/>
    <w:uiPriority w:val="39"/>
    <w:rsid w:val="00AF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87007">
      <w:bodyDiv w:val="1"/>
      <w:marLeft w:val="0"/>
      <w:marRight w:val="0"/>
      <w:marTop w:val="0"/>
      <w:marBottom w:val="0"/>
      <w:divBdr>
        <w:top w:val="none" w:sz="0" w:space="0" w:color="auto"/>
        <w:left w:val="none" w:sz="0" w:space="0" w:color="auto"/>
        <w:bottom w:val="none" w:sz="0" w:space="0" w:color="auto"/>
        <w:right w:val="none" w:sz="0" w:space="0" w:color="auto"/>
      </w:divBdr>
    </w:div>
    <w:div w:id="19800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8C525-575B-430B-9264-E78E7F9ECC2C}"/>
</file>

<file path=customXml/itemProps2.xml><?xml version="1.0" encoding="utf-8"?>
<ds:datastoreItem xmlns:ds="http://schemas.openxmlformats.org/officeDocument/2006/customXml" ds:itemID="{C4D25DA8-EFF9-47AB-81E4-26979AD9C3DE}"/>
</file>

<file path=customXml/itemProps3.xml><?xml version="1.0" encoding="utf-8"?>
<ds:datastoreItem xmlns:ds="http://schemas.openxmlformats.org/officeDocument/2006/customXml" ds:itemID="{A3C7330D-0210-4392-AF0E-B370F1200408}"/>
</file>

<file path=customXml/itemProps4.xml><?xml version="1.0" encoding="utf-8"?>
<ds:datastoreItem xmlns:ds="http://schemas.openxmlformats.org/officeDocument/2006/customXml" ds:itemID="{451790D6-850A-4035-BD5A-A7BCBF97D8C7}"/>
</file>

<file path=docProps/app.xml><?xml version="1.0" encoding="utf-8"?>
<Properties xmlns="http://schemas.openxmlformats.org/officeDocument/2006/extended-properties" xmlns:vt="http://schemas.openxmlformats.org/officeDocument/2006/docPropsVTypes">
  <Template>Normal.dotm</Template>
  <TotalTime>0</TotalTime>
  <Pages>10</Pages>
  <Words>4143</Words>
  <Characters>23620</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Social DGDH 05</dc:creator>
  <cp:lastModifiedBy>Caroline OUAFFO WAFANG</cp:lastModifiedBy>
  <cp:revision>2</cp:revision>
  <cp:lastPrinted>2016-11-24T00:25:00Z</cp:lastPrinted>
  <dcterms:created xsi:type="dcterms:W3CDTF">2016-12-21T14:11:00Z</dcterms:created>
  <dcterms:modified xsi:type="dcterms:W3CDTF">2016-12-21T14:11:00Z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