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0A" w:rsidRPr="006C7BE2" w:rsidRDefault="006C7BE2" w:rsidP="00DA7D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C7BE2">
        <w:rPr>
          <w:rFonts w:ascii="Arial" w:hAnsi="Arial" w:cs="Arial"/>
          <w:b/>
          <w:bCs/>
          <w:sz w:val="28"/>
          <w:szCs w:val="28"/>
        </w:rPr>
        <w:t>Greece’s reply to the letter from the Special Rapporteur on extreme poverty and human rights and the Special Rapporteur on adequate housing, dated 21 June 2021</w:t>
      </w:r>
    </w:p>
    <w:p w:rsidR="006C7BE2" w:rsidRPr="006C7BE2" w:rsidRDefault="006C7BE2" w:rsidP="006C7BE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FF60FC" w:rsidRPr="006C7BE2" w:rsidRDefault="00071D95" w:rsidP="00696BE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color w:val="000000"/>
        </w:rPr>
      </w:pPr>
      <w:r w:rsidRPr="006C7BE2">
        <w:rPr>
          <w:rFonts w:ascii="Arial" w:hAnsi="Arial" w:cs="Arial"/>
          <w:b/>
          <w:bCs/>
          <w:i/>
          <w:iCs/>
          <w:color w:val="000000"/>
        </w:rPr>
        <w:t>Question 1:</w:t>
      </w:r>
    </w:p>
    <w:p w:rsidR="00071D95" w:rsidRPr="006C7BE2" w:rsidRDefault="00071D95" w:rsidP="00696BEC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6C7BE2">
        <w:rPr>
          <w:rFonts w:ascii="Arial" w:hAnsi="Arial" w:cs="Arial"/>
          <w:bCs/>
          <w:iCs/>
          <w:color w:val="000000"/>
        </w:rPr>
        <w:t xml:space="preserve">Legislation criminalizing begging and vagrancy </w:t>
      </w:r>
      <w:r w:rsidR="00696BEC" w:rsidRPr="006C7BE2">
        <w:rPr>
          <w:rFonts w:ascii="Arial" w:hAnsi="Arial" w:cs="Arial"/>
          <w:bCs/>
          <w:iCs/>
          <w:color w:val="000000"/>
        </w:rPr>
        <w:t xml:space="preserve">in Greece </w:t>
      </w:r>
      <w:r w:rsidRPr="006C7BE2">
        <w:rPr>
          <w:rFonts w:ascii="Arial" w:hAnsi="Arial" w:cs="Arial"/>
          <w:bCs/>
          <w:iCs/>
          <w:color w:val="000000"/>
        </w:rPr>
        <w:t>has been repealed</w:t>
      </w:r>
      <w:r w:rsidR="00696BEC" w:rsidRPr="006C7BE2">
        <w:rPr>
          <w:rFonts w:ascii="Arial" w:hAnsi="Arial" w:cs="Arial"/>
          <w:bCs/>
          <w:iCs/>
          <w:color w:val="000000"/>
        </w:rPr>
        <w:t>.</w:t>
      </w:r>
    </w:p>
    <w:p w:rsidR="00696BEC" w:rsidRPr="006C7BE2" w:rsidRDefault="00696BEC" w:rsidP="00696BEC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</w:p>
    <w:p w:rsidR="00696BEC" w:rsidRPr="006C7BE2" w:rsidRDefault="00696BEC" w:rsidP="00696BEC">
      <w:p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6C7BE2">
        <w:rPr>
          <w:rFonts w:ascii="Arial" w:hAnsi="Arial" w:cs="Arial"/>
          <w:bCs/>
          <w:iCs/>
          <w:color w:val="000000"/>
        </w:rPr>
        <w:t>More specifically, on the relevant dispositions of the Penal Code:</w:t>
      </w:r>
    </w:p>
    <w:p w:rsidR="00FF60FC" w:rsidRPr="006C7BE2" w:rsidRDefault="00FF60FC" w:rsidP="00696BE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color w:val="000000"/>
        </w:rPr>
      </w:pPr>
    </w:p>
    <w:p w:rsidR="00FF60FC" w:rsidRPr="006C7BE2" w:rsidRDefault="00FF60FC" w:rsidP="00696BEC">
      <w:pPr>
        <w:spacing w:after="0"/>
        <w:ind w:firstLine="720"/>
        <w:jc w:val="both"/>
        <w:rPr>
          <w:rFonts w:ascii="Arial" w:hAnsi="Arial" w:cs="Arial"/>
          <w:iCs/>
        </w:rPr>
      </w:pPr>
      <w:r w:rsidRPr="006C7BE2">
        <w:rPr>
          <w:rFonts w:ascii="Arial" w:hAnsi="Arial" w:cs="Arial"/>
          <w:iCs/>
          <w:u w:val="single"/>
        </w:rPr>
        <w:t>Article 407</w:t>
      </w:r>
      <w:r w:rsidR="00696BEC" w:rsidRPr="006C7BE2">
        <w:rPr>
          <w:rFonts w:ascii="Arial" w:hAnsi="Arial" w:cs="Arial"/>
          <w:iCs/>
          <w:u w:val="single"/>
        </w:rPr>
        <w:t>,</w:t>
      </w:r>
      <w:r w:rsidRPr="006C7BE2">
        <w:rPr>
          <w:rFonts w:ascii="Arial" w:hAnsi="Arial" w:cs="Arial"/>
          <w:iCs/>
          <w:u w:val="single"/>
        </w:rPr>
        <w:t xml:space="preserve"> Begging</w:t>
      </w:r>
      <w:r w:rsidRPr="006C7BE2">
        <w:rPr>
          <w:rFonts w:ascii="Arial" w:hAnsi="Arial" w:cs="Arial"/>
          <w:iCs/>
        </w:rPr>
        <w:t>: “Anyone who beggars out of sloth or avarice or out of habit is punished with detention up to six (6) months or with a fine of up to three thousand (3.000) euros. The fine may also be imposed along with detention.”</w:t>
      </w:r>
    </w:p>
    <w:p w:rsidR="00FF60FC" w:rsidRPr="006C7BE2" w:rsidRDefault="00FF60FC" w:rsidP="00696BEC">
      <w:pPr>
        <w:ind w:firstLine="720"/>
        <w:jc w:val="both"/>
        <w:rPr>
          <w:rFonts w:ascii="Arial" w:hAnsi="Arial" w:cs="Arial"/>
          <w:iCs/>
        </w:rPr>
      </w:pPr>
      <w:r w:rsidRPr="006C7BE2">
        <w:rPr>
          <w:rFonts w:ascii="Arial" w:hAnsi="Arial" w:cs="Arial"/>
          <w:iCs/>
        </w:rPr>
        <w:t>This article was repealed by the provision of Article 23 of the Law 4571/2018 (Government Gazette A' 186/30.10.2018).</w:t>
      </w:r>
    </w:p>
    <w:p w:rsidR="00FF60FC" w:rsidRPr="006C7BE2" w:rsidRDefault="00FF60FC" w:rsidP="00696BEC">
      <w:pPr>
        <w:spacing w:after="0"/>
        <w:ind w:firstLine="720"/>
        <w:jc w:val="both"/>
        <w:rPr>
          <w:rFonts w:ascii="Arial" w:hAnsi="Arial" w:cs="Arial"/>
          <w:iCs/>
        </w:rPr>
      </w:pPr>
      <w:r w:rsidRPr="006C7BE2">
        <w:rPr>
          <w:rFonts w:ascii="Arial" w:hAnsi="Arial" w:cs="Arial"/>
          <w:iCs/>
          <w:u w:val="single"/>
        </w:rPr>
        <w:t>Article 408</w:t>
      </w:r>
      <w:r w:rsidR="00696BEC" w:rsidRPr="006C7BE2">
        <w:rPr>
          <w:rFonts w:ascii="Arial" w:hAnsi="Arial" w:cs="Arial"/>
          <w:iCs/>
          <w:u w:val="single"/>
        </w:rPr>
        <w:t>,</w:t>
      </w:r>
      <w:r w:rsidRPr="006C7BE2">
        <w:rPr>
          <w:rFonts w:ascii="Arial" w:hAnsi="Arial" w:cs="Arial"/>
          <w:iCs/>
          <w:u w:val="single"/>
        </w:rPr>
        <w:t xml:space="preserve"> Vagrancy</w:t>
      </w:r>
      <w:r w:rsidRPr="006C7BE2">
        <w:rPr>
          <w:rFonts w:ascii="Arial" w:hAnsi="Arial" w:cs="Arial"/>
          <w:iCs/>
        </w:rPr>
        <w:t>: “Anyone who is deprived of the means of maintenance due to sloth or because of his/her inclination to mischievous life and wanders the country or constantly wanders in a place without having permanent accommodation is punished with imprisonment of up to three months.”</w:t>
      </w:r>
    </w:p>
    <w:p w:rsidR="00FF60FC" w:rsidRPr="006C7BE2" w:rsidRDefault="00FF60FC" w:rsidP="00696BEC">
      <w:pPr>
        <w:ind w:firstLine="720"/>
        <w:jc w:val="both"/>
        <w:rPr>
          <w:rFonts w:ascii="Arial" w:hAnsi="Arial" w:cs="Arial"/>
          <w:iCs/>
        </w:rPr>
      </w:pPr>
      <w:r w:rsidRPr="006C7BE2">
        <w:rPr>
          <w:rFonts w:ascii="Arial" w:hAnsi="Arial" w:cs="Arial"/>
          <w:iCs/>
        </w:rPr>
        <w:t>This article was repealed by point b of par. 12 of Article 1 of the Law 2207/94 (Government Gazette A' 65 / 25.4.1994).</w:t>
      </w:r>
    </w:p>
    <w:p w:rsidR="00696BEC" w:rsidRPr="006C7BE2" w:rsidRDefault="00FF60FC" w:rsidP="00696BEC">
      <w:pPr>
        <w:spacing w:after="0"/>
        <w:jc w:val="both"/>
        <w:rPr>
          <w:rFonts w:ascii="Arial" w:eastAsia="Times New Roman" w:hAnsi="Arial" w:cs="Arial"/>
          <w:b/>
          <w:i/>
          <w:lang w:eastAsia="el-GR"/>
        </w:rPr>
      </w:pPr>
      <w:r w:rsidRPr="006C7BE2">
        <w:rPr>
          <w:rFonts w:ascii="Arial" w:eastAsia="Times New Roman" w:hAnsi="Arial" w:cs="Arial"/>
          <w:lang w:eastAsia="el-GR"/>
        </w:rPr>
        <w:t xml:space="preserve"> </w:t>
      </w:r>
    </w:p>
    <w:p w:rsidR="00FF60FC" w:rsidRPr="006C7BE2" w:rsidRDefault="00696BEC" w:rsidP="00696BEC">
      <w:pPr>
        <w:spacing w:after="0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6C7BE2">
        <w:rPr>
          <w:rFonts w:ascii="Arial" w:eastAsia="Times New Roman" w:hAnsi="Arial" w:cs="Arial"/>
          <w:b/>
          <w:i/>
          <w:lang w:eastAsia="el-GR"/>
        </w:rPr>
        <w:t>Question 4</w:t>
      </w:r>
      <w:r w:rsidR="00FF60FC" w:rsidRPr="006C7BE2">
        <w:rPr>
          <w:rFonts w:ascii="Arial" w:eastAsia="Times New Roman" w:hAnsi="Arial" w:cs="Arial"/>
          <w:lang w:eastAsia="el-GR"/>
        </w:rPr>
        <w:t xml:space="preserve"> 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Α. SOCIAL PROTECTION OF THE HOMELESS</w:t>
      </w:r>
    </w:p>
    <w:p w:rsidR="00D41D0A" w:rsidRPr="006C7BE2" w:rsidRDefault="003B7D47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1. DEFINITION</w:t>
      </w:r>
      <w:r w:rsidR="00D41D0A" w:rsidRPr="006C7BE2">
        <w:rPr>
          <w:rFonts w:ascii="Arial" w:hAnsi="Arial" w:cs="Arial"/>
          <w:b/>
          <w:bCs/>
          <w:color w:val="000000"/>
        </w:rPr>
        <w:t xml:space="preserve"> OF THE HOMELESS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lastRenderedPageBreak/>
        <w:t>Pursuant to article 29 Law 4052/2012 (Official Gazette A’ 41), as amended by sub-paragraph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A.2. Law 4254/2014 (Official Gazette A’ 85), the homeless is established as a vulnerable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social group to which social protection is provided.</w:t>
      </w:r>
    </w:p>
    <w:p w:rsidR="00946C34" w:rsidRPr="006C7BE2" w:rsidRDefault="00946C34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Specifically, the Law provides as follows: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«1. The homeless are recognized as a vulnerable social group, to which social protection is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="00731F54">
        <w:rPr>
          <w:rFonts w:ascii="Arial" w:hAnsi="Arial" w:cs="Arial"/>
          <w:color w:val="000000"/>
        </w:rPr>
        <w:t xml:space="preserve">provided. </w:t>
      </w:r>
      <w:r w:rsidRPr="006C7BE2">
        <w:rPr>
          <w:rFonts w:ascii="Arial" w:hAnsi="Arial" w:cs="Arial"/>
          <w:color w:val="000000"/>
        </w:rPr>
        <w:t>Αll individuals legally residing in the country, who are deprived of access or have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insecure access to an adequately owned, rented or conceded house that meets the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necessary technical specifications and has the basic water and electricity services, are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="003B7D47">
        <w:rPr>
          <w:rFonts w:ascii="Arial" w:hAnsi="Arial" w:cs="Arial"/>
          <w:color w:val="000000"/>
        </w:rPr>
        <w:t>defined as homeless</w:t>
      </w:r>
      <w:r w:rsidRPr="006C7BE2">
        <w:rPr>
          <w:rFonts w:ascii="Arial" w:hAnsi="Arial" w:cs="Arial"/>
          <w:color w:val="000000"/>
        </w:rPr>
        <w:t>. 2. The term homeless includes in particular those living on the streets,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in homeless shelters, those who are temporarily housed out of necessity in institutions or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other closed structures, as well as those living in inadequate accommodation. 3. By decisions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of the Minister of Labour, Social Security and Welfare and the relevant Minister, published in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the Official Gazette, the terms and conditions for the implementation of the programs for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the homeless, the extent and time of social protection are determined. Similar decisions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determine the framework of operating specifications of Homeless Day Centers, Social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Homeless shelters or other structures and in particular the implementing bodies, the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staffing, the building specifications, the licensing and control process, the homeless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registration bodies and other issue</w:t>
      </w:r>
      <w:r w:rsidR="003B7D47">
        <w:rPr>
          <w:rFonts w:ascii="Arial" w:hAnsi="Arial" w:cs="Arial"/>
          <w:color w:val="000000"/>
        </w:rPr>
        <w:t>s of application of the present</w:t>
      </w:r>
      <w:r w:rsidRPr="006C7BE2">
        <w:rPr>
          <w:rFonts w:ascii="Arial" w:hAnsi="Arial" w:cs="Arial"/>
          <w:color w:val="000000"/>
        </w:rPr>
        <w:t>".</w:t>
      </w:r>
    </w:p>
    <w:p w:rsidR="00946C34" w:rsidRPr="006C7BE2" w:rsidRDefault="00946C34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2. HOUSING ALLOWANCE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lastRenderedPageBreak/>
        <w:t>Pursuant to article 3 Law 4472/2017 (Official Gazette A’ 74) and the Joint Ministerial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Decision with ref. no Δ13οικ.10747/256/2019 (Official Gazette B’ 792), a housing allowance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is provided to households living in rented primary residences, in order to ensure access to a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suitable house for all citizens. The program is centrally financed and organized by the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Ministry of Labour and Social Affairs and entitlement is based on subjective right (to be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eligible to the program, households must simultaneously meet all income, assets and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residency conditions laid down by the law).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The amount of the allowance is fixed at €70 per month for a single-person household, while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for each additional household member is increased by €35 per month. The total amount of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the allowance cannot exceed the amount of €210 per month, irrespective of the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composition of the household.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If the actual amount of the rent paid by the household is lower than the amount of the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allowance, the total amount of the subsidy paid is equal to the actual rent.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The amount received is not related to the location of the residence.</w:t>
      </w:r>
    </w:p>
    <w:p w:rsidR="00946C34" w:rsidRPr="006C7BE2" w:rsidRDefault="00946C34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3. "HOUSING AND WORK FOR THE HOMELESS" PROGRAM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The program "Housing and Work for the homeless" was instituted pursuant to article 15 Law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4756/2020 (Official Gazette A’ 235) and the Joint Ministerial Decision with ref. no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Δ13οικ./42815/2021 (Official Gazette B’ 2788). The program aims at strengthening the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possibility of social reintegration of individuals and families living in homeless conditions.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 xml:space="preserve"> 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The program is a continuation and improvement of the first two successful programs for the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 xml:space="preserve">reintegration of the homeless that have </w:t>
      </w:r>
      <w:r w:rsidRPr="006C7BE2">
        <w:rPr>
          <w:rFonts w:ascii="Arial" w:hAnsi="Arial" w:cs="Arial"/>
          <w:color w:val="000000"/>
        </w:rPr>
        <w:lastRenderedPageBreak/>
        <w:t>been implemented since 2015 and is now becoming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 permanent public policy with the provision for its biennial implementation from state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budget resources. In its new phase, it aims at reintegrating 600 households / 800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beneficiaries.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The program is being implemented in collaboration with the Municipalities, Legal Persons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under Public Law (NPDD) and certified Legal Persons under Private Law (NPID) and includes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three pillars: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a. Rental subsidy for a 24-month period, as well as covering expenses for household goods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and other operational needs of the household.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b. Provision of psychosocial support services and interconnection with complementary social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benefits and services, including the guaranteed minimum income and the housing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allowance.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c. Activation, training and promotion to labour services, including labour subsidy, coverage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of non-wage costs, business start-up subsidy, vocational training and skills acquisition,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scoring for participation in community service programs and job counseling by Manpower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 xml:space="preserve">Employment Organization (OAED), enrollment in Second Chance </w:t>
      </w:r>
      <w:r w:rsidR="00946C34" w:rsidRPr="006C7BE2">
        <w:rPr>
          <w:rFonts w:ascii="Arial" w:hAnsi="Arial" w:cs="Arial"/>
          <w:color w:val="000000"/>
        </w:rPr>
        <w:t>Schools</w:t>
      </w:r>
      <w:r w:rsidRPr="006C7BE2">
        <w:rPr>
          <w:rFonts w:ascii="Arial" w:hAnsi="Arial" w:cs="Arial"/>
          <w:color w:val="000000"/>
        </w:rPr>
        <w:t>.</w:t>
      </w:r>
    </w:p>
    <w:p w:rsidR="00946C34" w:rsidRPr="006C7BE2" w:rsidRDefault="00946C34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4. HOMELESS STRUCTURES</w:t>
      </w:r>
    </w:p>
    <w:p w:rsidR="00946C34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The homeless structures operate on the basis of the Joint Ministerial Decision with ref. no.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Δ23/ οικ.19061−1457/2016 (Official Gazette B’ 1336) "Defining a framework of minimum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specifications for Service Providing Structures for the Homeless", which defines the terms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and conditions of operation of Dormitories, Open Day Homeless Centers, Homeless shelters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of Transitional Hospitality and Supported Living Apartments for the Homeless. The total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capacity of the housing structures amounts to 1,144 seats.</w:t>
      </w:r>
      <w:r w:rsidR="00946C34" w:rsidRPr="006C7BE2">
        <w:rPr>
          <w:rFonts w:ascii="Arial" w:hAnsi="Arial" w:cs="Arial"/>
          <w:color w:val="000000"/>
        </w:rPr>
        <w:t xml:space="preserve"> </w:t>
      </w:r>
    </w:p>
    <w:p w:rsidR="00946C34" w:rsidRPr="006C7BE2" w:rsidRDefault="00946C34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5. ACCESS TO THE GUARANTEED MINIMUM INCOME</w:t>
      </w:r>
    </w:p>
    <w:p w:rsidR="00946C34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The Guaranteed Minimum Income (GMI) [Law 4756/2020 (Official Gazette A’ 235)] is a tax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financed welfare program that is addressed to households living in extreme poverty and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complements the policies to tackle poverty and social exclusion. The program combines:</w:t>
      </w:r>
      <w:r w:rsidR="00946C34" w:rsidRPr="006C7BE2">
        <w:rPr>
          <w:rFonts w:ascii="Arial" w:hAnsi="Arial" w:cs="Arial"/>
          <w:color w:val="000000"/>
        </w:rPr>
        <w:t xml:space="preserve"> 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I. Income support: cash benefit to a recipient unit.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II. Complementary social services, benefits and goods for the members of the household, if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they meet the criteria for inclusion in each program: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•free medical treatment of persons not entitled to health benefits by a social security</w:t>
      </w:r>
      <w:r w:rsidR="00946C34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institution;</w:t>
      </w:r>
    </w:p>
    <w:p w:rsidR="00946C34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•referral and inclusion in social care and support structures and services;</w:t>
      </w:r>
      <w:r w:rsidR="00946C34" w:rsidRPr="006C7BE2">
        <w:rPr>
          <w:rFonts w:ascii="Arial" w:hAnsi="Arial" w:cs="Arial"/>
          <w:color w:val="000000"/>
        </w:rPr>
        <w:t xml:space="preserve"> 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•inclusion in programs and social structures for tackling poverty;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•inclusion in programs implemented under the Fund for European Help to the Most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Deprived;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•social tariff of power providers;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•social tariff of water providers;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•social tariff for Municipality fees and Municipal Enterprises fees.</w:t>
      </w:r>
    </w:p>
    <w:p w:rsidR="00D41D0A" w:rsidRPr="006C7BE2" w:rsidRDefault="00D41D0A" w:rsidP="003B7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III. Activation services: promoting beneficiaries, provided they are able to work, to actions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aiming at the integration or reintegration into the labour market, including inter alia: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•acceptance of proposed employment position;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•participation in community work programmes;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•participation in vocational training programmes;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•participation in traineeship and internship programmes;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•integration or reintegration into the educational system and in second-chance schools.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lastRenderedPageBreak/>
        <w:t>The guaranteed amount varies according to the household situation (i.e. number and age of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household members). The calculation method is based on an amendment of the modified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OECD equivalence scale with a special provision for disabled household members and single</w:t>
      </w:r>
      <w:r w:rsidR="003B7D47">
        <w:rPr>
          <w:rFonts w:ascii="Arial" w:hAnsi="Arial" w:cs="Arial"/>
          <w:color w:val="000000"/>
        </w:rPr>
        <w:t>-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parent families. Specifically: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•for single-person households: €200 per month;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•for each additional adult of the household: €100 per month;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•for each additional minor of the household: €50 per month;</w:t>
      </w:r>
    </w:p>
    <w:p w:rsidR="00D41D0A" w:rsidRPr="006C7BE2" w:rsidRDefault="00D41D0A" w:rsidP="003B7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•in single parent household, i.e. where one parent (unmarried, widowed or divorced, or due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to detention of the other parent in prison) exercises exclusively or by court decision the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parental care of one or more minor children: the older minor member is counted as an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adult;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•in households with unprotected child(ren): each unprotected child is counted as an adult.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The maximum guaranteed amount is €900 per month, regardless of the composition of the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household.</w:t>
      </w:r>
    </w:p>
    <w:p w:rsidR="003B7D47" w:rsidRDefault="003B7D47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6. ELECTRONIC HOMELESSNESS APPLICATIONS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In the framework of the co-financed project «Tools Creation and Definition of Procedures for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the Registration of the Homeless», three IT sub-projects have been implemented with the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aim of creating a mechanism for monitoring and recording the population of the homeless.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The projects are in the process of configuration in order to issue the required relevant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institutional framework for their productive operation.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lastRenderedPageBreak/>
        <w:t>• Electronic Platform for the interconnection of homeless structures and the registration of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housing requests (</w:t>
      </w:r>
      <w:hyperlink r:id="rId6" w:history="1">
        <w:r w:rsidR="00731F54" w:rsidRPr="002F1D1A">
          <w:rPr>
            <w:rStyle w:val="Hyperlink"/>
            <w:rFonts w:ascii="Arial" w:hAnsi="Arial" w:cs="Arial"/>
          </w:rPr>
          <w:t>https://www.astegoi.gov.gr/referral</w:t>
        </w:r>
      </w:hyperlink>
      <w:r w:rsidR="00731F54">
        <w:rPr>
          <w:rFonts w:ascii="Arial" w:hAnsi="Arial" w:cs="Arial"/>
          <w:color w:val="000000"/>
        </w:rPr>
        <w:t xml:space="preserve">). </w:t>
      </w:r>
      <w:r w:rsidRPr="006C7BE2">
        <w:rPr>
          <w:rFonts w:ascii="Arial" w:hAnsi="Arial" w:cs="Arial"/>
          <w:color w:val="000000"/>
        </w:rPr>
        <w:t>Through the electronic platform,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the bodies that provide services to the homeless shall be interconnected electronically, shall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submit and manage housing requests through on-line monitoring of the availability of beds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compatible with the profile of the housing applicants. The platform will enable: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- Recording the number of housing requests and their faster service through online referrals,</w:t>
      </w:r>
    </w:p>
    <w:p w:rsidR="00D41D0A" w:rsidRPr="006C7BE2" w:rsidRDefault="003B7D47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D41D0A" w:rsidRPr="006C7BE2">
        <w:rPr>
          <w:rFonts w:ascii="Arial" w:hAnsi="Arial" w:cs="Arial"/>
          <w:color w:val="000000"/>
        </w:rPr>
        <w:t>Export data on the profile of individuals requesting housing and are served by homeless</w:t>
      </w:r>
      <w:r>
        <w:rPr>
          <w:rFonts w:ascii="Arial" w:hAnsi="Arial" w:cs="Arial"/>
          <w:color w:val="000000"/>
        </w:rPr>
        <w:t xml:space="preserve"> </w:t>
      </w:r>
      <w:r w:rsidR="00D41D0A" w:rsidRPr="006C7BE2">
        <w:rPr>
          <w:rFonts w:ascii="Arial" w:hAnsi="Arial" w:cs="Arial"/>
          <w:color w:val="000000"/>
        </w:rPr>
        <w:t>structures,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- Export data on the type and quality of the provided services in homeless structures (such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as, for instance, the plenitude of each structure, the average duration of individuals staying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in each structure, the average length of waiting for service, etc.), in order to better monitor</w:t>
      </w:r>
      <w:r w:rsidR="003B7D47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and evaluate the provided services and their redesign.</w:t>
      </w:r>
    </w:p>
    <w:p w:rsidR="00916C93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 Electronic platform for the registration of homeless people on the street and in structures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(</w:t>
      </w:r>
      <w:r w:rsidRPr="006C7BE2">
        <w:rPr>
          <w:rFonts w:ascii="Arial" w:hAnsi="Arial" w:cs="Arial"/>
          <w:color w:val="0000FF"/>
        </w:rPr>
        <w:t xml:space="preserve">https://astegoi.gov.gr/survey/ </w:t>
      </w:r>
      <w:r w:rsidRPr="006C7BE2">
        <w:rPr>
          <w:rFonts w:ascii="Arial" w:hAnsi="Arial" w:cs="Arial"/>
          <w:color w:val="000000"/>
        </w:rPr>
        <w:t>) through structured questionnaires and an observation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form. The platform enables electronic research on-the-spot and registration of homeless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individuals on the street and in structures, through a mobile phone application, with the aim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of exporting statistics on the number and profile of homelessness in our country.</w:t>
      </w:r>
      <w:r w:rsidR="00916C93" w:rsidRPr="006C7BE2">
        <w:rPr>
          <w:rFonts w:ascii="Arial" w:hAnsi="Arial" w:cs="Arial"/>
          <w:color w:val="000000"/>
        </w:rPr>
        <w:t xml:space="preserve"> 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 Homelessness website (</w:t>
      </w:r>
      <w:r w:rsidRPr="006C7BE2">
        <w:rPr>
          <w:rFonts w:ascii="Arial" w:hAnsi="Arial" w:cs="Arial"/>
          <w:color w:val="0000FF"/>
        </w:rPr>
        <w:t xml:space="preserve">www.astegoi.gov.gr </w:t>
      </w:r>
      <w:r w:rsidRPr="006C7BE2">
        <w:rPr>
          <w:rFonts w:ascii="Arial" w:hAnsi="Arial" w:cs="Arial"/>
          <w:color w:val="000000"/>
        </w:rPr>
        <w:t>), with the aim of providing information on the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institutions and the service structures for the homeless, the homeless reintegration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programs, the housing allowance, the shelters during the winter, the current institutional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framework, studies and statistics on homelessness, as well as the announcements from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relevant institutions and civil society.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 xml:space="preserve"> </w:t>
      </w:r>
    </w:p>
    <w:p w:rsidR="00916C93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lastRenderedPageBreak/>
        <w:t>7. CREATION OF A SOCIAL / AFFORDABLE HOUSING NETWORK</w:t>
      </w:r>
      <w:r w:rsidR="00916C93" w:rsidRPr="006C7BE2">
        <w:rPr>
          <w:rFonts w:ascii="Arial" w:hAnsi="Arial" w:cs="Arial"/>
          <w:b/>
          <w:bCs/>
          <w:color w:val="000000"/>
        </w:rPr>
        <w:t xml:space="preserve"> 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A pilot project entitled "Creating a social / affordable housing network" is in the process of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being designed.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The aim of the proposed intervention is the design and implementation of an innovative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social protection policy in the field of housing, complementary to the available tools and its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implementation in cooperation with the Local Government. It aims at preventing and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addressing the housing exclusion of vulnerable groups of the population who are threatened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by or are experiencing homelessness through the integration of a part of the inactive private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and public housing reserve in a scheme of affordable rental housing. At the same time, it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supports the maintenance, restoration and improvement of part of the existing housing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reserve.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The keystones of the intervention include, indicatively: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•The recording of inactive private and public housing reserve (houses that remain empty for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 long time) in localized intervention areas in the Municipalities of Athens and Thessaloniki,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•Call to owners in order to join a pool of social rental housing and provide incentives.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Indicatively, through a subsidy for repairs, energy upgrades, rent guarantee and good use, in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combination with tax incentives, such as reduction or exemption from rent tax or municipal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fees under income criteria,</w:t>
      </w:r>
    </w:p>
    <w:p w:rsidR="00916C93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•Providing these houses in the context of the implementation of housing assistance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programs by the Ministry of Labour and Social Affairs, with long-term lease contracts with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special conditions (lower rent) for vulnerable groups.</w:t>
      </w:r>
      <w:r w:rsidR="00916C93" w:rsidRPr="006C7BE2">
        <w:rPr>
          <w:rFonts w:ascii="Arial" w:hAnsi="Arial" w:cs="Arial"/>
          <w:color w:val="000000"/>
        </w:rPr>
        <w:t xml:space="preserve"> </w:t>
      </w:r>
    </w:p>
    <w:p w:rsidR="00916C93" w:rsidRPr="006C7BE2" w:rsidRDefault="00916C93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8. MEMBERSHIP IN FEANTSA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lastRenderedPageBreak/>
        <w:t>The Ministry of Labour and Social Affairs, through the General Secretariat for Social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Solidarity and Fighting against Poverty, was registered in 2021 as a member (affiliate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membership) in the European Federation of National Organizations Working with the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Homeless (FEANTSA). Joining FEANTSA will enable the Services of the General Secretariat for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Social Solidarity and Fighting against Poverty to expand their expertise in housing issues, as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well as their respective international contacts.</w:t>
      </w:r>
    </w:p>
    <w:p w:rsidR="00916C93" w:rsidRPr="006C7BE2" w:rsidRDefault="00916C93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9. CHARTER OF HOMELESS RIGHTS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FEANTSA has launched a campaign to sign the "Charter of the Rights of the Homeless". The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Charter is a summary of basic rights, as derived from European and international texts,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specified in the case of the homeless. The aim of this campaign is to encourage European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cities to reaffirm their commitment to respect the rights of homeless people. In order to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strengthen the initiative, a relevant information letter has been sent to all Municipalities and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several Municipalities have already signed the relevant declaration.</w:t>
      </w:r>
    </w:p>
    <w:p w:rsidR="00916C93" w:rsidRPr="006C7BE2" w:rsidRDefault="00916C93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10. CORONAVIRUS PROTECTION ACTIONS / EMERGENCY MEASURES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The following measures have been taken in response to the coronavirus: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1. Joint Ministerial Decision with ref. no. 20036/2020 (Official Gazette B’ 986), article 2 of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which provides for the movement of the homeless living on the street in appropriate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municipal accommodation with the care of the relevant Municipality and the provision of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feeding, care and social care services.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lastRenderedPageBreak/>
        <w:t>2. Pursuant to the Legislative Act of 13-4-2020 (Official Gazette A’ 84), the possibility of joint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operation of homeless structures by local authorities of the first degree and the Bodies of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article 51 Law 4139/2013 (Rehabilitation Bodies) is provided, as well as the possibility of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temporary accommodation of homeless individuals in tourist accommodation whose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operation has been suspended, following a decision of the relevant municipal council.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3. In addition, the General Secretariat for Social Solidarity and Fighting Poverty has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undertaken actions for the protection of the homeless and the reduction of the spread of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coronavirus, by providing and organizing new temporary accommodation, managing the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 xml:space="preserve">existing structures, as well as providing </w:t>
      </w:r>
      <w:r w:rsidR="00731F54" w:rsidRPr="006C7BE2">
        <w:rPr>
          <w:rFonts w:ascii="Arial" w:hAnsi="Arial" w:cs="Arial"/>
          <w:color w:val="000000"/>
        </w:rPr>
        <w:t>street work</w:t>
      </w:r>
      <w:r w:rsidRPr="006C7BE2">
        <w:rPr>
          <w:rFonts w:ascii="Arial" w:hAnsi="Arial" w:cs="Arial"/>
          <w:color w:val="000000"/>
        </w:rPr>
        <w:t xml:space="preserve"> services.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4. Relevant instructions have been given to the structures for dealing with poverty, with the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attached instructions from National Public Health Organization (EODY).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5. The Municipality Police or the Social Service of the Municipality are notified, when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controls on the application of traffic measures are being conducted so as to prevent the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imposition of fines on homeless individuals, with the aim to safely move them to places of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accommodation.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 xml:space="preserve">6. A standard certificate of movement for the </w:t>
      </w:r>
      <w:r w:rsidR="00731F54" w:rsidRPr="006C7BE2">
        <w:rPr>
          <w:rFonts w:ascii="Arial" w:hAnsi="Arial" w:cs="Arial"/>
          <w:color w:val="000000"/>
        </w:rPr>
        <w:t>street work</w:t>
      </w:r>
      <w:r w:rsidRPr="006C7BE2">
        <w:rPr>
          <w:rFonts w:ascii="Arial" w:hAnsi="Arial" w:cs="Arial"/>
          <w:color w:val="000000"/>
        </w:rPr>
        <w:t xml:space="preserve"> volunteers has been sent out to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the Homeless Service Providers, in order to serve the needs of homeless individuals living on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the street.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t>7. The Municipalities have been given directions for the protection of the homeless during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the winter.</w:t>
      </w:r>
    </w:p>
    <w:p w:rsidR="00916C93" w:rsidRPr="006C7BE2" w:rsidRDefault="00916C93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Β. PROTECTION OF THE ELDERLY</w:t>
      </w: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1. HOUSING ALLOWANCE</w:t>
      </w:r>
    </w:p>
    <w:p w:rsidR="00916C93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6C7BE2">
        <w:rPr>
          <w:rFonts w:ascii="Arial" w:hAnsi="Arial" w:cs="Arial"/>
          <w:color w:val="000000"/>
        </w:rPr>
        <w:lastRenderedPageBreak/>
        <w:t>Housing allowance is a program, which provides a non–contributory benefit paid to elderly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over the age of 67, who live alone or in a couple, in a rented residence, are indigent,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uninsured, cannot cover their housing needs and meet the further criteria described in the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articles 24-30 of the of the law 4756/2020 (Official Gazette A’ 235). The benefit amounts up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to 362 € per month and the program is implemented by the competent authorities of the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Organization of Welfare Benefits and Social Solidarity (OPEKA). For the payment of the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allowance the budget of OPEKA is funded by the state budget.</w:t>
      </w:r>
      <w:r w:rsidR="00916C93" w:rsidRPr="006C7BE2">
        <w:rPr>
          <w:rFonts w:ascii="Arial" w:hAnsi="Arial" w:cs="Arial"/>
          <w:color w:val="000000"/>
        </w:rPr>
        <w:t xml:space="preserve"> </w:t>
      </w:r>
    </w:p>
    <w:p w:rsidR="00916C93" w:rsidRPr="006C7BE2" w:rsidRDefault="00916C93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D41D0A" w:rsidRPr="006C7BE2" w:rsidRDefault="00D41D0A" w:rsidP="00696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6C7BE2">
        <w:rPr>
          <w:rFonts w:ascii="Arial" w:hAnsi="Arial" w:cs="Arial"/>
          <w:b/>
          <w:bCs/>
          <w:color w:val="000000"/>
        </w:rPr>
        <w:t>2. SOCIAL SOLIDARITY BENEFIT FOR THE UNINSURED ELDERLY</w:t>
      </w:r>
    </w:p>
    <w:p w:rsidR="00DF0185" w:rsidRPr="006C7BE2" w:rsidRDefault="00D41D0A" w:rsidP="00916C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C7BE2">
        <w:rPr>
          <w:rFonts w:ascii="Arial" w:hAnsi="Arial" w:cs="Arial"/>
          <w:color w:val="000000"/>
        </w:rPr>
        <w:t>The Social Solidarity Benefit for the Uninsured Elderly is paid to elderly over the age of 67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who are uninsured or ineligible for a pension. The full amount of the benefit is 360 € and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beneficiaries must meet the criteria described in the article 93 of the law 4386/2016 (GG A’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85). The benefit is granted by the competent authorities of the Organization of Welfare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Benefits and Social Solidarity (OPEKA). For the payment of the benefit the budget of OPEKA</w:t>
      </w:r>
      <w:r w:rsidR="00916C93" w:rsidRPr="006C7BE2">
        <w:rPr>
          <w:rFonts w:ascii="Arial" w:hAnsi="Arial" w:cs="Arial"/>
          <w:color w:val="000000"/>
        </w:rPr>
        <w:t xml:space="preserve"> </w:t>
      </w:r>
      <w:r w:rsidRPr="006C7BE2">
        <w:rPr>
          <w:rFonts w:ascii="Arial" w:hAnsi="Arial" w:cs="Arial"/>
          <w:color w:val="000000"/>
        </w:rPr>
        <w:t>is funded by the state budget.</w:t>
      </w:r>
    </w:p>
    <w:sectPr w:rsidR="00DF0185" w:rsidRPr="006C7BE2" w:rsidSect="00DF01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7AE" w:rsidRDefault="004A57AE" w:rsidP="00A06443">
      <w:pPr>
        <w:spacing w:after="0" w:line="240" w:lineRule="auto"/>
      </w:pPr>
      <w:r>
        <w:separator/>
      </w:r>
    </w:p>
  </w:endnote>
  <w:endnote w:type="continuationSeparator" w:id="0">
    <w:p w:rsidR="004A57AE" w:rsidRDefault="004A57AE" w:rsidP="00A0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935688"/>
      <w:docPartObj>
        <w:docPartGallery w:val="Page Numbers (Bottom of Page)"/>
        <w:docPartUnique/>
      </w:docPartObj>
    </w:sdtPr>
    <w:sdtEndPr/>
    <w:sdtContent>
      <w:p w:rsidR="00A06443" w:rsidRDefault="002008D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6443" w:rsidRDefault="00A06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7AE" w:rsidRDefault="004A57AE" w:rsidP="00A06443">
      <w:pPr>
        <w:spacing w:after="0" w:line="240" w:lineRule="auto"/>
      </w:pPr>
      <w:r>
        <w:separator/>
      </w:r>
    </w:p>
  </w:footnote>
  <w:footnote w:type="continuationSeparator" w:id="0">
    <w:p w:rsidR="004A57AE" w:rsidRDefault="004A57AE" w:rsidP="00A06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0A"/>
    <w:rsid w:val="00071D95"/>
    <w:rsid w:val="00097A3B"/>
    <w:rsid w:val="00197899"/>
    <w:rsid w:val="002008DE"/>
    <w:rsid w:val="003B7D47"/>
    <w:rsid w:val="00460874"/>
    <w:rsid w:val="004A57AE"/>
    <w:rsid w:val="004F04D1"/>
    <w:rsid w:val="00696BEC"/>
    <w:rsid w:val="006C7BE2"/>
    <w:rsid w:val="006F6ECF"/>
    <w:rsid w:val="00731F54"/>
    <w:rsid w:val="008251DE"/>
    <w:rsid w:val="00857C35"/>
    <w:rsid w:val="00916C93"/>
    <w:rsid w:val="00946C34"/>
    <w:rsid w:val="00A06443"/>
    <w:rsid w:val="00B1343C"/>
    <w:rsid w:val="00C4667D"/>
    <w:rsid w:val="00C80E88"/>
    <w:rsid w:val="00D41D0A"/>
    <w:rsid w:val="00DA7D5D"/>
    <w:rsid w:val="00DF0185"/>
    <w:rsid w:val="00E841F8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00B406-4953-4B5F-9D12-B2CF2E27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6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443"/>
  </w:style>
  <w:style w:type="paragraph" w:styleId="Footer">
    <w:name w:val="footer"/>
    <w:basedOn w:val="Normal"/>
    <w:link w:val="FooterChar"/>
    <w:uiPriority w:val="99"/>
    <w:unhideWhenUsed/>
    <w:rsid w:val="00A06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443"/>
  </w:style>
  <w:style w:type="character" w:styleId="Hyperlink">
    <w:name w:val="Hyperlink"/>
    <w:basedOn w:val="DefaultParagraphFont"/>
    <w:uiPriority w:val="99"/>
    <w:unhideWhenUsed/>
    <w:rsid w:val="00731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tegoi.gov.gr/referra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A9A55D-9EDD-4923-9F5C-3FFD19350F33}"/>
</file>

<file path=customXml/itemProps2.xml><?xml version="1.0" encoding="utf-8"?>
<ds:datastoreItem xmlns:ds="http://schemas.openxmlformats.org/officeDocument/2006/customXml" ds:itemID="{1A0A5F50-5B07-4206-AC98-B92F82392965}"/>
</file>

<file path=customXml/itemProps3.xml><?xml version="1.0" encoding="utf-8"?>
<ds:datastoreItem xmlns:ds="http://schemas.openxmlformats.org/officeDocument/2006/customXml" ds:itemID="{C98C1018-1738-4E51-96D6-86CA876C25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2453</Words>
  <Characters>13985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THEISSEN Gunnar</cp:lastModifiedBy>
  <cp:revision>2</cp:revision>
  <cp:lastPrinted>2021-08-04T12:11:00Z</cp:lastPrinted>
  <dcterms:created xsi:type="dcterms:W3CDTF">2021-08-24T14:02:00Z</dcterms:created>
  <dcterms:modified xsi:type="dcterms:W3CDTF">2021-08-24T14:02:00Z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