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A2A" w:rsidRPr="000E5D12" w:rsidRDefault="007A036B" w:rsidP="00C158EF">
      <w:pPr>
        <w:spacing w:after="0"/>
        <w:jc w:val="center"/>
        <w:rPr>
          <w:rFonts w:ascii="Times New Roman" w:eastAsia="Calibri" w:hAnsi="Times New Roman" w:cs="Times New Roman"/>
          <w:b/>
          <w:sz w:val="28"/>
          <w:szCs w:val="24"/>
        </w:rPr>
      </w:pPr>
      <w:bookmarkStart w:id="0" w:name="_GoBack"/>
      <w:bookmarkEnd w:id="0"/>
      <w:r w:rsidRPr="000E5D12">
        <w:rPr>
          <w:rFonts w:ascii="Times New Roman" w:eastAsia="Calibri" w:hAnsi="Times New Roman" w:cs="Times New Roman"/>
          <w:b/>
          <w:sz w:val="28"/>
          <w:szCs w:val="24"/>
        </w:rPr>
        <w:t>Letter from the Special Rapporteur on Extreme Poverty and Human Rights and the Special Rapporteur on Adequate Housing</w:t>
      </w:r>
    </w:p>
    <w:p w:rsidR="007A036B" w:rsidRPr="000E5D12" w:rsidRDefault="007A036B" w:rsidP="00C158EF">
      <w:pPr>
        <w:spacing w:after="0"/>
        <w:jc w:val="center"/>
        <w:rPr>
          <w:rFonts w:ascii="Times New Roman" w:eastAsia="Calibri" w:hAnsi="Times New Roman" w:cs="Times New Roman"/>
          <w:b/>
          <w:sz w:val="28"/>
          <w:szCs w:val="24"/>
        </w:rPr>
      </w:pPr>
      <w:r w:rsidRPr="000E5D12">
        <w:rPr>
          <w:rFonts w:ascii="Times New Roman" w:eastAsia="Calibri" w:hAnsi="Times New Roman" w:cs="Times New Roman"/>
          <w:b/>
          <w:sz w:val="28"/>
          <w:szCs w:val="24"/>
        </w:rPr>
        <w:t>Submission of Ireland</w:t>
      </w:r>
    </w:p>
    <w:p w:rsidR="007A036B" w:rsidRPr="000E5D12" w:rsidRDefault="007A036B" w:rsidP="00C158EF">
      <w:pPr>
        <w:spacing w:after="0"/>
        <w:jc w:val="center"/>
        <w:rPr>
          <w:rFonts w:ascii="Times New Roman" w:eastAsia="Calibri" w:hAnsi="Times New Roman" w:cs="Times New Roman"/>
          <w:b/>
          <w:color w:val="1F497D"/>
          <w:sz w:val="28"/>
          <w:szCs w:val="24"/>
        </w:rPr>
      </w:pPr>
      <w:r w:rsidRPr="000E5D12">
        <w:rPr>
          <w:rFonts w:ascii="Times New Roman" w:eastAsia="Calibri" w:hAnsi="Times New Roman" w:cs="Times New Roman"/>
          <w:b/>
          <w:sz w:val="28"/>
          <w:szCs w:val="24"/>
        </w:rPr>
        <w:t>July 2021</w:t>
      </w:r>
    </w:p>
    <w:p w:rsidR="006D2A2A" w:rsidRPr="000E5D12" w:rsidRDefault="006D2A2A" w:rsidP="00C158EF">
      <w:pPr>
        <w:spacing w:after="0"/>
        <w:jc w:val="both"/>
        <w:rPr>
          <w:rFonts w:ascii="Times New Roman" w:eastAsia="Calibri" w:hAnsi="Times New Roman" w:cs="Times New Roman"/>
          <w:b/>
          <w:color w:val="1F497D"/>
          <w:sz w:val="24"/>
          <w:szCs w:val="24"/>
          <w:u w:val="single"/>
        </w:rPr>
      </w:pPr>
    </w:p>
    <w:p w:rsidR="006D2A2A" w:rsidRPr="000E5D12" w:rsidRDefault="006D2A2A" w:rsidP="00C158EF">
      <w:pPr>
        <w:spacing w:after="0"/>
        <w:jc w:val="both"/>
        <w:rPr>
          <w:rFonts w:ascii="Times New Roman" w:eastAsia="Calibri" w:hAnsi="Times New Roman" w:cs="Times New Roman"/>
          <w:i/>
          <w:color w:val="1F497D"/>
          <w:sz w:val="24"/>
          <w:szCs w:val="24"/>
        </w:rPr>
      </w:pPr>
    </w:p>
    <w:p w:rsidR="00630C2A" w:rsidRPr="000E5D12" w:rsidRDefault="00BE4F5B" w:rsidP="00C158EF">
      <w:pPr>
        <w:numPr>
          <w:ilvl w:val="1"/>
          <w:numId w:val="1"/>
        </w:numPr>
        <w:autoSpaceDE w:val="0"/>
        <w:autoSpaceDN w:val="0"/>
        <w:spacing w:after="0"/>
        <w:ind w:left="426" w:right="572"/>
        <w:jc w:val="both"/>
        <w:rPr>
          <w:rFonts w:ascii="Times New Roman" w:eastAsia="Calibri" w:hAnsi="Times New Roman" w:cs="Times New Roman"/>
          <w:i/>
          <w:sz w:val="24"/>
          <w:szCs w:val="24"/>
          <w:lang w:val="en-GB" w:eastAsia="en-GB"/>
        </w:rPr>
      </w:pPr>
      <w:r w:rsidRPr="000E5D12">
        <w:rPr>
          <w:rFonts w:ascii="Times New Roman" w:eastAsia="Calibri" w:hAnsi="Times New Roman" w:cs="Times New Roman"/>
          <w:i/>
          <w:sz w:val="24"/>
          <w:szCs w:val="24"/>
          <w:lang w:val="en-GB" w:eastAsia="en-GB"/>
        </w:rPr>
        <w:t xml:space="preserve">Does your </w:t>
      </w:r>
      <w:r w:rsidRPr="000E5D12">
        <w:rPr>
          <w:rFonts w:ascii="Times New Roman" w:eastAsia="Calibri" w:hAnsi="Times New Roman" w:cs="Times New Roman"/>
          <w:i/>
          <w:spacing w:val="-3"/>
          <w:sz w:val="24"/>
          <w:szCs w:val="24"/>
          <w:lang w:val="en-GB" w:eastAsia="en-GB"/>
        </w:rPr>
        <w:t xml:space="preserve">city, </w:t>
      </w:r>
      <w:r w:rsidRPr="000E5D12">
        <w:rPr>
          <w:rFonts w:ascii="Times New Roman" w:eastAsia="Calibri" w:hAnsi="Times New Roman" w:cs="Times New Roman"/>
          <w:i/>
          <w:sz w:val="24"/>
          <w:szCs w:val="24"/>
          <w:lang w:val="en-GB" w:eastAsia="en-GB"/>
        </w:rPr>
        <w:t xml:space="preserve">province/canton, federal state or national State </w:t>
      </w:r>
      <w:r w:rsidRPr="000E5D12">
        <w:rPr>
          <w:rFonts w:ascii="Times New Roman" w:eastAsia="Calibri" w:hAnsi="Times New Roman" w:cs="Times New Roman"/>
          <w:i/>
          <w:spacing w:val="-3"/>
          <w:sz w:val="24"/>
          <w:szCs w:val="24"/>
          <w:lang w:val="en-GB" w:eastAsia="en-GB"/>
        </w:rPr>
        <w:t xml:space="preserve">have </w:t>
      </w:r>
      <w:r w:rsidRPr="000E5D12">
        <w:rPr>
          <w:rFonts w:ascii="Times New Roman" w:eastAsia="Calibri" w:hAnsi="Times New Roman" w:cs="Times New Roman"/>
          <w:i/>
          <w:sz w:val="24"/>
          <w:szCs w:val="24"/>
          <w:lang w:val="en-GB" w:eastAsia="en-GB"/>
        </w:rPr>
        <w:t xml:space="preserve">any laws or regulations </w:t>
      </w:r>
      <w:r w:rsidRPr="000E5D12">
        <w:rPr>
          <w:rFonts w:ascii="Times New Roman" w:eastAsia="Calibri" w:hAnsi="Times New Roman" w:cs="Times New Roman"/>
          <w:i/>
          <w:spacing w:val="-3"/>
          <w:sz w:val="24"/>
          <w:szCs w:val="24"/>
          <w:lang w:val="en-GB" w:eastAsia="en-GB"/>
        </w:rPr>
        <w:t xml:space="preserve">in </w:t>
      </w:r>
      <w:r w:rsidRPr="000E5D12">
        <w:rPr>
          <w:rFonts w:ascii="Times New Roman" w:eastAsia="Calibri" w:hAnsi="Times New Roman" w:cs="Times New Roman"/>
          <w:i/>
          <w:sz w:val="24"/>
          <w:szCs w:val="24"/>
          <w:lang w:val="en-GB" w:eastAsia="en-GB"/>
        </w:rPr>
        <w:t xml:space="preserve">place that prohibit begging, eating, sleeping, or performing personal hygienic activities </w:t>
      </w:r>
      <w:r w:rsidRPr="000E5D12">
        <w:rPr>
          <w:rFonts w:ascii="Times New Roman" w:eastAsia="Calibri" w:hAnsi="Times New Roman" w:cs="Times New Roman"/>
          <w:i/>
          <w:spacing w:val="-3"/>
          <w:sz w:val="24"/>
          <w:szCs w:val="24"/>
          <w:lang w:val="en-GB" w:eastAsia="en-GB"/>
        </w:rPr>
        <w:t xml:space="preserve">in </w:t>
      </w:r>
      <w:r w:rsidRPr="000E5D12">
        <w:rPr>
          <w:rFonts w:ascii="Times New Roman" w:eastAsia="Calibri" w:hAnsi="Times New Roman" w:cs="Times New Roman"/>
          <w:i/>
          <w:sz w:val="24"/>
          <w:szCs w:val="24"/>
          <w:lang w:val="en-GB" w:eastAsia="en-GB"/>
        </w:rPr>
        <w:t>all or certain public places? Could you kindly share as well t</w:t>
      </w:r>
      <w:r w:rsidR="00630C2A" w:rsidRPr="000E5D12">
        <w:rPr>
          <w:rFonts w:ascii="Times New Roman" w:eastAsia="Calibri" w:hAnsi="Times New Roman" w:cs="Times New Roman"/>
          <w:i/>
          <w:sz w:val="24"/>
          <w:szCs w:val="24"/>
          <w:lang w:val="en-GB" w:eastAsia="en-GB"/>
        </w:rPr>
        <w:t>he text of relevant legal norms?</w:t>
      </w:r>
    </w:p>
    <w:p w:rsidR="00630C2A" w:rsidRPr="000E5D12" w:rsidRDefault="00630C2A" w:rsidP="00C158EF">
      <w:pPr>
        <w:autoSpaceDE w:val="0"/>
        <w:autoSpaceDN w:val="0"/>
        <w:spacing w:after="0"/>
        <w:ind w:right="572"/>
        <w:jc w:val="both"/>
        <w:rPr>
          <w:rFonts w:ascii="Times New Roman" w:eastAsia="Calibri" w:hAnsi="Times New Roman" w:cs="Times New Roman"/>
          <w:i/>
          <w:sz w:val="24"/>
          <w:szCs w:val="24"/>
          <w:lang w:val="en-GB" w:eastAsia="en-GB"/>
        </w:rPr>
      </w:pPr>
    </w:p>
    <w:p w:rsidR="00BE4F5B" w:rsidRPr="000E5D12" w:rsidRDefault="00781115" w:rsidP="00C158EF">
      <w:pPr>
        <w:autoSpaceDE w:val="0"/>
        <w:autoSpaceDN w:val="0"/>
        <w:spacing w:after="0"/>
        <w:jc w:val="both"/>
        <w:rPr>
          <w:rFonts w:ascii="Times New Roman" w:eastAsia="Calibri" w:hAnsi="Times New Roman" w:cs="Times New Roman"/>
          <w:i/>
          <w:sz w:val="24"/>
          <w:szCs w:val="24"/>
          <w:lang w:val="en-GB" w:eastAsia="en-GB"/>
        </w:rPr>
      </w:pPr>
      <w:r w:rsidRPr="000E5D12">
        <w:rPr>
          <w:rFonts w:ascii="Times New Roman" w:eastAsia="Calibri" w:hAnsi="Times New Roman" w:cs="Times New Roman"/>
          <w:sz w:val="24"/>
          <w:szCs w:val="24"/>
          <w:lang w:val="en-GB"/>
        </w:rPr>
        <w:t>While begging in certain circumstances is</w:t>
      </w:r>
      <w:r w:rsidR="00C158EF">
        <w:rPr>
          <w:rFonts w:ascii="Times New Roman" w:eastAsia="Calibri" w:hAnsi="Times New Roman" w:cs="Times New Roman"/>
          <w:sz w:val="24"/>
          <w:szCs w:val="24"/>
          <w:lang w:val="en-GB"/>
        </w:rPr>
        <w:t xml:space="preserve"> </w:t>
      </w:r>
      <w:r w:rsidRPr="000E5D12">
        <w:rPr>
          <w:rFonts w:ascii="Times New Roman" w:eastAsia="Calibri" w:hAnsi="Times New Roman" w:cs="Times New Roman"/>
          <w:sz w:val="24"/>
          <w:szCs w:val="24"/>
          <w:lang w:val="en-GB"/>
        </w:rPr>
        <w:t>criminalised in Ireland, there are no provisions prohibiting eating</w:t>
      </w:r>
      <w:r w:rsidR="00594EC4">
        <w:rPr>
          <w:rFonts w:ascii="Times New Roman" w:eastAsia="Calibri" w:hAnsi="Times New Roman" w:cs="Times New Roman"/>
          <w:sz w:val="24"/>
          <w:szCs w:val="24"/>
          <w:lang w:val="en-GB"/>
        </w:rPr>
        <w:t xml:space="preserve"> or sleeping in public places. </w:t>
      </w:r>
      <w:r w:rsidR="00BE4F5B" w:rsidRPr="000E5D12">
        <w:rPr>
          <w:rFonts w:ascii="Times New Roman" w:eastAsia="Calibri" w:hAnsi="Times New Roman" w:cs="Times New Roman"/>
          <w:sz w:val="24"/>
          <w:szCs w:val="24"/>
          <w:lang w:val="en-GB"/>
        </w:rPr>
        <w:t>However, Irish legislation does contain a number of targeted and proportionate measures</w:t>
      </w:r>
      <w:r w:rsidR="007A036B" w:rsidRPr="000E5D12">
        <w:rPr>
          <w:rFonts w:ascii="Times New Roman" w:eastAsia="Calibri" w:hAnsi="Times New Roman" w:cs="Times New Roman"/>
          <w:sz w:val="24"/>
          <w:szCs w:val="24"/>
          <w:lang w:val="en-GB"/>
        </w:rPr>
        <w:t>,</w:t>
      </w:r>
      <w:r w:rsidR="00BE4F5B" w:rsidRPr="000E5D12">
        <w:rPr>
          <w:rFonts w:ascii="Times New Roman" w:eastAsia="Calibri" w:hAnsi="Times New Roman" w:cs="Times New Roman"/>
          <w:sz w:val="24"/>
          <w:szCs w:val="24"/>
          <w:lang w:val="en-GB"/>
        </w:rPr>
        <w:t xml:space="preserve"> which relate to certain aspects linked to begging.  The relevant legislation in this area is the Criminal Justice (Public Order) Act 2011</w:t>
      </w:r>
      <w:r w:rsidR="007A036B" w:rsidRPr="000E5D12">
        <w:rPr>
          <w:rStyle w:val="FootnoteReference"/>
          <w:rFonts w:ascii="Times New Roman" w:eastAsia="Calibri" w:hAnsi="Times New Roman" w:cs="Times New Roman"/>
          <w:sz w:val="24"/>
          <w:szCs w:val="24"/>
          <w:lang w:val="en-GB"/>
        </w:rPr>
        <w:footnoteReference w:id="1"/>
      </w:r>
      <w:r w:rsidR="007A036B" w:rsidRPr="000E5D12">
        <w:rPr>
          <w:rFonts w:ascii="Times New Roman" w:eastAsia="Calibri" w:hAnsi="Times New Roman" w:cs="Times New Roman"/>
          <w:sz w:val="24"/>
          <w:szCs w:val="24"/>
          <w:lang w:val="en-GB"/>
        </w:rPr>
        <w:t xml:space="preserve">.  </w:t>
      </w:r>
    </w:p>
    <w:p w:rsidR="00BE4F5B" w:rsidRPr="000E5D12" w:rsidRDefault="00BE4F5B" w:rsidP="00C158EF">
      <w:pPr>
        <w:spacing w:after="0"/>
        <w:jc w:val="both"/>
        <w:rPr>
          <w:rFonts w:ascii="Times New Roman" w:eastAsia="Calibri" w:hAnsi="Times New Roman" w:cs="Times New Roman"/>
          <w:sz w:val="24"/>
          <w:szCs w:val="24"/>
          <w:lang w:val="en-GB"/>
        </w:rPr>
      </w:pPr>
    </w:p>
    <w:p w:rsidR="00BE4F5B" w:rsidRPr="000E5D12" w:rsidRDefault="00760C96" w:rsidP="00C158EF">
      <w:pPr>
        <w:spacing w:after="0"/>
        <w:jc w:val="both"/>
        <w:rPr>
          <w:rFonts w:ascii="Times New Roman" w:eastAsia="Calibri" w:hAnsi="Times New Roman" w:cs="Times New Roman"/>
          <w:sz w:val="24"/>
          <w:szCs w:val="24"/>
          <w:lang w:val="en-GB"/>
        </w:rPr>
      </w:pPr>
      <w:r w:rsidRPr="000E5D12">
        <w:rPr>
          <w:rFonts w:ascii="Times New Roman" w:eastAsia="Calibri" w:hAnsi="Times New Roman" w:cs="Times New Roman"/>
          <w:sz w:val="24"/>
          <w:szCs w:val="24"/>
          <w:lang w:val="en-GB"/>
        </w:rPr>
        <w:t>According to Section 2, an</w:t>
      </w:r>
      <w:r w:rsidR="00BE4F5B" w:rsidRPr="000E5D12">
        <w:rPr>
          <w:rFonts w:ascii="Times New Roman" w:eastAsia="Calibri" w:hAnsi="Times New Roman" w:cs="Times New Roman"/>
          <w:sz w:val="24"/>
          <w:szCs w:val="24"/>
          <w:lang w:val="en-GB"/>
        </w:rPr>
        <w:t xml:space="preserve"> offence </w:t>
      </w:r>
      <w:r w:rsidRPr="000E5D12">
        <w:rPr>
          <w:rFonts w:ascii="Times New Roman" w:eastAsia="Calibri" w:hAnsi="Times New Roman" w:cs="Times New Roman"/>
          <w:sz w:val="24"/>
          <w:szCs w:val="24"/>
          <w:lang w:val="en-GB"/>
        </w:rPr>
        <w:t xml:space="preserve">is </w:t>
      </w:r>
      <w:r w:rsidR="00BE4F5B" w:rsidRPr="000E5D12">
        <w:rPr>
          <w:rFonts w:ascii="Times New Roman" w:eastAsia="Calibri" w:hAnsi="Times New Roman" w:cs="Times New Roman"/>
          <w:sz w:val="24"/>
          <w:szCs w:val="24"/>
          <w:lang w:val="en-GB"/>
        </w:rPr>
        <w:t>committed if begging is done in an intimidating or threatening manner or obstructs the passage of persons or vehicles</w:t>
      </w:r>
      <w:r w:rsidR="00D34C28" w:rsidRPr="000E5D12">
        <w:rPr>
          <w:rFonts w:ascii="Times New Roman" w:eastAsia="Calibri" w:hAnsi="Times New Roman" w:cs="Times New Roman"/>
          <w:sz w:val="24"/>
          <w:szCs w:val="24"/>
          <w:lang w:val="en-GB"/>
        </w:rPr>
        <w:t>.</w:t>
      </w:r>
      <w:r w:rsidR="00781115" w:rsidRPr="000E5D12">
        <w:rPr>
          <w:rFonts w:ascii="Times New Roman" w:eastAsia="Calibri" w:hAnsi="Times New Roman" w:cs="Times New Roman"/>
          <w:sz w:val="24"/>
          <w:szCs w:val="24"/>
          <w:lang w:val="en-GB"/>
        </w:rPr>
        <w:t xml:space="preserve"> A person who is guilty of this offence and is </w:t>
      </w:r>
      <w:r w:rsidR="00781115" w:rsidRPr="000E5D12">
        <w:rPr>
          <w:rFonts w:ascii="Times New Roman" w:eastAsia="Calibri" w:hAnsi="Times New Roman" w:cs="Times New Roman"/>
          <w:sz w:val="24"/>
          <w:szCs w:val="24"/>
          <w:lang w:val="en-GB"/>
        </w:rPr>
        <w:lastRenderedPageBreak/>
        <w:t>liable, on summary conviction, to a class E fine or imprisonment for a term not exceeding one month or both.</w:t>
      </w:r>
    </w:p>
    <w:p w:rsidR="00BE4F5B" w:rsidRPr="000E5D12" w:rsidRDefault="00BE4F5B" w:rsidP="00C158EF">
      <w:pPr>
        <w:spacing w:after="0"/>
        <w:jc w:val="both"/>
        <w:rPr>
          <w:rFonts w:ascii="Times New Roman" w:eastAsia="Calibri" w:hAnsi="Times New Roman" w:cs="Times New Roman"/>
          <w:sz w:val="24"/>
          <w:szCs w:val="24"/>
          <w:lang w:val="en-GB"/>
        </w:rPr>
      </w:pPr>
    </w:p>
    <w:p w:rsidR="005624FF" w:rsidRPr="000E5D12" w:rsidRDefault="00BE4F5B" w:rsidP="00C158EF">
      <w:pPr>
        <w:spacing w:after="0"/>
        <w:jc w:val="both"/>
        <w:rPr>
          <w:rFonts w:ascii="Times New Roman" w:eastAsia="Calibri" w:hAnsi="Times New Roman" w:cs="Times New Roman"/>
          <w:sz w:val="24"/>
          <w:szCs w:val="24"/>
          <w:lang w:val="en-GB"/>
        </w:rPr>
      </w:pPr>
      <w:r w:rsidRPr="000E5D12">
        <w:rPr>
          <w:rFonts w:ascii="Times New Roman" w:eastAsia="Calibri" w:hAnsi="Times New Roman" w:cs="Times New Roman"/>
          <w:sz w:val="24"/>
          <w:szCs w:val="24"/>
          <w:lang w:val="en-GB"/>
        </w:rPr>
        <w:t>Section 3</w:t>
      </w:r>
      <w:r w:rsidR="00760C96" w:rsidRPr="000E5D12">
        <w:rPr>
          <w:rFonts w:ascii="Times New Roman" w:eastAsia="Calibri" w:hAnsi="Times New Roman" w:cs="Times New Roman"/>
          <w:sz w:val="24"/>
          <w:szCs w:val="24"/>
          <w:lang w:val="en-GB"/>
        </w:rPr>
        <w:t xml:space="preserve"> outlines that an offence is </w:t>
      </w:r>
      <w:r w:rsidRPr="000E5D12">
        <w:rPr>
          <w:rFonts w:ascii="Times New Roman" w:eastAsia="Calibri" w:hAnsi="Times New Roman" w:cs="Times New Roman"/>
          <w:sz w:val="24"/>
          <w:szCs w:val="24"/>
          <w:lang w:val="en-GB"/>
        </w:rPr>
        <w:t xml:space="preserve">committed if </w:t>
      </w:r>
      <w:r w:rsidR="005624FF" w:rsidRPr="000E5D12">
        <w:rPr>
          <w:rFonts w:ascii="Times New Roman" w:eastAsia="Calibri" w:hAnsi="Times New Roman" w:cs="Times New Roman"/>
          <w:sz w:val="24"/>
          <w:szCs w:val="24"/>
          <w:lang w:val="en-GB"/>
        </w:rPr>
        <w:t xml:space="preserve">a </w:t>
      </w:r>
      <w:r w:rsidRPr="000E5D12">
        <w:rPr>
          <w:rFonts w:ascii="Times New Roman" w:eastAsia="Calibri" w:hAnsi="Times New Roman" w:cs="Times New Roman"/>
          <w:sz w:val="24"/>
          <w:szCs w:val="24"/>
          <w:lang w:val="en-GB"/>
        </w:rPr>
        <w:t xml:space="preserve">person </w:t>
      </w:r>
      <w:r w:rsidR="005624FF" w:rsidRPr="000E5D12">
        <w:rPr>
          <w:rFonts w:ascii="Times New Roman" w:eastAsia="Calibri" w:hAnsi="Times New Roman" w:cs="Times New Roman"/>
          <w:sz w:val="24"/>
          <w:szCs w:val="24"/>
          <w:lang w:val="en-GB"/>
        </w:rPr>
        <w:t>contravenes a direction</w:t>
      </w:r>
      <w:r w:rsidRPr="000E5D12">
        <w:rPr>
          <w:rFonts w:ascii="Times New Roman" w:eastAsia="Calibri" w:hAnsi="Times New Roman" w:cs="Times New Roman"/>
          <w:sz w:val="24"/>
          <w:szCs w:val="24"/>
          <w:lang w:val="en-GB"/>
        </w:rPr>
        <w:t xml:space="preserve"> by a </w:t>
      </w:r>
      <w:r w:rsidR="005624FF" w:rsidRPr="000E5D12">
        <w:rPr>
          <w:rFonts w:ascii="Times New Roman" w:eastAsia="Calibri" w:hAnsi="Times New Roman" w:cs="Times New Roman"/>
          <w:sz w:val="24"/>
          <w:szCs w:val="24"/>
          <w:lang w:val="en-GB"/>
        </w:rPr>
        <w:t xml:space="preserve">member of An Garda Síochána </w:t>
      </w:r>
      <w:r w:rsidR="00EE2C3D" w:rsidRPr="000E5D12">
        <w:rPr>
          <w:rFonts w:ascii="Times New Roman" w:eastAsia="Calibri" w:hAnsi="Times New Roman" w:cs="Times New Roman"/>
          <w:sz w:val="24"/>
          <w:szCs w:val="24"/>
          <w:lang w:val="en-GB"/>
        </w:rPr>
        <w:t>(AGS)</w:t>
      </w:r>
      <w:r w:rsidR="007A036B" w:rsidRPr="000E5D12">
        <w:rPr>
          <w:rStyle w:val="FootnoteReference"/>
          <w:rFonts w:ascii="Times New Roman" w:eastAsia="Calibri" w:hAnsi="Times New Roman" w:cs="Times New Roman"/>
          <w:sz w:val="24"/>
          <w:szCs w:val="24"/>
          <w:lang w:val="en-GB"/>
        </w:rPr>
        <w:footnoteReference w:id="2"/>
      </w:r>
      <w:r w:rsidR="00EE2C3D" w:rsidRPr="000E5D12">
        <w:rPr>
          <w:rFonts w:ascii="Times New Roman" w:eastAsia="Calibri" w:hAnsi="Times New Roman" w:cs="Times New Roman"/>
          <w:sz w:val="24"/>
          <w:szCs w:val="24"/>
          <w:lang w:val="en-GB"/>
        </w:rPr>
        <w:t xml:space="preserve"> to desist from begging and leave a place </w:t>
      </w:r>
      <w:r w:rsidR="005624FF" w:rsidRPr="000E5D12">
        <w:rPr>
          <w:rFonts w:ascii="Times New Roman" w:eastAsia="Calibri" w:hAnsi="Times New Roman" w:cs="Times New Roman"/>
          <w:sz w:val="24"/>
          <w:szCs w:val="24"/>
          <w:lang w:val="en-GB"/>
        </w:rPr>
        <w:t>in certain circumstances</w:t>
      </w:r>
      <w:r w:rsidR="00D34C28" w:rsidRPr="000E5D12">
        <w:rPr>
          <w:rFonts w:ascii="Times New Roman" w:eastAsia="Calibri" w:hAnsi="Times New Roman" w:cs="Times New Roman"/>
          <w:sz w:val="24"/>
          <w:szCs w:val="24"/>
          <w:lang w:val="en-GB"/>
        </w:rPr>
        <w:t>, such as</w:t>
      </w:r>
      <w:r w:rsidR="00EE2C3D" w:rsidRPr="000E5D12">
        <w:rPr>
          <w:rFonts w:ascii="Times New Roman" w:eastAsia="Calibri" w:hAnsi="Times New Roman" w:cs="Times New Roman"/>
          <w:sz w:val="24"/>
          <w:szCs w:val="24"/>
          <w:lang w:val="en-GB"/>
        </w:rPr>
        <w:t>:</w:t>
      </w:r>
      <w:r w:rsidR="005624FF" w:rsidRPr="000E5D12">
        <w:rPr>
          <w:rFonts w:ascii="Times New Roman" w:eastAsia="Calibri" w:hAnsi="Times New Roman" w:cs="Times New Roman"/>
          <w:sz w:val="24"/>
          <w:szCs w:val="24"/>
          <w:lang w:val="en-GB"/>
        </w:rPr>
        <w:t xml:space="preserve">  </w:t>
      </w:r>
    </w:p>
    <w:p w:rsidR="005624FF" w:rsidRPr="000E5D12" w:rsidRDefault="005624FF" w:rsidP="00C158EF">
      <w:pPr>
        <w:spacing w:after="0"/>
        <w:ind w:left="426"/>
        <w:jc w:val="both"/>
        <w:rPr>
          <w:rFonts w:ascii="Times New Roman" w:eastAsia="Calibri" w:hAnsi="Times New Roman" w:cs="Times New Roman"/>
          <w:sz w:val="24"/>
          <w:szCs w:val="24"/>
          <w:lang w:val="en-GB"/>
        </w:rPr>
      </w:pPr>
    </w:p>
    <w:p w:rsidR="00EE2C3D" w:rsidRPr="000E5D12" w:rsidRDefault="00A3798F" w:rsidP="00C158EF">
      <w:pPr>
        <w:pStyle w:val="ListParagraph"/>
        <w:numPr>
          <w:ilvl w:val="0"/>
          <w:numId w:val="2"/>
        </w:numPr>
        <w:spacing w:after="0"/>
        <w:jc w:val="both"/>
        <w:rPr>
          <w:rFonts w:ascii="Times New Roman" w:eastAsia="Calibri" w:hAnsi="Times New Roman" w:cs="Times New Roman"/>
          <w:sz w:val="24"/>
          <w:szCs w:val="24"/>
          <w:lang w:val="en-GB"/>
        </w:rPr>
      </w:pPr>
      <w:r w:rsidRPr="000E5D12">
        <w:rPr>
          <w:rFonts w:ascii="Times New Roman" w:eastAsia="Calibri" w:hAnsi="Times New Roman" w:cs="Times New Roman"/>
          <w:sz w:val="24"/>
          <w:szCs w:val="24"/>
          <w:lang w:val="en-GB"/>
        </w:rPr>
        <w:t>W</w:t>
      </w:r>
      <w:r w:rsidR="00F44C48" w:rsidRPr="000E5D12">
        <w:rPr>
          <w:rFonts w:ascii="Times New Roman" w:eastAsia="Calibri" w:hAnsi="Times New Roman" w:cs="Times New Roman"/>
          <w:sz w:val="24"/>
          <w:szCs w:val="24"/>
          <w:lang w:val="en-GB"/>
        </w:rPr>
        <w:t xml:space="preserve">here the member of AGS believes the person is acting in a manner that is an offence under section 2 or giving rise to apprehension for the safety of persons or property </w:t>
      </w:r>
      <w:r w:rsidR="00EE2C3D" w:rsidRPr="000E5D12">
        <w:rPr>
          <w:rFonts w:ascii="Times New Roman" w:eastAsia="Calibri" w:hAnsi="Times New Roman" w:cs="Times New Roman"/>
          <w:sz w:val="24"/>
          <w:szCs w:val="24"/>
          <w:lang w:val="en-GB"/>
        </w:rPr>
        <w:t>or for the maintenance of the public peace</w:t>
      </w:r>
      <w:r w:rsidRPr="000E5D12">
        <w:rPr>
          <w:rFonts w:ascii="Times New Roman" w:eastAsia="Calibri" w:hAnsi="Times New Roman" w:cs="Times New Roman"/>
          <w:sz w:val="24"/>
          <w:szCs w:val="24"/>
          <w:lang w:val="en-GB"/>
        </w:rPr>
        <w:t xml:space="preserve"> under Section 3(1);</w:t>
      </w:r>
    </w:p>
    <w:p w:rsidR="00EE2C3D" w:rsidRPr="000E5D12" w:rsidRDefault="00EE2C3D" w:rsidP="00C158EF">
      <w:pPr>
        <w:spacing w:after="0"/>
        <w:ind w:left="426"/>
        <w:jc w:val="both"/>
        <w:rPr>
          <w:rFonts w:ascii="Times New Roman" w:eastAsia="Calibri" w:hAnsi="Times New Roman" w:cs="Times New Roman"/>
          <w:sz w:val="24"/>
          <w:szCs w:val="24"/>
          <w:lang w:val="en-GB"/>
        </w:rPr>
      </w:pPr>
    </w:p>
    <w:p w:rsidR="00EE2C3D" w:rsidRPr="000E5D12" w:rsidRDefault="00A3798F" w:rsidP="00C158EF">
      <w:pPr>
        <w:pStyle w:val="ListParagraph"/>
        <w:numPr>
          <w:ilvl w:val="0"/>
          <w:numId w:val="2"/>
        </w:numPr>
        <w:spacing w:after="0"/>
        <w:jc w:val="both"/>
        <w:rPr>
          <w:rFonts w:ascii="Times New Roman" w:eastAsia="Calibri" w:hAnsi="Times New Roman" w:cs="Times New Roman"/>
          <w:sz w:val="24"/>
          <w:szCs w:val="24"/>
          <w:lang w:val="en-GB"/>
        </w:rPr>
      </w:pPr>
      <w:r w:rsidRPr="000E5D12">
        <w:rPr>
          <w:rFonts w:ascii="Times New Roman" w:eastAsia="Calibri" w:hAnsi="Times New Roman" w:cs="Times New Roman"/>
          <w:sz w:val="24"/>
          <w:szCs w:val="24"/>
          <w:lang w:val="en-GB"/>
        </w:rPr>
        <w:t>W</w:t>
      </w:r>
      <w:r w:rsidR="00EE2C3D" w:rsidRPr="000E5D12">
        <w:rPr>
          <w:rFonts w:ascii="Times New Roman" w:eastAsia="Calibri" w:hAnsi="Times New Roman" w:cs="Times New Roman"/>
          <w:sz w:val="24"/>
          <w:szCs w:val="24"/>
          <w:lang w:val="en-GB"/>
        </w:rPr>
        <w:t>here the person is begging at or n</w:t>
      </w:r>
      <w:r w:rsidRPr="000E5D12">
        <w:rPr>
          <w:rFonts w:ascii="Times New Roman" w:eastAsia="Calibri" w:hAnsi="Times New Roman" w:cs="Times New Roman"/>
          <w:sz w:val="24"/>
          <w:szCs w:val="24"/>
          <w:lang w:val="en-GB"/>
        </w:rPr>
        <w:t>ear the entrance to a dwelling,</w:t>
      </w:r>
      <w:r w:rsidR="00EE2C3D" w:rsidRPr="000E5D12">
        <w:rPr>
          <w:rFonts w:ascii="Times New Roman" w:eastAsia="Calibri" w:hAnsi="Times New Roman" w:cs="Times New Roman"/>
          <w:sz w:val="24"/>
          <w:szCs w:val="24"/>
          <w:lang w:val="en-GB"/>
        </w:rPr>
        <w:t xml:space="preserve"> automated teller machine, vending machine or night safe</w:t>
      </w:r>
      <w:r w:rsidRPr="000E5D12">
        <w:rPr>
          <w:rFonts w:ascii="Times New Roman" w:eastAsia="Calibri" w:hAnsi="Times New Roman" w:cs="Times New Roman"/>
          <w:sz w:val="24"/>
          <w:szCs w:val="24"/>
          <w:lang w:val="en-GB"/>
        </w:rPr>
        <w:t xml:space="preserve"> under Section 3(2);</w:t>
      </w:r>
    </w:p>
    <w:p w:rsidR="00EE2C3D" w:rsidRPr="000E5D12" w:rsidRDefault="00EE2C3D" w:rsidP="00C158EF">
      <w:pPr>
        <w:spacing w:after="0"/>
        <w:ind w:left="426" w:firstLine="60"/>
        <w:jc w:val="both"/>
        <w:rPr>
          <w:rFonts w:ascii="Times New Roman" w:eastAsia="Calibri" w:hAnsi="Times New Roman" w:cs="Times New Roman"/>
          <w:sz w:val="24"/>
          <w:szCs w:val="24"/>
          <w:lang w:val="en-GB"/>
        </w:rPr>
      </w:pPr>
    </w:p>
    <w:p w:rsidR="00F44C48" w:rsidRPr="000E5D12" w:rsidRDefault="00A3798F" w:rsidP="00C158EF">
      <w:pPr>
        <w:pStyle w:val="ListParagraph"/>
        <w:numPr>
          <w:ilvl w:val="0"/>
          <w:numId w:val="2"/>
        </w:numPr>
        <w:spacing w:after="0"/>
        <w:jc w:val="both"/>
        <w:rPr>
          <w:rFonts w:ascii="Times New Roman" w:eastAsia="Calibri" w:hAnsi="Times New Roman" w:cs="Times New Roman"/>
          <w:sz w:val="24"/>
          <w:szCs w:val="24"/>
          <w:lang w:val="en-GB"/>
        </w:rPr>
      </w:pPr>
      <w:r w:rsidRPr="000E5D12">
        <w:rPr>
          <w:rFonts w:ascii="Times New Roman" w:eastAsia="Calibri" w:hAnsi="Times New Roman" w:cs="Times New Roman"/>
          <w:sz w:val="24"/>
          <w:szCs w:val="24"/>
          <w:lang w:val="en-GB"/>
        </w:rPr>
        <w:t>W</w:t>
      </w:r>
      <w:r w:rsidR="00EE2C3D" w:rsidRPr="000E5D12">
        <w:rPr>
          <w:rFonts w:ascii="Times New Roman" w:eastAsia="Calibri" w:hAnsi="Times New Roman" w:cs="Times New Roman"/>
          <w:sz w:val="24"/>
          <w:szCs w:val="24"/>
          <w:lang w:val="en-GB"/>
        </w:rPr>
        <w:t>here the person is begging near a business premises and members of the public are likely to be deterred from entering the premises</w:t>
      </w:r>
      <w:r w:rsidRPr="000E5D12">
        <w:rPr>
          <w:rFonts w:ascii="Times New Roman" w:eastAsia="Calibri" w:hAnsi="Times New Roman" w:cs="Times New Roman"/>
          <w:sz w:val="24"/>
          <w:szCs w:val="24"/>
          <w:lang w:val="en-GB"/>
        </w:rPr>
        <w:t xml:space="preserve"> under Section 3(3); and</w:t>
      </w:r>
    </w:p>
    <w:p w:rsidR="00E30598" w:rsidRPr="000E5D12" w:rsidRDefault="00E30598" w:rsidP="00C158EF">
      <w:pPr>
        <w:spacing w:after="0"/>
        <w:ind w:left="426"/>
        <w:jc w:val="both"/>
        <w:rPr>
          <w:rFonts w:ascii="Times New Roman" w:eastAsia="Calibri" w:hAnsi="Times New Roman" w:cs="Times New Roman"/>
          <w:sz w:val="24"/>
          <w:szCs w:val="24"/>
          <w:lang w:val="en-GB"/>
        </w:rPr>
      </w:pPr>
    </w:p>
    <w:p w:rsidR="00E30598" w:rsidRPr="000E5D12" w:rsidRDefault="00A3798F" w:rsidP="00C158EF">
      <w:pPr>
        <w:pStyle w:val="ListParagraph"/>
        <w:numPr>
          <w:ilvl w:val="0"/>
          <w:numId w:val="2"/>
        </w:numPr>
        <w:spacing w:after="0"/>
        <w:jc w:val="both"/>
        <w:rPr>
          <w:rFonts w:ascii="Times New Roman" w:eastAsia="Calibri" w:hAnsi="Times New Roman" w:cs="Times New Roman"/>
          <w:sz w:val="24"/>
          <w:szCs w:val="24"/>
          <w:lang w:val="en-GB"/>
        </w:rPr>
      </w:pPr>
      <w:r w:rsidRPr="000E5D12">
        <w:rPr>
          <w:rFonts w:ascii="Times New Roman" w:eastAsia="Calibri" w:hAnsi="Times New Roman" w:cs="Times New Roman"/>
          <w:sz w:val="24"/>
          <w:szCs w:val="24"/>
          <w:lang w:val="en-GB"/>
        </w:rPr>
        <w:t>W</w:t>
      </w:r>
      <w:r w:rsidR="00E30598" w:rsidRPr="000E5D12">
        <w:rPr>
          <w:rFonts w:ascii="Times New Roman" w:eastAsia="Calibri" w:hAnsi="Times New Roman" w:cs="Times New Roman"/>
          <w:sz w:val="24"/>
          <w:szCs w:val="24"/>
          <w:lang w:val="en-GB"/>
        </w:rPr>
        <w:t>here the person is begging in a private place</w:t>
      </w:r>
      <w:r w:rsidRPr="000E5D12">
        <w:rPr>
          <w:rFonts w:ascii="Times New Roman" w:eastAsia="Calibri" w:hAnsi="Times New Roman" w:cs="Times New Roman"/>
          <w:sz w:val="24"/>
          <w:szCs w:val="24"/>
          <w:lang w:val="en-GB"/>
        </w:rPr>
        <w:t xml:space="preserve"> under Section 3(4).</w:t>
      </w:r>
    </w:p>
    <w:p w:rsidR="00EE2C3D" w:rsidRPr="000E5D12" w:rsidRDefault="00EE2C3D" w:rsidP="00C158EF">
      <w:pPr>
        <w:spacing w:after="0"/>
        <w:ind w:left="426"/>
        <w:jc w:val="both"/>
        <w:rPr>
          <w:rFonts w:ascii="Times New Roman" w:eastAsia="Calibri" w:hAnsi="Times New Roman" w:cs="Times New Roman"/>
          <w:sz w:val="24"/>
          <w:szCs w:val="24"/>
          <w:lang w:val="en-GB"/>
        </w:rPr>
      </w:pPr>
    </w:p>
    <w:p w:rsidR="00781115" w:rsidRPr="000E5D12" w:rsidRDefault="00760C96" w:rsidP="00C158EF">
      <w:pPr>
        <w:jc w:val="both"/>
        <w:rPr>
          <w:rFonts w:ascii="Times New Roman" w:hAnsi="Times New Roman" w:cs="Times New Roman"/>
          <w:sz w:val="24"/>
          <w:szCs w:val="24"/>
        </w:rPr>
      </w:pPr>
      <w:r w:rsidRPr="000E5D12">
        <w:rPr>
          <w:rFonts w:ascii="Times New Roman" w:eastAsia="Calibri" w:hAnsi="Times New Roman" w:cs="Times New Roman"/>
          <w:sz w:val="24"/>
          <w:szCs w:val="24"/>
          <w:lang w:val="en-GB"/>
        </w:rPr>
        <w:lastRenderedPageBreak/>
        <w:t>Furthermore, Section 5 states that</w:t>
      </w:r>
      <w:r w:rsidR="00E30598" w:rsidRPr="000E5D12">
        <w:rPr>
          <w:rFonts w:ascii="Times New Roman" w:eastAsia="Calibri" w:hAnsi="Times New Roman" w:cs="Times New Roman"/>
          <w:sz w:val="24"/>
          <w:szCs w:val="24"/>
          <w:lang w:val="en-GB"/>
        </w:rPr>
        <w:t xml:space="preserve"> directing or organising begging</w:t>
      </w:r>
      <w:r w:rsidRPr="000E5D12">
        <w:rPr>
          <w:rFonts w:ascii="Times New Roman" w:eastAsia="Calibri" w:hAnsi="Times New Roman" w:cs="Times New Roman"/>
          <w:sz w:val="24"/>
          <w:szCs w:val="24"/>
          <w:lang w:val="en-GB"/>
        </w:rPr>
        <w:t xml:space="preserve"> are both offences. </w:t>
      </w:r>
      <w:r w:rsidR="00781115" w:rsidRPr="000E5D12">
        <w:rPr>
          <w:rFonts w:ascii="Times New Roman" w:eastAsia="Calibri" w:hAnsi="Times New Roman" w:cs="Times New Roman"/>
          <w:sz w:val="24"/>
          <w:szCs w:val="24"/>
          <w:lang w:val="en-GB"/>
        </w:rPr>
        <w:t xml:space="preserve">A person guilty of an offence under Section 5 of the Act is liable </w:t>
      </w:r>
      <w:r w:rsidR="00781115" w:rsidRPr="000E5D12">
        <w:rPr>
          <w:rFonts w:ascii="Times New Roman" w:hAnsi="Times New Roman" w:cs="Times New Roman"/>
          <w:sz w:val="24"/>
          <w:szCs w:val="24"/>
        </w:rPr>
        <w:t>on summary conviction to a class A fine or imprisonment for a term not exceeding 12 months or both, or on conviction on indictment to a fine not exceeding €200,000 or imprisonment for a term not exceeding 5 years or both.</w:t>
      </w:r>
    </w:p>
    <w:p w:rsidR="00E30598" w:rsidRPr="000E5D12" w:rsidRDefault="00760C96" w:rsidP="00C158EF">
      <w:pPr>
        <w:spacing w:after="0"/>
        <w:jc w:val="both"/>
        <w:rPr>
          <w:rFonts w:ascii="Times New Roman" w:eastAsia="Calibri" w:hAnsi="Times New Roman" w:cs="Times New Roman"/>
          <w:sz w:val="24"/>
          <w:szCs w:val="24"/>
          <w:lang w:val="en-GB"/>
        </w:rPr>
      </w:pPr>
      <w:r w:rsidRPr="000E5D12">
        <w:rPr>
          <w:rFonts w:ascii="Times New Roman" w:eastAsia="Calibri" w:hAnsi="Times New Roman" w:cs="Times New Roman"/>
          <w:sz w:val="24"/>
          <w:szCs w:val="24"/>
          <w:lang w:val="en-GB"/>
        </w:rPr>
        <w:t>Under Section 6, it is also an offence to live</w:t>
      </w:r>
      <w:r w:rsidR="00E30598" w:rsidRPr="000E5D12">
        <w:rPr>
          <w:rFonts w:ascii="Times New Roman" w:eastAsia="Calibri" w:hAnsi="Times New Roman" w:cs="Times New Roman"/>
          <w:sz w:val="24"/>
          <w:szCs w:val="24"/>
          <w:lang w:val="en-GB"/>
        </w:rPr>
        <w:t xml:space="preserve"> off the proceeds of begging by another person</w:t>
      </w:r>
      <w:r w:rsidRPr="000E5D12">
        <w:rPr>
          <w:rFonts w:ascii="Times New Roman" w:eastAsia="Calibri" w:hAnsi="Times New Roman" w:cs="Times New Roman"/>
          <w:sz w:val="24"/>
          <w:szCs w:val="24"/>
          <w:lang w:val="en-GB"/>
        </w:rPr>
        <w:t>.</w:t>
      </w:r>
      <w:r w:rsidR="00781115" w:rsidRPr="000E5D12">
        <w:rPr>
          <w:rFonts w:ascii="Times New Roman" w:hAnsi="Times New Roman" w:cs="Times New Roman"/>
          <w:sz w:val="24"/>
          <w:szCs w:val="24"/>
        </w:rPr>
        <w:t xml:space="preserve"> </w:t>
      </w:r>
      <w:r w:rsidR="00481DCD">
        <w:rPr>
          <w:rFonts w:ascii="Times New Roman" w:hAnsi="Times New Roman" w:cs="Times New Roman"/>
          <w:sz w:val="24"/>
          <w:szCs w:val="24"/>
        </w:rPr>
        <w:t xml:space="preserve">A person who is guilty of such an offence and is liable on summary conviction </w:t>
      </w:r>
      <w:r w:rsidR="00781115" w:rsidRPr="000E5D12">
        <w:rPr>
          <w:rFonts w:ascii="Times New Roman" w:hAnsi="Times New Roman" w:cs="Times New Roman"/>
          <w:sz w:val="24"/>
          <w:szCs w:val="24"/>
        </w:rPr>
        <w:t>to a class A fine or imprisonment for a term not exceeding 12 months or both.</w:t>
      </w:r>
    </w:p>
    <w:p w:rsidR="00C158EF" w:rsidRDefault="00C158EF" w:rsidP="00C158EF">
      <w:pPr>
        <w:spacing w:after="0"/>
        <w:ind w:left="1134" w:hanging="1134"/>
        <w:jc w:val="both"/>
        <w:rPr>
          <w:rFonts w:ascii="Times New Roman" w:eastAsia="Calibri" w:hAnsi="Times New Roman" w:cs="Times New Roman"/>
          <w:sz w:val="24"/>
          <w:szCs w:val="24"/>
          <w:lang w:val="en-GB"/>
        </w:rPr>
      </w:pPr>
    </w:p>
    <w:p w:rsidR="000D5D7A" w:rsidRDefault="00760C96" w:rsidP="00C158EF">
      <w:pPr>
        <w:spacing w:after="0"/>
        <w:ind w:left="1134" w:hanging="1134"/>
        <w:jc w:val="both"/>
        <w:rPr>
          <w:rFonts w:ascii="Times New Roman" w:eastAsia="Calibri" w:hAnsi="Times New Roman" w:cs="Times New Roman"/>
          <w:sz w:val="24"/>
          <w:szCs w:val="24"/>
          <w:lang w:val="en-GB"/>
        </w:rPr>
      </w:pPr>
      <w:r w:rsidRPr="000E5D12">
        <w:rPr>
          <w:rFonts w:ascii="Times New Roman" w:eastAsia="Calibri" w:hAnsi="Times New Roman" w:cs="Times New Roman"/>
          <w:sz w:val="24"/>
          <w:szCs w:val="24"/>
          <w:lang w:val="en-GB"/>
        </w:rPr>
        <w:t xml:space="preserve">Finally, </w:t>
      </w:r>
      <w:r w:rsidR="00481DCD">
        <w:rPr>
          <w:rFonts w:ascii="Times New Roman" w:eastAsia="Calibri" w:hAnsi="Times New Roman" w:cs="Times New Roman"/>
          <w:sz w:val="24"/>
          <w:szCs w:val="24"/>
          <w:lang w:val="en-GB"/>
        </w:rPr>
        <w:t>Section 7 outlines</w:t>
      </w:r>
      <w:r w:rsidR="00E30598" w:rsidRPr="000E5D12">
        <w:rPr>
          <w:rFonts w:ascii="Times New Roman" w:eastAsia="Calibri" w:hAnsi="Times New Roman" w:cs="Times New Roman"/>
          <w:sz w:val="24"/>
          <w:szCs w:val="24"/>
          <w:lang w:val="en-GB"/>
        </w:rPr>
        <w:t xml:space="preserve"> causing </w:t>
      </w:r>
      <w:r w:rsidR="000D5D7A">
        <w:rPr>
          <w:rFonts w:ascii="Times New Roman" w:eastAsia="Calibri" w:hAnsi="Times New Roman" w:cs="Times New Roman"/>
          <w:sz w:val="24"/>
          <w:szCs w:val="24"/>
          <w:lang w:val="en-GB"/>
        </w:rPr>
        <w:t xml:space="preserve">or procuring a child to </w:t>
      </w:r>
      <w:r w:rsidR="000D5D7A" w:rsidRPr="000D5D7A">
        <w:rPr>
          <w:rFonts w:ascii="Times New Roman" w:eastAsia="Calibri" w:hAnsi="Times New Roman" w:cs="Times New Roman"/>
          <w:sz w:val="24"/>
          <w:szCs w:val="24"/>
          <w:lang w:val="en-GB"/>
        </w:rPr>
        <w:t xml:space="preserve">beg in a public place or conduct </w:t>
      </w:r>
    </w:p>
    <w:p w:rsidR="000D5D7A" w:rsidRDefault="000D5D7A" w:rsidP="000D5D7A">
      <w:pPr>
        <w:spacing w:after="0"/>
        <w:ind w:left="1134" w:hanging="1134"/>
        <w:jc w:val="both"/>
        <w:rPr>
          <w:rFonts w:ascii="Times New Roman" w:eastAsia="Calibri" w:hAnsi="Times New Roman" w:cs="Times New Roman"/>
          <w:sz w:val="24"/>
          <w:szCs w:val="24"/>
          <w:lang w:val="en-GB"/>
        </w:rPr>
      </w:pPr>
      <w:r w:rsidRPr="000D5D7A">
        <w:rPr>
          <w:rFonts w:ascii="Times New Roman" w:eastAsia="Calibri" w:hAnsi="Times New Roman" w:cs="Times New Roman"/>
          <w:sz w:val="24"/>
          <w:szCs w:val="24"/>
          <w:lang w:val="en-GB"/>
        </w:rPr>
        <w:t>house visits for the purpose of begging</w:t>
      </w:r>
      <w:r w:rsidR="00267B3F" w:rsidRPr="000E5D12">
        <w:rPr>
          <w:rFonts w:ascii="Times New Roman" w:eastAsia="Calibri" w:hAnsi="Times New Roman" w:cs="Times New Roman"/>
          <w:sz w:val="24"/>
          <w:szCs w:val="24"/>
          <w:lang w:val="en-GB"/>
        </w:rPr>
        <w:t xml:space="preserve"> as an offence as per</w:t>
      </w:r>
      <w:r>
        <w:rPr>
          <w:rFonts w:ascii="Times New Roman" w:eastAsia="Calibri" w:hAnsi="Times New Roman" w:cs="Times New Roman"/>
          <w:sz w:val="24"/>
          <w:szCs w:val="24"/>
          <w:lang w:val="en-GB"/>
        </w:rPr>
        <w:t xml:space="preserve"> </w:t>
      </w:r>
      <w:r w:rsidR="00E663E3" w:rsidRPr="000E5D12">
        <w:rPr>
          <w:rFonts w:ascii="Times New Roman" w:eastAsia="Calibri" w:hAnsi="Times New Roman" w:cs="Times New Roman"/>
          <w:sz w:val="24"/>
          <w:szCs w:val="24"/>
          <w:lang w:val="en-GB"/>
        </w:rPr>
        <w:t>S</w:t>
      </w:r>
      <w:r w:rsidR="006D2A2A" w:rsidRPr="000E5D12">
        <w:rPr>
          <w:rFonts w:ascii="Times New Roman" w:eastAsia="Calibri" w:hAnsi="Times New Roman" w:cs="Times New Roman"/>
          <w:sz w:val="24"/>
          <w:szCs w:val="24"/>
          <w:lang w:val="en-GB"/>
        </w:rPr>
        <w:t>ecti</w:t>
      </w:r>
      <w:r w:rsidR="00E663E3" w:rsidRPr="000E5D12">
        <w:rPr>
          <w:rFonts w:ascii="Times New Roman" w:eastAsia="Calibri" w:hAnsi="Times New Roman" w:cs="Times New Roman"/>
          <w:sz w:val="24"/>
          <w:szCs w:val="24"/>
          <w:lang w:val="en-GB"/>
        </w:rPr>
        <w:t xml:space="preserve">on 247 of the Children Act </w:t>
      </w:r>
    </w:p>
    <w:p w:rsidR="009F403E" w:rsidRDefault="00E663E3" w:rsidP="000D5D7A">
      <w:pPr>
        <w:spacing w:after="0"/>
        <w:ind w:left="1134" w:hanging="1134"/>
        <w:jc w:val="both"/>
        <w:rPr>
          <w:rFonts w:ascii="Times New Roman" w:eastAsia="Calibri" w:hAnsi="Times New Roman" w:cs="Times New Roman"/>
          <w:sz w:val="24"/>
          <w:szCs w:val="24"/>
          <w:lang w:val="en-GB"/>
        </w:rPr>
      </w:pPr>
      <w:r w:rsidRPr="000E5D12">
        <w:rPr>
          <w:rFonts w:ascii="Times New Roman" w:eastAsia="Calibri" w:hAnsi="Times New Roman" w:cs="Times New Roman"/>
          <w:sz w:val="24"/>
          <w:szCs w:val="24"/>
          <w:lang w:val="en-GB"/>
        </w:rPr>
        <w:t>2001</w:t>
      </w:r>
      <w:r w:rsidR="00481DCD">
        <w:rPr>
          <w:rFonts w:ascii="Times New Roman" w:eastAsia="Calibri" w:hAnsi="Times New Roman" w:cs="Times New Roman"/>
          <w:sz w:val="24"/>
          <w:szCs w:val="24"/>
          <w:lang w:val="en-GB"/>
        </w:rPr>
        <w:t>.</w:t>
      </w:r>
      <w:r w:rsidRPr="000E5D12">
        <w:rPr>
          <w:rStyle w:val="FootnoteReference"/>
          <w:rFonts w:ascii="Times New Roman" w:eastAsia="Calibri" w:hAnsi="Times New Roman" w:cs="Times New Roman"/>
          <w:sz w:val="24"/>
          <w:szCs w:val="24"/>
          <w:lang w:val="en-GB"/>
        </w:rPr>
        <w:footnoteReference w:id="3"/>
      </w:r>
      <w:r w:rsidR="00781115" w:rsidRPr="000E5D12">
        <w:rPr>
          <w:rFonts w:ascii="Times New Roman" w:eastAsia="Calibri" w:hAnsi="Times New Roman" w:cs="Times New Roman"/>
          <w:sz w:val="24"/>
          <w:szCs w:val="24"/>
          <w:lang w:val="en-GB"/>
        </w:rPr>
        <w:t xml:space="preserve"> </w:t>
      </w:r>
    </w:p>
    <w:p w:rsidR="000D5D7A" w:rsidRPr="000D5D7A" w:rsidRDefault="000D5D7A" w:rsidP="000D5D7A">
      <w:pPr>
        <w:spacing w:after="0"/>
        <w:ind w:left="1134" w:hanging="1134"/>
        <w:jc w:val="both"/>
        <w:rPr>
          <w:rFonts w:ascii="Times New Roman" w:eastAsia="Calibri" w:hAnsi="Times New Roman" w:cs="Times New Roman"/>
          <w:sz w:val="24"/>
          <w:szCs w:val="24"/>
          <w:lang w:val="en-GB"/>
        </w:rPr>
      </w:pPr>
    </w:p>
    <w:p w:rsidR="00BE4F5B" w:rsidRPr="000E5D12" w:rsidRDefault="00BE4F5B" w:rsidP="00C158EF">
      <w:pPr>
        <w:pStyle w:val="ListParagraph"/>
        <w:numPr>
          <w:ilvl w:val="1"/>
          <w:numId w:val="1"/>
        </w:numPr>
        <w:spacing w:after="0"/>
        <w:ind w:left="426" w:right="575"/>
        <w:jc w:val="both"/>
        <w:rPr>
          <w:rFonts w:ascii="Times New Roman" w:eastAsia="Calibri" w:hAnsi="Times New Roman" w:cs="Times New Roman"/>
          <w:i/>
          <w:sz w:val="24"/>
          <w:szCs w:val="24"/>
          <w:lang w:val="en-GB"/>
        </w:rPr>
      </w:pPr>
      <w:r w:rsidRPr="000E5D12">
        <w:rPr>
          <w:rFonts w:ascii="Times New Roman" w:eastAsia="Calibri" w:hAnsi="Times New Roman" w:cs="Times New Roman"/>
          <w:i/>
          <w:sz w:val="24"/>
          <w:szCs w:val="24"/>
          <w:lang w:val="en-GB"/>
        </w:rPr>
        <w:t xml:space="preserve">Could you kindly provide your views as </w:t>
      </w:r>
      <w:r w:rsidRPr="000E5D12">
        <w:rPr>
          <w:rFonts w:ascii="Times New Roman" w:eastAsia="Calibri" w:hAnsi="Times New Roman" w:cs="Times New Roman"/>
          <w:i/>
          <w:spacing w:val="2"/>
          <w:sz w:val="24"/>
          <w:szCs w:val="24"/>
          <w:lang w:val="en-GB"/>
        </w:rPr>
        <w:t xml:space="preserve">to </w:t>
      </w:r>
      <w:r w:rsidRPr="000E5D12">
        <w:rPr>
          <w:rFonts w:ascii="Times New Roman" w:eastAsia="Calibri" w:hAnsi="Times New Roman" w:cs="Times New Roman"/>
          <w:i/>
          <w:sz w:val="24"/>
          <w:szCs w:val="24"/>
          <w:lang w:val="en-GB"/>
        </w:rPr>
        <w:t xml:space="preserve">whether or not regulations relating </w:t>
      </w:r>
      <w:r w:rsidRPr="000E5D12">
        <w:rPr>
          <w:rFonts w:ascii="Times New Roman" w:eastAsia="Calibri" w:hAnsi="Times New Roman" w:cs="Times New Roman"/>
          <w:i/>
          <w:spacing w:val="2"/>
          <w:sz w:val="24"/>
          <w:szCs w:val="24"/>
          <w:lang w:val="en-GB"/>
        </w:rPr>
        <w:t xml:space="preserve">to </w:t>
      </w:r>
      <w:r w:rsidRPr="000E5D12">
        <w:rPr>
          <w:rFonts w:ascii="Times New Roman" w:eastAsia="Calibri" w:hAnsi="Times New Roman" w:cs="Times New Roman"/>
          <w:i/>
          <w:sz w:val="24"/>
          <w:szCs w:val="24"/>
          <w:lang w:val="en-GB"/>
        </w:rPr>
        <w:t xml:space="preserve">begging applicable </w:t>
      </w:r>
      <w:r w:rsidRPr="000E5D12">
        <w:rPr>
          <w:rFonts w:ascii="Times New Roman" w:eastAsia="Calibri" w:hAnsi="Times New Roman" w:cs="Times New Roman"/>
          <w:i/>
          <w:spacing w:val="-3"/>
          <w:sz w:val="24"/>
          <w:szCs w:val="24"/>
          <w:lang w:val="en-GB"/>
        </w:rPr>
        <w:t xml:space="preserve">in </w:t>
      </w:r>
      <w:r w:rsidRPr="000E5D12">
        <w:rPr>
          <w:rFonts w:ascii="Times New Roman" w:eastAsia="Calibri" w:hAnsi="Times New Roman" w:cs="Times New Roman"/>
          <w:i/>
          <w:sz w:val="24"/>
          <w:szCs w:val="24"/>
          <w:lang w:val="en-GB"/>
        </w:rPr>
        <w:t xml:space="preserve">your jurisdiction are compatible with the above mentioned UN human rights standards and the judgment of the European Court of Human Rights </w:t>
      </w:r>
      <w:r w:rsidRPr="000E5D12">
        <w:rPr>
          <w:rFonts w:ascii="Times New Roman" w:eastAsia="Calibri" w:hAnsi="Times New Roman" w:cs="Times New Roman"/>
          <w:i/>
          <w:spacing w:val="-3"/>
          <w:sz w:val="24"/>
          <w:szCs w:val="24"/>
          <w:lang w:val="en-GB"/>
        </w:rPr>
        <w:t xml:space="preserve">in </w:t>
      </w:r>
      <w:r w:rsidRPr="000E5D12">
        <w:rPr>
          <w:rFonts w:ascii="Times New Roman" w:eastAsia="Calibri" w:hAnsi="Times New Roman" w:cs="Times New Roman"/>
          <w:i/>
          <w:sz w:val="24"/>
          <w:szCs w:val="24"/>
          <w:lang w:val="en-GB"/>
        </w:rPr>
        <w:t xml:space="preserve">the case of </w:t>
      </w:r>
      <w:r w:rsidRPr="000E5D12">
        <w:rPr>
          <w:rFonts w:ascii="Times New Roman" w:eastAsia="Calibri" w:hAnsi="Times New Roman" w:cs="Times New Roman"/>
          <w:i/>
          <w:iCs/>
          <w:sz w:val="24"/>
          <w:szCs w:val="24"/>
          <w:lang w:val="en-GB"/>
        </w:rPr>
        <w:t>Lăcătuş v. Switzerland</w:t>
      </w:r>
      <w:r w:rsidRPr="000E5D12">
        <w:rPr>
          <w:rFonts w:ascii="Times New Roman" w:eastAsia="Calibri" w:hAnsi="Times New Roman" w:cs="Times New Roman"/>
          <w:i/>
          <w:sz w:val="24"/>
          <w:szCs w:val="24"/>
          <w:lang w:val="en-GB"/>
        </w:rPr>
        <w:t>?</w:t>
      </w:r>
    </w:p>
    <w:p w:rsidR="009F403E" w:rsidRPr="000E5D12" w:rsidRDefault="009F403E" w:rsidP="00C158EF">
      <w:pPr>
        <w:pStyle w:val="ListParagraph"/>
        <w:spacing w:after="0"/>
        <w:ind w:left="1061" w:right="575"/>
        <w:jc w:val="both"/>
        <w:rPr>
          <w:rFonts w:ascii="Times New Roman" w:eastAsia="Calibri" w:hAnsi="Times New Roman" w:cs="Times New Roman"/>
          <w:sz w:val="24"/>
          <w:szCs w:val="24"/>
          <w:lang w:val="en-GB"/>
        </w:rPr>
      </w:pPr>
    </w:p>
    <w:p w:rsidR="000E5D12" w:rsidRDefault="000E5D12" w:rsidP="00C158EF">
      <w:pPr>
        <w:autoSpaceDE w:val="0"/>
        <w:autoSpaceDN w:val="0"/>
        <w:spacing w:after="0"/>
        <w:jc w:val="both"/>
        <w:rPr>
          <w:rFonts w:ascii="Times New Roman" w:eastAsia="Calibri" w:hAnsi="Times New Roman" w:cs="Times New Roman"/>
          <w:sz w:val="24"/>
          <w:szCs w:val="24"/>
          <w:lang w:val="en-GB" w:eastAsia="en-GB"/>
        </w:rPr>
      </w:pPr>
      <w:r w:rsidRPr="000E5D12">
        <w:rPr>
          <w:rFonts w:ascii="Times New Roman" w:eastAsia="Calibri" w:hAnsi="Times New Roman" w:cs="Times New Roman"/>
          <w:sz w:val="24"/>
          <w:szCs w:val="24"/>
          <w:lang w:val="en-GB" w:eastAsia="en-GB"/>
        </w:rPr>
        <w:t xml:space="preserve">In the case of Lăcătuş v. Switzerland, the Court was critical of a blanket ban on begging as the Judges regarded this to be a radical </w:t>
      </w:r>
      <w:r w:rsidRPr="000E5D12">
        <w:rPr>
          <w:rFonts w:ascii="Times New Roman" w:eastAsia="Calibri" w:hAnsi="Times New Roman" w:cs="Times New Roman"/>
          <w:sz w:val="24"/>
          <w:szCs w:val="24"/>
          <w:lang w:val="en-GB" w:eastAsia="en-GB"/>
        </w:rPr>
        <w:lastRenderedPageBreak/>
        <w:t>measure requiring strong justification. It was held that the imposition of fines or a custodial sentence was not proportionate to the aim of combatting organised crime or to the aim of protecting the rights of passers-by, residents, or shopkeepers. Moreover, the UN Guiding Principles on Extreme Poverty and Human Rights recommended that States should review sanction procedures that require the payment of disproportionate fines.</w:t>
      </w:r>
    </w:p>
    <w:p w:rsidR="00481DCD" w:rsidRPr="000E5D12" w:rsidRDefault="00481DCD" w:rsidP="00C158EF">
      <w:pPr>
        <w:autoSpaceDE w:val="0"/>
        <w:autoSpaceDN w:val="0"/>
        <w:spacing w:before="10" w:after="0"/>
        <w:jc w:val="both"/>
        <w:rPr>
          <w:rFonts w:ascii="Times New Roman" w:eastAsia="Calibri" w:hAnsi="Times New Roman" w:cs="Times New Roman"/>
          <w:sz w:val="24"/>
          <w:szCs w:val="24"/>
          <w:lang w:val="en-GB" w:eastAsia="en-GB"/>
        </w:rPr>
      </w:pPr>
    </w:p>
    <w:p w:rsidR="000E5D12" w:rsidRDefault="000E5D12" w:rsidP="00C158EF">
      <w:pPr>
        <w:autoSpaceDE w:val="0"/>
        <w:autoSpaceDN w:val="0"/>
        <w:spacing w:before="10" w:after="0"/>
        <w:jc w:val="both"/>
        <w:rPr>
          <w:rFonts w:ascii="Times New Roman" w:eastAsia="Calibri" w:hAnsi="Times New Roman" w:cs="Times New Roman"/>
          <w:sz w:val="24"/>
          <w:szCs w:val="24"/>
          <w:lang w:val="en-GB" w:eastAsia="en-GB"/>
        </w:rPr>
      </w:pPr>
      <w:r w:rsidRPr="000E5D12">
        <w:rPr>
          <w:rFonts w:ascii="Times New Roman" w:eastAsia="Calibri" w:hAnsi="Times New Roman" w:cs="Times New Roman"/>
          <w:sz w:val="24"/>
          <w:szCs w:val="24"/>
          <w:lang w:val="en-GB" w:eastAsia="en-GB"/>
        </w:rPr>
        <w:t xml:space="preserve">It is notable that there is no complete blanket ban on begging in Ireland, as the legislation does not make it an offence to beg in a public place. The exception to this being that such begging must be non-threatening and non-intimidating and the person begging is not part of a group organised for the purposes of begging and is not begging near ATM machines, entrances to business premises, or any other </w:t>
      </w:r>
      <w:r w:rsidR="00481DCD">
        <w:rPr>
          <w:rFonts w:ascii="Times New Roman" w:eastAsia="Calibri" w:hAnsi="Times New Roman" w:cs="Times New Roman"/>
          <w:sz w:val="24"/>
          <w:szCs w:val="24"/>
          <w:lang w:val="en-GB" w:eastAsia="en-GB"/>
        </w:rPr>
        <w:t>place listed in Section 3 of</w:t>
      </w:r>
      <w:r w:rsidRPr="000E5D12">
        <w:rPr>
          <w:rFonts w:ascii="Times New Roman" w:eastAsia="Calibri" w:hAnsi="Times New Roman" w:cs="Times New Roman"/>
          <w:sz w:val="24"/>
          <w:szCs w:val="24"/>
          <w:lang w:val="en-GB" w:eastAsia="en-GB"/>
        </w:rPr>
        <w:t xml:space="preserve"> </w:t>
      </w:r>
      <w:r w:rsidR="00481DCD" w:rsidRPr="000E5D12">
        <w:rPr>
          <w:rFonts w:ascii="Times New Roman" w:eastAsia="Calibri" w:hAnsi="Times New Roman" w:cs="Times New Roman"/>
          <w:sz w:val="24"/>
          <w:szCs w:val="24"/>
          <w:lang w:val="en-GB"/>
        </w:rPr>
        <w:t>the Criminal Justice (Pu</w:t>
      </w:r>
      <w:r w:rsidR="00481DCD">
        <w:rPr>
          <w:rFonts w:ascii="Times New Roman" w:eastAsia="Calibri" w:hAnsi="Times New Roman" w:cs="Times New Roman"/>
          <w:sz w:val="24"/>
          <w:szCs w:val="24"/>
          <w:lang w:val="en-GB"/>
        </w:rPr>
        <w:t>blic Order) 2011</w:t>
      </w:r>
      <w:r w:rsidRPr="000E5D12">
        <w:rPr>
          <w:rFonts w:ascii="Times New Roman" w:eastAsia="Calibri" w:hAnsi="Times New Roman" w:cs="Times New Roman"/>
          <w:sz w:val="24"/>
          <w:szCs w:val="24"/>
          <w:lang w:val="en-GB" w:eastAsia="en-GB"/>
        </w:rPr>
        <w:t xml:space="preserve"> Act. </w:t>
      </w:r>
    </w:p>
    <w:p w:rsidR="00481DCD" w:rsidRPr="000E5D12" w:rsidRDefault="00481DCD" w:rsidP="00C158EF">
      <w:pPr>
        <w:autoSpaceDE w:val="0"/>
        <w:autoSpaceDN w:val="0"/>
        <w:spacing w:before="10" w:after="0"/>
        <w:jc w:val="both"/>
        <w:rPr>
          <w:rFonts w:ascii="Times New Roman" w:eastAsia="Calibri" w:hAnsi="Times New Roman" w:cs="Times New Roman"/>
          <w:sz w:val="24"/>
          <w:szCs w:val="24"/>
          <w:lang w:val="en-GB" w:eastAsia="en-GB"/>
        </w:rPr>
      </w:pPr>
    </w:p>
    <w:p w:rsidR="000E5D12" w:rsidRDefault="000E5D12" w:rsidP="00C158EF">
      <w:pPr>
        <w:autoSpaceDE w:val="0"/>
        <w:autoSpaceDN w:val="0"/>
        <w:spacing w:before="10" w:after="0"/>
        <w:jc w:val="both"/>
        <w:rPr>
          <w:rFonts w:ascii="Times New Roman" w:eastAsia="Calibri" w:hAnsi="Times New Roman" w:cs="Times New Roman"/>
          <w:sz w:val="24"/>
          <w:szCs w:val="24"/>
          <w:lang w:val="en-GB" w:eastAsia="en-GB"/>
        </w:rPr>
      </w:pPr>
      <w:r w:rsidRPr="000E5D12">
        <w:rPr>
          <w:rFonts w:ascii="Times New Roman" w:eastAsia="Calibri" w:hAnsi="Times New Roman" w:cs="Times New Roman"/>
          <w:sz w:val="24"/>
          <w:szCs w:val="24"/>
          <w:lang w:val="en-GB" w:eastAsia="en-GB"/>
        </w:rPr>
        <w:t>The UN Guiding Principles on Extreme Poverty and Human Rights states that the penalty of imprisonment should be abolished for offences relating to begging. Although relatively rarely implemented, there are a range of offences in Ireland that can result in imprisonment. This is of course by and large limited in practice to more serious offences and thus it is unlikely that a penalty of imprisonment would be imposed on an individual guilty of an offence relating to begging, save for cases involving organised crime groups.</w:t>
      </w:r>
    </w:p>
    <w:p w:rsidR="00481DCD" w:rsidRPr="000E5D12" w:rsidRDefault="00481DCD" w:rsidP="00C158EF">
      <w:pPr>
        <w:autoSpaceDE w:val="0"/>
        <w:autoSpaceDN w:val="0"/>
        <w:spacing w:before="10" w:after="0"/>
        <w:jc w:val="both"/>
        <w:rPr>
          <w:rFonts w:ascii="Times New Roman" w:eastAsia="Calibri" w:hAnsi="Times New Roman" w:cs="Times New Roman"/>
          <w:sz w:val="24"/>
          <w:szCs w:val="24"/>
          <w:lang w:val="en-GB" w:eastAsia="en-GB"/>
        </w:rPr>
      </w:pPr>
    </w:p>
    <w:p w:rsidR="00E35B00" w:rsidRPr="000E5D12" w:rsidRDefault="000E5D12" w:rsidP="00C158EF">
      <w:pPr>
        <w:autoSpaceDE w:val="0"/>
        <w:autoSpaceDN w:val="0"/>
        <w:spacing w:before="10" w:after="0"/>
        <w:jc w:val="both"/>
        <w:rPr>
          <w:rFonts w:ascii="Times New Roman" w:eastAsia="Calibri" w:hAnsi="Times New Roman" w:cs="Times New Roman"/>
          <w:sz w:val="24"/>
          <w:szCs w:val="24"/>
          <w:lang w:val="en-GB" w:eastAsia="en-GB"/>
        </w:rPr>
      </w:pPr>
      <w:r w:rsidRPr="000E5D12">
        <w:rPr>
          <w:rFonts w:ascii="Times New Roman" w:eastAsia="Calibri" w:hAnsi="Times New Roman" w:cs="Times New Roman"/>
          <w:sz w:val="24"/>
          <w:szCs w:val="24"/>
          <w:lang w:val="en-GB" w:eastAsia="en-GB"/>
        </w:rPr>
        <w:lastRenderedPageBreak/>
        <w:t>On this basis, Ireland’s legislation regarding begging can be said to be broadly compatible with the UN human rights standards and the judgment of the European Court of Human Rights in the case of Lăcătuş v. Switzerland. In addition, exceptions to the ability to beg can be said to be proportionate to the rights of others to go about their business free of harassment and intimidation.</w:t>
      </w:r>
    </w:p>
    <w:p w:rsidR="000E5D12" w:rsidRPr="000E5D12" w:rsidRDefault="000E5D12" w:rsidP="00C158EF">
      <w:pPr>
        <w:autoSpaceDE w:val="0"/>
        <w:autoSpaceDN w:val="0"/>
        <w:spacing w:before="10" w:after="0"/>
        <w:jc w:val="both"/>
        <w:rPr>
          <w:rFonts w:ascii="Times New Roman" w:eastAsia="Calibri" w:hAnsi="Times New Roman" w:cs="Times New Roman"/>
          <w:sz w:val="24"/>
          <w:szCs w:val="24"/>
          <w:lang w:val="en-GB" w:eastAsia="en-GB"/>
        </w:rPr>
      </w:pPr>
    </w:p>
    <w:p w:rsidR="00E663E3" w:rsidRPr="000E5D12" w:rsidRDefault="00E35B00" w:rsidP="00C158EF">
      <w:pPr>
        <w:numPr>
          <w:ilvl w:val="1"/>
          <w:numId w:val="1"/>
        </w:numPr>
        <w:autoSpaceDE w:val="0"/>
        <w:autoSpaceDN w:val="0"/>
        <w:spacing w:after="0"/>
        <w:ind w:left="426" w:right="570"/>
        <w:jc w:val="both"/>
        <w:rPr>
          <w:rFonts w:ascii="Times New Roman" w:eastAsia="Calibri" w:hAnsi="Times New Roman" w:cs="Times New Roman"/>
          <w:i/>
          <w:sz w:val="24"/>
          <w:szCs w:val="24"/>
          <w:lang w:val="en-GB" w:eastAsia="en-GB"/>
        </w:rPr>
      </w:pPr>
      <w:r w:rsidRPr="000E5D12">
        <w:rPr>
          <w:rFonts w:ascii="Times New Roman" w:eastAsia="Calibri" w:hAnsi="Times New Roman" w:cs="Times New Roman"/>
          <w:i/>
          <w:sz w:val="24"/>
          <w:szCs w:val="24"/>
          <w:lang w:val="en-GB" w:eastAsia="en-GB"/>
        </w:rPr>
        <w:t>Has</w:t>
      </w:r>
      <w:r w:rsidRPr="000E5D12">
        <w:rPr>
          <w:rFonts w:ascii="Times New Roman" w:eastAsia="Calibri" w:hAnsi="Times New Roman" w:cs="Times New Roman"/>
          <w:i/>
          <w:spacing w:val="-9"/>
          <w:sz w:val="24"/>
          <w:szCs w:val="24"/>
          <w:lang w:val="en-GB" w:eastAsia="en-GB"/>
        </w:rPr>
        <w:t xml:space="preserve"> </w:t>
      </w:r>
      <w:r w:rsidRPr="000E5D12">
        <w:rPr>
          <w:rFonts w:ascii="Times New Roman" w:eastAsia="Calibri" w:hAnsi="Times New Roman" w:cs="Times New Roman"/>
          <w:i/>
          <w:sz w:val="24"/>
          <w:szCs w:val="24"/>
          <w:lang w:val="en-GB" w:eastAsia="en-GB"/>
        </w:rPr>
        <w:t>your</w:t>
      </w:r>
      <w:r w:rsidRPr="000E5D12">
        <w:rPr>
          <w:rFonts w:ascii="Times New Roman" w:eastAsia="Calibri" w:hAnsi="Times New Roman" w:cs="Times New Roman"/>
          <w:i/>
          <w:spacing w:val="-14"/>
          <w:sz w:val="24"/>
          <w:szCs w:val="24"/>
          <w:lang w:val="en-GB" w:eastAsia="en-GB"/>
        </w:rPr>
        <w:t xml:space="preserve"> </w:t>
      </w:r>
      <w:r w:rsidRPr="000E5D12">
        <w:rPr>
          <w:rFonts w:ascii="Times New Roman" w:eastAsia="Calibri" w:hAnsi="Times New Roman" w:cs="Times New Roman"/>
          <w:i/>
          <w:spacing w:val="-3"/>
          <w:sz w:val="24"/>
          <w:szCs w:val="24"/>
          <w:lang w:val="en-GB" w:eastAsia="en-GB"/>
        </w:rPr>
        <w:t>local,</w:t>
      </w:r>
      <w:r w:rsidRPr="000E5D12">
        <w:rPr>
          <w:rFonts w:ascii="Times New Roman" w:eastAsia="Calibri" w:hAnsi="Times New Roman" w:cs="Times New Roman"/>
          <w:i/>
          <w:spacing w:val="-10"/>
          <w:sz w:val="24"/>
          <w:szCs w:val="24"/>
          <w:lang w:val="en-GB" w:eastAsia="en-GB"/>
        </w:rPr>
        <w:t xml:space="preserve"> </w:t>
      </w:r>
      <w:r w:rsidRPr="000E5D12">
        <w:rPr>
          <w:rFonts w:ascii="Times New Roman" w:eastAsia="Calibri" w:hAnsi="Times New Roman" w:cs="Times New Roman"/>
          <w:i/>
          <w:sz w:val="24"/>
          <w:szCs w:val="24"/>
          <w:lang w:val="en-GB" w:eastAsia="en-GB"/>
        </w:rPr>
        <w:t>regional</w:t>
      </w:r>
      <w:r w:rsidRPr="000E5D12">
        <w:rPr>
          <w:rFonts w:ascii="Times New Roman" w:eastAsia="Calibri" w:hAnsi="Times New Roman" w:cs="Times New Roman"/>
          <w:i/>
          <w:spacing w:val="-20"/>
          <w:sz w:val="24"/>
          <w:szCs w:val="24"/>
          <w:lang w:val="en-GB" w:eastAsia="en-GB"/>
        </w:rPr>
        <w:t xml:space="preserve"> </w:t>
      </w:r>
      <w:r w:rsidRPr="000E5D12">
        <w:rPr>
          <w:rFonts w:ascii="Times New Roman" w:eastAsia="Calibri" w:hAnsi="Times New Roman" w:cs="Times New Roman"/>
          <w:i/>
          <w:sz w:val="24"/>
          <w:szCs w:val="24"/>
          <w:lang w:val="en-GB" w:eastAsia="en-GB"/>
        </w:rPr>
        <w:t>or</w:t>
      </w:r>
      <w:r w:rsidRPr="000E5D12">
        <w:rPr>
          <w:rFonts w:ascii="Times New Roman" w:eastAsia="Calibri" w:hAnsi="Times New Roman" w:cs="Times New Roman"/>
          <w:i/>
          <w:spacing w:val="-10"/>
          <w:sz w:val="24"/>
          <w:szCs w:val="24"/>
          <w:lang w:val="en-GB" w:eastAsia="en-GB"/>
        </w:rPr>
        <w:t xml:space="preserve"> </w:t>
      </w:r>
      <w:r w:rsidRPr="000E5D12">
        <w:rPr>
          <w:rFonts w:ascii="Times New Roman" w:eastAsia="Calibri" w:hAnsi="Times New Roman" w:cs="Times New Roman"/>
          <w:i/>
          <w:sz w:val="24"/>
          <w:szCs w:val="24"/>
          <w:lang w:val="en-GB" w:eastAsia="en-GB"/>
        </w:rPr>
        <w:t>national</w:t>
      </w:r>
      <w:r w:rsidRPr="000E5D12">
        <w:rPr>
          <w:rFonts w:ascii="Times New Roman" w:eastAsia="Calibri" w:hAnsi="Times New Roman" w:cs="Times New Roman"/>
          <w:i/>
          <w:spacing w:val="-19"/>
          <w:sz w:val="24"/>
          <w:szCs w:val="24"/>
          <w:lang w:val="en-GB" w:eastAsia="en-GB"/>
        </w:rPr>
        <w:t xml:space="preserve"> </w:t>
      </w:r>
      <w:r w:rsidRPr="000E5D12">
        <w:rPr>
          <w:rFonts w:ascii="Times New Roman" w:eastAsia="Calibri" w:hAnsi="Times New Roman" w:cs="Times New Roman"/>
          <w:i/>
          <w:sz w:val="24"/>
          <w:szCs w:val="24"/>
          <w:lang w:val="en-GB" w:eastAsia="en-GB"/>
        </w:rPr>
        <w:t>Government</w:t>
      </w:r>
      <w:r w:rsidRPr="000E5D12">
        <w:rPr>
          <w:rFonts w:ascii="Times New Roman" w:eastAsia="Calibri" w:hAnsi="Times New Roman" w:cs="Times New Roman"/>
          <w:i/>
          <w:spacing w:val="-11"/>
          <w:sz w:val="24"/>
          <w:szCs w:val="24"/>
          <w:lang w:val="en-GB" w:eastAsia="en-GB"/>
        </w:rPr>
        <w:t xml:space="preserve"> </w:t>
      </w:r>
      <w:r w:rsidRPr="000E5D12">
        <w:rPr>
          <w:rFonts w:ascii="Times New Roman" w:eastAsia="Calibri" w:hAnsi="Times New Roman" w:cs="Times New Roman"/>
          <w:i/>
          <w:sz w:val="24"/>
          <w:szCs w:val="24"/>
          <w:lang w:val="en-GB" w:eastAsia="en-GB"/>
        </w:rPr>
        <w:t>adopted</w:t>
      </w:r>
      <w:r w:rsidRPr="000E5D12">
        <w:rPr>
          <w:rFonts w:ascii="Times New Roman" w:eastAsia="Calibri" w:hAnsi="Times New Roman" w:cs="Times New Roman"/>
          <w:i/>
          <w:spacing w:val="-15"/>
          <w:sz w:val="24"/>
          <w:szCs w:val="24"/>
          <w:lang w:val="en-GB" w:eastAsia="en-GB"/>
        </w:rPr>
        <w:t xml:space="preserve"> </w:t>
      </w:r>
      <w:r w:rsidRPr="000E5D12">
        <w:rPr>
          <w:rFonts w:ascii="Times New Roman" w:eastAsia="Calibri" w:hAnsi="Times New Roman" w:cs="Times New Roman"/>
          <w:i/>
          <w:sz w:val="24"/>
          <w:szCs w:val="24"/>
          <w:lang w:val="en-GB" w:eastAsia="en-GB"/>
        </w:rPr>
        <w:t>any</w:t>
      </w:r>
      <w:r w:rsidRPr="000E5D12">
        <w:rPr>
          <w:rFonts w:ascii="Times New Roman" w:eastAsia="Calibri" w:hAnsi="Times New Roman" w:cs="Times New Roman"/>
          <w:i/>
          <w:spacing w:val="-15"/>
          <w:sz w:val="24"/>
          <w:szCs w:val="24"/>
          <w:lang w:val="en-GB" w:eastAsia="en-GB"/>
        </w:rPr>
        <w:t xml:space="preserve"> </w:t>
      </w:r>
      <w:r w:rsidRPr="000E5D12">
        <w:rPr>
          <w:rFonts w:ascii="Times New Roman" w:eastAsia="Calibri" w:hAnsi="Times New Roman" w:cs="Times New Roman"/>
          <w:i/>
          <w:sz w:val="24"/>
          <w:szCs w:val="24"/>
          <w:lang w:val="en-GB" w:eastAsia="en-GB"/>
        </w:rPr>
        <w:t>measures</w:t>
      </w:r>
      <w:r w:rsidRPr="000E5D12">
        <w:rPr>
          <w:rFonts w:ascii="Times New Roman" w:eastAsia="Calibri" w:hAnsi="Times New Roman" w:cs="Times New Roman"/>
          <w:i/>
          <w:spacing w:val="-6"/>
          <w:sz w:val="24"/>
          <w:szCs w:val="24"/>
          <w:lang w:val="en-GB" w:eastAsia="en-GB"/>
        </w:rPr>
        <w:t xml:space="preserve"> </w:t>
      </w:r>
      <w:r w:rsidRPr="000E5D12">
        <w:rPr>
          <w:rFonts w:ascii="Times New Roman" w:eastAsia="Calibri" w:hAnsi="Times New Roman" w:cs="Times New Roman"/>
          <w:i/>
          <w:sz w:val="24"/>
          <w:szCs w:val="24"/>
          <w:lang w:val="en-GB" w:eastAsia="en-GB"/>
        </w:rPr>
        <w:t>to</w:t>
      </w:r>
      <w:r w:rsidRPr="000E5D12">
        <w:rPr>
          <w:rFonts w:ascii="Times New Roman" w:eastAsia="Calibri" w:hAnsi="Times New Roman" w:cs="Times New Roman"/>
          <w:i/>
          <w:spacing w:val="-11"/>
          <w:sz w:val="24"/>
          <w:szCs w:val="24"/>
          <w:lang w:val="en-GB" w:eastAsia="en-GB"/>
        </w:rPr>
        <w:t xml:space="preserve"> </w:t>
      </w:r>
      <w:r w:rsidRPr="000E5D12">
        <w:rPr>
          <w:rFonts w:ascii="Times New Roman" w:eastAsia="Calibri" w:hAnsi="Times New Roman" w:cs="Times New Roman"/>
          <w:i/>
          <w:sz w:val="24"/>
          <w:szCs w:val="24"/>
          <w:lang w:val="en-GB" w:eastAsia="en-GB"/>
        </w:rPr>
        <w:t xml:space="preserve">decriminalise begging, eating, sleeping or performing personal hygienic activities </w:t>
      </w:r>
      <w:r w:rsidRPr="000E5D12">
        <w:rPr>
          <w:rFonts w:ascii="Times New Roman" w:eastAsia="Calibri" w:hAnsi="Times New Roman" w:cs="Times New Roman"/>
          <w:i/>
          <w:spacing w:val="-3"/>
          <w:sz w:val="24"/>
          <w:szCs w:val="24"/>
          <w:lang w:val="en-GB" w:eastAsia="en-GB"/>
        </w:rPr>
        <w:t xml:space="preserve">in </w:t>
      </w:r>
      <w:r w:rsidRPr="000E5D12">
        <w:rPr>
          <w:rFonts w:ascii="Times New Roman" w:eastAsia="Calibri" w:hAnsi="Times New Roman" w:cs="Times New Roman"/>
          <w:i/>
          <w:sz w:val="24"/>
          <w:szCs w:val="24"/>
          <w:lang w:val="en-GB" w:eastAsia="en-GB"/>
        </w:rPr>
        <w:t xml:space="preserve">public places? Is your Government planning to undertake such measures </w:t>
      </w:r>
      <w:r w:rsidRPr="000E5D12">
        <w:rPr>
          <w:rFonts w:ascii="Times New Roman" w:eastAsia="Calibri" w:hAnsi="Times New Roman" w:cs="Times New Roman"/>
          <w:i/>
          <w:spacing w:val="-3"/>
          <w:sz w:val="24"/>
          <w:szCs w:val="24"/>
          <w:lang w:val="en-GB" w:eastAsia="en-GB"/>
        </w:rPr>
        <w:t xml:space="preserve">in </w:t>
      </w:r>
      <w:r w:rsidRPr="000E5D12">
        <w:rPr>
          <w:rFonts w:ascii="Times New Roman" w:eastAsia="Calibri" w:hAnsi="Times New Roman" w:cs="Times New Roman"/>
          <w:i/>
          <w:sz w:val="24"/>
          <w:szCs w:val="24"/>
          <w:lang w:val="en-GB" w:eastAsia="en-GB"/>
        </w:rPr>
        <w:t xml:space="preserve">light of the judgement of the European Court on Human Rights? </w:t>
      </w:r>
      <w:r w:rsidRPr="000E5D12">
        <w:rPr>
          <w:rFonts w:ascii="Times New Roman" w:eastAsia="Calibri" w:hAnsi="Times New Roman" w:cs="Times New Roman"/>
          <w:i/>
          <w:spacing w:val="3"/>
          <w:sz w:val="24"/>
          <w:szCs w:val="24"/>
          <w:lang w:val="en-GB" w:eastAsia="en-GB"/>
        </w:rPr>
        <w:t xml:space="preserve">If </w:t>
      </w:r>
      <w:r w:rsidRPr="000E5D12">
        <w:rPr>
          <w:rFonts w:ascii="Times New Roman" w:eastAsia="Calibri" w:hAnsi="Times New Roman" w:cs="Times New Roman"/>
          <w:i/>
          <w:sz w:val="24"/>
          <w:szCs w:val="24"/>
          <w:lang w:val="en-GB" w:eastAsia="en-GB"/>
        </w:rPr>
        <w:t xml:space="preserve">so, could you kindly explain what </w:t>
      </w:r>
      <w:r w:rsidRPr="000E5D12">
        <w:rPr>
          <w:rFonts w:ascii="Times New Roman" w:eastAsia="Calibri" w:hAnsi="Times New Roman" w:cs="Times New Roman"/>
          <w:i/>
          <w:spacing w:val="-5"/>
          <w:sz w:val="24"/>
          <w:szCs w:val="24"/>
          <w:lang w:val="en-GB" w:eastAsia="en-GB"/>
        </w:rPr>
        <w:t xml:space="preserve">is </w:t>
      </w:r>
      <w:r w:rsidRPr="000E5D12">
        <w:rPr>
          <w:rFonts w:ascii="Times New Roman" w:eastAsia="Calibri" w:hAnsi="Times New Roman" w:cs="Times New Roman"/>
          <w:i/>
          <w:sz w:val="24"/>
          <w:szCs w:val="24"/>
          <w:lang w:val="en-GB" w:eastAsia="en-GB"/>
        </w:rPr>
        <w:t xml:space="preserve">envisaged, and which obstacles you may </w:t>
      </w:r>
      <w:r w:rsidRPr="000E5D12">
        <w:rPr>
          <w:rFonts w:ascii="Times New Roman" w:eastAsia="Calibri" w:hAnsi="Times New Roman" w:cs="Times New Roman"/>
          <w:i/>
          <w:spacing w:val="-3"/>
          <w:sz w:val="24"/>
          <w:szCs w:val="24"/>
          <w:lang w:val="en-GB" w:eastAsia="en-GB"/>
        </w:rPr>
        <w:t>be</w:t>
      </w:r>
      <w:r w:rsidRPr="000E5D12">
        <w:rPr>
          <w:rFonts w:ascii="Times New Roman" w:eastAsia="Calibri" w:hAnsi="Times New Roman" w:cs="Times New Roman"/>
          <w:i/>
          <w:spacing w:val="13"/>
          <w:sz w:val="24"/>
          <w:szCs w:val="24"/>
          <w:lang w:val="en-GB" w:eastAsia="en-GB"/>
        </w:rPr>
        <w:t xml:space="preserve"> </w:t>
      </w:r>
      <w:r w:rsidR="00E663E3" w:rsidRPr="000E5D12">
        <w:rPr>
          <w:rFonts w:ascii="Times New Roman" w:eastAsia="Calibri" w:hAnsi="Times New Roman" w:cs="Times New Roman"/>
          <w:i/>
          <w:sz w:val="24"/>
          <w:szCs w:val="24"/>
          <w:lang w:val="en-GB" w:eastAsia="en-GB"/>
        </w:rPr>
        <w:t>facing?</w:t>
      </w:r>
    </w:p>
    <w:p w:rsidR="00E663E3" w:rsidRPr="000E5D12" w:rsidRDefault="00E663E3" w:rsidP="00C158EF">
      <w:pPr>
        <w:autoSpaceDE w:val="0"/>
        <w:autoSpaceDN w:val="0"/>
        <w:spacing w:after="0"/>
        <w:ind w:left="65" w:right="570"/>
        <w:jc w:val="both"/>
        <w:rPr>
          <w:rFonts w:ascii="Times New Roman" w:eastAsia="Calibri" w:hAnsi="Times New Roman" w:cs="Times New Roman"/>
          <w:i/>
          <w:sz w:val="24"/>
          <w:szCs w:val="24"/>
          <w:lang w:val="en-GB" w:eastAsia="en-GB"/>
        </w:rPr>
      </w:pPr>
    </w:p>
    <w:p w:rsidR="000E5D12" w:rsidRPr="000E5D12" w:rsidRDefault="000E5D12" w:rsidP="00C158EF">
      <w:pPr>
        <w:jc w:val="both"/>
        <w:rPr>
          <w:rFonts w:ascii="Times New Roman" w:hAnsi="Times New Roman" w:cs="Times New Roman"/>
          <w:sz w:val="24"/>
          <w:szCs w:val="24"/>
          <w:shd w:val="clear" w:color="auto" w:fill="FFFFFF"/>
        </w:rPr>
      </w:pPr>
      <w:r w:rsidRPr="000E5D12">
        <w:rPr>
          <w:rFonts w:ascii="Times New Roman" w:hAnsi="Times New Roman" w:cs="Times New Roman"/>
          <w:sz w:val="24"/>
          <w:szCs w:val="24"/>
          <w:shd w:val="clear" w:color="auto" w:fill="FFFFFF"/>
        </w:rPr>
        <w:t>In the past, measures have been taken by the Government and the Courts to decriminalise begging and sleeping in public places. The Vagrancy Acts of 1824</w:t>
      </w:r>
      <w:r w:rsidR="00481DCD">
        <w:rPr>
          <w:rStyle w:val="FootnoteReference"/>
          <w:rFonts w:ascii="Times New Roman" w:hAnsi="Times New Roman" w:cs="Times New Roman"/>
          <w:sz w:val="24"/>
          <w:szCs w:val="24"/>
          <w:shd w:val="clear" w:color="auto" w:fill="FFFFFF"/>
        </w:rPr>
        <w:footnoteReference w:id="4"/>
      </w:r>
      <w:r w:rsidRPr="000E5D12">
        <w:rPr>
          <w:rFonts w:ascii="Times New Roman" w:hAnsi="Times New Roman" w:cs="Times New Roman"/>
          <w:sz w:val="24"/>
          <w:szCs w:val="24"/>
          <w:shd w:val="clear" w:color="auto" w:fill="FFFFFF"/>
        </w:rPr>
        <w:t xml:space="preserve"> and 1847</w:t>
      </w:r>
      <w:r w:rsidR="00481DCD">
        <w:rPr>
          <w:rStyle w:val="FootnoteReference"/>
          <w:rFonts w:ascii="Times New Roman" w:hAnsi="Times New Roman" w:cs="Times New Roman"/>
          <w:sz w:val="24"/>
          <w:szCs w:val="24"/>
          <w:shd w:val="clear" w:color="auto" w:fill="FFFFFF"/>
        </w:rPr>
        <w:footnoteReference w:id="5"/>
      </w:r>
      <w:r w:rsidRPr="000E5D12">
        <w:rPr>
          <w:rFonts w:ascii="Times New Roman" w:hAnsi="Times New Roman" w:cs="Times New Roman"/>
          <w:sz w:val="24"/>
          <w:szCs w:val="24"/>
          <w:shd w:val="clear" w:color="auto" w:fill="FFFFFF"/>
        </w:rPr>
        <w:t xml:space="preserve"> essentially criminalised homelessness and begging in Ireland. Section 4 of the 1824 Act made it an offence to sleep rough, however this was repealed by the Housing Act 1988</w:t>
      </w:r>
      <w:r w:rsidRPr="000E5D12">
        <w:rPr>
          <w:rStyle w:val="FootnoteReference"/>
          <w:rFonts w:ascii="Times New Roman" w:hAnsi="Times New Roman" w:cs="Times New Roman"/>
          <w:sz w:val="24"/>
          <w:szCs w:val="24"/>
          <w:shd w:val="clear" w:color="auto" w:fill="FFFFFF"/>
        </w:rPr>
        <w:footnoteReference w:id="6"/>
      </w:r>
      <w:r w:rsidRPr="000E5D12">
        <w:rPr>
          <w:rFonts w:ascii="Times New Roman" w:hAnsi="Times New Roman" w:cs="Times New Roman"/>
          <w:sz w:val="24"/>
          <w:szCs w:val="24"/>
          <w:shd w:val="clear" w:color="auto" w:fill="FFFFFF"/>
        </w:rPr>
        <w:t xml:space="preserve">. </w:t>
      </w:r>
    </w:p>
    <w:p w:rsidR="00E35B00" w:rsidRPr="009B1873" w:rsidRDefault="000E5D12" w:rsidP="00C158EF">
      <w:pPr>
        <w:jc w:val="both"/>
        <w:rPr>
          <w:rFonts w:ascii="Times New Roman" w:hAnsi="Times New Roman" w:cs="Times New Roman"/>
          <w:sz w:val="24"/>
          <w:szCs w:val="24"/>
          <w:shd w:val="clear" w:color="auto" w:fill="FFFFFF"/>
        </w:rPr>
      </w:pPr>
      <w:r w:rsidRPr="000E5D12">
        <w:rPr>
          <w:rFonts w:ascii="Times New Roman" w:hAnsi="Times New Roman" w:cs="Times New Roman"/>
          <w:sz w:val="24"/>
          <w:szCs w:val="24"/>
          <w:shd w:val="clear" w:color="auto" w:fill="FFFFFF"/>
        </w:rPr>
        <w:t xml:space="preserve">Section 3 of the 1847 Act prohibited begging in any public place under any circumstances. This law was ruled to be unconstitutional </w:t>
      </w:r>
      <w:r w:rsidRPr="000E5D12">
        <w:rPr>
          <w:rFonts w:ascii="Times New Roman" w:hAnsi="Times New Roman" w:cs="Times New Roman"/>
          <w:sz w:val="24"/>
          <w:szCs w:val="24"/>
          <w:shd w:val="clear" w:color="auto" w:fill="FFFFFF"/>
        </w:rPr>
        <w:lastRenderedPageBreak/>
        <w:t>by the High Court in the case of Dillon v Director of Public Prosecutions</w:t>
      </w:r>
      <w:r w:rsidRPr="000E5D12">
        <w:rPr>
          <w:rStyle w:val="FootnoteReference"/>
          <w:rFonts w:ascii="Times New Roman" w:hAnsi="Times New Roman" w:cs="Times New Roman"/>
          <w:sz w:val="24"/>
          <w:szCs w:val="24"/>
          <w:shd w:val="clear" w:color="auto" w:fill="FFFFFF"/>
        </w:rPr>
        <w:footnoteReference w:id="7"/>
      </w:r>
      <w:r w:rsidRPr="000E5D12">
        <w:rPr>
          <w:rFonts w:ascii="Times New Roman" w:hAnsi="Times New Roman" w:cs="Times New Roman"/>
          <w:sz w:val="24"/>
          <w:szCs w:val="24"/>
          <w:shd w:val="clear" w:color="auto" w:fill="FFFFFF"/>
        </w:rPr>
        <w:t xml:space="preserve"> and thus no longer remains in force. </w:t>
      </w:r>
    </w:p>
    <w:p w:rsidR="00E663E3" w:rsidRPr="000E5D12" w:rsidRDefault="00E663E3" w:rsidP="00C158EF">
      <w:pPr>
        <w:spacing w:after="0"/>
        <w:jc w:val="both"/>
        <w:rPr>
          <w:rFonts w:ascii="Times New Roman" w:hAnsi="Times New Roman" w:cs="Times New Roman"/>
          <w:sz w:val="24"/>
          <w:szCs w:val="24"/>
        </w:rPr>
      </w:pPr>
      <w:r w:rsidRPr="000E5D12">
        <w:rPr>
          <w:rFonts w:ascii="Times New Roman" w:eastAsia="Calibri" w:hAnsi="Times New Roman" w:cs="Times New Roman"/>
          <w:i/>
          <w:sz w:val="24"/>
          <w:szCs w:val="24"/>
          <w:lang w:val="en-GB" w:eastAsia="en-GB"/>
        </w:rPr>
        <w:t xml:space="preserve">4) </w:t>
      </w:r>
      <w:r w:rsidR="00E35B00" w:rsidRPr="000E5D12">
        <w:rPr>
          <w:rFonts w:ascii="Times New Roman" w:eastAsia="Calibri" w:hAnsi="Times New Roman" w:cs="Times New Roman"/>
          <w:i/>
          <w:sz w:val="24"/>
          <w:szCs w:val="24"/>
          <w:lang w:val="en-GB" w:eastAsia="en-GB"/>
        </w:rPr>
        <w:t xml:space="preserve">Which measures are </w:t>
      </w:r>
      <w:r w:rsidR="00E35B00" w:rsidRPr="000E5D12">
        <w:rPr>
          <w:rFonts w:ascii="Times New Roman" w:eastAsia="Calibri" w:hAnsi="Times New Roman" w:cs="Times New Roman"/>
          <w:i/>
          <w:spacing w:val="-3"/>
          <w:sz w:val="24"/>
          <w:szCs w:val="24"/>
          <w:lang w:val="en-GB" w:eastAsia="en-GB"/>
        </w:rPr>
        <w:t xml:space="preserve">in </w:t>
      </w:r>
      <w:r w:rsidR="00E35B00" w:rsidRPr="000E5D12">
        <w:rPr>
          <w:rFonts w:ascii="Times New Roman" w:eastAsia="Calibri" w:hAnsi="Times New Roman" w:cs="Times New Roman"/>
          <w:i/>
          <w:sz w:val="24"/>
          <w:szCs w:val="24"/>
          <w:lang w:val="en-GB" w:eastAsia="en-GB"/>
        </w:rPr>
        <w:t xml:space="preserve">place </w:t>
      </w:r>
      <w:r w:rsidR="00E35B00" w:rsidRPr="000E5D12">
        <w:rPr>
          <w:rFonts w:ascii="Times New Roman" w:eastAsia="Calibri" w:hAnsi="Times New Roman" w:cs="Times New Roman"/>
          <w:i/>
          <w:spacing w:val="-3"/>
          <w:sz w:val="24"/>
          <w:szCs w:val="24"/>
          <w:lang w:val="en-GB" w:eastAsia="en-GB"/>
        </w:rPr>
        <w:t xml:space="preserve">in </w:t>
      </w:r>
      <w:r w:rsidR="00E35B00" w:rsidRPr="000E5D12">
        <w:rPr>
          <w:rFonts w:ascii="Times New Roman" w:eastAsia="Calibri" w:hAnsi="Times New Roman" w:cs="Times New Roman"/>
          <w:i/>
          <w:sz w:val="24"/>
          <w:szCs w:val="24"/>
          <w:lang w:val="en-GB" w:eastAsia="en-GB"/>
        </w:rPr>
        <w:t xml:space="preserve">your municipality, province/canton/federal State to support people living </w:t>
      </w:r>
      <w:r w:rsidR="00E35B00" w:rsidRPr="000E5D12">
        <w:rPr>
          <w:rFonts w:ascii="Times New Roman" w:eastAsia="Calibri" w:hAnsi="Times New Roman" w:cs="Times New Roman"/>
          <w:i/>
          <w:spacing w:val="-3"/>
          <w:sz w:val="24"/>
          <w:szCs w:val="24"/>
          <w:lang w:val="en-GB" w:eastAsia="en-GB"/>
        </w:rPr>
        <w:t xml:space="preserve">in </w:t>
      </w:r>
      <w:r w:rsidR="00E35B00" w:rsidRPr="000E5D12">
        <w:rPr>
          <w:rFonts w:ascii="Times New Roman" w:eastAsia="Calibri" w:hAnsi="Times New Roman" w:cs="Times New Roman"/>
          <w:i/>
          <w:sz w:val="24"/>
          <w:szCs w:val="24"/>
          <w:lang w:val="en-GB" w:eastAsia="en-GB"/>
        </w:rPr>
        <w:t xml:space="preserve">poverty from having to resort to begging, sleeping, washing, defecating or performing other hygienic activities in public places because they do not have access </w:t>
      </w:r>
      <w:r w:rsidR="00E35B00" w:rsidRPr="000E5D12">
        <w:rPr>
          <w:rFonts w:ascii="Times New Roman" w:eastAsia="Calibri" w:hAnsi="Times New Roman" w:cs="Times New Roman"/>
          <w:i/>
          <w:spacing w:val="3"/>
          <w:sz w:val="24"/>
          <w:szCs w:val="24"/>
          <w:lang w:val="en-GB" w:eastAsia="en-GB"/>
        </w:rPr>
        <w:t xml:space="preserve">to </w:t>
      </w:r>
      <w:r w:rsidR="00E35B00" w:rsidRPr="000E5D12">
        <w:rPr>
          <w:rFonts w:ascii="Times New Roman" w:eastAsia="Calibri" w:hAnsi="Times New Roman" w:cs="Times New Roman"/>
          <w:i/>
          <w:sz w:val="24"/>
          <w:szCs w:val="24"/>
          <w:lang w:val="en-GB" w:eastAsia="en-GB"/>
        </w:rPr>
        <w:t>employment, social assistance, adequate housing, public showers and toilets?</w:t>
      </w:r>
      <w:r w:rsidRPr="000E5D12">
        <w:rPr>
          <w:rFonts w:ascii="Times New Roman" w:hAnsi="Times New Roman" w:cs="Times New Roman"/>
          <w:sz w:val="24"/>
          <w:szCs w:val="24"/>
        </w:rPr>
        <w:t xml:space="preserve"> </w:t>
      </w:r>
    </w:p>
    <w:p w:rsidR="00E663E3" w:rsidRPr="000E5D12" w:rsidRDefault="00E663E3" w:rsidP="00C158EF">
      <w:pPr>
        <w:spacing w:after="0"/>
        <w:jc w:val="both"/>
        <w:rPr>
          <w:rFonts w:ascii="Times New Roman" w:hAnsi="Times New Roman" w:cs="Times New Roman"/>
          <w:sz w:val="24"/>
          <w:szCs w:val="24"/>
        </w:rPr>
      </w:pPr>
    </w:p>
    <w:p w:rsidR="00E663E3" w:rsidRPr="000E5D12" w:rsidRDefault="00E663E3" w:rsidP="00C158EF">
      <w:pPr>
        <w:spacing w:after="0"/>
        <w:jc w:val="both"/>
        <w:rPr>
          <w:rFonts w:ascii="Times New Roman" w:hAnsi="Times New Roman" w:cs="Times New Roman"/>
          <w:sz w:val="24"/>
          <w:szCs w:val="24"/>
        </w:rPr>
      </w:pPr>
      <w:r w:rsidRPr="000E5D12">
        <w:rPr>
          <w:rFonts w:ascii="Times New Roman" w:hAnsi="Times New Roman" w:cs="Times New Roman"/>
          <w:sz w:val="24"/>
          <w:szCs w:val="24"/>
        </w:rPr>
        <w:t>In Ireland, the role of the Gov</w:t>
      </w:r>
      <w:r w:rsidR="00267B3F" w:rsidRPr="000E5D12">
        <w:rPr>
          <w:rFonts w:ascii="Times New Roman" w:hAnsi="Times New Roman" w:cs="Times New Roman"/>
          <w:sz w:val="24"/>
          <w:szCs w:val="24"/>
        </w:rPr>
        <w:t>ernment in terms of addressing h</w:t>
      </w:r>
      <w:r w:rsidRPr="000E5D12">
        <w:rPr>
          <w:rFonts w:ascii="Times New Roman" w:hAnsi="Times New Roman" w:cs="Times New Roman"/>
          <w:sz w:val="24"/>
          <w:szCs w:val="24"/>
        </w:rPr>
        <w:t>omelessness is to ensure that a framework of policy, legislation and funding is provided</w:t>
      </w:r>
      <w:r w:rsidR="00267B3F" w:rsidRPr="000E5D12">
        <w:rPr>
          <w:rFonts w:ascii="Times New Roman" w:hAnsi="Times New Roman" w:cs="Times New Roman"/>
          <w:sz w:val="24"/>
          <w:szCs w:val="24"/>
        </w:rPr>
        <w:t xml:space="preserve"> to housing authorities. This is to guarantee</w:t>
      </w:r>
      <w:r w:rsidRPr="000E5D12">
        <w:rPr>
          <w:rFonts w:ascii="Times New Roman" w:hAnsi="Times New Roman" w:cs="Times New Roman"/>
          <w:sz w:val="24"/>
          <w:szCs w:val="24"/>
        </w:rPr>
        <w:t xml:space="preserve"> that housing authorities are in a position to address homelessness at the local level. The relevant legislative provisions are found in Section 2 and 10 of the Housing Act 1988</w:t>
      </w:r>
      <w:r w:rsidRPr="000E5D12">
        <w:rPr>
          <w:rStyle w:val="FootnoteReference"/>
          <w:rFonts w:ascii="Times New Roman" w:hAnsi="Times New Roman" w:cs="Times New Roman"/>
          <w:sz w:val="24"/>
          <w:szCs w:val="24"/>
        </w:rPr>
        <w:footnoteReference w:id="8"/>
      </w:r>
      <w:r w:rsidRPr="000E5D12">
        <w:rPr>
          <w:rFonts w:ascii="Times New Roman" w:hAnsi="Times New Roman" w:cs="Times New Roman"/>
          <w:sz w:val="24"/>
          <w:szCs w:val="24"/>
        </w:rPr>
        <w:t xml:space="preserve">. </w:t>
      </w:r>
    </w:p>
    <w:p w:rsidR="00E663E3" w:rsidRPr="000E5D12" w:rsidRDefault="00E663E3" w:rsidP="00C158EF">
      <w:pPr>
        <w:spacing w:after="0"/>
        <w:jc w:val="both"/>
        <w:rPr>
          <w:rFonts w:ascii="Times New Roman" w:hAnsi="Times New Roman" w:cs="Times New Roman"/>
          <w:sz w:val="24"/>
          <w:szCs w:val="24"/>
        </w:rPr>
      </w:pPr>
    </w:p>
    <w:p w:rsidR="00E663E3" w:rsidRPr="000E5D12" w:rsidRDefault="00E663E3" w:rsidP="00C158EF">
      <w:pPr>
        <w:spacing w:after="0"/>
        <w:jc w:val="both"/>
        <w:rPr>
          <w:rFonts w:ascii="Times New Roman" w:hAnsi="Times New Roman" w:cs="Times New Roman"/>
          <w:sz w:val="24"/>
          <w:szCs w:val="24"/>
        </w:rPr>
      </w:pPr>
      <w:r w:rsidRPr="000E5D12">
        <w:rPr>
          <w:rFonts w:ascii="Times New Roman" w:hAnsi="Times New Roman" w:cs="Times New Roman"/>
          <w:sz w:val="24"/>
          <w:szCs w:val="24"/>
        </w:rPr>
        <w:t>There is legislation in place, which contains provisions for assessing whether a household is homeless.  The basis for making this assessment is set out in Section 2 of the Housing Act 1988.  It is a local authority function to consider whether a household is regarded as homeless. Section 10 of the 1988 Act also sets out the basis for the provision of accommodation and related services by the local authorities to households assessed as homeless.</w:t>
      </w:r>
    </w:p>
    <w:p w:rsidR="00E663E3" w:rsidRPr="000E5D12" w:rsidRDefault="00E663E3" w:rsidP="00C158EF">
      <w:pPr>
        <w:spacing w:after="0"/>
        <w:jc w:val="both"/>
        <w:rPr>
          <w:rFonts w:ascii="Times New Roman" w:hAnsi="Times New Roman" w:cs="Times New Roman"/>
          <w:sz w:val="24"/>
          <w:szCs w:val="24"/>
        </w:rPr>
      </w:pPr>
    </w:p>
    <w:p w:rsidR="00E663E3" w:rsidRPr="000E5D12" w:rsidRDefault="00E663E3" w:rsidP="00C158EF">
      <w:pPr>
        <w:spacing w:after="0"/>
        <w:jc w:val="both"/>
        <w:rPr>
          <w:rFonts w:ascii="Times New Roman" w:hAnsi="Times New Roman" w:cs="Times New Roman"/>
          <w:sz w:val="24"/>
          <w:szCs w:val="24"/>
        </w:rPr>
      </w:pPr>
      <w:r w:rsidRPr="000E5D12">
        <w:rPr>
          <w:rFonts w:ascii="Times New Roman" w:hAnsi="Times New Roman" w:cs="Times New Roman"/>
          <w:sz w:val="24"/>
          <w:szCs w:val="24"/>
        </w:rPr>
        <w:lastRenderedPageBreak/>
        <w:t>Decisions on the range of homeless accommodation and the operation and funding of facilities are then a matter for individual authorities.</w:t>
      </w:r>
    </w:p>
    <w:p w:rsidR="00E663E3" w:rsidRPr="000E5D12" w:rsidRDefault="00E663E3" w:rsidP="00C158EF">
      <w:pPr>
        <w:spacing w:after="0"/>
        <w:jc w:val="both"/>
        <w:rPr>
          <w:rFonts w:ascii="Times New Roman" w:hAnsi="Times New Roman" w:cs="Times New Roman"/>
          <w:sz w:val="24"/>
          <w:szCs w:val="24"/>
        </w:rPr>
      </w:pPr>
    </w:p>
    <w:p w:rsidR="00E663E3" w:rsidRPr="000E5D12" w:rsidRDefault="00E663E3" w:rsidP="00C158EF">
      <w:pPr>
        <w:spacing w:after="0"/>
        <w:jc w:val="both"/>
        <w:rPr>
          <w:rFonts w:ascii="Times New Roman" w:hAnsi="Times New Roman" w:cs="Times New Roman"/>
          <w:sz w:val="24"/>
          <w:szCs w:val="24"/>
        </w:rPr>
      </w:pPr>
      <w:r w:rsidRPr="000E5D12">
        <w:rPr>
          <w:rFonts w:ascii="Times New Roman" w:hAnsi="Times New Roman" w:cs="Times New Roman"/>
          <w:sz w:val="24"/>
          <w:szCs w:val="24"/>
        </w:rPr>
        <w:t>The Irish Government affords sign</w:t>
      </w:r>
      <w:r w:rsidR="00D64871" w:rsidRPr="000E5D12">
        <w:rPr>
          <w:rFonts w:ascii="Times New Roman" w:hAnsi="Times New Roman" w:cs="Times New Roman"/>
          <w:sz w:val="24"/>
          <w:szCs w:val="24"/>
        </w:rPr>
        <w:t>ificant priority to addressing h</w:t>
      </w:r>
      <w:r w:rsidRPr="000E5D12">
        <w:rPr>
          <w:rFonts w:ascii="Times New Roman" w:hAnsi="Times New Roman" w:cs="Times New Roman"/>
          <w:sz w:val="24"/>
          <w:szCs w:val="24"/>
        </w:rPr>
        <w:t>omelessness and provides significant funding annually in terms of this priority.  In 2021, a provision of €218 million ha</w:t>
      </w:r>
      <w:r w:rsidR="00D64871" w:rsidRPr="000E5D12">
        <w:rPr>
          <w:rFonts w:ascii="Times New Roman" w:hAnsi="Times New Roman" w:cs="Times New Roman"/>
          <w:sz w:val="24"/>
          <w:szCs w:val="24"/>
        </w:rPr>
        <w:t>s been made for the funding of h</w:t>
      </w:r>
      <w:r w:rsidRPr="000E5D12">
        <w:rPr>
          <w:rFonts w:ascii="Times New Roman" w:hAnsi="Times New Roman" w:cs="Times New Roman"/>
          <w:sz w:val="24"/>
          <w:szCs w:val="24"/>
        </w:rPr>
        <w:t>omeless services related to accommodation and related services.  Separate funding is provided for health and welfare needs of individuals and households experiencing homelessness.</w:t>
      </w:r>
    </w:p>
    <w:p w:rsidR="00E663E3" w:rsidRPr="000E5D12" w:rsidRDefault="00E663E3" w:rsidP="00C158EF">
      <w:pPr>
        <w:spacing w:after="0"/>
        <w:jc w:val="both"/>
        <w:rPr>
          <w:rFonts w:ascii="Times New Roman" w:hAnsi="Times New Roman" w:cs="Times New Roman"/>
          <w:sz w:val="24"/>
          <w:szCs w:val="24"/>
        </w:rPr>
      </w:pPr>
    </w:p>
    <w:p w:rsidR="00E663E3" w:rsidRPr="000E5D12" w:rsidRDefault="00E663E3" w:rsidP="00C158EF">
      <w:pPr>
        <w:spacing w:after="0"/>
        <w:jc w:val="both"/>
        <w:rPr>
          <w:rFonts w:ascii="Times New Roman" w:hAnsi="Times New Roman" w:cs="Times New Roman"/>
          <w:sz w:val="24"/>
          <w:szCs w:val="24"/>
        </w:rPr>
      </w:pPr>
      <w:r w:rsidRPr="000E5D12">
        <w:rPr>
          <w:rFonts w:ascii="Times New Roman" w:hAnsi="Times New Roman" w:cs="Times New Roman"/>
          <w:sz w:val="24"/>
          <w:szCs w:val="24"/>
        </w:rPr>
        <w:t>The role of housing supply has been identified as a crucial factor in addressing homelessness and commitment has been given in the Programme for Government</w:t>
      </w:r>
      <w:r w:rsidRPr="000E5D12">
        <w:rPr>
          <w:rStyle w:val="FootnoteReference"/>
          <w:rFonts w:ascii="Times New Roman" w:hAnsi="Times New Roman" w:cs="Times New Roman"/>
          <w:sz w:val="24"/>
          <w:szCs w:val="24"/>
        </w:rPr>
        <w:footnoteReference w:id="9"/>
      </w:r>
      <w:r w:rsidRPr="000E5D12">
        <w:rPr>
          <w:rFonts w:ascii="Times New Roman" w:hAnsi="Times New Roman" w:cs="Times New Roman"/>
          <w:sz w:val="24"/>
          <w:szCs w:val="24"/>
        </w:rPr>
        <w:t xml:space="preserve"> agreed in 2020 for a further 50,000 social homes to be built.</w:t>
      </w:r>
    </w:p>
    <w:p w:rsidR="00E663E3" w:rsidRPr="000E5D12" w:rsidRDefault="00E663E3" w:rsidP="00C158EF">
      <w:pPr>
        <w:spacing w:after="0"/>
        <w:jc w:val="both"/>
        <w:rPr>
          <w:rFonts w:ascii="Times New Roman" w:hAnsi="Times New Roman" w:cs="Times New Roman"/>
          <w:b/>
          <w:sz w:val="24"/>
          <w:szCs w:val="24"/>
        </w:rPr>
      </w:pPr>
    </w:p>
    <w:p w:rsidR="00E663E3" w:rsidRPr="000E5D12" w:rsidRDefault="00E663E3" w:rsidP="00C158EF">
      <w:pPr>
        <w:spacing w:after="0"/>
        <w:jc w:val="both"/>
        <w:rPr>
          <w:rFonts w:ascii="Times New Roman" w:hAnsi="Times New Roman" w:cs="Times New Roman"/>
          <w:b/>
          <w:sz w:val="24"/>
          <w:szCs w:val="24"/>
        </w:rPr>
      </w:pPr>
      <w:r w:rsidRPr="000E5D12">
        <w:rPr>
          <w:rFonts w:ascii="Times New Roman" w:hAnsi="Times New Roman" w:cs="Times New Roman"/>
          <w:b/>
          <w:sz w:val="24"/>
          <w:szCs w:val="24"/>
        </w:rPr>
        <w:t>Rough Sleepers</w:t>
      </w:r>
    </w:p>
    <w:p w:rsidR="00E663E3" w:rsidRPr="000E5D12" w:rsidRDefault="00E663E3" w:rsidP="00C158EF">
      <w:pPr>
        <w:spacing w:after="0"/>
        <w:jc w:val="both"/>
        <w:rPr>
          <w:rFonts w:ascii="Times New Roman" w:hAnsi="Times New Roman" w:cs="Times New Roman"/>
          <w:sz w:val="24"/>
          <w:szCs w:val="24"/>
        </w:rPr>
      </w:pPr>
    </w:p>
    <w:p w:rsidR="00E663E3" w:rsidRPr="000E5D12" w:rsidRDefault="00E663E3" w:rsidP="00C158EF">
      <w:pPr>
        <w:spacing w:after="0"/>
        <w:jc w:val="both"/>
        <w:rPr>
          <w:rFonts w:ascii="Times New Roman" w:hAnsi="Times New Roman" w:cs="Times New Roman"/>
          <w:sz w:val="24"/>
          <w:szCs w:val="24"/>
        </w:rPr>
      </w:pPr>
      <w:r w:rsidRPr="000E5D12">
        <w:rPr>
          <w:rFonts w:ascii="Times New Roman" w:hAnsi="Times New Roman" w:cs="Times New Roman"/>
          <w:sz w:val="24"/>
          <w:szCs w:val="24"/>
        </w:rPr>
        <w:t xml:space="preserve">Rough sleepers are among the most vulnerable individuals in society. The number of rough sleepers in Ireland has fallen over the last number of years.  The most recent information indicates that in Dublin there were 125 rough sleepers during a formal count, which took place across a full week in April 2021.  This was a reduction from the previous count in November 2020 when 139 individuals sleeping rough were identified.  The local authorities have indicated that there </w:t>
      </w:r>
      <w:r w:rsidRPr="000E5D12">
        <w:rPr>
          <w:rFonts w:ascii="Times New Roman" w:hAnsi="Times New Roman" w:cs="Times New Roman"/>
          <w:sz w:val="24"/>
          <w:szCs w:val="24"/>
        </w:rPr>
        <w:lastRenderedPageBreak/>
        <w:t>is bed available for everyone who needs one in Dublin and that its ‘Outreach Teams’ provide a vital service in bringing rough sleepers in to services.  Just 16 of the individuals recorded during the November 2020 count were also present in the April 2021 count, which is a positive indication that individuals are being taken off the streets and into accommodation.</w:t>
      </w:r>
    </w:p>
    <w:p w:rsidR="00E663E3" w:rsidRPr="000E5D12" w:rsidRDefault="00E663E3" w:rsidP="00C158EF">
      <w:pPr>
        <w:spacing w:after="0"/>
        <w:jc w:val="both"/>
        <w:rPr>
          <w:rFonts w:ascii="Times New Roman" w:hAnsi="Times New Roman" w:cs="Times New Roman"/>
          <w:sz w:val="24"/>
          <w:szCs w:val="24"/>
        </w:rPr>
      </w:pPr>
    </w:p>
    <w:p w:rsidR="00E663E3" w:rsidRPr="000E5D12" w:rsidRDefault="00E663E3" w:rsidP="00C158EF">
      <w:pPr>
        <w:spacing w:after="0"/>
        <w:jc w:val="both"/>
        <w:rPr>
          <w:rFonts w:ascii="Times New Roman" w:hAnsi="Times New Roman" w:cs="Times New Roman"/>
          <w:b/>
          <w:sz w:val="24"/>
          <w:szCs w:val="24"/>
        </w:rPr>
      </w:pPr>
      <w:r w:rsidRPr="000E5D12">
        <w:rPr>
          <w:rFonts w:ascii="Times New Roman" w:hAnsi="Times New Roman" w:cs="Times New Roman"/>
          <w:b/>
          <w:sz w:val="24"/>
          <w:szCs w:val="24"/>
        </w:rPr>
        <w:t xml:space="preserve">Income Support Payments </w:t>
      </w:r>
    </w:p>
    <w:p w:rsidR="00E663E3" w:rsidRPr="000E5D12" w:rsidRDefault="00E663E3" w:rsidP="00C158EF">
      <w:pPr>
        <w:spacing w:after="0"/>
        <w:jc w:val="both"/>
        <w:rPr>
          <w:rFonts w:ascii="Times New Roman" w:hAnsi="Times New Roman" w:cs="Times New Roman"/>
          <w:b/>
          <w:sz w:val="24"/>
          <w:szCs w:val="24"/>
        </w:rPr>
      </w:pPr>
    </w:p>
    <w:p w:rsidR="00E663E3" w:rsidRPr="000E5D12" w:rsidRDefault="00E663E3" w:rsidP="00C158EF">
      <w:pPr>
        <w:spacing w:after="0"/>
        <w:jc w:val="both"/>
        <w:rPr>
          <w:rFonts w:ascii="Times New Roman" w:hAnsi="Times New Roman" w:cs="Times New Roman"/>
          <w:sz w:val="24"/>
          <w:szCs w:val="24"/>
        </w:rPr>
      </w:pPr>
      <w:r w:rsidRPr="000E5D12">
        <w:rPr>
          <w:rFonts w:ascii="Times New Roman" w:hAnsi="Times New Roman" w:cs="Times New Roman"/>
          <w:sz w:val="24"/>
          <w:szCs w:val="24"/>
        </w:rPr>
        <w:t>All individuals in Ireland can apply for income support payments including Supplementary Welfare Allowance</w:t>
      </w:r>
      <w:r w:rsidR="005E089C" w:rsidRPr="000E5D12">
        <w:rPr>
          <w:rStyle w:val="FootnoteReference"/>
          <w:rFonts w:ascii="Times New Roman" w:hAnsi="Times New Roman" w:cs="Times New Roman"/>
          <w:sz w:val="24"/>
          <w:szCs w:val="24"/>
        </w:rPr>
        <w:footnoteReference w:id="10"/>
      </w:r>
      <w:r w:rsidRPr="000E5D12">
        <w:rPr>
          <w:rFonts w:ascii="Times New Roman" w:hAnsi="Times New Roman" w:cs="Times New Roman"/>
          <w:sz w:val="24"/>
          <w:szCs w:val="24"/>
        </w:rPr>
        <w:t>, where the Habitual Residency Condition (HRC) is satisfied.  Arrangements are in place to enable those who do not satisfy HRC to access exceptional and urgent needs payments through the Community Welfare Service</w:t>
      </w:r>
      <w:r w:rsidR="005E089C" w:rsidRPr="000E5D12">
        <w:rPr>
          <w:rStyle w:val="FootnoteReference"/>
          <w:rFonts w:ascii="Times New Roman" w:hAnsi="Times New Roman" w:cs="Times New Roman"/>
          <w:sz w:val="24"/>
          <w:szCs w:val="24"/>
        </w:rPr>
        <w:footnoteReference w:id="11"/>
      </w:r>
      <w:r w:rsidRPr="000E5D12">
        <w:rPr>
          <w:rFonts w:ascii="Times New Roman" w:hAnsi="Times New Roman" w:cs="Times New Roman"/>
          <w:sz w:val="24"/>
          <w:szCs w:val="24"/>
        </w:rPr>
        <w:t>.</w:t>
      </w:r>
    </w:p>
    <w:p w:rsidR="00E663E3" w:rsidRPr="000E5D12" w:rsidRDefault="00E663E3" w:rsidP="00C158EF">
      <w:pPr>
        <w:spacing w:after="0"/>
        <w:jc w:val="both"/>
        <w:rPr>
          <w:rFonts w:ascii="Times New Roman" w:hAnsi="Times New Roman" w:cs="Times New Roman"/>
          <w:b/>
          <w:sz w:val="24"/>
          <w:szCs w:val="24"/>
        </w:rPr>
      </w:pPr>
    </w:p>
    <w:p w:rsidR="00E663E3" w:rsidRPr="000E5D12" w:rsidRDefault="00E663E3" w:rsidP="00C158EF">
      <w:pPr>
        <w:spacing w:after="0"/>
        <w:jc w:val="both"/>
        <w:rPr>
          <w:rFonts w:ascii="Times New Roman" w:hAnsi="Times New Roman" w:cs="Times New Roman"/>
          <w:b/>
          <w:sz w:val="24"/>
          <w:szCs w:val="24"/>
        </w:rPr>
      </w:pPr>
      <w:r w:rsidRPr="000E5D12">
        <w:rPr>
          <w:rFonts w:ascii="Times New Roman" w:hAnsi="Times New Roman" w:cs="Times New Roman"/>
          <w:b/>
          <w:sz w:val="24"/>
          <w:szCs w:val="24"/>
        </w:rPr>
        <w:t>Housing First</w:t>
      </w:r>
    </w:p>
    <w:p w:rsidR="00E663E3" w:rsidRPr="000E5D12" w:rsidRDefault="00E663E3" w:rsidP="00C158EF">
      <w:pPr>
        <w:spacing w:after="0"/>
        <w:jc w:val="both"/>
        <w:rPr>
          <w:rFonts w:ascii="Times New Roman" w:hAnsi="Times New Roman" w:cs="Times New Roman"/>
          <w:sz w:val="24"/>
          <w:szCs w:val="24"/>
        </w:rPr>
      </w:pPr>
    </w:p>
    <w:p w:rsidR="00E663E3" w:rsidRPr="000E5D12" w:rsidRDefault="00E663E3" w:rsidP="00C158EF">
      <w:pPr>
        <w:spacing w:after="0"/>
        <w:jc w:val="both"/>
        <w:rPr>
          <w:rFonts w:ascii="Times New Roman" w:hAnsi="Times New Roman" w:cs="Times New Roman"/>
          <w:sz w:val="24"/>
          <w:szCs w:val="24"/>
        </w:rPr>
      </w:pPr>
      <w:r w:rsidRPr="000E5D12">
        <w:rPr>
          <w:rFonts w:ascii="Times New Roman" w:hAnsi="Times New Roman" w:cs="Times New Roman"/>
          <w:sz w:val="24"/>
          <w:szCs w:val="24"/>
        </w:rPr>
        <w:t xml:space="preserve">Housing First enables people who may have been homeless and who have high levels of complex needs, be they physical health, mental health or addiction needs to obtain permanent secure accommodation with the provision of intensive supports to help them maintain their tenancies.  This has been a collaborative effort between the national and local housing and health authorities supported by NGOs.  </w:t>
      </w:r>
      <w:r w:rsidRPr="000E5D12">
        <w:rPr>
          <w:rFonts w:ascii="Times New Roman" w:hAnsi="Times New Roman" w:cs="Times New Roman"/>
          <w:sz w:val="24"/>
          <w:szCs w:val="24"/>
        </w:rPr>
        <w:lastRenderedPageBreak/>
        <w:t>By the end of March 2021, the total number of individuals in a Housing First tenancy was 539.</w:t>
      </w:r>
    </w:p>
    <w:p w:rsidR="00E663E3" w:rsidRPr="000E5D12" w:rsidRDefault="00E663E3" w:rsidP="00C158EF">
      <w:pPr>
        <w:spacing w:after="0"/>
        <w:jc w:val="both"/>
        <w:rPr>
          <w:rFonts w:ascii="Times New Roman" w:hAnsi="Times New Roman" w:cs="Times New Roman"/>
          <w:sz w:val="24"/>
          <w:szCs w:val="24"/>
        </w:rPr>
      </w:pPr>
    </w:p>
    <w:p w:rsidR="00E663E3" w:rsidRPr="000E5D12" w:rsidRDefault="00E663E3" w:rsidP="00C158EF">
      <w:pPr>
        <w:spacing w:after="0"/>
        <w:jc w:val="both"/>
        <w:rPr>
          <w:rFonts w:ascii="Times New Roman" w:hAnsi="Times New Roman" w:cs="Times New Roman"/>
          <w:b/>
          <w:sz w:val="24"/>
          <w:szCs w:val="24"/>
        </w:rPr>
      </w:pPr>
      <w:r w:rsidRPr="000E5D12">
        <w:rPr>
          <w:rFonts w:ascii="Times New Roman" w:hAnsi="Times New Roman" w:cs="Times New Roman"/>
          <w:b/>
          <w:sz w:val="24"/>
          <w:szCs w:val="24"/>
        </w:rPr>
        <w:t>Daytime Services</w:t>
      </w:r>
    </w:p>
    <w:p w:rsidR="00E663E3" w:rsidRPr="000E5D12" w:rsidRDefault="00E663E3" w:rsidP="00C158EF">
      <w:pPr>
        <w:spacing w:after="0"/>
        <w:jc w:val="both"/>
        <w:rPr>
          <w:rFonts w:ascii="Times New Roman" w:hAnsi="Times New Roman" w:cs="Times New Roman"/>
          <w:sz w:val="24"/>
          <w:szCs w:val="24"/>
        </w:rPr>
      </w:pPr>
    </w:p>
    <w:p w:rsidR="00E663E3" w:rsidRPr="000E5D12" w:rsidRDefault="00D64871" w:rsidP="00C158EF">
      <w:pPr>
        <w:spacing w:after="0"/>
        <w:jc w:val="both"/>
        <w:rPr>
          <w:rFonts w:ascii="Times New Roman" w:hAnsi="Times New Roman" w:cs="Times New Roman"/>
          <w:sz w:val="24"/>
          <w:szCs w:val="24"/>
        </w:rPr>
      </w:pPr>
      <w:r w:rsidRPr="000E5D12">
        <w:rPr>
          <w:rFonts w:ascii="Times New Roman" w:hAnsi="Times New Roman" w:cs="Times New Roman"/>
          <w:sz w:val="24"/>
          <w:szCs w:val="24"/>
        </w:rPr>
        <w:t>According to</w:t>
      </w:r>
      <w:r w:rsidR="00E663E3" w:rsidRPr="000E5D12">
        <w:rPr>
          <w:rFonts w:ascii="Times New Roman" w:hAnsi="Times New Roman" w:cs="Times New Roman"/>
          <w:sz w:val="24"/>
          <w:szCs w:val="24"/>
        </w:rPr>
        <w:t xml:space="preserve"> Section 10 of the 1988 Housing Act, the role of the Irish Government is to contribute Exchequer funding to housing authorities in respect of costs incurred in the provision of accommodation and related services for homeless people. Local authorities may make provision in the funding provided to support day services and decision in relation to these are made at local level by Joint Homelessness Consultative Forums and Statutory Management Groups. These groups make decisions in relation to the running of Homeless Services at local level.  Funding is provided from national and local government to support these services. </w:t>
      </w:r>
    </w:p>
    <w:p w:rsidR="00E663E3" w:rsidRPr="000E5D12" w:rsidRDefault="00E663E3" w:rsidP="00C158EF">
      <w:pPr>
        <w:spacing w:after="0"/>
        <w:jc w:val="both"/>
        <w:rPr>
          <w:rFonts w:ascii="Times New Roman" w:hAnsi="Times New Roman" w:cs="Times New Roman"/>
          <w:sz w:val="24"/>
          <w:szCs w:val="24"/>
        </w:rPr>
      </w:pPr>
    </w:p>
    <w:p w:rsidR="00E663E3" w:rsidRPr="000E5D12" w:rsidRDefault="00E663E3" w:rsidP="00C158EF">
      <w:pPr>
        <w:spacing w:after="0"/>
        <w:jc w:val="both"/>
        <w:rPr>
          <w:rFonts w:ascii="Times New Roman" w:hAnsi="Times New Roman" w:cs="Times New Roman"/>
          <w:sz w:val="24"/>
          <w:szCs w:val="24"/>
        </w:rPr>
      </w:pPr>
      <w:r w:rsidRPr="000E5D12">
        <w:rPr>
          <w:rFonts w:ascii="Times New Roman" w:hAnsi="Times New Roman" w:cs="Times New Roman"/>
          <w:sz w:val="24"/>
          <w:szCs w:val="24"/>
        </w:rPr>
        <w:t xml:space="preserve">Day services are critical to many individuals who are experiencing homelessness. They are often the first point of contact for many people arriving on the streets and their services can include housing information and advice, housing assessment and eligibility as well as access to food, laundry and showering or washing facilities. Importantly, day services also provide social contact, along with one-to-one support and care planning, and access to health and support services. </w:t>
      </w:r>
    </w:p>
    <w:p w:rsidR="00E663E3" w:rsidRPr="000E5D12" w:rsidRDefault="00E663E3" w:rsidP="00C158EF">
      <w:pPr>
        <w:spacing w:after="0"/>
        <w:jc w:val="both"/>
        <w:rPr>
          <w:rFonts w:ascii="Times New Roman" w:hAnsi="Times New Roman" w:cs="Times New Roman"/>
          <w:b/>
          <w:sz w:val="24"/>
          <w:szCs w:val="24"/>
        </w:rPr>
      </w:pPr>
    </w:p>
    <w:p w:rsidR="00E663E3" w:rsidRPr="000E5D12" w:rsidRDefault="00E663E3" w:rsidP="00C158EF">
      <w:pPr>
        <w:spacing w:after="0"/>
        <w:jc w:val="both"/>
        <w:rPr>
          <w:rFonts w:ascii="Times New Roman" w:hAnsi="Times New Roman" w:cs="Times New Roman"/>
          <w:b/>
          <w:sz w:val="24"/>
          <w:szCs w:val="24"/>
        </w:rPr>
      </w:pPr>
      <w:r w:rsidRPr="000E5D12">
        <w:rPr>
          <w:rFonts w:ascii="Times New Roman" w:hAnsi="Times New Roman" w:cs="Times New Roman"/>
          <w:b/>
          <w:sz w:val="24"/>
          <w:szCs w:val="24"/>
        </w:rPr>
        <w:t>EU Fund for European Aid to the Most Deprived (FEAD) programme</w:t>
      </w:r>
    </w:p>
    <w:p w:rsidR="00E663E3" w:rsidRPr="000E5D12" w:rsidRDefault="00E663E3" w:rsidP="00C158EF">
      <w:pPr>
        <w:spacing w:after="0"/>
        <w:jc w:val="both"/>
        <w:rPr>
          <w:rFonts w:ascii="Times New Roman" w:hAnsi="Times New Roman" w:cs="Times New Roman"/>
          <w:b/>
          <w:sz w:val="24"/>
          <w:szCs w:val="24"/>
        </w:rPr>
      </w:pPr>
    </w:p>
    <w:p w:rsidR="00E663E3" w:rsidRPr="000E5D12" w:rsidRDefault="00E663E3" w:rsidP="00C158EF">
      <w:pPr>
        <w:spacing w:after="0"/>
        <w:jc w:val="both"/>
        <w:rPr>
          <w:rFonts w:ascii="Times New Roman" w:hAnsi="Times New Roman" w:cs="Times New Roman"/>
          <w:sz w:val="24"/>
          <w:szCs w:val="24"/>
        </w:rPr>
      </w:pPr>
      <w:r w:rsidRPr="000E5D12">
        <w:rPr>
          <w:rFonts w:ascii="Times New Roman" w:hAnsi="Times New Roman" w:cs="Times New Roman"/>
          <w:sz w:val="24"/>
          <w:szCs w:val="24"/>
        </w:rPr>
        <w:t>Charities and NGOs working with homeless people have access to food products through the EU Fund for European Aid to the Most Deprived (FEAD) programme. The Irish Government is the Managing Authority for the FEAD Programme in Ireland.</w:t>
      </w:r>
    </w:p>
    <w:p w:rsidR="00E663E3" w:rsidRPr="000E5D12" w:rsidRDefault="00E663E3" w:rsidP="00C158EF">
      <w:pPr>
        <w:spacing w:after="0"/>
        <w:jc w:val="both"/>
        <w:rPr>
          <w:rFonts w:ascii="Times New Roman" w:hAnsi="Times New Roman" w:cs="Times New Roman"/>
          <w:sz w:val="24"/>
          <w:szCs w:val="24"/>
        </w:rPr>
      </w:pPr>
    </w:p>
    <w:p w:rsidR="00E663E3" w:rsidRPr="000E5D12" w:rsidRDefault="00E663E3" w:rsidP="00C158EF">
      <w:pPr>
        <w:spacing w:after="0"/>
        <w:jc w:val="both"/>
        <w:rPr>
          <w:rFonts w:ascii="Times New Roman" w:hAnsi="Times New Roman" w:cs="Times New Roman"/>
          <w:b/>
          <w:sz w:val="24"/>
          <w:szCs w:val="24"/>
        </w:rPr>
      </w:pPr>
      <w:r w:rsidRPr="000E5D12">
        <w:rPr>
          <w:rFonts w:ascii="Times New Roman" w:hAnsi="Times New Roman" w:cs="Times New Roman"/>
          <w:b/>
          <w:sz w:val="24"/>
          <w:szCs w:val="24"/>
        </w:rPr>
        <w:t>Current Statistics on homelessness in Ireland</w:t>
      </w:r>
    </w:p>
    <w:p w:rsidR="00E663E3" w:rsidRPr="000E5D12" w:rsidRDefault="00E663E3" w:rsidP="00C158EF">
      <w:pPr>
        <w:spacing w:after="0"/>
        <w:jc w:val="both"/>
        <w:rPr>
          <w:rFonts w:ascii="Times New Roman" w:hAnsi="Times New Roman" w:cs="Times New Roman"/>
          <w:sz w:val="24"/>
          <w:szCs w:val="24"/>
        </w:rPr>
      </w:pPr>
    </w:p>
    <w:p w:rsidR="00E663E3" w:rsidRPr="000E5D12" w:rsidRDefault="00E663E3" w:rsidP="00C158EF">
      <w:pPr>
        <w:spacing w:after="0"/>
        <w:jc w:val="both"/>
        <w:rPr>
          <w:rFonts w:ascii="Times New Roman" w:hAnsi="Times New Roman" w:cs="Times New Roman"/>
          <w:sz w:val="24"/>
          <w:szCs w:val="24"/>
        </w:rPr>
      </w:pPr>
      <w:r w:rsidRPr="000E5D12">
        <w:rPr>
          <w:rFonts w:ascii="Times New Roman" w:hAnsi="Times New Roman" w:cs="Times New Roman"/>
          <w:sz w:val="24"/>
          <w:szCs w:val="24"/>
        </w:rPr>
        <w:t>The most recent published statistics show that there were 7,991 individuals accessing homeless emergency accommodation in May 2021, a decrease of 91 individuals on the April 2021 figures and a decrease of 885 (10%) on the 8,876 total recorded one year previously.  This represents the lowest number of individuals accessing emergency accommodation in Ireland since June 2017.  Important progress has been made in this time in reducing the numbers of homeless persons in Ireland.</w:t>
      </w:r>
    </w:p>
    <w:p w:rsidR="00E663E3" w:rsidRPr="000E5D12" w:rsidRDefault="00E663E3" w:rsidP="00C158EF">
      <w:pPr>
        <w:spacing w:after="0"/>
        <w:jc w:val="both"/>
        <w:rPr>
          <w:rFonts w:ascii="Times New Roman" w:hAnsi="Times New Roman" w:cs="Times New Roman"/>
          <w:sz w:val="24"/>
          <w:szCs w:val="24"/>
        </w:rPr>
      </w:pPr>
    </w:p>
    <w:p w:rsidR="00E663E3" w:rsidRPr="000E5D12" w:rsidRDefault="00E663E3" w:rsidP="00C158EF">
      <w:pPr>
        <w:spacing w:after="0"/>
        <w:jc w:val="both"/>
        <w:rPr>
          <w:rFonts w:ascii="Times New Roman" w:hAnsi="Times New Roman" w:cs="Times New Roman"/>
          <w:b/>
          <w:sz w:val="24"/>
          <w:szCs w:val="24"/>
        </w:rPr>
      </w:pPr>
    </w:p>
    <w:p w:rsidR="00E35B00" w:rsidRPr="000E5D12" w:rsidRDefault="00E35B00" w:rsidP="00C158EF">
      <w:pPr>
        <w:autoSpaceDE w:val="0"/>
        <w:autoSpaceDN w:val="0"/>
        <w:spacing w:after="0"/>
        <w:ind w:left="426" w:right="572"/>
        <w:jc w:val="both"/>
        <w:rPr>
          <w:rFonts w:ascii="Times New Roman" w:eastAsia="Calibri" w:hAnsi="Times New Roman" w:cs="Times New Roman"/>
          <w:i/>
          <w:sz w:val="24"/>
          <w:szCs w:val="24"/>
          <w:lang w:val="en-GB" w:eastAsia="en-GB"/>
        </w:rPr>
      </w:pPr>
    </w:p>
    <w:p w:rsidR="006D2A2A" w:rsidRPr="000E5D12" w:rsidRDefault="006D2A2A" w:rsidP="00C158EF">
      <w:pPr>
        <w:spacing w:after="0"/>
        <w:jc w:val="both"/>
        <w:rPr>
          <w:rFonts w:ascii="Times New Roman" w:hAnsi="Times New Roman" w:cs="Times New Roman"/>
          <w:sz w:val="24"/>
          <w:szCs w:val="24"/>
        </w:rPr>
      </w:pPr>
    </w:p>
    <w:p w:rsidR="006D2A2A" w:rsidRPr="000E5D12" w:rsidRDefault="006D2A2A" w:rsidP="00C158EF">
      <w:pPr>
        <w:spacing w:after="0"/>
        <w:jc w:val="both"/>
        <w:rPr>
          <w:rFonts w:ascii="Times New Roman" w:hAnsi="Times New Roman" w:cs="Times New Roman"/>
          <w:b/>
          <w:sz w:val="24"/>
          <w:szCs w:val="24"/>
        </w:rPr>
      </w:pPr>
    </w:p>
    <w:sectPr w:rsidR="006D2A2A" w:rsidRPr="000E5D12" w:rsidSect="0039017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36B" w:rsidRDefault="007A036B" w:rsidP="007A036B">
      <w:pPr>
        <w:spacing w:after="0" w:line="240" w:lineRule="auto"/>
      </w:pPr>
      <w:r>
        <w:separator/>
      </w:r>
    </w:p>
  </w:endnote>
  <w:endnote w:type="continuationSeparator" w:id="0">
    <w:p w:rsidR="007A036B" w:rsidRDefault="007A036B" w:rsidP="007A0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F68" w:rsidRDefault="00DD6F68">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2C533B">
      <w:rPr>
        <w:caps/>
        <w:noProof/>
        <w:color w:val="4F81BD" w:themeColor="accent1"/>
      </w:rPr>
      <w:t>1</w:t>
    </w:r>
    <w:r>
      <w:rPr>
        <w:caps/>
        <w:noProof/>
        <w:color w:val="4F81BD" w:themeColor="accent1"/>
      </w:rPr>
      <w:fldChar w:fldCharType="end"/>
    </w:r>
  </w:p>
  <w:p w:rsidR="00DD6F68" w:rsidRDefault="00DD6F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36B" w:rsidRDefault="007A036B" w:rsidP="007A036B">
      <w:pPr>
        <w:spacing w:after="0" w:line="240" w:lineRule="auto"/>
      </w:pPr>
      <w:r>
        <w:separator/>
      </w:r>
    </w:p>
  </w:footnote>
  <w:footnote w:type="continuationSeparator" w:id="0">
    <w:p w:rsidR="007A036B" w:rsidRDefault="007A036B" w:rsidP="007A036B">
      <w:pPr>
        <w:spacing w:after="0" w:line="240" w:lineRule="auto"/>
      </w:pPr>
      <w:r>
        <w:continuationSeparator/>
      </w:r>
    </w:p>
  </w:footnote>
  <w:footnote w:id="1">
    <w:p w:rsidR="007A036B" w:rsidRDefault="007A036B">
      <w:pPr>
        <w:pStyle w:val="FootnoteText"/>
      </w:pPr>
      <w:r>
        <w:rPr>
          <w:rStyle w:val="FootnoteReference"/>
        </w:rPr>
        <w:footnoteRef/>
      </w:r>
      <w:r>
        <w:t xml:space="preserve"> </w:t>
      </w:r>
      <w:hyperlink r:id="rId1" w:history="1">
        <w:r>
          <w:rPr>
            <w:rStyle w:val="Hyperlink"/>
          </w:rPr>
          <w:t>Criminal Justice (Public Order) Act 2011 (irishstatutebook.ie)</w:t>
        </w:r>
      </w:hyperlink>
    </w:p>
  </w:footnote>
  <w:footnote w:id="2">
    <w:p w:rsidR="007A036B" w:rsidRDefault="007A036B">
      <w:pPr>
        <w:pStyle w:val="FootnoteText"/>
      </w:pPr>
      <w:r>
        <w:rPr>
          <w:rStyle w:val="FootnoteReference"/>
        </w:rPr>
        <w:footnoteRef/>
      </w:r>
      <w:r>
        <w:t xml:space="preserve"> An Garda Síochána is the official name of the Irish police force. </w:t>
      </w:r>
    </w:p>
  </w:footnote>
  <w:footnote w:id="3">
    <w:p w:rsidR="00E663E3" w:rsidRDefault="00E663E3">
      <w:pPr>
        <w:pStyle w:val="FootnoteText"/>
      </w:pPr>
      <w:r>
        <w:rPr>
          <w:rStyle w:val="FootnoteReference"/>
        </w:rPr>
        <w:footnoteRef/>
      </w:r>
      <w:r>
        <w:t xml:space="preserve"> </w:t>
      </w:r>
      <w:hyperlink r:id="rId2" w:history="1">
        <w:r>
          <w:rPr>
            <w:rStyle w:val="Hyperlink"/>
          </w:rPr>
          <w:t>Children Act, 2001, Section 247 (irishstatutebook.ie)</w:t>
        </w:r>
      </w:hyperlink>
    </w:p>
  </w:footnote>
  <w:footnote w:id="4">
    <w:p w:rsidR="00481DCD" w:rsidRDefault="00481DCD">
      <w:pPr>
        <w:pStyle w:val="FootnoteText"/>
      </w:pPr>
      <w:r>
        <w:rPr>
          <w:rStyle w:val="FootnoteReference"/>
        </w:rPr>
        <w:footnoteRef/>
      </w:r>
      <w:r>
        <w:t xml:space="preserve"> </w:t>
      </w:r>
      <w:hyperlink r:id="rId3" w:anchor=":~:text=%5B1%5D%20%5B21st%20June%201824,%5BPreamble.%5D&amp;text=Persons%20refusing%20to%20maintain%20themselves,one%20month%20with%20hard%20labour." w:history="1">
        <w:r>
          <w:rPr>
            <w:rStyle w:val="Hyperlink"/>
          </w:rPr>
          <w:t>Vagrancy Act, 1824 (irishstatutebook.ie)</w:t>
        </w:r>
      </w:hyperlink>
    </w:p>
  </w:footnote>
  <w:footnote w:id="5">
    <w:p w:rsidR="00481DCD" w:rsidRDefault="00481DCD">
      <w:pPr>
        <w:pStyle w:val="FootnoteText"/>
      </w:pPr>
      <w:r>
        <w:rPr>
          <w:rStyle w:val="FootnoteReference"/>
        </w:rPr>
        <w:footnoteRef/>
      </w:r>
      <w:r>
        <w:t xml:space="preserve"> </w:t>
      </w:r>
      <w:hyperlink r:id="rId4" w:history="1">
        <w:r>
          <w:rPr>
            <w:rStyle w:val="Hyperlink"/>
          </w:rPr>
          <w:t>Vagrancy (Ireland) Act, 1847 (irishstatutebook.ie)</w:t>
        </w:r>
      </w:hyperlink>
    </w:p>
  </w:footnote>
  <w:footnote w:id="6">
    <w:p w:rsidR="000E5D12" w:rsidRDefault="000E5D12" w:rsidP="000E5D12">
      <w:pPr>
        <w:pStyle w:val="FootnoteText"/>
      </w:pPr>
      <w:r>
        <w:rPr>
          <w:rStyle w:val="FootnoteReference"/>
        </w:rPr>
        <w:footnoteRef/>
      </w:r>
      <w:r>
        <w:t xml:space="preserve"> </w:t>
      </w:r>
      <w:hyperlink r:id="rId5" w:history="1">
        <w:r w:rsidR="00481DCD">
          <w:rPr>
            <w:rStyle w:val="Hyperlink"/>
          </w:rPr>
          <w:t>Housing Act, 1988 (irishstatutebook.ie)</w:t>
        </w:r>
      </w:hyperlink>
    </w:p>
  </w:footnote>
  <w:footnote w:id="7">
    <w:p w:rsidR="000E5D12" w:rsidRDefault="000E5D12" w:rsidP="000E5D12">
      <w:pPr>
        <w:pStyle w:val="FootnoteText"/>
      </w:pPr>
      <w:r>
        <w:rPr>
          <w:rStyle w:val="FootnoteReference"/>
        </w:rPr>
        <w:footnoteRef/>
      </w:r>
      <w:r>
        <w:t xml:space="preserve"> </w:t>
      </w:r>
      <w:hyperlink r:id="rId6" w:anchor="view=fitH" w:history="1">
        <w:r w:rsidR="009B1873" w:rsidRPr="009B1873">
          <w:rPr>
            <w:rStyle w:val="Hyperlink"/>
          </w:rPr>
          <w:t>Dillon v Director of Public Prosecutions</w:t>
        </w:r>
      </w:hyperlink>
    </w:p>
  </w:footnote>
  <w:footnote w:id="8">
    <w:p w:rsidR="00E663E3" w:rsidRPr="00A3798F" w:rsidRDefault="00E663E3" w:rsidP="00E663E3">
      <w:pPr>
        <w:pStyle w:val="FootnoteText"/>
        <w:rPr>
          <w:rFonts w:cstheme="minorHAnsi"/>
        </w:rPr>
      </w:pPr>
      <w:r w:rsidRPr="00A3798F">
        <w:rPr>
          <w:rStyle w:val="FootnoteReference"/>
          <w:rFonts w:cstheme="minorHAnsi"/>
        </w:rPr>
        <w:footnoteRef/>
      </w:r>
      <w:r w:rsidRPr="00A3798F">
        <w:rPr>
          <w:rFonts w:cstheme="minorHAnsi"/>
        </w:rPr>
        <w:t xml:space="preserve"> </w:t>
      </w:r>
      <w:hyperlink r:id="rId7" w:history="1">
        <w:r w:rsidRPr="00A3798F">
          <w:rPr>
            <w:rStyle w:val="Hyperlink"/>
            <w:rFonts w:cstheme="minorHAnsi"/>
          </w:rPr>
          <w:t>http://www.irishstatutebook.ie/eli/1988/act/28/enacted/en/html</w:t>
        </w:r>
      </w:hyperlink>
    </w:p>
  </w:footnote>
  <w:footnote w:id="9">
    <w:p w:rsidR="00E663E3" w:rsidRDefault="00E663E3" w:rsidP="00E663E3">
      <w:pPr>
        <w:pStyle w:val="FootnoteText"/>
      </w:pPr>
      <w:r>
        <w:rPr>
          <w:rStyle w:val="FootnoteReference"/>
        </w:rPr>
        <w:footnoteRef/>
      </w:r>
      <w:r>
        <w:t xml:space="preserve"> </w:t>
      </w:r>
      <w:hyperlink r:id="rId8" w:history="1">
        <w:r>
          <w:rPr>
            <w:rStyle w:val="Hyperlink"/>
          </w:rPr>
          <w:t>gov.ie - Programme for Government: Our Shared Future (www.gov.ie)</w:t>
        </w:r>
      </w:hyperlink>
    </w:p>
  </w:footnote>
  <w:footnote w:id="10">
    <w:p w:rsidR="005E089C" w:rsidRDefault="005E089C">
      <w:pPr>
        <w:pStyle w:val="FootnoteText"/>
      </w:pPr>
      <w:r>
        <w:rPr>
          <w:rStyle w:val="FootnoteReference"/>
        </w:rPr>
        <w:footnoteRef/>
      </w:r>
      <w:r>
        <w:t xml:space="preserve"> </w:t>
      </w:r>
      <w:hyperlink r:id="rId9" w:history="1">
        <w:r>
          <w:rPr>
            <w:rStyle w:val="Hyperlink"/>
          </w:rPr>
          <w:t>gov.ie - Basic Supplementary Welfare Allowance (www.gov.ie)</w:t>
        </w:r>
      </w:hyperlink>
    </w:p>
  </w:footnote>
  <w:footnote w:id="11">
    <w:p w:rsidR="005E089C" w:rsidRDefault="005E089C">
      <w:pPr>
        <w:pStyle w:val="FootnoteText"/>
      </w:pPr>
      <w:r>
        <w:rPr>
          <w:rStyle w:val="FootnoteReference"/>
        </w:rPr>
        <w:footnoteRef/>
      </w:r>
      <w:r>
        <w:t xml:space="preserve"> </w:t>
      </w:r>
      <w:hyperlink r:id="rId10" w:history="1">
        <w:r>
          <w:rPr>
            <w:rStyle w:val="Hyperlink"/>
          </w:rPr>
          <w:t>Community Welfare Services - HSE.ie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1F4A24"/>
    <w:multiLevelType w:val="hybridMultilevel"/>
    <w:tmpl w:val="793EA6FE"/>
    <w:lvl w:ilvl="0" w:tplc="AC98BBDE">
      <w:start w:val="1"/>
      <w:numFmt w:val="lowerLetter"/>
      <w:lvlText w:val="%1)"/>
      <w:lvlJc w:val="left"/>
      <w:pPr>
        <w:ind w:left="1051" w:hanging="361"/>
      </w:pPr>
      <w:rPr>
        <w:rFonts w:ascii="Times New Roman" w:eastAsia="Times New Roman" w:hAnsi="Times New Roman" w:cs="Times New Roman" w:hint="default"/>
        <w:spacing w:val="-10"/>
        <w:w w:val="99"/>
        <w:sz w:val="24"/>
        <w:szCs w:val="24"/>
        <w:lang w:val="en-GB" w:eastAsia="en-GB" w:bidi="en-GB"/>
      </w:rPr>
    </w:lvl>
    <w:lvl w:ilvl="1" w:tplc="CD94605C">
      <w:start w:val="1"/>
      <w:numFmt w:val="decimal"/>
      <w:lvlText w:val="%2)"/>
      <w:lvlJc w:val="left"/>
      <w:pPr>
        <w:ind w:left="1061" w:hanging="361"/>
      </w:pPr>
      <w:rPr>
        <w:rFonts w:ascii="Times New Roman" w:eastAsia="Times New Roman" w:hAnsi="Times New Roman" w:cs="Times New Roman" w:hint="default"/>
        <w:spacing w:val="-25"/>
        <w:w w:val="99"/>
        <w:sz w:val="24"/>
        <w:szCs w:val="24"/>
        <w:lang w:val="en-GB" w:eastAsia="en-GB" w:bidi="en-GB"/>
      </w:rPr>
    </w:lvl>
    <w:lvl w:ilvl="2" w:tplc="FD2E913C">
      <w:numFmt w:val="bullet"/>
      <w:lvlText w:val="•"/>
      <w:lvlJc w:val="left"/>
      <w:pPr>
        <w:ind w:left="2836" w:hanging="361"/>
      </w:pPr>
      <w:rPr>
        <w:lang w:val="en-GB" w:eastAsia="en-GB" w:bidi="en-GB"/>
      </w:rPr>
    </w:lvl>
    <w:lvl w:ilvl="3" w:tplc="B9F227A8">
      <w:start w:val="1"/>
      <w:numFmt w:val="bullet"/>
      <w:lvlText w:val=""/>
      <w:lvlJc w:val="left"/>
      <w:pPr>
        <w:ind w:left="3725" w:hanging="361"/>
      </w:pPr>
      <w:rPr>
        <w:rFonts w:ascii="Symbol" w:hAnsi="Symbol" w:hint="default"/>
        <w:lang w:val="en-GB" w:eastAsia="en-GB" w:bidi="en-GB"/>
      </w:rPr>
    </w:lvl>
    <w:lvl w:ilvl="4" w:tplc="2918D1C0">
      <w:numFmt w:val="bullet"/>
      <w:lvlText w:val="•"/>
      <w:lvlJc w:val="left"/>
      <w:pPr>
        <w:ind w:left="4613" w:hanging="361"/>
      </w:pPr>
      <w:rPr>
        <w:lang w:val="en-GB" w:eastAsia="en-GB" w:bidi="en-GB"/>
      </w:rPr>
    </w:lvl>
    <w:lvl w:ilvl="5" w:tplc="6F7E9E58">
      <w:numFmt w:val="bullet"/>
      <w:lvlText w:val="•"/>
      <w:lvlJc w:val="left"/>
      <w:pPr>
        <w:ind w:left="5502" w:hanging="361"/>
      </w:pPr>
      <w:rPr>
        <w:lang w:val="en-GB" w:eastAsia="en-GB" w:bidi="en-GB"/>
      </w:rPr>
    </w:lvl>
    <w:lvl w:ilvl="6" w:tplc="246CBDDA">
      <w:numFmt w:val="bullet"/>
      <w:lvlText w:val="•"/>
      <w:lvlJc w:val="left"/>
      <w:pPr>
        <w:ind w:left="6390" w:hanging="361"/>
      </w:pPr>
      <w:rPr>
        <w:lang w:val="en-GB" w:eastAsia="en-GB" w:bidi="en-GB"/>
      </w:rPr>
    </w:lvl>
    <w:lvl w:ilvl="7" w:tplc="DA1C1DB8">
      <w:numFmt w:val="bullet"/>
      <w:lvlText w:val="•"/>
      <w:lvlJc w:val="left"/>
      <w:pPr>
        <w:ind w:left="7278" w:hanging="361"/>
      </w:pPr>
      <w:rPr>
        <w:lang w:val="en-GB" w:eastAsia="en-GB" w:bidi="en-GB"/>
      </w:rPr>
    </w:lvl>
    <w:lvl w:ilvl="8" w:tplc="960CC088">
      <w:numFmt w:val="bullet"/>
      <w:lvlText w:val="•"/>
      <w:lvlJc w:val="left"/>
      <w:pPr>
        <w:ind w:left="8167" w:hanging="361"/>
      </w:pPr>
      <w:rPr>
        <w:lang w:val="en-GB" w:eastAsia="en-GB" w:bidi="en-GB"/>
      </w:rPr>
    </w:lvl>
  </w:abstractNum>
  <w:abstractNum w:abstractNumId="1" w15:restartNumberingAfterBreak="0">
    <w:nsid w:val="6AEA5026"/>
    <w:multiLevelType w:val="hybridMultilevel"/>
    <w:tmpl w:val="F544D234"/>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ACD"/>
    <w:rsid w:val="000444DC"/>
    <w:rsid w:val="00097371"/>
    <w:rsid w:val="000D5D7A"/>
    <w:rsid w:val="000E5D12"/>
    <w:rsid w:val="00140ACD"/>
    <w:rsid w:val="00176BD9"/>
    <w:rsid w:val="001E03FB"/>
    <w:rsid w:val="001F54F5"/>
    <w:rsid w:val="00240A4E"/>
    <w:rsid w:val="0024431D"/>
    <w:rsid w:val="00267B3F"/>
    <w:rsid w:val="002C533B"/>
    <w:rsid w:val="0039017E"/>
    <w:rsid w:val="003F2FC0"/>
    <w:rsid w:val="00481DCD"/>
    <w:rsid w:val="004E48EF"/>
    <w:rsid w:val="005624FF"/>
    <w:rsid w:val="00594EC4"/>
    <w:rsid w:val="005E089C"/>
    <w:rsid w:val="00615605"/>
    <w:rsid w:val="00616E3A"/>
    <w:rsid w:val="00630C2A"/>
    <w:rsid w:val="006D2A2A"/>
    <w:rsid w:val="00760C96"/>
    <w:rsid w:val="00781115"/>
    <w:rsid w:val="00782B90"/>
    <w:rsid w:val="007A036B"/>
    <w:rsid w:val="009B1873"/>
    <w:rsid w:val="009F403E"/>
    <w:rsid w:val="00A3798F"/>
    <w:rsid w:val="00BB64FC"/>
    <w:rsid w:val="00BE4F5B"/>
    <w:rsid w:val="00C158EF"/>
    <w:rsid w:val="00CC3FFD"/>
    <w:rsid w:val="00D34C28"/>
    <w:rsid w:val="00D64871"/>
    <w:rsid w:val="00D655C3"/>
    <w:rsid w:val="00DA5899"/>
    <w:rsid w:val="00DD6F68"/>
    <w:rsid w:val="00E30598"/>
    <w:rsid w:val="00E35B00"/>
    <w:rsid w:val="00E35BE8"/>
    <w:rsid w:val="00E663E3"/>
    <w:rsid w:val="00EE2C3D"/>
    <w:rsid w:val="00F44C48"/>
    <w:rsid w:val="00F948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29350-4659-43C0-9A66-D4CC17C30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1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4F5B"/>
    <w:rPr>
      <w:color w:val="0000FF" w:themeColor="hyperlink"/>
      <w:u w:val="single"/>
    </w:rPr>
  </w:style>
  <w:style w:type="paragraph" w:styleId="ListParagraph">
    <w:name w:val="List Paragraph"/>
    <w:basedOn w:val="Normal"/>
    <w:uiPriority w:val="34"/>
    <w:qFormat/>
    <w:rsid w:val="00E30598"/>
    <w:pPr>
      <w:ind w:left="720"/>
      <w:contextualSpacing/>
    </w:pPr>
  </w:style>
  <w:style w:type="paragraph" w:styleId="FootnoteText">
    <w:name w:val="footnote text"/>
    <w:basedOn w:val="Normal"/>
    <w:link w:val="FootnoteTextChar"/>
    <w:uiPriority w:val="99"/>
    <w:semiHidden/>
    <w:unhideWhenUsed/>
    <w:rsid w:val="007A03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36B"/>
    <w:rPr>
      <w:sz w:val="20"/>
      <w:szCs w:val="20"/>
    </w:rPr>
  </w:style>
  <w:style w:type="character" w:styleId="FootnoteReference">
    <w:name w:val="footnote reference"/>
    <w:basedOn w:val="DefaultParagraphFont"/>
    <w:uiPriority w:val="99"/>
    <w:semiHidden/>
    <w:unhideWhenUsed/>
    <w:rsid w:val="007A036B"/>
    <w:rPr>
      <w:vertAlign w:val="superscript"/>
    </w:rPr>
  </w:style>
  <w:style w:type="paragraph" w:styleId="Header">
    <w:name w:val="header"/>
    <w:basedOn w:val="Normal"/>
    <w:link w:val="HeaderChar"/>
    <w:uiPriority w:val="99"/>
    <w:unhideWhenUsed/>
    <w:rsid w:val="00DD6F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F68"/>
  </w:style>
  <w:style w:type="paragraph" w:styleId="Footer">
    <w:name w:val="footer"/>
    <w:basedOn w:val="Normal"/>
    <w:link w:val="FooterChar"/>
    <w:uiPriority w:val="99"/>
    <w:unhideWhenUsed/>
    <w:rsid w:val="00DD6F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610617">
      <w:bodyDiv w:val="1"/>
      <w:marLeft w:val="0"/>
      <w:marRight w:val="0"/>
      <w:marTop w:val="0"/>
      <w:marBottom w:val="0"/>
      <w:divBdr>
        <w:top w:val="none" w:sz="0" w:space="0" w:color="auto"/>
        <w:left w:val="none" w:sz="0" w:space="0" w:color="auto"/>
        <w:bottom w:val="none" w:sz="0" w:space="0" w:color="auto"/>
        <w:right w:val="none" w:sz="0" w:space="0" w:color="auto"/>
      </w:divBdr>
    </w:div>
    <w:div w:id="1259563965">
      <w:bodyDiv w:val="1"/>
      <w:marLeft w:val="0"/>
      <w:marRight w:val="0"/>
      <w:marTop w:val="0"/>
      <w:marBottom w:val="0"/>
      <w:divBdr>
        <w:top w:val="none" w:sz="0" w:space="0" w:color="auto"/>
        <w:left w:val="none" w:sz="0" w:space="0" w:color="auto"/>
        <w:bottom w:val="none" w:sz="0" w:space="0" w:color="auto"/>
        <w:right w:val="none" w:sz="0" w:space="0" w:color="auto"/>
      </w:divBdr>
    </w:div>
    <w:div w:id="159312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ie/en/publication/7e05d-programme-for-government-our-shared-future/" TargetMode="External"/><Relationship Id="rId3" Type="http://schemas.openxmlformats.org/officeDocument/2006/relationships/hyperlink" Target="http://www.irishstatutebook.ie/eli/1824/act/83/enacted/en/print.html" TargetMode="External"/><Relationship Id="rId7" Type="http://schemas.openxmlformats.org/officeDocument/2006/relationships/hyperlink" Target="http://www.irishstatutebook.ie/eli/1988/act/28/enacted/en/html" TargetMode="External"/><Relationship Id="rId2" Type="http://schemas.openxmlformats.org/officeDocument/2006/relationships/hyperlink" Target="http://www.irishstatutebook.ie/eli/2001/act/24/section/247/enacted/en/html" TargetMode="External"/><Relationship Id="rId1" Type="http://schemas.openxmlformats.org/officeDocument/2006/relationships/hyperlink" Target="http://www.irishstatutebook.ie/eli/2011/act/5/enacted/en/html" TargetMode="External"/><Relationship Id="rId6" Type="http://schemas.openxmlformats.org/officeDocument/2006/relationships/hyperlink" Target="https://www.courts.ie/viewer/pdf/190ef4ec-48ca-47c3-abdd-a63ee331c4c1/2007_IEHC_480_1.pdf/pdf" TargetMode="External"/><Relationship Id="rId5" Type="http://schemas.openxmlformats.org/officeDocument/2006/relationships/hyperlink" Target="http://www.irishstatutebook.ie/eli/1988/act/28/enacted/en/html" TargetMode="External"/><Relationship Id="rId10" Type="http://schemas.openxmlformats.org/officeDocument/2006/relationships/hyperlink" Target="https://www.hse.ie/eng/services/list/4/olderpeople/carersrelatives/community-welfare-services-.html" TargetMode="External"/><Relationship Id="rId4" Type="http://schemas.openxmlformats.org/officeDocument/2006/relationships/hyperlink" Target="http://www.irishstatutebook.ie/eli/1847/act/84/enacted/en/print.html" TargetMode="External"/><Relationship Id="rId9" Type="http://schemas.openxmlformats.org/officeDocument/2006/relationships/hyperlink" Target="https://www.gov.ie/en/service/36e514-supplementary-welfare-allow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A1624F-0EBD-4BDA-B724-1BC1EC9389CD}">
  <ds:schemaRefs>
    <ds:schemaRef ds:uri="http://schemas.openxmlformats.org/officeDocument/2006/bibliography"/>
  </ds:schemaRefs>
</ds:datastoreItem>
</file>

<file path=customXml/itemProps2.xml><?xml version="1.0" encoding="utf-8"?>
<ds:datastoreItem xmlns:ds="http://schemas.openxmlformats.org/officeDocument/2006/customXml" ds:itemID="{F3F7AB86-2A69-4C20-B8CE-13537B2E0098}"/>
</file>

<file path=customXml/itemProps3.xml><?xml version="1.0" encoding="utf-8"?>
<ds:datastoreItem xmlns:ds="http://schemas.openxmlformats.org/officeDocument/2006/customXml" ds:itemID="{C7C9E3DF-1470-47E4-AB29-6C3E848151AA}"/>
</file>

<file path=customXml/itemProps4.xml><?xml version="1.0" encoding="utf-8"?>
<ds:datastoreItem xmlns:ds="http://schemas.openxmlformats.org/officeDocument/2006/customXml" ds:itemID="{38501F18-47F7-4285-A97B-B8EE14580A21}"/>
</file>

<file path=docProps/app.xml><?xml version="1.0" encoding="utf-8"?>
<Properties xmlns="http://schemas.openxmlformats.org/officeDocument/2006/extended-properties" xmlns:vt="http://schemas.openxmlformats.org/officeDocument/2006/docPropsVTypes">
  <Template>Normal.dotm</Template>
  <TotalTime>0</TotalTime>
  <Pages>5</Pages>
  <Words>1730</Words>
  <Characters>9864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11571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 Kelleher</dc:creator>
  <cp:keywords/>
  <dc:description/>
  <cp:lastModifiedBy>THEISSEN Gunnar</cp:lastModifiedBy>
  <cp:revision>2</cp:revision>
  <dcterms:created xsi:type="dcterms:W3CDTF">2021-08-24T14:01:00Z</dcterms:created>
  <dcterms:modified xsi:type="dcterms:W3CDTF">2021-08-24T14:01:00Z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