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3481" w14:textId="77777777" w:rsidR="00A8744F" w:rsidRPr="008344F1" w:rsidRDefault="00A8744F" w:rsidP="00D24864">
      <w:pPr>
        <w:pStyle w:val="NoSpacing"/>
        <w:jc w:val="both"/>
        <w:rPr>
          <w:rFonts w:asciiTheme="minorHAnsi" w:hAnsiTheme="minorHAnsi"/>
          <w:b/>
          <w:sz w:val="28"/>
          <w:szCs w:val="28"/>
          <w:lang w:val="fr-FR"/>
        </w:rPr>
      </w:pPr>
      <w:bookmarkStart w:id="0" w:name="_Toc181529480"/>
    </w:p>
    <w:p w14:paraId="503A3482" w14:textId="77E2465D" w:rsidR="00813B25" w:rsidRPr="008344F1" w:rsidRDefault="002A607E" w:rsidP="00D24864">
      <w:pPr>
        <w:pStyle w:val="NoSpacing"/>
        <w:jc w:val="center"/>
        <w:rPr>
          <w:rFonts w:asciiTheme="minorHAnsi" w:hAnsiTheme="minorHAnsi"/>
          <w:b/>
          <w:sz w:val="28"/>
          <w:szCs w:val="28"/>
          <w:lang w:val="fr-FR"/>
        </w:rPr>
      </w:pPr>
      <w:r w:rsidRPr="008344F1">
        <w:rPr>
          <w:rFonts w:asciiTheme="minorHAnsi" w:hAnsiTheme="minorHAnsi"/>
          <w:b/>
          <w:sz w:val="28"/>
          <w:szCs w:val="28"/>
          <w:lang w:val="fr-FR"/>
        </w:rPr>
        <w:t>QUIZ</w:t>
      </w:r>
      <w:r w:rsidR="009917EE" w:rsidRPr="008344F1">
        <w:rPr>
          <w:rFonts w:asciiTheme="minorHAnsi" w:hAnsiTheme="minorHAnsi"/>
          <w:b/>
          <w:sz w:val="28"/>
          <w:szCs w:val="28"/>
          <w:lang w:val="fr-FR"/>
        </w:rPr>
        <w:t xml:space="preserve"> sur le système des</w:t>
      </w:r>
      <w:r w:rsidR="009B6C29">
        <w:rPr>
          <w:rFonts w:asciiTheme="minorHAnsi" w:hAnsiTheme="minorHAnsi"/>
          <w:b/>
          <w:sz w:val="28"/>
          <w:szCs w:val="28"/>
          <w:lang w:val="fr-FR"/>
        </w:rPr>
        <w:t xml:space="preserve"> </w:t>
      </w:r>
      <w:r w:rsidR="00971D8F">
        <w:rPr>
          <w:rFonts w:asciiTheme="minorHAnsi" w:hAnsiTheme="minorHAnsi"/>
          <w:b/>
          <w:sz w:val="28"/>
          <w:szCs w:val="28"/>
          <w:lang w:val="fr-FR"/>
        </w:rPr>
        <w:t>droits de l’h</w:t>
      </w:r>
      <w:r w:rsidR="009B6C29">
        <w:rPr>
          <w:rFonts w:asciiTheme="minorHAnsi" w:hAnsiTheme="minorHAnsi"/>
          <w:b/>
          <w:sz w:val="28"/>
          <w:szCs w:val="28"/>
          <w:lang w:val="fr-FR"/>
        </w:rPr>
        <w:t>omme des</w:t>
      </w:r>
      <w:r w:rsidR="009917EE" w:rsidRPr="008344F1">
        <w:rPr>
          <w:rFonts w:asciiTheme="minorHAnsi" w:hAnsiTheme="minorHAnsi"/>
          <w:b/>
          <w:sz w:val="28"/>
          <w:szCs w:val="28"/>
          <w:lang w:val="fr-FR"/>
        </w:rPr>
        <w:t xml:space="preserve"> Nations Unies</w:t>
      </w:r>
    </w:p>
    <w:p w14:paraId="503A3483" w14:textId="77777777" w:rsidR="008E6CD2" w:rsidRPr="008344F1" w:rsidRDefault="008E6CD2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bookmarkEnd w:id="0"/>
    <w:p w14:paraId="503A3484" w14:textId="77777777" w:rsidR="00C031F6" w:rsidRPr="008344F1" w:rsidRDefault="00C031F6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p w14:paraId="503A3485" w14:textId="7C7B4DEC" w:rsidR="009917EE" w:rsidRPr="008344F1" w:rsidRDefault="00C031F6" w:rsidP="00D24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Courier New"/>
          <w:sz w:val="28"/>
          <w:szCs w:val="28"/>
          <w:lang w:val="fr-FR" w:eastAsia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1. </w:t>
      </w:r>
      <w:r w:rsidR="009917EE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La Déclaration universelle des droits de l'h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omme, </w:t>
      </w:r>
      <w:r w:rsidR="00B828FC">
        <w:rPr>
          <w:rFonts w:asciiTheme="minorHAnsi" w:hAnsiTheme="minorHAnsi" w:cs="Courier New"/>
          <w:sz w:val="28"/>
          <w:szCs w:val="28"/>
          <w:lang w:val="fr-FR" w:eastAsia="fr-FR"/>
        </w:rPr>
        <w:t>instrument pilier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</w:t>
      </w:r>
      <w:r w:rsidR="009A2F0C">
        <w:rPr>
          <w:rFonts w:asciiTheme="minorHAnsi" w:hAnsiTheme="minorHAnsi" w:cs="Courier New"/>
          <w:sz w:val="28"/>
          <w:szCs w:val="28"/>
          <w:lang w:val="fr-FR" w:eastAsia="fr-FR"/>
        </w:rPr>
        <w:t>pour la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 xml:space="preserve"> promotion des droits de l’h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omme </w:t>
      </w:r>
      <w:r w:rsidR="00971D8F">
        <w:rPr>
          <w:rFonts w:asciiTheme="minorHAnsi" w:hAnsiTheme="minorHAnsi" w:cs="Courier New"/>
          <w:sz w:val="28"/>
          <w:szCs w:val="28"/>
          <w:lang w:val="fr-FR" w:eastAsia="fr-FR"/>
        </w:rPr>
        <w:t xml:space="preserve">qui 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spécifie les droits de chaque personne pour la première fois dans l'histoire </w:t>
      </w:r>
      <w:r w:rsidR="00971D8F">
        <w:rPr>
          <w:rFonts w:asciiTheme="minorHAnsi" w:hAnsiTheme="minorHAnsi" w:cs="Courier New"/>
          <w:sz w:val="28"/>
          <w:szCs w:val="28"/>
          <w:lang w:val="fr-FR" w:eastAsia="fr-FR"/>
        </w:rPr>
        <w:t>est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>:</w:t>
      </w:r>
    </w:p>
    <w:p w14:paraId="503A3486" w14:textId="77777777" w:rsidR="00C031F6" w:rsidRPr="008344F1" w:rsidRDefault="00B828FC" w:rsidP="00D24864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 w:cs="Courier New"/>
          <w:sz w:val="28"/>
          <w:szCs w:val="28"/>
          <w:lang w:val="fr-FR" w:eastAsia="fr-FR"/>
        </w:rPr>
        <w:t>U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n traité </w:t>
      </w:r>
      <w:r w:rsidR="00A30EEB">
        <w:rPr>
          <w:rFonts w:asciiTheme="minorHAnsi" w:hAnsiTheme="minorHAnsi" w:cs="Courier New"/>
          <w:sz w:val="28"/>
          <w:szCs w:val="28"/>
          <w:lang w:val="fr-FR" w:eastAsia="fr-FR"/>
        </w:rPr>
        <w:t xml:space="preserve">juridiquement 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>contraignant</w:t>
      </w:r>
      <w:r w:rsidR="009917EE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503A3487" w14:textId="77777777" w:rsidR="00C031F6" w:rsidRPr="008344F1" w:rsidRDefault="00B828FC" w:rsidP="00D24864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 w:cs="Courier New"/>
          <w:sz w:val="28"/>
          <w:szCs w:val="28"/>
          <w:lang w:val="fr-FR" w:eastAsia="fr-FR"/>
        </w:rPr>
        <w:t>U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ne déclaration </w:t>
      </w:r>
      <w:r w:rsidR="00A30EEB">
        <w:rPr>
          <w:rFonts w:asciiTheme="minorHAnsi" w:hAnsiTheme="minorHAnsi" w:cs="Courier New"/>
          <w:sz w:val="28"/>
          <w:szCs w:val="28"/>
          <w:lang w:val="fr-FR" w:eastAsia="fr-FR"/>
        </w:rPr>
        <w:t xml:space="preserve">juridiquement non 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contraignante, mais </w:t>
      </w:r>
      <w:r>
        <w:rPr>
          <w:rFonts w:asciiTheme="minorHAnsi" w:hAnsiTheme="minorHAnsi" w:cs="Courier New"/>
          <w:sz w:val="28"/>
          <w:szCs w:val="28"/>
          <w:lang w:val="fr-FR" w:eastAsia="fr-FR"/>
        </w:rPr>
        <w:t>contenant des</w:t>
      </w:r>
      <w:r w:rsidR="009917EE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dispositions de droit coutumier</w:t>
      </w:r>
      <w:r w:rsidR="009917EE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503A3488" w14:textId="77777777" w:rsidR="00C031F6" w:rsidRPr="008344F1" w:rsidRDefault="009917EE" w:rsidP="00D24864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B828FC">
        <w:rPr>
          <w:rFonts w:asciiTheme="minorHAnsi" w:hAnsiTheme="minorHAnsi" w:cs="Courier New"/>
          <w:sz w:val="28"/>
          <w:szCs w:val="28"/>
          <w:lang w:val="fr-FR" w:eastAsia="fr-FR"/>
        </w:rPr>
        <w:t>U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ne déclaration </w:t>
      </w:r>
      <w:r w:rsidR="00B828FC">
        <w:rPr>
          <w:rFonts w:asciiTheme="minorHAnsi" w:hAnsiTheme="minorHAnsi" w:cs="Courier New"/>
          <w:sz w:val="28"/>
          <w:szCs w:val="28"/>
          <w:lang w:val="fr-FR" w:eastAsia="fr-FR"/>
        </w:rPr>
        <w:t xml:space="preserve">juridiquement non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contraignante</w:t>
      </w:r>
      <w:r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503A3489" w14:textId="77777777" w:rsidR="00C031F6" w:rsidRPr="008344F1" w:rsidRDefault="00C031F6" w:rsidP="00D24864">
      <w:pPr>
        <w:ind w:left="720" w:hanging="720"/>
        <w:jc w:val="both"/>
        <w:rPr>
          <w:rFonts w:asciiTheme="minorHAnsi" w:hAnsiTheme="minorHAnsi"/>
          <w:sz w:val="28"/>
          <w:szCs w:val="28"/>
          <w:lang w:val="fr-FR"/>
        </w:rPr>
      </w:pPr>
    </w:p>
    <w:p w14:paraId="48142DB3" w14:textId="77777777" w:rsidR="007238D9" w:rsidRPr="008344F1" w:rsidRDefault="00C031F6" w:rsidP="007238D9">
      <w:p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2. 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>Combien existe t – il de traités internationaux relatifs aux droits de l'homme</w:t>
      </w:r>
      <w:r w:rsidR="007238D9" w:rsidRPr="008344F1">
        <w:rPr>
          <w:rFonts w:asciiTheme="minorHAnsi" w:hAnsiTheme="minorHAnsi"/>
          <w:sz w:val="28"/>
          <w:szCs w:val="28"/>
          <w:lang w:val="fr-FR"/>
        </w:rPr>
        <w:t>?</w:t>
      </w:r>
    </w:p>
    <w:p w14:paraId="4929F754" w14:textId="77777777" w:rsidR="007238D9" w:rsidRPr="008344F1" w:rsidRDefault="007238D9" w:rsidP="007238D9">
      <w:pPr>
        <w:numPr>
          <w:ilvl w:val="0"/>
          <w:numId w:val="26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Six </w:t>
      </w:r>
    </w:p>
    <w:p w14:paraId="6A024068" w14:textId="77777777" w:rsidR="007238D9" w:rsidRPr="008344F1" w:rsidRDefault="007238D9" w:rsidP="007238D9">
      <w:pPr>
        <w:numPr>
          <w:ilvl w:val="0"/>
          <w:numId w:val="26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>Neuf</w:t>
      </w:r>
    </w:p>
    <w:p w14:paraId="736DCF63" w14:textId="77777777" w:rsidR="007238D9" w:rsidRPr="008344F1" w:rsidRDefault="007238D9" w:rsidP="007238D9">
      <w:pPr>
        <w:numPr>
          <w:ilvl w:val="0"/>
          <w:numId w:val="26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>Dix</w:t>
      </w:r>
    </w:p>
    <w:p w14:paraId="56BA0199" w14:textId="77777777" w:rsidR="007238D9" w:rsidRPr="008344F1" w:rsidRDefault="007238D9" w:rsidP="007238D9">
      <w:pPr>
        <w:numPr>
          <w:ilvl w:val="0"/>
          <w:numId w:val="26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Quatorze </w:t>
      </w:r>
    </w:p>
    <w:p w14:paraId="5D697523" w14:textId="77777777" w:rsidR="007238D9" w:rsidRDefault="007238D9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p w14:paraId="4747EB7F" w14:textId="77777777" w:rsidR="007238D9" w:rsidRPr="008344F1" w:rsidRDefault="00C031F6" w:rsidP="007238D9">
      <w:p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3. </w:t>
      </w:r>
      <w:r w:rsidR="00A019A0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7238D9" w:rsidRPr="008344F1">
        <w:rPr>
          <w:rFonts w:asciiTheme="minorHAnsi" w:hAnsiTheme="minorHAnsi"/>
          <w:sz w:val="28"/>
          <w:szCs w:val="28"/>
          <w:lang w:val="fr-FR"/>
        </w:rPr>
        <w:t>Combien</w:t>
      </w:r>
      <w:r w:rsidR="007238D9">
        <w:rPr>
          <w:rFonts w:asciiTheme="minorHAnsi" w:hAnsiTheme="minorHAnsi"/>
          <w:sz w:val="28"/>
          <w:szCs w:val="28"/>
          <w:lang w:val="fr-FR"/>
        </w:rPr>
        <w:t xml:space="preserve"> y </w:t>
      </w:r>
      <w:proofErr w:type="spellStart"/>
      <w:r w:rsidR="007238D9">
        <w:rPr>
          <w:rFonts w:asciiTheme="minorHAnsi" w:hAnsiTheme="minorHAnsi"/>
          <w:sz w:val="28"/>
          <w:szCs w:val="28"/>
          <w:lang w:val="fr-FR"/>
        </w:rPr>
        <w:t>a-t-il</w:t>
      </w:r>
      <w:proofErr w:type="spellEnd"/>
      <w:r w:rsidR="007238D9">
        <w:rPr>
          <w:rFonts w:asciiTheme="minorHAnsi" w:hAnsiTheme="minorHAnsi"/>
          <w:sz w:val="28"/>
          <w:szCs w:val="28"/>
          <w:lang w:val="fr-FR"/>
        </w:rPr>
        <w:t xml:space="preserve"> d’organes de traités </w:t>
      </w:r>
      <w:r w:rsidR="007238D9" w:rsidRPr="008344F1">
        <w:rPr>
          <w:rFonts w:asciiTheme="minorHAnsi" w:hAnsiTheme="minorHAnsi"/>
          <w:sz w:val="28"/>
          <w:szCs w:val="28"/>
          <w:lang w:val="fr-FR"/>
        </w:rPr>
        <w:t>?</w:t>
      </w:r>
    </w:p>
    <w:p w14:paraId="2D222F5F" w14:textId="77777777" w:rsidR="007238D9" w:rsidRPr="008344F1" w:rsidRDefault="007238D9" w:rsidP="007238D9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Six </w:t>
      </w:r>
    </w:p>
    <w:p w14:paraId="1380125A" w14:textId="77777777" w:rsidR="007238D9" w:rsidRPr="008344F1" w:rsidRDefault="007238D9" w:rsidP="007238D9">
      <w:pPr>
        <w:numPr>
          <w:ilvl w:val="0"/>
          <w:numId w:val="20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>Neuf</w:t>
      </w:r>
    </w:p>
    <w:p w14:paraId="334CBB12" w14:textId="77777777" w:rsidR="007238D9" w:rsidRPr="008344F1" w:rsidRDefault="007238D9" w:rsidP="007238D9">
      <w:pPr>
        <w:numPr>
          <w:ilvl w:val="0"/>
          <w:numId w:val="20"/>
        </w:numPr>
        <w:jc w:val="both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/>
          <w:sz w:val="28"/>
          <w:szCs w:val="28"/>
          <w:lang w:val="fr-FR"/>
        </w:rPr>
        <w:t>Dix</w:t>
      </w:r>
    </w:p>
    <w:p w14:paraId="21B17A1B" w14:textId="77777777" w:rsidR="007238D9" w:rsidRPr="008344F1" w:rsidRDefault="007238D9" w:rsidP="007238D9">
      <w:pPr>
        <w:numPr>
          <w:ilvl w:val="0"/>
          <w:numId w:val="20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>Quatorze</w:t>
      </w:r>
    </w:p>
    <w:p w14:paraId="503A3496" w14:textId="77777777" w:rsidR="00C031F6" w:rsidRPr="008344F1" w:rsidRDefault="00C031F6" w:rsidP="00D24864">
      <w:pPr>
        <w:ind w:left="1440"/>
        <w:jc w:val="both"/>
        <w:rPr>
          <w:rFonts w:asciiTheme="minorHAnsi" w:hAnsiTheme="minorHAnsi"/>
          <w:sz w:val="28"/>
          <w:szCs w:val="28"/>
          <w:lang w:val="fr-FR"/>
        </w:rPr>
      </w:pPr>
    </w:p>
    <w:p w14:paraId="755B2148" w14:textId="286F3944" w:rsidR="007238D9" w:rsidRDefault="00C031F6" w:rsidP="007238D9">
      <w:p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4. </w:t>
      </w:r>
      <w:r w:rsidR="007238D9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>Le</w:t>
      </w:r>
      <w:r w:rsidR="007238D9">
        <w:rPr>
          <w:rFonts w:asciiTheme="minorHAnsi" w:hAnsiTheme="minorHAnsi" w:cs="Courier New"/>
          <w:sz w:val="28"/>
          <w:szCs w:val="28"/>
          <w:lang w:val="fr-FR" w:eastAsia="fr-FR"/>
        </w:rPr>
        <w:t>s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>quel</w:t>
      </w:r>
      <w:r w:rsidR="007238D9">
        <w:rPr>
          <w:rFonts w:asciiTheme="minorHAnsi" w:hAnsiTheme="minorHAnsi" w:cs="Courier New"/>
          <w:sz w:val="28"/>
          <w:szCs w:val="28"/>
          <w:lang w:val="fr-FR" w:eastAsia="fr-FR"/>
        </w:rPr>
        <w:t>s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 xml:space="preserve"> des mécanismes des d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>roits de l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’h</w:t>
      </w:r>
      <w:r w:rsidR="007238D9">
        <w:rPr>
          <w:rFonts w:asciiTheme="minorHAnsi" w:hAnsiTheme="minorHAnsi" w:cs="Courier New"/>
          <w:sz w:val="28"/>
          <w:szCs w:val="28"/>
          <w:lang w:val="fr-FR" w:eastAsia="fr-FR"/>
        </w:rPr>
        <w:t>omme suivants ont été établis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par le Conseil des 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d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>roits de l'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h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>omme</w:t>
      </w:r>
      <w:r w:rsidR="007238D9" w:rsidRPr="008344F1">
        <w:rPr>
          <w:rFonts w:asciiTheme="minorHAnsi" w:hAnsiTheme="minorHAnsi"/>
          <w:sz w:val="28"/>
          <w:szCs w:val="28"/>
          <w:lang w:val="fr-FR"/>
        </w:rPr>
        <w:t>?</w:t>
      </w:r>
    </w:p>
    <w:p w14:paraId="4418B0E1" w14:textId="77777777" w:rsidR="007238D9" w:rsidRPr="008344F1" w:rsidRDefault="007238D9" w:rsidP="007238D9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p w14:paraId="02468CF8" w14:textId="2F425E8A" w:rsidR="007238D9" w:rsidRPr="008344F1" w:rsidRDefault="00D67189" w:rsidP="007238D9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 w:cs="Courier New"/>
          <w:sz w:val="28"/>
          <w:szCs w:val="28"/>
          <w:lang w:val="fr-FR" w:eastAsia="fr-FR"/>
        </w:rPr>
        <w:t>Procédures s</w:t>
      </w:r>
      <w:r w:rsidR="007238D9" w:rsidRPr="008344F1">
        <w:rPr>
          <w:rFonts w:asciiTheme="minorHAnsi" w:hAnsiTheme="minorHAnsi" w:cs="Courier New"/>
          <w:sz w:val="28"/>
          <w:szCs w:val="28"/>
          <w:lang w:val="fr-FR" w:eastAsia="fr-FR"/>
        </w:rPr>
        <w:t>péciales</w:t>
      </w:r>
    </w:p>
    <w:p w14:paraId="679AC8C7" w14:textId="3BC7273E" w:rsidR="007238D9" w:rsidRPr="008344F1" w:rsidRDefault="00D67189" w:rsidP="007238D9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/>
          <w:sz w:val="28"/>
          <w:szCs w:val="28"/>
          <w:lang w:val="fr-FR"/>
        </w:rPr>
        <w:t>Organes de traités et l’Examen périodique u</w:t>
      </w:r>
      <w:r w:rsidR="007238D9">
        <w:rPr>
          <w:rFonts w:asciiTheme="minorHAnsi" w:hAnsiTheme="minorHAnsi"/>
          <w:sz w:val="28"/>
          <w:szCs w:val="28"/>
          <w:lang w:val="fr-FR"/>
        </w:rPr>
        <w:t>niversel</w:t>
      </w:r>
    </w:p>
    <w:p w14:paraId="38156D76" w14:textId="4843FF87" w:rsidR="007238D9" w:rsidRPr="008344F1" w:rsidRDefault="007238D9" w:rsidP="007238D9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Procédures spéciales et </w:t>
      </w:r>
      <w:r w:rsidR="00D67189">
        <w:rPr>
          <w:rFonts w:asciiTheme="minorHAnsi" w:hAnsiTheme="minorHAnsi"/>
          <w:sz w:val="28"/>
          <w:szCs w:val="28"/>
          <w:lang w:val="fr-FR"/>
        </w:rPr>
        <w:t>l’Examen périodique u</w:t>
      </w:r>
      <w:r>
        <w:rPr>
          <w:rFonts w:asciiTheme="minorHAnsi" w:hAnsiTheme="minorHAnsi"/>
          <w:sz w:val="28"/>
          <w:szCs w:val="28"/>
          <w:lang w:val="fr-FR"/>
        </w:rPr>
        <w:t>niversel</w:t>
      </w:r>
    </w:p>
    <w:p w14:paraId="29151951" w14:textId="77777777" w:rsidR="007238D9" w:rsidRPr="008344F1" w:rsidRDefault="007238D9" w:rsidP="007238D9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>A et B</w:t>
      </w:r>
    </w:p>
    <w:p w14:paraId="2169E527" w14:textId="7A5309FE" w:rsidR="007238D9" w:rsidRDefault="007238D9" w:rsidP="007238D9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p w14:paraId="503A349D" w14:textId="77777777" w:rsidR="00C031F6" w:rsidRDefault="00C031F6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5. </w:t>
      </w:r>
      <w:r w:rsidR="000B78C6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1A115A" w:rsidRPr="008344F1">
        <w:rPr>
          <w:rFonts w:asciiTheme="minorHAnsi" w:hAnsiTheme="minorHAnsi" w:cs="Courier New"/>
          <w:sz w:val="28"/>
          <w:szCs w:val="28"/>
          <w:lang w:val="fr-FR" w:eastAsia="fr-FR"/>
        </w:rPr>
        <w:t>Le</w:t>
      </w:r>
      <w:r w:rsidR="001A115A">
        <w:rPr>
          <w:rFonts w:asciiTheme="minorHAnsi" w:hAnsiTheme="minorHAnsi" w:cs="Courier New"/>
          <w:sz w:val="28"/>
          <w:szCs w:val="28"/>
          <w:lang w:val="fr-FR" w:eastAsia="fr-FR"/>
        </w:rPr>
        <w:t>s</w:t>
      </w:r>
      <w:r w:rsidR="001A115A" w:rsidRPr="008344F1">
        <w:rPr>
          <w:rFonts w:asciiTheme="minorHAnsi" w:hAnsiTheme="minorHAnsi" w:cs="Courier New"/>
          <w:sz w:val="28"/>
          <w:szCs w:val="28"/>
          <w:lang w:val="fr-FR" w:eastAsia="fr-FR"/>
        </w:rPr>
        <w:t>quels</w:t>
      </w:r>
      <w:r w:rsidR="001A115A">
        <w:rPr>
          <w:rFonts w:asciiTheme="minorHAnsi" w:hAnsiTheme="minorHAnsi" w:cs="Courier New"/>
          <w:sz w:val="28"/>
          <w:szCs w:val="28"/>
          <w:lang w:val="fr-FR" w:eastAsia="fr-FR"/>
        </w:rPr>
        <w:t xml:space="preserve"> des</w:t>
      </w:r>
      <w:r w:rsidR="000B78C6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traités</w:t>
      </w:r>
      <w:r w:rsidR="00230757">
        <w:rPr>
          <w:rFonts w:asciiTheme="minorHAnsi" w:hAnsiTheme="minorHAnsi" w:cs="Courier New"/>
          <w:sz w:val="28"/>
          <w:szCs w:val="28"/>
          <w:lang w:val="fr-FR" w:eastAsia="fr-FR"/>
        </w:rPr>
        <w:t xml:space="preserve"> suivants</w:t>
      </w:r>
      <w:r w:rsidR="000B78C6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relatifs aux droits</w:t>
      </w:r>
      <w:r w:rsidR="00230757">
        <w:rPr>
          <w:rFonts w:asciiTheme="minorHAnsi" w:hAnsiTheme="minorHAnsi" w:cs="Courier New"/>
          <w:sz w:val="28"/>
          <w:szCs w:val="28"/>
          <w:lang w:val="fr-FR" w:eastAsia="fr-FR"/>
        </w:rPr>
        <w:t xml:space="preserve"> de l’homme</w:t>
      </w:r>
      <w:r w:rsidR="000B78C6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sont complétés par un ou plusieurs protocoles facultatifs</w:t>
      </w:r>
      <w:r w:rsidRPr="008344F1">
        <w:rPr>
          <w:rFonts w:asciiTheme="minorHAnsi" w:hAnsiTheme="minorHAnsi"/>
          <w:sz w:val="28"/>
          <w:szCs w:val="28"/>
          <w:lang w:val="fr-FR"/>
        </w:rPr>
        <w:t>?</w:t>
      </w:r>
      <w:r w:rsidR="000B78C6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503A349E" w14:textId="77777777" w:rsidR="00971D8F" w:rsidRPr="008344F1" w:rsidRDefault="00971D8F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p w14:paraId="503A349F" w14:textId="0A14DA11" w:rsidR="00C031F6" w:rsidRPr="008344F1" w:rsidRDefault="000B78C6" w:rsidP="00D24864">
      <w:pPr>
        <w:pStyle w:val="ListParagraph"/>
        <w:numPr>
          <w:ilvl w:val="1"/>
          <w:numId w:val="29"/>
        </w:numPr>
        <w:ind w:left="720"/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La 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Convention </w:t>
      </w:r>
      <w:r w:rsidRPr="008344F1">
        <w:rPr>
          <w:rFonts w:asciiTheme="minorHAnsi" w:hAnsiTheme="minorHAnsi"/>
          <w:sz w:val="28"/>
          <w:szCs w:val="28"/>
          <w:lang w:val="fr-FR"/>
        </w:rPr>
        <w:t>pour l’élimination de toute forme de discrimination à l’égard de la femme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(CEDAW); </w:t>
      </w:r>
      <w:r w:rsidRPr="008344F1">
        <w:rPr>
          <w:rFonts w:asciiTheme="minorHAnsi" w:hAnsiTheme="minorHAnsi"/>
          <w:sz w:val="28"/>
          <w:szCs w:val="28"/>
          <w:lang w:val="fr-FR"/>
        </w:rPr>
        <w:t>la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 Convention </w:t>
      </w:r>
      <w:r w:rsidRPr="008344F1">
        <w:rPr>
          <w:rFonts w:asciiTheme="minorHAnsi" w:hAnsiTheme="minorHAnsi"/>
          <w:sz w:val="28"/>
          <w:szCs w:val="28"/>
          <w:lang w:val="fr-FR"/>
        </w:rPr>
        <w:t xml:space="preserve">contre la 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>Torture (C</w:t>
      </w:r>
      <w:r w:rsidRPr="008344F1">
        <w:rPr>
          <w:rFonts w:asciiTheme="minorHAnsi" w:hAnsiTheme="minorHAnsi"/>
          <w:sz w:val="28"/>
          <w:szCs w:val="28"/>
          <w:lang w:val="fr-FR"/>
        </w:rPr>
        <w:t>C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T);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et le Pacte relatif aux droits civils et politiques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 (</w:t>
      </w:r>
      <w:r w:rsidRPr="008344F1">
        <w:rPr>
          <w:rFonts w:asciiTheme="minorHAnsi" w:hAnsiTheme="minorHAnsi"/>
          <w:sz w:val="28"/>
          <w:szCs w:val="28"/>
          <w:lang w:val="fr-FR"/>
        </w:rPr>
        <w:t>PDCP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>);</w:t>
      </w:r>
    </w:p>
    <w:p w14:paraId="503A34A0" w14:textId="59860FC3" w:rsidR="00C031F6" w:rsidRPr="008344F1" w:rsidRDefault="000B78C6" w:rsidP="00D24864">
      <w:pPr>
        <w:pStyle w:val="ListParagraph"/>
        <w:numPr>
          <w:ilvl w:val="1"/>
          <w:numId w:val="29"/>
        </w:numPr>
        <w:ind w:left="720"/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Le Pacte international </w:t>
      </w:r>
      <w:r w:rsidR="00971D8F">
        <w:rPr>
          <w:rFonts w:asciiTheme="minorHAnsi" w:hAnsiTheme="minorHAnsi" w:cs="Courier New"/>
          <w:sz w:val="28"/>
          <w:szCs w:val="28"/>
          <w:lang w:val="fr-FR" w:eastAsia="fr-FR"/>
        </w:rPr>
        <w:t xml:space="preserve">relatif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aux droits économiques, sociaux et culturels (PIDESC); la Convention sur les droits de l'enfant (CRC); et la Convention relative aux droits des personnes handicapées (CDPH)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>;</w:t>
      </w:r>
    </w:p>
    <w:p w14:paraId="503A34A1" w14:textId="77777777" w:rsidR="00C031F6" w:rsidRPr="008344F1" w:rsidRDefault="0035774E" w:rsidP="00D24864">
      <w:pPr>
        <w:pStyle w:val="ListParagraph"/>
        <w:numPr>
          <w:ilvl w:val="1"/>
          <w:numId w:val="29"/>
        </w:numPr>
        <w:ind w:left="720"/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La Convention pour la protection de toutes les personnes contre les disparitions forcées</w:t>
      </w:r>
      <w:r w:rsidRPr="008344F1">
        <w:rPr>
          <w:rFonts w:asciiTheme="minorHAnsi" w:hAnsiTheme="minorHAnsi"/>
          <w:sz w:val="28"/>
          <w:szCs w:val="28"/>
          <w:lang w:val="fr-FR"/>
        </w:rPr>
        <w:t>(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>C</w:t>
      </w:r>
      <w:r w:rsidRPr="008344F1">
        <w:rPr>
          <w:rFonts w:asciiTheme="minorHAnsi" w:hAnsiTheme="minorHAnsi"/>
          <w:sz w:val="28"/>
          <w:szCs w:val="28"/>
          <w:lang w:val="fr-FR"/>
        </w:rPr>
        <w:t>PPDF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); 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la Convention sur la protection des droits de tous les 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lastRenderedPageBreak/>
        <w:t>travailleurs migrants et leurs familles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 (C</w:t>
      </w:r>
      <w:r w:rsidR="005705FB" w:rsidRPr="008344F1">
        <w:rPr>
          <w:rFonts w:asciiTheme="minorHAnsi" w:hAnsiTheme="minorHAnsi"/>
          <w:sz w:val="28"/>
          <w:szCs w:val="28"/>
          <w:lang w:val="fr-FR"/>
        </w:rPr>
        <w:t>PDTM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); 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t>et la Convention sur l'élimination de toutes les formes de discrimination raciale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 xml:space="preserve"> (CED</w:t>
      </w:r>
      <w:r w:rsidR="005705FB" w:rsidRPr="008344F1">
        <w:rPr>
          <w:rFonts w:asciiTheme="minorHAnsi" w:hAnsiTheme="minorHAnsi"/>
          <w:sz w:val="28"/>
          <w:szCs w:val="28"/>
          <w:lang w:val="fr-FR"/>
        </w:rPr>
        <w:t>R</w:t>
      </w:r>
      <w:r w:rsidR="00C031F6" w:rsidRPr="008344F1">
        <w:rPr>
          <w:rFonts w:asciiTheme="minorHAnsi" w:hAnsiTheme="minorHAnsi"/>
          <w:sz w:val="28"/>
          <w:szCs w:val="28"/>
          <w:lang w:val="fr-FR"/>
        </w:rPr>
        <w:t>)</w:t>
      </w:r>
    </w:p>
    <w:p w14:paraId="503A34A2" w14:textId="77777777" w:rsidR="00C031F6" w:rsidRPr="00070C4A" w:rsidRDefault="00C031F6" w:rsidP="00D24864">
      <w:pPr>
        <w:pStyle w:val="ListParagraph"/>
        <w:numPr>
          <w:ilvl w:val="1"/>
          <w:numId w:val="29"/>
        </w:numPr>
        <w:ind w:left="720"/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A </w:t>
      </w:r>
      <w:r w:rsidR="005705FB" w:rsidRPr="008344F1">
        <w:rPr>
          <w:rFonts w:asciiTheme="minorHAnsi" w:hAnsiTheme="minorHAnsi"/>
          <w:sz w:val="28"/>
          <w:szCs w:val="28"/>
          <w:lang w:val="fr-FR"/>
        </w:rPr>
        <w:t>et</w:t>
      </w:r>
      <w:r w:rsidRPr="008344F1">
        <w:rPr>
          <w:rFonts w:asciiTheme="minorHAnsi" w:hAnsiTheme="minorHAnsi"/>
          <w:sz w:val="28"/>
          <w:szCs w:val="28"/>
          <w:lang w:val="fr-FR"/>
        </w:rPr>
        <w:t xml:space="preserve"> B</w:t>
      </w:r>
    </w:p>
    <w:p w14:paraId="503A34A3" w14:textId="77777777" w:rsidR="00C031F6" w:rsidRPr="008344F1" w:rsidRDefault="00C031F6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p w14:paraId="503A34A4" w14:textId="424B10E1" w:rsidR="00C031F6" w:rsidRPr="008344F1" w:rsidRDefault="00C031F6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6. 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t>Quelle fonction ci-dessous n’est pas du ress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ort des organes de t</w:t>
      </w:r>
      <w:r w:rsidR="00EB335A">
        <w:rPr>
          <w:rFonts w:asciiTheme="minorHAnsi" w:hAnsiTheme="minorHAnsi" w:cs="Courier New"/>
          <w:sz w:val="28"/>
          <w:szCs w:val="28"/>
          <w:lang w:val="fr-FR" w:eastAsia="fr-FR"/>
        </w:rPr>
        <w:t>raités</w:t>
      </w:r>
      <w:r w:rsidRPr="008344F1">
        <w:rPr>
          <w:rFonts w:asciiTheme="minorHAnsi" w:hAnsiTheme="minorHAnsi"/>
          <w:sz w:val="28"/>
          <w:szCs w:val="28"/>
          <w:lang w:val="fr-FR"/>
        </w:rPr>
        <w:t>?</w:t>
      </w:r>
    </w:p>
    <w:p w14:paraId="503A34A5" w14:textId="77777777" w:rsidR="005705FB" w:rsidRPr="008344F1" w:rsidRDefault="005705FB" w:rsidP="00D24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="Courier New"/>
          <w:sz w:val="28"/>
          <w:szCs w:val="28"/>
          <w:lang w:val="fr-FR" w:eastAsia="fr-FR"/>
        </w:rPr>
      </w:pPr>
    </w:p>
    <w:p w14:paraId="503A34A6" w14:textId="77777777" w:rsidR="00C031F6" w:rsidRPr="008344F1" w:rsidRDefault="00EB335A" w:rsidP="00D24864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 w:cs="Courier New"/>
          <w:sz w:val="28"/>
          <w:szCs w:val="28"/>
          <w:lang w:val="fr-FR" w:eastAsia="fr-FR"/>
        </w:rPr>
        <w:t>Examen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des rapport</w:t>
      </w:r>
      <w:r>
        <w:rPr>
          <w:rFonts w:asciiTheme="minorHAnsi" w:hAnsiTheme="minorHAnsi" w:cs="Courier New"/>
          <w:sz w:val="28"/>
          <w:szCs w:val="28"/>
          <w:lang w:val="fr-FR" w:eastAsia="fr-FR"/>
        </w:rPr>
        <w:t>s des États membres et formulation des observations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finales</w:t>
      </w:r>
      <w:r w:rsidR="005705FB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503A34A7" w14:textId="77777777" w:rsidR="00C031F6" w:rsidRPr="008344F1" w:rsidRDefault="005705FB" w:rsidP="00D24864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Adoption des résolutions concernant la situation des droits de l'homme dans un pays donné</w:t>
      </w:r>
    </w:p>
    <w:p w14:paraId="503A34A8" w14:textId="4C18AE55" w:rsidR="00C031F6" w:rsidRPr="008344F1" w:rsidRDefault="005705FB" w:rsidP="00D24864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Examen des plaintes individuelles sur une violation présumée </w:t>
      </w:r>
      <w:r w:rsidR="00A11DB4">
        <w:rPr>
          <w:rFonts w:asciiTheme="minorHAnsi" w:hAnsiTheme="minorHAnsi" w:cs="Courier New"/>
          <w:sz w:val="28"/>
          <w:szCs w:val="28"/>
          <w:lang w:val="fr-FR" w:eastAsia="fr-FR"/>
        </w:rPr>
        <w:t>d’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u</w:t>
      </w:r>
      <w:r w:rsidR="00A11DB4">
        <w:rPr>
          <w:rFonts w:asciiTheme="minorHAnsi" w:hAnsiTheme="minorHAnsi" w:cs="Courier New"/>
          <w:sz w:val="28"/>
          <w:szCs w:val="28"/>
          <w:lang w:val="fr-FR" w:eastAsia="fr-FR"/>
        </w:rPr>
        <w:t xml:space="preserve">n </w:t>
      </w:r>
      <w:r w:rsidR="004C3781">
        <w:rPr>
          <w:rFonts w:asciiTheme="minorHAnsi" w:hAnsiTheme="minorHAnsi" w:cs="Courier New"/>
          <w:sz w:val="28"/>
          <w:szCs w:val="28"/>
          <w:lang w:val="fr-FR" w:eastAsia="fr-FR"/>
        </w:rPr>
        <w:t xml:space="preserve">ou des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droit (s) prévues dans le traité respectif</w:t>
      </w:r>
      <w:r w:rsidR="004C3781">
        <w:rPr>
          <w:rFonts w:asciiTheme="minorHAnsi" w:hAnsiTheme="minorHAnsi" w:cs="Courier New"/>
          <w:sz w:val="28"/>
          <w:szCs w:val="28"/>
          <w:lang w:val="fr-FR" w:eastAsia="fr-FR"/>
        </w:rPr>
        <w:t xml:space="preserve"> et </w:t>
      </w:r>
      <w:r w:rsidR="007B68C3">
        <w:rPr>
          <w:rFonts w:asciiTheme="minorHAnsi" w:hAnsiTheme="minorHAnsi" w:cs="Courier New"/>
          <w:sz w:val="28"/>
          <w:szCs w:val="28"/>
          <w:lang w:val="fr-FR" w:eastAsia="fr-FR"/>
        </w:rPr>
        <w:t>l’adoption d’</w:t>
      </w:r>
      <w:r w:rsidR="004C3781">
        <w:rPr>
          <w:rFonts w:asciiTheme="minorHAnsi" w:hAnsiTheme="minorHAnsi" w:cs="Courier New"/>
          <w:sz w:val="28"/>
          <w:szCs w:val="28"/>
          <w:lang w:val="fr-FR" w:eastAsia="fr-FR"/>
        </w:rPr>
        <w:t>avis /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décisions</w:t>
      </w:r>
    </w:p>
    <w:p w14:paraId="503A34A9" w14:textId="127262DE" w:rsidR="00C031F6" w:rsidRPr="008344F1" w:rsidRDefault="00502132" w:rsidP="00D24864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Adoption de tous les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commentaires ou recommandation</w:t>
      </w:r>
      <w:r w:rsidR="007B68C3">
        <w:rPr>
          <w:rFonts w:asciiTheme="minorHAnsi" w:hAnsiTheme="minorHAnsi" w:cs="Courier New"/>
          <w:sz w:val="28"/>
          <w:szCs w:val="28"/>
          <w:lang w:val="fr-FR" w:eastAsia="fr-FR"/>
        </w:rPr>
        <w:t>s générales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</w:t>
      </w:r>
      <w:r w:rsidR="007B68C3">
        <w:rPr>
          <w:rFonts w:asciiTheme="minorHAnsi" w:hAnsiTheme="minorHAnsi" w:cs="Courier New"/>
          <w:sz w:val="28"/>
          <w:szCs w:val="28"/>
          <w:lang w:val="fr-FR" w:eastAsia="fr-FR"/>
        </w:rPr>
        <w:t xml:space="preserve">relativement à l’interprétation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des droits consacrés dans le</w:t>
      </w:r>
      <w:r w:rsidR="005705FB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traité respectif</w:t>
      </w:r>
      <w:r w:rsidR="005705FB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503A34AA" w14:textId="77777777" w:rsidR="00C031F6" w:rsidRPr="008344F1" w:rsidRDefault="00C031F6" w:rsidP="00D24864">
      <w:pPr>
        <w:pStyle w:val="NoSpacing"/>
        <w:ind w:left="360"/>
        <w:jc w:val="both"/>
        <w:rPr>
          <w:rFonts w:asciiTheme="minorHAnsi" w:hAnsiTheme="minorHAnsi"/>
          <w:sz w:val="28"/>
          <w:szCs w:val="28"/>
          <w:lang w:val="fr-FR"/>
        </w:rPr>
      </w:pPr>
    </w:p>
    <w:p w14:paraId="503A34AB" w14:textId="5D4CD480" w:rsidR="00C031F6" w:rsidRPr="008344F1" w:rsidRDefault="00C031F6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7. </w:t>
      </w:r>
      <w:r w:rsidR="00502132" w:rsidRPr="008344F1">
        <w:rPr>
          <w:rFonts w:asciiTheme="minorHAnsi" w:hAnsiTheme="minorHAnsi"/>
          <w:sz w:val="28"/>
          <w:szCs w:val="28"/>
          <w:lang w:val="fr-FR"/>
        </w:rPr>
        <w:t xml:space="preserve">Combien </w:t>
      </w:r>
      <w:r w:rsidR="009E099A">
        <w:rPr>
          <w:rFonts w:asciiTheme="minorHAnsi" w:hAnsiTheme="minorHAnsi"/>
          <w:sz w:val="28"/>
          <w:szCs w:val="28"/>
          <w:lang w:val="fr-FR"/>
        </w:rPr>
        <w:t xml:space="preserve">y </w:t>
      </w:r>
      <w:proofErr w:type="spellStart"/>
      <w:r w:rsidR="00D67189">
        <w:rPr>
          <w:rFonts w:asciiTheme="minorHAnsi" w:hAnsiTheme="minorHAnsi"/>
          <w:sz w:val="28"/>
          <w:szCs w:val="28"/>
          <w:lang w:val="fr-FR"/>
        </w:rPr>
        <w:t>a-t-il</w:t>
      </w:r>
      <w:proofErr w:type="spellEnd"/>
      <w:r w:rsidR="00502132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9E099A" w:rsidRPr="008344F1">
        <w:rPr>
          <w:rFonts w:asciiTheme="minorHAnsi" w:hAnsiTheme="minorHAnsi"/>
          <w:sz w:val="28"/>
          <w:szCs w:val="28"/>
          <w:lang w:val="fr-FR"/>
        </w:rPr>
        <w:t xml:space="preserve">de membres </w:t>
      </w:r>
      <w:r w:rsidR="00502132" w:rsidRPr="008344F1">
        <w:rPr>
          <w:rFonts w:asciiTheme="minorHAnsi" w:hAnsiTheme="minorHAnsi"/>
          <w:sz w:val="28"/>
          <w:szCs w:val="28"/>
          <w:lang w:val="fr-FR"/>
        </w:rPr>
        <w:t xml:space="preserve">au sein du </w:t>
      </w:r>
      <w:r w:rsidR="0012315F">
        <w:rPr>
          <w:rFonts w:asciiTheme="minorHAnsi" w:hAnsiTheme="minorHAnsi"/>
          <w:sz w:val="28"/>
          <w:szCs w:val="28"/>
          <w:lang w:val="fr-FR"/>
        </w:rPr>
        <w:t>C</w:t>
      </w:r>
      <w:r w:rsidR="00502132" w:rsidRPr="008344F1">
        <w:rPr>
          <w:rFonts w:asciiTheme="minorHAnsi" w:hAnsiTheme="minorHAnsi"/>
          <w:sz w:val="28"/>
          <w:szCs w:val="28"/>
          <w:lang w:val="fr-FR"/>
        </w:rPr>
        <w:t xml:space="preserve">onseil des </w:t>
      </w:r>
      <w:r w:rsidR="00D67189">
        <w:rPr>
          <w:rFonts w:asciiTheme="minorHAnsi" w:hAnsiTheme="minorHAnsi"/>
          <w:sz w:val="28"/>
          <w:szCs w:val="28"/>
          <w:lang w:val="fr-FR"/>
        </w:rPr>
        <w:t>d</w:t>
      </w:r>
      <w:r w:rsidR="00502132" w:rsidRPr="008344F1">
        <w:rPr>
          <w:rFonts w:asciiTheme="minorHAnsi" w:hAnsiTheme="minorHAnsi"/>
          <w:sz w:val="28"/>
          <w:szCs w:val="28"/>
          <w:lang w:val="fr-FR"/>
        </w:rPr>
        <w:t>roits de l’</w:t>
      </w:r>
      <w:r w:rsidR="00D67189">
        <w:rPr>
          <w:rFonts w:asciiTheme="minorHAnsi" w:hAnsiTheme="minorHAnsi"/>
          <w:sz w:val="28"/>
          <w:szCs w:val="28"/>
          <w:lang w:val="fr-FR"/>
        </w:rPr>
        <w:t>h</w:t>
      </w:r>
      <w:r w:rsidR="00502132" w:rsidRPr="008344F1">
        <w:rPr>
          <w:rFonts w:asciiTheme="minorHAnsi" w:hAnsiTheme="minorHAnsi"/>
          <w:sz w:val="28"/>
          <w:szCs w:val="28"/>
          <w:lang w:val="fr-FR"/>
        </w:rPr>
        <w:t>omme</w:t>
      </w:r>
      <w:r w:rsidRPr="008344F1">
        <w:rPr>
          <w:rFonts w:asciiTheme="minorHAnsi" w:hAnsiTheme="minorHAnsi"/>
          <w:sz w:val="28"/>
          <w:szCs w:val="28"/>
          <w:lang w:val="fr-FR"/>
        </w:rPr>
        <w:t>?</w:t>
      </w:r>
    </w:p>
    <w:p w14:paraId="503A34AC" w14:textId="77777777" w:rsidR="00C031F6" w:rsidRPr="008344F1" w:rsidRDefault="00C031F6" w:rsidP="00D24864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23 </w:t>
      </w:r>
    </w:p>
    <w:p w14:paraId="503A34AD" w14:textId="77777777" w:rsidR="00C031F6" w:rsidRPr="008344F1" w:rsidRDefault="00C031F6" w:rsidP="00D24864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>52</w:t>
      </w:r>
    </w:p>
    <w:p w14:paraId="503A34AE" w14:textId="77777777" w:rsidR="00C031F6" w:rsidRPr="008344F1" w:rsidRDefault="00C031F6" w:rsidP="00D24864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>104</w:t>
      </w:r>
    </w:p>
    <w:p w14:paraId="503A34AF" w14:textId="77777777" w:rsidR="00C031F6" w:rsidRPr="008344F1" w:rsidRDefault="00C031F6" w:rsidP="00D24864">
      <w:pPr>
        <w:pStyle w:val="ListParagraph"/>
        <w:numPr>
          <w:ilvl w:val="0"/>
          <w:numId w:val="31"/>
        </w:num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47 </w:t>
      </w:r>
    </w:p>
    <w:p w14:paraId="503A34B0" w14:textId="77777777" w:rsidR="00C031F6" w:rsidRPr="008344F1" w:rsidRDefault="00C031F6" w:rsidP="00D24864">
      <w:pPr>
        <w:ind w:left="1440"/>
        <w:jc w:val="both"/>
        <w:rPr>
          <w:rFonts w:asciiTheme="minorHAnsi" w:hAnsiTheme="minorHAnsi"/>
          <w:sz w:val="28"/>
          <w:szCs w:val="28"/>
          <w:lang w:val="fr-FR"/>
        </w:rPr>
      </w:pPr>
    </w:p>
    <w:p w14:paraId="503A34B1" w14:textId="660AC53D" w:rsidR="00C031F6" w:rsidRDefault="00C031F6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8. </w:t>
      </w:r>
      <w:r w:rsidR="00502132" w:rsidRPr="008344F1">
        <w:rPr>
          <w:rFonts w:asciiTheme="minorHAnsi" w:hAnsiTheme="minorHAnsi"/>
          <w:sz w:val="28"/>
          <w:szCs w:val="28"/>
          <w:lang w:val="fr-FR"/>
        </w:rPr>
        <w:t>Qu’</w:t>
      </w:r>
      <w:r w:rsidR="00536D32" w:rsidRPr="008344F1">
        <w:rPr>
          <w:rFonts w:asciiTheme="minorHAnsi" w:hAnsiTheme="minorHAnsi"/>
          <w:sz w:val="28"/>
          <w:szCs w:val="28"/>
          <w:lang w:val="fr-FR"/>
        </w:rPr>
        <w:t>est-ce</w:t>
      </w:r>
      <w:r w:rsidR="00D67189">
        <w:rPr>
          <w:rFonts w:asciiTheme="minorHAnsi" w:hAnsiTheme="minorHAnsi"/>
          <w:sz w:val="28"/>
          <w:szCs w:val="28"/>
          <w:lang w:val="fr-FR"/>
        </w:rPr>
        <w:t xml:space="preserve"> que l’Examen p</w:t>
      </w:r>
      <w:r w:rsidR="00536D32">
        <w:rPr>
          <w:rFonts w:asciiTheme="minorHAnsi" w:hAnsiTheme="minorHAnsi"/>
          <w:sz w:val="28"/>
          <w:szCs w:val="28"/>
          <w:lang w:val="fr-FR"/>
        </w:rPr>
        <w:t>ériodique</w:t>
      </w:r>
      <w:r w:rsidR="00502132"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  <w:r w:rsidR="00D67189">
        <w:rPr>
          <w:rFonts w:asciiTheme="minorHAnsi" w:hAnsiTheme="minorHAnsi"/>
          <w:sz w:val="28"/>
          <w:szCs w:val="28"/>
          <w:lang w:val="fr-FR"/>
        </w:rPr>
        <w:t>u</w:t>
      </w:r>
      <w:r w:rsidR="00536D32">
        <w:rPr>
          <w:rFonts w:asciiTheme="minorHAnsi" w:hAnsiTheme="minorHAnsi"/>
          <w:sz w:val="28"/>
          <w:szCs w:val="28"/>
          <w:lang w:val="fr-FR"/>
        </w:rPr>
        <w:t>niversel</w:t>
      </w:r>
      <w:r w:rsidRPr="008344F1">
        <w:rPr>
          <w:rFonts w:asciiTheme="minorHAnsi" w:hAnsiTheme="minorHAnsi"/>
          <w:sz w:val="28"/>
          <w:szCs w:val="28"/>
          <w:lang w:val="fr-FR"/>
        </w:rPr>
        <w:t>?</w:t>
      </w:r>
    </w:p>
    <w:p w14:paraId="503A34B2" w14:textId="77777777" w:rsidR="00BC4707" w:rsidRPr="008344F1" w:rsidRDefault="00BC4707" w:rsidP="00D24864">
      <w:pPr>
        <w:jc w:val="both"/>
        <w:rPr>
          <w:rFonts w:asciiTheme="minorHAnsi" w:hAnsiTheme="minorHAnsi"/>
          <w:sz w:val="28"/>
          <w:szCs w:val="28"/>
          <w:lang w:val="fr-FR"/>
        </w:rPr>
      </w:pPr>
    </w:p>
    <w:p w14:paraId="503A34B3" w14:textId="77777777" w:rsidR="00C031F6" w:rsidRPr="008344F1" w:rsidRDefault="00502132" w:rsidP="00D24864">
      <w:pPr>
        <w:pStyle w:val="ListParagraph"/>
        <w:numPr>
          <w:ilvl w:val="1"/>
          <w:numId w:val="32"/>
        </w:numPr>
        <w:ind w:left="1080"/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Un processus unique </w:t>
      </w:r>
      <w:r w:rsidR="00D24864">
        <w:rPr>
          <w:rFonts w:asciiTheme="minorHAnsi" w:hAnsiTheme="minorHAnsi" w:cs="Courier New"/>
          <w:sz w:val="28"/>
          <w:szCs w:val="28"/>
          <w:lang w:val="fr-FR" w:eastAsia="fr-FR"/>
        </w:rPr>
        <w:t xml:space="preserve">d’examen intergouvernemental qui passe en revue les réalisations dans le domaine des droits de l’homme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de tous les 193 Etats membres de l'ONU une fois tous les quatre ans</w:t>
      </w:r>
      <w:r w:rsidRPr="008344F1">
        <w:rPr>
          <w:rFonts w:asciiTheme="minorHAnsi" w:hAnsiTheme="minorHAnsi"/>
          <w:sz w:val="28"/>
          <w:szCs w:val="28"/>
          <w:lang w:val="fr-FR"/>
        </w:rPr>
        <w:t xml:space="preserve"> et demi</w:t>
      </w:r>
    </w:p>
    <w:p w14:paraId="503A34B4" w14:textId="7BD2375D" w:rsidR="00C031F6" w:rsidRPr="008344F1" w:rsidRDefault="00502132" w:rsidP="00D24864">
      <w:pPr>
        <w:pStyle w:val="ListParagraph"/>
        <w:numPr>
          <w:ilvl w:val="1"/>
          <w:numId w:val="32"/>
        </w:numPr>
        <w:ind w:left="1080"/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Des experts indépendants mandatés 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par le Conseil des droits de l’h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omme</w:t>
      </w:r>
      <w:r w:rsidR="00167555">
        <w:rPr>
          <w:rFonts w:asciiTheme="minorHAnsi" w:hAnsiTheme="minorHAnsi" w:cs="Courier New"/>
          <w:sz w:val="28"/>
          <w:szCs w:val="28"/>
          <w:lang w:val="fr-FR" w:eastAsia="fr-FR"/>
        </w:rPr>
        <w:t xml:space="preserve"> pour étudier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</w:t>
      </w:r>
      <w:r w:rsidR="00167555">
        <w:rPr>
          <w:rFonts w:asciiTheme="minorHAnsi" w:hAnsiTheme="minorHAnsi" w:cs="Courier New"/>
          <w:sz w:val="28"/>
          <w:szCs w:val="28"/>
          <w:lang w:val="fr-FR" w:eastAsia="fr-FR"/>
        </w:rPr>
        <w:t xml:space="preserve">les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situations spécifiques des pays ou des questions thématiques dans toutes les régions du monde</w:t>
      </w:r>
    </w:p>
    <w:p w14:paraId="503A34B5" w14:textId="02B5EA56" w:rsidR="00C031F6" w:rsidRPr="008344F1" w:rsidRDefault="0012315F" w:rsidP="00D24864">
      <w:pPr>
        <w:pStyle w:val="ListParagraph"/>
        <w:numPr>
          <w:ilvl w:val="1"/>
          <w:numId w:val="32"/>
        </w:numPr>
        <w:ind w:left="1080"/>
        <w:jc w:val="both"/>
        <w:rPr>
          <w:rFonts w:asciiTheme="minorHAnsi" w:hAnsiTheme="minorHAnsi"/>
          <w:sz w:val="28"/>
          <w:szCs w:val="28"/>
          <w:lang w:val="fr-FR"/>
        </w:rPr>
      </w:pPr>
      <w:r>
        <w:rPr>
          <w:rFonts w:asciiTheme="minorHAnsi" w:hAnsiTheme="minorHAnsi" w:cs="Courier New"/>
          <w:sz w:val="28"/>
          <w:szCs w:val="28"/>
          <w:lang w:val="fr-FR" w:eastAsia="fr-FR"/>
        </w:rPr>
        <w:t>Un organisme</w:t>
      </w:r>
      <w:r w:rsidR="008344F1" w:rsidRPr="008344F1">
        <w:rPr>
          <w:rFonts w:asciiTheme="minorHAnsi" w:hAnsiTheme="minorHAnsi" w:cs="Courier New"/>
          <w:sz w:val="28"/>
          <w:szCs w:val="28"/>
          <w:lang w:val="fr-FR" w:eastAsia="fr-FR"/>
        </w:rPr>
        <w:t xml:space="preserve"> intergouve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rnemental créé par l'Assemblée g</w:t>
      </w:r>
      <w:r w:rsidR="008344F1" w:rsidRPr="008344F1">
        <w:rPr>
          <w:rFonts w:asciiTheme="minorHAnsi" w:hAnsiTheme="minorHAnsi" w:cs="Courier New"/>
          <w:sz w:val="28"/>
          <w:szCs w:val="28"/>
          <w:lang w:val="fr-FR" w:eastAsia="fr-FR"/>
        </w:rPr>
        <w:t>énérale en 2006 po</w:t>
      </w:r>
      <w:r w:rsidR="00D67189">
        <w:rPr>
          <w:rFonts w:asciiTheme="minorHAnsi" w:hAnsiTheme="minorHAnsi" w:cs="Courier New"/>
          <w:sz w:val="28"/>
          <w:szCs w:val="28"/>
          <w:lang w:val="fr-FR" w:eastAsia="fr-FR"/>
        </w:rPr>
        <w:t>ur remplacer la Commission des droits de l’h</w:t>
      </w:r>
      <w:bookmarkStart w:id="1" w:name="_GoBack"/>
      <w:bookmarkEnd w:id="1"/>
      <w:r w:rsidR="008344F1" w:rsidRPr="008344F1">
        <w:rPr>
          <w:rFonts w:asciiTheme="minorHAnsi" w:hAnsiTheme="minorHAnsi" w:cs="Courier New"/>
          <w:sz w:val="28"/>
          <w:szCs w:val="28"/>
          <w:lang w:val="fr-FR" w:eastAsia="fr-FR"/>
        </w:rPr>
        <w:t>omme</w:t>
      </w:r>
    </w:p>
    <w:p w14:paraId="503A34B6" w14:textId="47CB4323" w:rsidR="00C031F6" w:rsidRPr="008344F1" w:rsidRDefault="008344F1" w:rsidP="00D24864">
      <w:pPr>
        <w:pStyle w:val="ListParagraph"/>
        <w:numPr>
          <w:ilvl w:val="1"/>
          <w:numId w:val="32"/>
        </w:numPr>
        <w:ind w:left="1080"/>
        <w:jc w:val="both"/>
        <w:rPr>
          <w:rFonts w:asciiTheme="minorHAnsi" w:hAnsiTheme="minorHAnsi"/>
          <w:sz w:val="28"/>
          <w:szCs w:val="28"/>
          <w:lang w:val="fr-FR"/>
        </w:rPr>
      </w:pPr>
      <w:r w:rsidRPr="008344F1">
        <w:rPr>
          <w:rFonts w:asciiTheme="minorHAnsi" w:hAnsiTheme="minorHAnsi"/>
          <w:sz w:val="28"/>
          <w:szCs w:val="28"/>
          <w:lang w:val="fr-FR"/>
        </w:rPr>
        <w:t xml:space="preserve">Des </w:t>
      </w:r>
      <w:r w:rsidRPr="008344F1">
        <w:rPr>
          <w:rFonts w:asciiTheme="minorHAnsi" w:hAnsiTheme="minorHAnsi" w:cs="Courier New"/>
          <w:sz w:val="28"/>
          <w:szCs w:val="28"/>
          <w:lang w:val="fr-FR" w:eastAsia="fr-FR"/>
        </w:rPr>
        <w:t>comités d'experts indépendants qui examinent des traités juridiquement contraignants négociés et adoptés par les États membres dans le cadre de l'Assemblée générale des Nations Unies</w:t>
      </w:r>
      <w:r w:rsidRPr="008344F1">
        <w:rPr>
          <w:rFonts w:asciiTheme="minorHAnsi" w:hAnsiTheme="minorHAnsi"/>
          <w:sz w:val="28"/>
          <w:szCs w:val="28"/>
          <w:lang w:val="fr-FR"/>
        </w:rPr>
        <w:t xml:space="preserve"> </w:t>
      </w:r>
    </w:p>
    <w:p w14:paraId="503A34B7" w14:textId="77777777" w:rsidR="00FA4F3E" w:rsidRPr="008344F1" w:rsidRDefault="00FA4F3E" w:rsidP="00D24864">
      <w:pPr>
        <w:ind w:left="360"/>
        <w:jc w:val="both"/>
        <w:rPr>
          <w:rFonts w:asciiTheme="minorHAnsi" w:hAnsiTheme="minorHAnsi"/>
          <w:sz w:val="28"/>
          <w:szCs w:val="28"/>
          <w:lang w:val="fr-FR"/>
        </w:rPr>
      </w:pPr>
    </w:p>
    <w:sectPr w:rsidR="00FA4F3E" w:rsidRPr="008344F1" w:rsidSect="008932AE">
      <w:headerReference w:type="default" r:id="rId11"/>
      <w:footerReference w:type="even" r:id="rId12"/>
      <w:footerReference w:type="defaul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34BA" w14:textId="77777777" w:rsidR="00137DE3" w:rsidRDefault="00137DE3">
      <w:r>
        <w:separator/>
      </w:r>
    </w:p>
  </w:endnote>
  <w:endnote w:type="continuationSeparator" w:id="0">
    <w:p w14:paraId="503A34BB" w14:textId="77777777" w:rsidR="00137DE3" w:rsidRDefault="0013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34BD" w14:textId="77777777" w:rsidR="005C463D" w:rsidRDefault="00A907AA" w:rsidP="002A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46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A34BE" w14:textId="77777777" w:rsidR="005C463D" w:rsidRDefault="005C463D" w:rsidP="002A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34BF" w14:textId="0382B1EE" w:rsidR="005C463D" w:rsidRDefault="00A907AA" w:rsidP="002A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46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1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3A34C0" w14:textId="77777777" w:rsidR="00D47071" w:rsidRPr="005526DF" w:rsidRDefault="00EC621A" w:rsidP="00D47071">
    <w:pPr>
      <w:pStyle w:val="Footer"/>
      <w:ind w:left="1985" w:right="360" w:firstLine="1615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3A34C2" wp14:editId="503A34C3">
          <wp:simplePos x="0" y="0"/>
          <wp:positionH relativeFrom="column">
            <wp:posOffset>-104140</wp:posOffset>
          </wp:positionH>
          <wp:positionV relativeFrom="paragraph">
            <wp:posOffset>-283210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3A34C1" w14:textId="77777777" w:rsidR="005C463D" w:rsidRPr="00A81E41" w:rsidRDefault="005C463D" w:rsidP="00362327">
    <w:pPr>
      <w:pStyle w:val="Footer"/>
      <w:ind w:right="360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A34B8" w14:textId="77777777" w:rsidR="00137DE3" w:rsidRDefault="00137DE3">
      <w:r>
        <w:separator/>
      </w:r>
    </w:p>
  </w:footnote>
  <w:footnote w:type="continuationSeparator" w:id="0">
    <w:p w14:paraId="503A34B9" w14:textId="77777777" w:rsidR="00137DE3" w:rsidRDefault="0013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34BC" w14:textId="11DE8C45" w:rsidR="00E21F49" w:rsidRPr="00BD3AE7" w:rsidRDefault="009917EE" w:rsidP="00A8744F">
    <w:pPr>
      <w:ind w:left="480" w:right="840"/>
      <w:jc w:val="center"/>
      <w:rPr>
        <w:rFonts w:ascii="Arial Narrow" w:hAnsi="Arial Narrow"/>
        <w:b/>
        <w:bCs/>
        <w:sz w:val="18"/>
        <w:szCs w:val="18"/>
        <w:u w:val="single"/>
        <w:lang w:val="fr-FR"/>
      </w:rPr>
    </w:pPr>
    <w:r w:rsidRPr="00BD3AE7">
      <w:rPr>
        <w:rFonts w:ascii="Arial" w:hAnsi="Arial" w:cs="Arial"/>
        <w:b/>
        <w:bCs/>
        <w:i/>
        <w:iCs/>
        <w:sz w:val="18"/>
        <w:szCs w:val="18"/>
        <w:lang w:val="fr-FR"/>
      </w:rPr>
      <w:t>Programme de renforcement</w:t>
    </w:r>
    <w:r w:rsidR="00BD3AE7" w:rsidRPr="00BD3AE7">
      <w:rPr>
        <w:rFonts w:ascii="Arial" w:hAnsi="Arial" w:cs="Arial"/>
        <w:b/>
        <w:bCs/>
        <w:i/>
        <w:iCs/>
        <w:sz w:val="18"/>
        <w:szCs w:val="18"/>
        <w:lang w:val="fr-FR"/>
      </w:rPr>
      <w:t xml:space="preserve"> de </w:t>
    </w:r>
    <w:r w:rsidR="00BD3AE7">
      <w:rPr>
        <w:rFonts w:ascii="Arial" w:hAnsi="Arial" w:cs="Arial"/>
        <w:b/>
        <w:bCs/>
        <w:i/>
        <w:iCs/>
        <w:sz w:val="18"/>
        <w:szCs w:val="18"/>
        <w:lang w:val="fr-FR"/>
      </w:rPr>
      <w:t>capacit</w:t>
    </w:r>
    <w:r w:rsidR="00BD3AE7" w:rsidRPr="00BD3AE7">
      <w:rPr>
        <w:rFonts w:ascii="Arial" w:hAnsi="Arial" w:cs="Arial"/>
        <w:b/>
        <w:bCs/>
        <w:i/>
        <w:iCs/>
        <w:sz w:val="18"/>
        <w:szCs w:val="18"/>
        <w:lang w:val="fr-FR"/>
      </w:rPr>
      <w:t>és des orga</w:t>
    </w:r>
    <w:r w:rsidR="00971D8F">
      <w:rPr>
        <w:rFonts w:ascii="Arial" w:hAnsi="Arial" w:cs="Arial"/>
        <w:b/>
        <w:bCs/>
        <w:i/>
        <w:iCs/>
        <w:sz w:val="18"/>
        <w:szCs w:val="18"/>
        <w:lang w:val="fr-FR"/>
      </w:rPr>
      <w:t xml:space="preserve">nes des traités </w:t>
    </w:r>
    <w:r w:rsidR="00D67189">
      <w:rPr>
        <w:rFonts w:ascii="Arial" w:hAnsi="Arial" w:cs="Arial"/>
        <w:b/>
        <w:bCs/>
        <w:i/>
        <w:iCs/>
        <w:sz w:val="18"/>
        <w:szCs w:val="18"/>
        <w:lang w:val="fr-FR"/>
      </w:rPr>
      <w:t>des d</w:t>
    </w:r>
    <w:r w:rsidR="00BD3AE7" w:rsidRPr="00BD3AE7">
      <w:rPr>
        <w:rFonts w:ascii="Arial" w:hAnsi="Arial" w:cs="Arial"/>
        <w:b/>
        <w:bCs/>
        <w:i/>
        <w:iCs/>
        <w:sz w:val="18"/>
        <w:szCs w:val="18"/>
        <w:lang w:val="fr-FR"/>
      </w:rPr>
      <w:t>roits de l’</w:t>
    </w:r>
    <w:r w:rsidR="00BD3AE7">
      <w:rPr>
        <w:rFonts w:ascii="Arial" w:hAnsi="Arial" w:cs="Arial"/>
        <w:b/>
        <w:bCs/>
        <w:i/>
        <w:iCs/>
        <w:sz w:val="18"/>
        <w:szCs w:val="18"/>
        <w:lang w:val="fr-FR"/>
      </w:rPr>
      <w:t>homme</w:t>
    </w:r>
    <w:r w:rsidR="00971D8F">
      <w:rPr>
        <w:rFonts w:ascii="Arial" w:hAnsi="Arial" w:cs="Arial"/>
        <w:b/>
        <w:bCs/>
        <w:i/>
        <w:iCs/>
        <w:sz w:val="18"/>
        <w:szCs w:val="18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FC0"/>
    <w:multiLevelType w:val="hybridMultilevel"/>
    <w:tmpl w:val="C0BC8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B6733"/>
    <w:multiLevelType w:val="hybridMultilevel"/>
    <w:tmpl w:val="A1EA332E"/>
    <w:lvl w:ilvl="0" w:tplc="4822A01E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5A16"/>
    <w:multiLevelType w:val="hybridMultilevel"/>
    <w:tmpl w:val="693A31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8B0"/>
    <w:multiLevelType w:val="hybridMultilevel"/>
    <w:tmpl w:val="4CEE94C4"/>
    <w:lvl w:ilvl="0" w:tplc="56265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1117"/>
    <w:multiLevelType w:val="hybridMultilevel"/>
    <w:tmpl w:val="89087C14"/>
    <w:lvl w:ilvl="0" w:tplc="4822A01E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25E9D"/>
    <w:multiLevelType w:val="hybridMultilevel"/>
    <w:tmpl w:val="09823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C96"/>
    <w:multiLevelType w:val="hybridMultilevel"/>
    <w:tmpl w:val="F514C70A"/>
    <w:lvl w:ilvl="0" w:tplc="1F88FC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1AD4"/>
    <w:multiLevelType w:val="hybridMultilevel"/>
    <w:tmpl w:val="AA3AFD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8214B"/>
    <w:multiLevelType w:val="hybridMultilevel"/>
    <w:tmpl w:val="CB44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D70C2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E22A4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21724"/>
    <w:multiLevelType w:val="hybridMultilevel"/>
    <w:tmpl w:val="53765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07FC5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05760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7243B"/>
    <w:multiLevelType w:val="hybridMultilevel"/>
    <w:tmpl w:val="9B22F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E1E64">
      <w:start w:val="1"/>
      <w:numFmt w:val="lowerLetter"/>
      <w:lvlText w:val="%2."/>
      <w:lvlJc w:val="left"/>
      <w:pPr>
        <w:ind w:left="1440" w:hanging="360"/>
      </w:pPr>
      <w:rPr>
        <w:rFonts w:ascii="Arial Narrow" w:eastAsia="Malgun Gothic" w:hAnsi="Arial Narrow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72561"/>
    <w:multiLevelType w:val="hybridMultilevel"/>
    <w:tmpl w:val="8BBC11A0"/>
    <w:lvl w:ilvl="0" w:tplc="4822A01E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26A01"/>
    <w:multiLevelType w:val="hybridMultilevel"/>
    <w:tmpl w:val="DE1EDBE4"/>
    <w:lvl w:ilvl="0" w:tplc="4822A01E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F179DF"/>
    <w:multiLevelType w:val="hybridMultilevel"/>
    <w:tmpl w:val="080AB6C2"/>
    <w:lvl w:ilvl="0" w:tplc="4822A01E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70F85"/>
    <w:multiLevelType w:val="hybridMultilevel"/>
    <w:tmpl w:val="104CB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A1DBF"/>
    <w:multiLevelType w:val="hybridMultilevel"/>
    <w:tmpl w:val="D9AC135C"/>
    <w:lvl w:ilvl="0" w:tplc="4822A01E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038F"/>
    <w:multiLevelType w:val="hybridMultilevel"/>
    <w:tmpl w:val="8922666A"/>
    <w:lvl w:ilvl="0" w:tplc="D0D86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D51D18"/>
    <w:multiLevelType w:val="hybridMultilevel"/>
    <w:tmpl w:val="2D962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B67FB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37931"/>
    <w:multiLevelType w:val="hybridMultilevel"/>
    <w:tmpl w:val="033A07D8"/>
    <w:lvl w:ilvl="0" w:tplc="4822A01E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65FB7"/>
    <w:multiLevelType w:val="hybridMultilevel"/>
    <w:tmpl w:val="09823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03AFB"/>
    <w:multiLevelType w:val="hybridMultilevel"/>
    <w:tmpl w:val="CC8E0482"/>
    <w:lvl w:ilvl="0" w:tplc="8D3E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608BE"/>
    <w:multiLevelType w:val="hybridMultilevel"/>
    <w:tmpl w:val="5804EFC6"/>
    <w:lvl w:ilvl="0" w:tplc="4B0C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33DF6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903"/>
    <w:multiLevelType w:val="hybridMultilevel"/>
    <w:tmpl w:val="64769C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CC7B55"/>
    <w:multiLevelType w:val="hybridMultilevel"/>
    <w:tmpl w:val="F66298B2"/>
    <w:lvl w:ilvl="0" w:tplc="EF52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51625"/>
    <w:multiLevelType w:val="hybridMultilevel"/>
    <w:tmpl w:val="5DE2231C"/>
    <w:lvl w:ilvl="0" w:tplc="EF52C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21A77"/>
    <w:multiLevelType w:val="hybridMultilevel"/>
    <w:tmpl w:val="8FE495D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8"/>
  </w:num>
  <w:num w:numId="4">
    <w:abstractNumId w:val="0"/>
  </w:num>
  <w:num w:numId="5">
    <w:abstractNumId w:val="28"/>
  </w:num>
  <w:num w:numId="6">
    <w:abstractNumId w:val="20"/>
  </w:num>
  <w:num w:numId="7">
    <w:abstractNumId w:val="12"/>
  </w:num>
  <w:num w:numId="8">
    <w:abstractNumId w:val="7"/>
  </w:num>
  <w:num w:numId="9">
    <w:abstractNumId w:val="10"/>
  </w:num>
  <w:num w:numId="10">
    <w:abstractNumId w:val="27"/>
  </w:num>
  <w:num w:numId="11">
    <w:abstractNumId w:val="13"/>
  </w:num>
  <w:num w:numId="12">
    <w:abstractNumId w:val="9"/>
  </w:num>
  <w:num w:numId="13">
    <w:abstractNumId w:val="22"/>
  </w:num>
  <w:num w:numId="14">
    <w:abstractNumId w:val="26"/>
  </w:num>
  <w:num w:numId="15">
    <w:abstractNumId w:val="2"/>
  </w:num>
  <w:num w:numId="16">
    <w:abstractNumId w:val="5"/>
  </w:num>
  <w:num w:numId="17">
    <w:abstractNumId w:val="18"/>
  </w:num>
  <w:num w:numId="18">
    <w:abstractNumId w:val="24"/>
  </w:num>
  <w:num w:numId="19">
    <w:abstractNumId w:val="3"/>
  </w:num>
  <w:num w:numId="20">
    <w:abstractNumId w:val="23"/>
  </w:num>
  <w:num w:numId="21">
    <w:abstractNumId w:val="11"/>
  </w:num>
  <w:num w:numId="22">
    <w:abstractNumId w:val="29"/>
  </w:num>
  <w:num w:numId="23">
    <w:abstractNumId w:val="25"/>
  </w:num>
  <w:num w:numId="24">
    <w:abstractNumId w:val="14"/>
  </w:num>
  <w:num w:numId="25">
    <w:abstractNumId w:val="30"/>
  </w:num>
  <w:num w:numId="26">
    <w:abstractNumId w:val="21"/>
  </w:num>
  <w:num w:numId="27">
    <w:abstractNumId w:val="17"/>
  </w:num>
  <w:num w:numId="28">
    <w:abstractNumId w:val="19"/>
  </w:num>
  <w:num w:numId="29">
    <w:abstractNumId w:val="4"/>
  </w:num>
  <w:num w:numId="30">
    <w:abstractNumId w:val="15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4D"/>
    <w:rsid w:val="0000556F"/>
    <w:rsid w:val="00007A1E"/>
    <w:rsid w:val="00023A06"/>
    <w:rsid w:val="00060662"/>
    <w:rsid w:val="00070C4A"/>
    <w:rsid w:val="00072D21"/>
    <w:rsid w:val="0008518B"/>
    <w:rsid w:val="0008787A"/>
    <w:rsid w:val="000A56F1"/>
    <w:rsid w:val="000B73B4"/>
    <w:rsid w:val="000B78C6"/>
    <w:rsid w:val="000F4E50"/>
    <w:rsid w:val="0012315F"/>
    <w:rsid w:val="00136E10"/>
    <w:rsid w:val="00137DE3"/>
    <w:rsid w:val="00152DD0"/>
    <w:rsid w:val="00167555"/>
    <w:rsid w:val="0018484B"/>
    <w:rsid w:val="00186531"/>
    <w:rsid w:val="00191D92"/>
    <w:rsid w:val="001973FF"/>
    <w:rsid w:val="001A115A"/>
    <w:rsid w:val="001F5713"/>
    <w:rsid w:val="001F7555"/>
    <w:rsid w:val="0022353F"/>
    <w:rsid w:val="00230757"/>
    <w:rsid w:val="002975FD"/>
    <w:rsid w:val="002A5E4D"/>
    <w:rsid w:val="002A607E"/>
    <w:rsid w:val="002E18D6"/>
    <w:rsid w:val="002E4E0B"/>
    <w:rsid w:val="00333448"/>
    <w:rsid w:val="0034115C"/>
    <w:rsid w:val="00356B87"/>
    <w:rsid w:val="0035774E"/>
    <w:rsid w:val="00362327"/>
    <w:rsid w:val="003B1D69"/>
    <w:rsid w:val="003D660E"/>
    <w:rsid w:val="003E1D57"/>
    <w:rsid w:val="003E29A2"/>
    <w:rsid w:val="00433548"/>
    <w:rsid w:val="00480FC1"/>
    <w:rsid w:val="00481473"/>
    <w:rsid w:val="004C3781"/>
    <w:rsid w:val="004C7E5B"/>
    <w:rsid w:val="004E1B9F"/>
    <w:rsid w:val="004E2B86"/>
    <w:rsid w:val="00502132"/>
    <w:rsid w:val="00536D32"/>
    <w:rsid w:val="00541414"/>
    <w:rsid w:val="005705FB"/>
    <w:rsid w:val="005A32F4"/>
    <w:rsid w:val="005B0C5F"/>
    <w:rsid w:val="005B1A5A"/>
    <w:rsid w:val="005C1A2F"/>
    <w:rsid w:val="005C463D"/>
    <w:rsid w:val="0060715A"/>
    <w:rsid w:val="00652FC9"/>
    <w:rsid w:val="00670DB4"/>
    <w:rsid w:val="0068726A"/>
    <w:rsid w:val="00694FBE"/>
    <w:rsid w:val="006C49CE"/>
    <w:rsid w:val="00707AE1"/>
    <w:rsid w:val="007238D9"/>
    <w:rsid w:val="00723F71"/>
    <w:rsid w:val="00736EC6"/>
    <w:rsid w:val="0076142A"/>
    <w:rsid w:val="00761C62"/>
    <w:rsid w:val="00781A70"/>
    <w:rsid w:val="007B68C3"/>
    <w:rsid w:val="007C15B6"/>
    <w:rsid w:val="007C504C"/>
    <w:rsid w:val="008007F2"/>
    <w:rsid w:val="00813B25"/>
    <w:rsid w:val="00826F54"/>
    <w:rsid w:val="008344F1"/>
    <w:rsid w:val="00860A94"/>
    <w:rsid w:val="00870CDF"/>
    <w:rsid w:val="0088488E"/>
    <w:rsid w:val="008932AE"/>
    <w:rsid w:val="00894903"/>
    <w:rsid w:val="008A4979"/>
    <w:rsid w:val="008B74F2"/>
    <w:rsid w:val="008D1B15"/>
    <w:rsid w:val="008E03E3"/>
    <w:rsid w:val="008E6CD2"/>
    <w:rsid w:val="00930608"/>
    <w:rsid w:val="00946F27"/>
    <w:rsid w:val="009536A9"/>
    <w:rsid w:val="00963615"/>
    <w:rsid w:val="00964991"/>
    <w:rsid w:val="00971D8F"/>
    <w:rsid w:val="009735B9"/>
    <w:rsid w:val="00986E6D"/>
    <w:rsid w:val="009917EE"/>
    <w:rsid w:val="009A2F0C"/>
    <w:rsid w:val="009B6C29"/>
    <w:rsid w:val="009E099A"/>
    <w:rsid w:val="00A019A0"/>
    <w:rsid w:val="00A01EA9"/>
    <w:rsid w:val="00A10AC4"/>
    <w:rsid w:val="00A11DB4"/>
    <w:rsid w:val="00A14FFD"/>
    <w:rsid w:val="00A30EEB"/>
    <w:rsid w:val="00A43A01"/>
    <w:rsid w:val="00A53E4D"/>
    <w:rsid w:val="00A66416"/>
    <w:rsid w:val="00A8744F"/>
    <w:rsid w:val="00A907AA"/>
    <w:rsid w:val="00A91562"/>
    <w:rsid w:val="00AC016C"/>
    <w:rsid w:val="00AD5215"/>
    <w:rsid w:val="00AF5620"/>
    <w:rsid w:val="00B01D62"/>
    <w:rsid w:val="00B26C4D"/>
    <w:rsid w:val="00B30865"/>
    <w:rsid w:val="00B61362"/>
    <w:rsid w:val="00B65F4D"/>
    <w:rsid w:val="00B71130"/>
    <w:rsid w:val="00B828FC"/>
    <w:rsid w:val="00BC4707"/>
    <w:rsid w:val="00BD145E"/>
    <w:rsid w:val="00BD15FC"/>
    <w:rsid w:val="00BD3AE7"/>
    <w:rsid w:val="00BE3829"/>
    <w:rsid w:val="00BF604E"/>
    <w:rsid w:val="00C031F6"/>
    <w:rsid w:val="00C27F29"/>
    <w:rsid w:val="00C45A24"/>
    <w:rsid w:val="00C64707"/>
    <w:rsid w:val="00CB4B41"/>
    <w:rsid w:val="00CD4F8C"/>
    <w:rsid w:val="00D24864"/>
    <w:rsid w:val="00D32009"/>
    <w:rsid w:val="00D35878"/>
    <w:rsid w:val="00D47071"/>
    <w:rsid w:val="00D67189"/>
    <w:rsid w:val="00D67293"/>
    <w:rsid w:val="00DA6343"/>
    <w:rsid w:val="00DB0329"/>
    <w:rsid w:val="00DC138C"/>
    <w:rsid w:val="00DD315C"/>
    <w:rsid w:val="00DD348A"/>
    <w:rsid w:val="00DE061D"/>
    <w:rsid w:val="00E03F66"/>
    <w:rsid w:val="00E06D36"/>
    <w:rsid w:val="00E21F49"/>
    <w:rsid w:val="00EB335A"/>
    <w:rsid w:val="00EC621A"/>
    <w:rsid w:val="00F53A00"/>
    <w:rsid w:val="00F714A4"/>
    <w:rsid w:val="00F84160"/>
    <w:rsid w:val="00F97683"/>
    <w:rsid w:val="00FA4866"/>
    <w:rsid w:val="00FA4F3E"/>
    <w:rsid w:val="00FC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03A3481"/>
  <w15:docId w15:val="{FAD12830-FE3E-43FA-87CB-335659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4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A5E4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E4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5E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A5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E4D"/>
  </w:style>
  <w:style w:type="paragraph" w:styleId="ListParagraph">
    <w:name w:val="List Paragraph"/>
    <w:basedOn w:val="Normal"/>
    <w:uiPriority w:val="34"/>
    <w:qFormat/>
    <w:rsid w:val="008007F2"/>
    <w:pPr>
      <w:ind w:left="720"/>
    </w:pPr>
  </w:style>
  <w:style w:type="paragraph" w:styleId="BalloonText">
    <w:name w:val="Balloon Text"/>
    <w:basedOn w:val="Normal"/>
    <w:link w:val="BalloonTextChar"/>
    <w:rsid w:val="000F4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E50"/>
    <w:rPr>
      <w:rFonts w:ascii="Tahoma" w:hAnsi="Tahoma" w:cs="Tahoma"/>
      <w:sz w:val="16"/>
      <w:szCs w:val="16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72D21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DD3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15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D3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15C"/>
    <w:rPr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EC621A"/>
    <w:rPr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813B25"/>
    <w:rPr>
      <w:rFonts w:ascii="Calibri" w:eastAsia="Calibri" w:hAnsi="Calibri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C031F6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22D8-8ED0-45E6-B603-756F56959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FB63E-BCF3-470E-A4F5-E96456F60305}"/>
</file>

<file path=customXml/itemProps3.xml><?xml version="1.0" encoding="utf-8"?>
<ds:datastoreItem xmlns:ds="http://schemas.openxmlformats.org/officeDocument/2006/customXml" ds:itemID="{0518870A-87CD-437D-AD26-075523E6D94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35E0A0-586E-43E5-B1CC-135AF070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Mendoza Solorio Georgina</dc:creator>
  <cp:lastModifiedBy>Janna Iskakova</cp:lastModifiedBy>
  <cp:revision>5</cp:revision>
  <cp:lastPrinted>2014-10-22T06:43:00Z</cp:lastPrinted>
  <dcterms:created xsi:type="dcterms:W3CDTF">2018-02-02T16:59:00Z</dcterms:created>
  <dcterms:modified xsi:type="dcterms:W3CDTF">2018-03-14T14:11:00Z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