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A1F6" w14:textId="1A91BEAD" w:rsidR="00750F35" w:rsidRPr="00F15FFF" w:rsidRDefault="00750F35" w:rsidP="00FE7BAB">
      <w:pPr>
        <w:tabs>
          <w:tab w:val="left" w:pos="567"/>
        </w:tabs>
        <w:snapToGrid w:val="0"/>
        <w:rPr>
          <w:rFonts w:ascii="Cambria" w:hAnsi="Cambria"/>
          <w:b/>
          <w:bCs/>
          <w:sz w:val="22"/>
          <w:szCs w:val="22"/>
        </w:rPr>
      </w:pPr>
    </w:p>
    <w:p w14:paraId="1C58B461" w14:textId="30C7FF0C" w:rsidR="00750F35" w:rsidRPr="00F15FFF" w:rsidRDefault="006F3527" w:rsidP="00FE7BAB">
      <w:pPr>
        <w:tabs>
          <w:tab w:val="left" w:pos="567"/>
        </w:tabs>
        <w:snapToGrid w:val="0"/>
        <w:ind w:left="567" w:hanging="567"/>
        <w:jc w:val="center"/>
        <w:rPr>
          <w:rFonts w:ascii="Cambria" w:hAnsi="Cambria"/>
          <w:b/>
          <w:bCs/>
          <w:sz w:val="22"/>
          <w:szCs w:val="22"/>
        </w:rPr>
      </w:pPr>
      <w:r w:rsidRPr="00F15FFF">
        <w:rPr>
          <w:rFonts w:ascii="Cambria" w:hAnsi="Cambria"/>
          <w:b/>
          <w:bCs/>
          <w:noProof/>
          <w:sz w:val="22"/>
          <w:szCs w:val="22"/>
        </w:rPr>
        <w:drawing>
          <wp:inline distT="0" distB="0" distL="0" distR="0" wp14:anchorId="039034F9" wp14:editId="2CC4B00E">
            <wp:extent cx="3594295" cy="655313"/>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1"/>
                    <a:stretch>
                      <a:fillRect/>
                    </a:stretch>
                  </pic:blipFill>
                  <pic:spPr>
                    <a:xfrm>
                      <a:off x="0" y="0"/>
                      <a:ext cx="3664772" cy="668162"/>
                    </a:xfrm>
                    <a:prstGeom prst="rect">
                      <a:avLst/>
                    </a:prstGeom>
                  </pic:spPr>
                </pic:pic>
              </a:graphicData>
            </a:graphic>
          </wp:inline>
        </w:drawing>
      </w:r>
    </w:p>
    <w:p w14:paraId="0A6FD34B" w14:textId="77777777" w:rsidR="00750F35" w:rsidRPr="00F15FFF" w:rsidRDefault="00750F35" w:rsidP="00FE7BAB">
      <w:pPr>
        <w:tabs>
          <w:tab w:val="left" w:pos="567"/>
        </w:tabs>
        <w:snapToGrid w:val="0"/>
        <w:ind w:left="567" w:hanging="567"/>
        <w:jc w:val="center"/>
        <w:rPr>
          <w:rFonts w:ascii="Cambria" w:hAnsi="Cambria"/>
          <w:b/>
          <w:bCs/>
          <w:sz w:val="22"/>
          <w:szCs w:val="22"/>
        </w:rPr>
      </w:pPr>
    </w:p>
    <w:p w14:paraId="30799880" w14:textId="77777777" w:rsidR="00BC7AC5" w:rsidRPr="00F15FFF" w:rsidRDefault="00BC7AC5" w:rsidP="00FE7BAB">
      <w:pPr>
        <w:tabs>
          <w:tab w:val="left" w:pos="567"/>
        </w:tabs>
        <w:snapToGrid w:val="0"/>
        <w:rPr>
          <w:rFonts w:ascii="Cambria" w:hAnsi="Cambria"/>
          <w:sz w:val="22"/>
          <w:szCs w:val="22"/>
        </w:rPr>
      </w:pPr>
    </w:p>
    <w:p w14:paraId="2AB128E9" w14:textId="2EE78D53" w:rsidR="006F3527" w:rsidRPr="00B14DDD" w:rsidRDefault="00BC7AC5" w:rsidP="00FE7BAB">
      <w:pPr>
        <w:tabs>
          <w:tab w:val="left" w:pos="567"/>
        </w:tabs>
        <w:snapToGrid w:val="0"/>
        <w:jc w:val="center"/>
        <w:rPr>
          <w:rFonts w:ascii="Cambria" w:hAnsi="Cambria"/>
          <w:sz w:val="22"/>
          <w:szCs w:val="22"/>
          <w:u w:val="single"/>
        </w:rPr>
      </w:pPr>
      <w:r w:rsidRPr="00B14DDD">
        <w:rPr>
          <w:rFonts w:ascii="Cambria" w:hAnsi="Cambria"/>
          <w:sz w:val="22"/>
          <w:szCs w:val="22"/>
          <w:u w:val="single"/>
        </w:rPr>
        <w:t xml:space="preserve">Response to the </w:t>
      </w:r>
      <w:r w:rsidR="006F3527" w:rsidRPr="00B14DDD">
        <w:rPr>
          <w:rFonts w:ascii="Cambria" w:hAnsi="Cambria"/>
          <w:sz w:val="22"/>
          <w:szCs w:val="22"/>
          <w:u w:val="single"/>
        </w:rPr>
        <w:t>call for inputs issued by Office of the High Commissioner for Human Rights in relation to the upcoming needs assessment on the promotion and protection of human rights and fundamental freedoms in responding to pandemics and other health emergencies</w:t>
      </w:r>
    </w:p>
    <w:p w14:paraId="2400A258" w14:textId="236D3250" w:rsidR="00BC7AC5" w:rsidRPr="00F15FFF" w:rsidRDefault="00BC7AC5" w:rsidP="00FE7BAB">
      <w:pPr>
        <w:tabs>
          <w:tab w:val="left" w:pos="567"/>
        </w:tabs>
        <w:snapToGrid w:val="0"/>
        <w:ind w:left="567" w:hanging="567"/>
        <w:jc w:val="center"/>
        <w:rPr>
          <w:rFonts w:ascii="Cambria" w:hAnsi="Cambria"/>
          <w:sz w:val="22"/>
          <w:szCs w:val="22"/>
        </w:rPr>
      </w:pPr>
    </w:p>
    <w:p w14:paraId="66FFBCAF" w14:textId="46052364" w:rsidR="00BC7AC5" w:rsidRPr="00F15FFF" w:rsidRDefault="006F3527" w:rsidP="00FE7BAB">
      <w:pPr>
        <w:tabs>
          <w:tab w:val="left" w:pos="567"/>
        </w:tabs>
        <w:snapToGrid w:val="0"/>
        <w:ind w:left="567" w:hanging="567"/>
        <w:jc w:val="right"/>
        <w:rPr>
          <w:rFonts w:ascii="Cambria" w:hAnsi="Cambria"/>
          <w:i/>
          <w:iCs/>
          <w:sz w:val="22"/>
          <w:szCs w:val="22"/>
        </w:rPr>
      </w:pPr>
      <w:r w:rsidRPr="00F15FFF">
        <w:rPr>
          <w:rFonts w:ascii="Cambria" w:hAnsi="Cambria"/>
          <w:i/>
          <w:iCs/>
          <w:sz w:val="22"/>
          <w:szCs w:val="22"/>
        </w:rPr>
        <w:t>March 2021</w:t>
      </w:r>
    </w:p>
    <w:p w14:paraId="34610D7A" w14:textId="77777777" w:rsidR="00BC7AC5" w:rsidRPr="00F15FFF" w:rsidRDefault="00BC7AC5" w:rsidP="00FE7BAB">
      <w:pPr>
        <w:tabs>
          <w:tab w:val="left" w:pos="567"/>
        </w:tabs>
        <w:snapToGrid w:val="0"/>
        <w:ind w:left="567" w:hanging="567"/>
        <w:jc w:val="both"/>
        <w:rPr>
          <w:rFonts w:ascii="Cambria" w:hAnsi="Cambria"/>
          <w:b/>
          <w:bCs/>
          <w:sz w:val="22"/>
          <w:szCs w:val="22"/>
          <w:u w:val="single"/>
        </w:rPr>
      </w:pPr>
    </w:p>
    <w:p w14:paraId="7D3EFDFB" w14:textId="0C0B9BB4" w:rsidR="00917DF3" w:rsidRPr="00F15FFF" w:rsidRDefault="00917DF3" w:rsidP="00FE7BAB">
      <w:pPr>
        <w:tabs>
          <w:tab w:val="left" w:pos="567"/>
        </w:tabs>
        <w:snapToGrid w:val="0"/>
        <w:ind w:left="567" w:hanging="567"/>
        <w:jc w:val="both"/>
        <w:rPr>
          <w:rFonts w:ascii="Cambria" w:hAnsi="Cambria"/>
          <w:b/>
          <w:bCs/>
          <w:sz w:val="22"/>
          <w:szCs w:val="22"/>
          <w:u w:val="single"/>
        </w:rPr>
      </w:pPr>
      <w:r w:rsidRPr="00F15FFF">
        <w:rPr>
          <w:rFonts w:ascii="Cambria" w:hAnsi="Cambria"/>
          <w:b/>
          <w:bCs/>
          <w:sz w:val="22"/>
          <w:szCs w:val="22"/>
          <w:u w:val="single"/>
        </w:rPr>
        <w:t xml:space="preserve">Introduction </w:t>
      </w:r>
    </w:p>
    <w:p w14:paraId="74A27779" w14:textId="77777777" w:rsidR="00917DF3" w:rsidRPr="00F15FFF" w:rsidRDefault="00917DF3" w:rsidP="00FE7BAB">
      <w:pPr>
        <w:tabs>
          <w:tab w:val="left" w:pos="567"/>
        </w:tabs>
        <w:snapToGrid w:val="0"/>
        <w:ind w:left="567" w:hanging="567"/>
        <w:contextualSpacing/>
        <w:jc w:val="both"/>
        <w:rPr>
          <w:rFonts w:ascii="Cambria" w:hAnsi="Cambria"/>
          <w:sz w:val="22"/>
          <w:szCs w:val="22"/>
        </w:rPr>
      </w:pPr>
    </w:p>
    <w:p w14:paraId="16B91B32" w14:textId="55300958" w:rsidR="006F3527" w:rsidRPr="00F15FFF" w:rsidRDefault="00917DF3" w:rsidP="00FE7BAB">
      <w:pPr>
        <w:pStyle w:val="NormalWeb"/>
        <w:numPr>
          <w:ilvl w:val="0"/>
          <w:numId w:val="1"/>
        </w:numPr>
        <w:tabs>
          <w:tab w:val="left" w:pos="567"/>
        </w:tabs>
        <w:snapToGrid w:val="0"/>
        <w:spacing w:before="0" w:beforeAutospacing="0" w:after="0" w:afterAutospacing="0"/>
        <w:contextualSpacing/>
        <w:jc w:val="both"/>
        <w:rPr>
          <w:rFonts w:ascii="Cambria" w:hAnsi="Cambria"/>
          <w:sz w:val="22"/>
          <w:szCs w:val="22"/>
        </w:rPr>
      </w:pPr>
      <w:r w:rsidRPr="00F15FFF">
        <w:rPr>
          <w:rFonts w:ascii="Cambria" w:hAnsi="Cambria"/>
          <w:sz w:val="22"/>
          <w:szCs w:val="22"/>
        </w:rPr>
        <w:t xml:space="preserve">The Equal Rights Trust is grateful for this opportunity to inform the </w:t>
      </w:r>
      <w:r w:rsidR="006F3527" w:rsidRPr="00F15FFF">
        <w:rPr>
          <w:rFonts w:ascii="Cambria" w:hAnsi="Cambria"/>
          <w:sz w:val="22"/>
          <w:szCs w:val="22"/>
        </w:rPr>
        <w:t xml:space="preserve">High Commissioner’s needs assessment on the promotion and protection of human rights and fundamental freedoms in responding to pandemics and other health emergencies. </w:t>
      </w:r>
    </w:p>
    <w:p w14:paraId="1753D640" w14:textId="77777777" w:rsidR="006F3527" w:rsidRPr="00F15FFF" w:rsidRDefault="006F3527" w:rsidP="00FE7BAB">
      <w:pPr>
        <w:pStyle w:val="NormalWeb"/>
        <w:snapToGrid w:val="0"/>
        <w:spacing w:before="0" w:beforeAutospacing="0" w:after="0" w:afterAutospacing="0"/>
        <w:ind w:left="567"/>
        <w:contextualSpacing/>
        <w:jc w:val="both"/>
        <w:rPr>
          <w:rFonts w:ascii="Cambria" w:hAnsi="Cambria"/>
          <w:sz w:val="22"/>
          <w:szCs w:val="22"/>
        </w:rPr>
      </w:pPr>
    </w:p>
    <w:p w14:paraId="0FEEE0A3" w14:textId="47085F8A" w:rsidR="00917DF3" w:rsidRPr="00F15FFF" w:rsidRDefault="00F170BA" w:rsidP="00FE7BAB">
      <w:pPr>
        <w:pStyle w:val="NormalWeb"/>
        <w:numPr>
          <w:ilvl w:val="0"/>
          <w:numId w:val="1"/>
        </w:numPr>
        <w:tabs>
          <w:tab w:val="left" w:pos="567"/>
        </w:tabs>
        <w:snapToGrid w:val="0"/>
        <w:spacing w:before="0" w:beforeAutospacing="0" w:after="0" w:afterAutospacing="0"/>
        <w:contextualSpacing/>
        <w:jc w:val="both"/>
        <w:rPr>
          <w:rFonts w:ascii="Cambria" w:hAnsi="Cambria"/>
          <w:sz w:val="22"/>
          <w:szCs w:val="22"/>
        </w:rPr>
      </w:pPr>
      <w:r>
        <w:rPr>
          <w:rFonts w:ascii="Cambria" w:hAnsi="Cambria"/>
          <w:sz w:val="22"/>
          <w:szCs w:val="22"/>
        </w:rPr>
        <w:t>The Equal Rights Trust is</w:t>
      </w:r>
      <w:r w:rsidR="00917DF3" w:rsidRPr="00F15FFF">
        <w:rPr>
          <w:rFonts w:ascii="Cambria" w:hAnsi="Cambria"/>
          <w:sz w:val="22"/>
          <w:szCs w:val="22"/>
        </w:rPr>
        <w:t xml:space="preserve"> an independent international organisation whose mission is to eliminate all forms of discrimination and ensure everyone can participate in life on an equal basis. We work in partnership with equality defenders – civil society organisations (CSOs), lawyers, government representatives and others committed to using law to create an equal world – providing them with the technical, strategic, and practical support they need to secure the adoption and implementation of comprehensive equality laws. In connection with this work, we engage with UN bodies and procedures with the aim of increasing knowledge and understanding of equality law and its role in the realisation </w:t>
      </w:r>
      <w:r w:rsidR="007657C1">
        <w:rPr>
          <w:rFonts w:ascii="Cambria" w:hAnsi="Cambria"/>
          <w:sz w:val="22"/>
          <w:szCs w:val="22"/>
        </w:rPr>
        <w:t>of</w:t>
      </w:r>
      <w:r w:rsidR="00917DF3" w:rsidRPr="00F15FFF">
        <w:rPr>
          <w:rFonts w:ascii="Cambria" w:hAnsi="Cambria"/>
          <w:sz w:val="22"/>
          <w:szCs w:val="22"/>
        </w:rPr>
        <w:t xml:space="preserve"> rights and development.</w:t>
      </w:r>
    </w:p>
    <w:p w14:paraId="5A2C8EDA" w14:textId="77777777" w:rsidR="00917DF3" w:rsidRPr="00F15FFF" w:rsidRDefault="00917DF3" w:rsidP="00FE7BAB">
      <w:pPr>
        <w:pStyle w:val="ListParagraph"/>
        <w:tabs>
          <w:tab w:val="left" w:pos="567"/>
        </w:tabs>
        <w:ind w:left="567" w:hanging="567"/>
        <w:rPr>
          <w:rFonts w:ascii="Cambria" w:hAnsi="Cambria"/>
          <w:color w:val="000000" w:themeColor="text1"/>
          <w:sz w:val="22"/>
          <w:szCs w:val="22"/>
        </w:rPr>
      </w:pPr>
    </w:p>
    <w:p w14:paraId="1EBC02E8" w14:textId="1F63CE2E" w:rsidR="00B6348E" w:rsidRPr="00F15FFF" w:rsidRDefault="009524E8"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color w:val="000000" w:themeColor="text1"/>
          <w:sz w:val="22"/>
          <w:szCs w:val="22"/>
        </w:rPr>
        <w:t xml:space="preserve">The </w:t>
      </w:r>
      <w:r w:rsidR="00917DF3" w:rsidRPr="00F15FFF">
        <w:rPr>
          <w:rFonts w:ascii="Cambria" w:hAnsi="Cambria"/>
          <w:color w:val="000000" w:themeColor="text1"/>
          <w:sz w:val="22"/>
          <w:szCs w:val="22"/>
        </w:rPr>
        <w:t xml:space="preserve">COVID-19 </w:t>
      </w:r>
      <w:r w:rsidRPr="00F15FFF">
        <w:rPr>
          <w:rFonts w:ascii="Cambria" w:hAnsi="Cambria"/>
          <w:color w:val="000000" w:themeColor="text1"/>
          <w:sz w:val="22"/>
          <w:szCs w:val="22"/>
        </w:rPr>
        <w:t>pandemic has transformed our world</w:t>
      </w:r>
      <w:r w:rsidR="00F750B0" w:rsidRPr="00F15FFF">
        <w:rPr>
          <w:rFonts w:ascii="Cambria" w:hAnsi="Cambria"/>
          <w:color w:val="000000" w:themeColor="text1"/>
          <w:sz w:val="22"/>
          <w:szCs w:val="22"/>
        </w:rPr>
        <w:t xml:space="preserve">. </w:t>
      </w:r>
      <w:r w:rsidR="00E024A3" w:rsidRPr="00F15FFF">
        <w:rPr>
          <w:rFonts w:ascii="Cambria" w:hAnsi="Cambria"/>
          <w:color w:val="000000" w:themeColor="text1"/>
          <w:sz w:val="22"/>
          <w:szCs w:val="22"/>
        </w:rPr>
        <w:t xml:space="preserve">In response to the pandemic, states have adopted unprecedented emergency measures with significant and wide-ranging impacts on </w:t>
      </w:r>
      <w:r w:rsidR="00164171">
        <w:rPr>
          <w:rFonts w:ascii="Cambria" w:hAnsi="Cambria"/>
          <w:color w:val="000000" w:themeColor="text1"/>
          <w:sz w:val="22"/>
          <w:szCs w:val="22"/>
        </w:rPr>
        <w:t xml:space="preserve">their </w:t>
      </w:r>
      <w:r w:rsidR="00E024A3" w:rsidRPr="00F15FFF">
        <w:rPr>
          <w:rFonts w:ascii="Cambria" w:hAnsi="Cambria"/>
          <w:color w:val="000000" w:themeColor="text1"/>
          <w:sz w:val="22"/>
          <w:szCs w:val="22"/>
        </w:rPr>
        <w:t xml:space="preserve">societies. </w:t>
      </w:r>
      <w:r w:rsidR="00917DF3" w:rsidRPr="00F15FFF">
        <w:rPr>
          <w:rFonts w:ascii="Cambria" w:hAnsi="Cambria"/>
          <w:sz w:val="22"/>
          <w:szCs w:val="22"/>
        </w:rPr>
        <w:t>As these measures have taken effect, it has become clear that, while the virus is indiscriminate, the impacts of state responses are not</w:t>
      </w:r>
      <w:r w:rsidR="00917DF3" w:rsidRPr="00F15FFF">
        <w:rPr>
          <w:rFonts w:ascii="Cambria" w:hAnsi="Cambria"/>
          <w:b/>
          <w:bCs/>
          <w:sz w:val="22"/>
          <w:szCs w:val="22"/>
        </w:rPr>
        <w:t>.</w:t>
      </w:r>
      <w:r w:rsidR="00917DF3" w:rsidRPr="00F15FFF">
        <w:rPr>
          <w:rFonts w:ascii="Cambria" w:hAnsi="Cambria"/>
          <w:sz w:val="22"/>
          <w:szCs w:val="22"/>
        </w:rPr>
        <w:t xml:space="preserve"> In </w:t>
      </w:r>
      <w:r w:rsidR="00F750B0" w:rsidRPr="00F15FFF">
        <w:rPr>
          <w:rFonts w:ascii="Cambria" w:hAnsi="Cambria"/>
          <w:sz w:val="22"/>
          <w:szCs w:val="22"/>
        </w:rPr>
        <w:t xml:space="preserve">May 2020, </w:t>
      </w:r>
      <w:r w:rsidR="005E193A">
        <w:rPr>
          <w:rFonts w:ascii="Cambria" w:hAnsi="Cambria"/>
          <w:sz w:val="22"/>
          <w:szCs w:val="22"/>
        </w:rPr>
        <w:t>the Equal Rights Trust</w:t>
      </w:r>
      <w:r w:rsidR="00C73E39">
        <w:rPr>
          <w:rFonts w:ascii="Cambria" w:hAnsi="Cambria"/>
          <w:sz w:val="22"/>
          <w:szCs w:val="22"/>
        </w:rPr>
        <w:t xml:space="preserve"> </w:t>
      </w:r>
      <w:r w:rsidR="00F750B0" w:rsidRPr="00F15FFF">
        <w:rPr>
          <w:rFonts w:ascii="Cambria" w:hAnsi="Cambria"/>
          <w:sz w:val="22"/>
          <w:szCs w:val="22"/>
        </w:rPr>
        <w:t xml:space="preserve">brought together an unprecedented coalition of leading global equality organisations to issue a joint </w:t>
      </w:r>
      <w:hyperlink r:id="rId12" w:history="1">
        <w:r w:rsidR="00F750B0" w:rsidRPr="003B1461">
          <w:rPr>
            <w:rStyle w:val="Hyperlink"/>
            <w:rFonts w:ascii="Cambria" w:hAnsi="Cambria"/>
            <w:sz w:val="22"/>
            <w:szCs w:val="22"/>
          </w:rPr>
          <w:t>Call to Action</w:t>
        </w:r>
      </w:hyperlink>
      <w:r w:rsidR="00F750B0" w:rsidRPr="00F15FFF">
        <w:rPr>
          <w:rFonts w:ascii="Cambria" w:hAnsi="Cambria"/>
          <w:sz w:val="22"/>
          <w:szCs w:val="22"/>
        </w:rPr>
        <w:t xml:space="preserve"> to express our shared concern that</w:t>
      </w:r>
      <w:r w:rsidR="00AC06F9">
        <w:rPr>
          <w:rFonts w:ascii="Cambria" w:hAnsi="Cambria"/>
          <w:sz w:val="22"/>
          <w:szCs w:val="22"/>
        </w:rPr>
        <w:t>, in implementing these measures,</w:t>
      </w:r>
      <w:r w:rsidR="00F750B0" w:rsidRPr="00F15FFF">
        <w:rPr>
          <w:rFonts w:ascii="Cambria" w:hAnsi="Cambria"/>
          <w:sz w:val="22"/>
          <w:szCs w:val="22"/>
        </w:rPr>
        <w:t xml:space="preserve"> States were failing to meet their binding legal obligations to ensure non-discrimination in the enjoyment of human rights for all in their response to the pandemic. We noted that “</w:t>
      </w:r>
      <w:r w:rsidR="00917DF3" w:rsidRPr="00F15FFF">
        <w:rPr>
          <w:rFonts w:ascii="Cambria" w:hAnsi="Cambria"/>
          <w:sz w:val="22"/>
          <w:szCs w:val="22"/>
        </w:rPr>
        <w:t>there is clear and growing evidence that state responses in delivery of healthcare, in the implementation of lockdown and other emergency measures and in policies designed to mitigate economic impacts are having disproportionate and discriminatory impacts</w:t>
      </w:r>
      <w:r w:rsidR="00F750B0" w:rsidRPr="00F15FFF">
        <w:rPr>
          <w:rFonts w:ascii="Cambria" w:hAnsi="Cambria"/>
          <w:sz w:val="22"/>
          <w:szCs w:val="22"/>
        </w:rPr>
        <w:t>”</w:t>
      </w:r>
      <w:r w:rsidR="00917DF3" w:rsidRPr="00F15FFF">
        <w:rPr>
          <w:rFonts w:ascii="Cambria" w:hAnsi="Cambria"/>
          <w:sz w:val="22"/>
          <w:szCs w:val="22"/>
        </w:rPr>
        <w:t>.</w:t>
      </w:r>
      <w:r w:rsidR="00917DF3" w:rsidRPr="00F15FFF">
        <w:rPr>
          <w:rFonts w:ascii="Cambria" w:hAnsi="Cambria"/>
          <w:sz w:val="22"/>
          <w:szCs w:val="22"/>
          <w:vertAlign w:val="superscript"/>
        </w:rPr>
        <w:footnoteReference w:id="1"/>
      </w:r>
      <w:r w:rsidR="00917DF3" w:rsidRPr="00F15FFF">
        <w:rPr>
          <w:rFonts w:ascii="Cambria" w:hAnsi="Cambria"/>
          <w:sz w:val="22"/>
          <w:szCs w:val="22"/>
        </w:rPr>
        <w:t xml:space="preserve"> </w:t>
      </w:r>
    </w:p>
    <w:p w14:paraId="00E2E88D" w14:textId="77777777" w:rsidR="00E024A3" w:rsidRPr="00F15FFF" w:rsidRDefault="00E024A3" w:rsidP="00FE7BAB">
      <w:pPr>
        <w:pStyle w:val="ListParagraph"/>
        <w:rPr>
          <w:rFonts w:ascii="Cambria" w:hAnsi="Cambria"/>
          <w:sz w:val="22"/>
          <w:szCs w:val="22"/>
        </w:rPr>
      </w:pPr>
    </w:p>
    <w:p w14:paraId="245F3C50" w14:textId="45A3A1A2" w:rsidR="00D9701B" w:rsidRPr="00F15FFF" w:rsidRDefault="00E024A3"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 xml:space="preserve">Since </w:t>
      </w:r>
      <w:r w:rsidR="003B1461">
        <w:rPr>
          <w:rFonts w:ascii="Cambria" w:hAnsi="Cambria"/>
          <w:sz w:val="22"/>
          <w:szCs w:val="22"/>
        </w:rPr>
        <w:t>the launch of this Call to Action</w:t>
      </w:r>
      <w:r w:rsidRPr="00F15FFF">
        <w:rPr>
          <w:rFonts w:ascii="Cambria" w:hAnsi="Cambria"/>
          <w:sz w:val="22"/>
          <w:szCs w:val="22"/>
        </w:rPr>
        <w:t xml:space="preserve">, </w:t>
      </w:r>
      <w:r w:rsidR="00107FB1">
        <w:rPr>
          <w:rFonts w:ascii="Cambria" w:hAnsi="Cambria"/>
          <w:sz w:val="22"/>
          <w:szCs w:val="22"/>
        </w:rPr>
        <w:t xml:space="preserve">through </w:t>
      </w:r>
      <w:r w:rsidR="00107FB1" w:rsidRPr="00F15FFF">
        <w:rPr>
          <w:rFonts w:ascii="Cambria" w:hAnsi="Cambria"/>
          <w:sz w:val="22"/>
          <w:szCs w:val="22"/>
        </w:rPr>
        <w:t xml:space="preserve">our </w:t>
      </w:r>
      <w:hyperlink r:id="rId13" w:history="1">
        <w:r w:rsidR="00107FB1" w:rsidRPr="00BA6699">
          <w:rPr>
            <w:rStyle w:val="Hyperlink"/>
            <w:rFonts w:ascii="Cambria" w:hAnsi="Cambria"/>
            <w:sz w:val="22"/>
            <w:szCs w:val="22"/>
          </w:rPr>
          <w:t>#NoCOVIDisccrimination Initiative</w:t>
        </w:r>
      </w:hyperlink>
      <w:r w:rsidR="00107FB1">
        <w:rPr>
          <w:rFonts w:ascii="Cambria" w:hAnsi="Cambria"/>
          <w:sz w:val="22"/>
          <w:szCs w:val="22"/>
        </w:rPr>
        <w:t xml:space="preserve"> </w:t>
      </w:r>
      <w:r w:rsidR="003B1461">
        <w:rPr>
          <w:rFonts w:ascii="Cambria" w:hAnsi="Cambria"/>
          <w:sz w:val="22"/>
          <w:szCs w:val="22"/>
        </w:rPr>
        <w:t>we</w:t>
      </w:r>
      <w:r w:rsidRPr="00F15FFF">
        <w:rPr>
          <w:rFonts w:ascii="Cambria" w:hAnsi="Cambria"/>
          <w:sz w:val="22"/>
          <w:szCs w:val="22"/>
        </w:rPr>
        <w:t xml:space="preserve"> </w:t>
      </w:r>
      <w:r w:rsidR="005E193A">
        <w:rPr>
          <w:rFonts w:ascii="Cambria" w:hAnsi="Cambria"/>
          <w:sz w:val="22"/>
          <w:szCs w:val="22"/>
        </w:rPr>
        <w:t xml:space="preserve">have trained and </w:t>
      </w:r>
      <w:r w:rsidRPr="00F15FFF">
        <w:rPr>
          <w:rFonts w:ascii="Cambria" w:hAnsi="Cambria"/>
          <w:sz w:val="22"/>
          <w:szCs w:val="22"/>
        </w:rPr>
        <w:t xml:space="preserve">supported partner organisations </w:t>
      </w:r>
      <w:r w:rsidR="00DA202E">
        <w:rPr>
          <w:rFonts w:ascii="Cambria" w:hAnsi="Cambria"/>
          <w:sz w:val="22"/>
          <w:szCs w:val="22"/>
        </w:rPr>
        <w:t xml:space="preserve">in a number of countries </w:t>
      </w:r>
      <w:r w:rsidRPr="00F15FFF">
        <w:rPr>
          <w:rFonts w:ascii="Cambria" w:hAnsi="Cambria"/>
          <w:sz w:val="22"/>
          <w:szCs w:val="22"/>
        </w:rPr>
        <w:t xml:space="preserve">across the world to </w:t>
      </w:r>
      <w:r w:rsidR="00107FB1">
        <w:rPr>
          <w:rFonts w:ascii="Cambria" w:hAnsi="Cambria"/>
          <w:sz w:val="22"/>
          <w:szCs w:val="22"/>
        </w:rPr>
        <w:t xml:space="preserve">monitor, </w:t>
      </w:r>
      <w:r w:rsidRPr="00F15FFF">
        <w:rPr>
          <w:rFonts w:ascii="Cambria" w:hAnsi="Cambria"/>
          <w:sz w:val="22"/>
          <w:szCs w:val="22"/>
        </w:rPr>
        <w:t xml:space="preserve">document and </w:t>
      </w:r>
      <w:r w:rsidR="00107FB1">
        <w:rPr>
          <w:rFonts w:ascii="Cambria" w:hAnsi="Cambria"/>
          <w:sz w:val="22"/>
          <w:szCs w:val="22"/>
        </w:rPr>
        <w:t>challenge the</w:t>
      </w:r>
      <w:r w:rsidRPr="00F15FFF">
        <w:rPr>
          <w:rFonts w:ascii="Cambria" w:hAnsi="Cambria"/>
          <w:sz w:val="22"/>
          <w:szCs w:val="22"/>
        </w:rPr>
        <w:t xml:space="preserve"> discriminatory impacts of state responses to the pandemic. In this submission we provide selected evidence of such impacts documented throughout the year. </w:t>
      </w:r>
      <w:r w:rsidR="003C7799">
        <w:rPr>
          <w:rFonts w:ascii="Cambria" w:hAnsi="Cambria"/>
          <w:sz w:val="22"/>
          <w:szCs w:val="22"/>
        </w:rPr>
        <w:t>We should note that the information provided here is neither</w:t>
      </w:r>
      <w:r w:rsidR="009524E8" w:rsidRPr="00F15FFF">
        <w:rPr>
          <w:rFonts w:ascii="Cambria" w:hAnsi="Cambria"/>
          <w:sz w:val="22"/>
          <w:szCs w:val="22"/>
        </w:rPr>
        <w:t xml:space="preserve"> </w:t>
      </w:r>
      <w:r w:rsidR="002A5323">
        <w:rPr>
          <w:rFonts w:ascii="Cambria" w:hAnsi="Cambria"/>
          <w:sz w:val="22"/>
          <w:szCs w:val="22"/>
        </w:rPr>
        <w:t xml:space="preserve">exhaustive </w:t>
      </w:r>
      <w:r w:rsidR="003C7799">
        <w:rPr>
          <w:rFonts w:ascii="Cambria" w:hAnsi="Cambria"/>
          <w:sz w:val="22"/>
          <w:szCs w:val="22"/>
        </w:rPr>
        <w:t>n</w:t>
      </w:r>
      <w:r w:rsidR="002A5323">
        <w:rPr>
          <w:rFonts w:ascii="Cambria" w:hAnsi="Cambria"/>
          <w:sz w:val="22"/>
          <w:szCs w:val="22"/>
        </w:rPr>
        <w:t xml:space="preserve">or </w:t>
      </w:r>
      <w:r w:rsidR="009524E8" w:rsidRPr="00F15FFF">
        <w:rPr>
          <w:rFonts w:ascii="Cambria" w:hAnsi="Cambria"/>
          <w:sz w:val="22"/>
          <w:szCs w:val="22"/>
        </w:rPr>
        <w:t>comprehensive</w:t>
      </w:r>
      <w:r w:rsidR="003C7799">
        <w:rPr>
          <w:rFonts w:ascii="Cambria" w:hAnsi="Cambria"/>
          <w:sz w:val="22"/>
          <w:szCs w:val="22"/>
        </w:rPr>
        <w:t xml:space="preserve">; rather </w:t>
      </w:r>
      <w:r w:rsidR="00F516FC">
        <w:rPr>
          <w:rFonts w:ascii="Cambria" w:hAnsi="Cambria"/>
          <w:sz w:val="22"/>
          <w:szCs w:val="22"/>
        </w:rPr>
        <w:t xml:space="preserve">it is </w:t>
      </w:r>
      <w:r w:rsidR="009524E8" w:rsidRPr="00F15FFF">
        <w:rPr>
          <w:rFonts w:ascii="Cambria" w:hAnsi="Cambria"/>
          <w:sz w:val="22"/>
          <w:szCs w:val="22"/>
        </w:rPr>
        <w:t>illustrate</w:t>
      </w:r>
      <w:r w:rsidR="00F516FC">
        <w:rPr>
          <w:rFonts w:ascii="Cambria" w:hAnsi="Cambria"/>
          <w:sz w:val="22"/>
          <w:szCs w:val="22"/>
        </w:rPr>
        <w:t xml:space="preserve"> of</w:t>
      </w:r>
      <w:r w:rsidR="009524E8" w:rsidRPr="00F15FFF">
        <w:rPr>
          <w:rFonts w:ascii="Cambria" w:hAnsi="Cambria"/>
          <w:sz w:val="22"/>
          <w:szCs w:val="22"/>
        </w:rPr>
        <w:t xml:space="preserve"> the </w:t>
      </w:r>
      <w:r w:rsidR="00D9701B" w:rsidRPr="00F15FFF">
        <w:rPr>
          <w:rFonts w:ascii="Cambria" w:hAnsi="Cambria"/>
          <w:sz w:val="22"/>
          <w:szCs w:val="22"/>
        </w:rPr>
        <w:t xml:space="preserve">wide range of actual and potential discriminatory impacts </w:t>
      </w:r>
      <w:r w:rsidR="00180994">
        <w:rPr>
          <w:rFonts w:ascii="Cambria" w:hAnsi="Cambria"/>
          <w:sz w:val="22"/>
          <w:szCs w:val="22"/>
        </w:rPr>
        <w:t>of state responses</w:t>
      </w:r>
      <w:r w:rsidR="00F516FC">
        <w:rPr>
          <w:rFonts w:ascii="Cambria" w:hAnsi="Cambria"/>
          <w:sz w:val="22"/>
          <w:szCs w:val="22"/>
        </w:rPr>
        <w:t xml:space="preserve"> to the pandemic, and the need for a pre-emptive approach</w:t>
      </w:r>
      <w:r w:rsidR="00180994">
        <w:rPr>
          <w:rFonts w:ascii="Cambria" w:hAnsi="Cambria"/>
          <w:sz w:val="22"/>
          <w:szCs w:val="22"/>
        </w:rPr>
        <w:t>. I</w:t>
      </w:r>
      <w:r w:rsidR="00D9701B" w:rsidRPr="00F15FFF">
        <w:rPr>
          <w:rFonts w:ascii="Cambria" w:hAnsi="Cambria"/>
          <w:sz w:val="22"/>
          <w:szCs w:val="22"/>
        </w:rPr>
        <w:t>n s</w:t>
      </w:r>
      <w:r w:rsidR="00F516FC">
        <w:rPr>
          <w:rFonts w:ascii="Cambria" w:hAnsi="Cambria"/>
          <w:sz w:val="22"/>
          <w:szCs w:val="22"/>
        </w:rPr>
        <w:t>haring this information</w:t>
      </w:r>
      <w:r w:rsidR="00D9701B" w:rsidRPr="00F15FFF">
        <w:rPr>
          <w:rFonts w:ascii="Cambria" w:hAnsi="Cambria"/>
          <w:sz w:val="22"/>
          <w:szCs w:val="22"/>
        </w:rPr>
        <w:t>,</w:t>
      </w:r>
      <w:r w:rsidR="00180994">
        <w:rPr>
          <w:rFonts w:ascii="Cambria" w:hAnsi="Cambria"/>
          <w:sz w:val="22"/>
          <w:szCs w:val="22"/>
        </w:rPr>
        <w:t xml:space="preserve"> we seek</w:t>
      </w:r>
      <w:r w:rsidR="00D9701B" w:rsidRPr="00F15FFF">
        <w:rPr>
          <w:rFonts w:ascii="Cambria" w:hAnsi="Cambria"/>
          <w:sz w:val="22"/>
          <w:szCs w:val="22"/>
        </w:rPr>
        <w:t xml:space="preserve"> </w:t>
      </w:r>
      <w:r w:rsidR="00D9701B" w:rsidRPr="00F15FFF">
        <w:rPr>
          <w:rFonts w:ascii="Cambria" w:hAnsi="Cambria"/>
          <w:sz w:val="22"/>
          <w:szCs w:val="22"/>
          <w:u w:val="single"/>
        </w:rPr>
        <w:t xml:space="preserve">to demonstrate the need for states to </w:t>
      </w:r>
      <w:r w:rsidR="0026469D" w:rsidRPr="00F15FFF">
        <w:rPr>
          <w:rFonts w:ascii="Cambria" w:hAnsi="Cambria"/>
          <w:sz w:val="22"/>
          <w:szCs w:val="22"/>
          <w:u w:val="single"/>
        </w:rPr>
        <w:t>in</w:t>
      </w:r>
      <w:r w:rsidR="00180994">
        <w:rPr>
          <w:rFonts w:ascii="Cambria" w:hAnsi="Cambria"/>
          <w:sz w:val="22"/>
          <w:szCs w:val="22"/>
          <w:u w:val="single"/>
        </w:rPr>
        <w:t>tegrate</w:t>
      </w:r>
      <w:r w:rsidR="0026469D" w:rsidRPr="00F15FFF">
        <w:rPr>
          <w:rFonts w:ascii="Cambria" w:hAnsi="Cambria"/>
          <w:sz w:val="22"/>
          <w:szCs w:val="22"/>
          <w:u w:val="single"/>
        </w:rPr>
        <w:t xml:space="preserve"> equality impact assessments in</w:t>
      </w:r>
      <w:r w:rsidR="00180994">
        <w:rPr>
          <w:rFonts w:ascii="Cambria" w:hAnsi="Cambria"/>
          <w:sz w:val="22"/>
          <w:szCs w:val="22"/>
          <w:u w:val="single"/>
        </w:rPr>
        <w:t>to</w:t>
      </w:r>
      <w:r w:rsidR="0026469D" w:rsidRPr="00F15FFF">
        <w:rPr>
          <w:rFonts w:ascii="Cambria" w:hAnsi="Cambria"/>
          <w:sz w:val="22"/>
          <w:szCs w:val="22"/>
          <w:u w:val="single"/>
        </w:rPr>
        <w:t xml:space="preserve"> their response and recovery measures in order to </w:t>
      </w:r>
      <w:r w:rsidR="00D9701B" w:rsidRPr="00F15FFF">
        <w:rPr>
          <w:rFonts w:ascii="Cambria" w:hAnsi="Cambria"/>
          <w:sz w:val="22"/>
          <w:szCs w:val="22"/>
          <w:u w:val="single"/>
        </w:rPr>
        <w:t xml:space="preserve">identify and eliminate </w:t>
      </w:r>
      <w:r w:rsidR="00B81FD2">
        <w:rPr>
          <w:rFonts w:ascii="Cambria" w:hAnsi="Cambria"/>
          <w:sz w:val="22"/>
          <w:szCs w:val="22"/>
          <w:u w:val="single"/>
        </w:rPr>
        <w:lastRenderedPageBreak/>
        <w:t>discriminatory</w:t>
      </w:r>
      <w:r w:rsidR="00D9701B" w:rsidRPr="00F15FFF">
        <w:rPr>
          <w:rFonts w:ascii="Cambria" w:hAnsi="Cambria"/>
          <w:sz w:val="22"/>
          <w:szCs w:val="22"/>
          <w:u w:val="single"/>
        </w:rPr>
        <w:t xml:space="preserve"> impacts, if they are to fulfil their non-discrimination obligations under international law.</w:t>
      </w:r>
      <w:r w:rsidR="00D9701B" w:rsidRPr="00F15FFF">
        <w:rPr>
          <w:rFonts w:ascii="Cambria" w:hAnsi="Cambria"/>
          <w:sz w:val="22"/>
          <w:szCs w:val="22"/>
        </w:rPr>
        <w:t xml:space="preserve"> </w:t>
      </w:r>
    </w:p>
    <w:p w14:paraId="109881EF" w14:textId="77777777" w:rsidR="009524E8" w:rsidRPr="00F15FFF" w:rsidRDefault="009524E8" w:rsidP="00FE7BAB">
      <w:pPr>
        <w:tabs>
          <w:tab w:val="left" w:pos="567"/>
        </w:tabs>
        <w:rPr>
          <w:rFonts w:ascii="Cambria" w:hAnsi="Cambria"/>
          <w:sz w:val="22"/>
          <w:szCs w:val="22"/>
        </w:rPr>
      </w:pPr>
    </w:p>
    <w:p w14:paraId="56334FE1" w14:textId="4ED1E750" w:rsidR="00917DF3" w:rsidRPr="00F15FFF" w:rsidRDefault="00307541" w:rsidP="00FE7BAB">
      <w:pPr>
        <w:tabs>
          <w:tab w:val="left" w:pos="567"/>
        </w:tabs>
        <w:ind w:left="142"/>
        <w:rPr>
          <w:rFonts w:ascii="Cambria" w:hAnsi="Cambria"/>
          <w:b/>
          <w:bCs/>
          <w:sz w:val="22"/>
          <w:szCs w:val="22"/>
          <w:u w:val="single"/>
        </w:rPr>
      </w:pPr>
      <w:r>
        <w:rPr>
          <w:rFonts w:ascii="Cambria" w:hAnsi="Cambria"/>
          <w:b/>
          <w:bCs/>
          <w:sz w:val="22"/>
          <w:szCs w:val="22"/>
          <w:u w:val="single"/>
        </w:rPr>
        <w:t>Selected evidence of d</w:t>
      </w:r>
      <w:r w:rsidR="00917DF3" w:rsidRPr="00F15FFF">
        <w:rPr>
          <w:rFonts w:ascii="Cambria" w:hAnsi="Cambria"/>
          <w:b/>
          <w:bCs/>
          <w:sz w:val="22"/>
          <w:szCs w:val="22"/>
          <w:u w:val="single"/>
        </w:rPr>
        <w:t xml:space="preserve">iscriminatory impacts of state responses to the pandemic: </w:t>
      </w:r>
      <w:r w:rsidR="00E024A3" w:rsidRPr="00F15FFF">
        <w:rPr>
          <w:rFonts w:ascii="Cambria" w:hAnsi="Cambria"/>
          <w:b/>
          <w:bCs/>
          <w:sz w:val="22"/>
          <w:szCs w:val="22"/>
          <w:u w:val="single"/>
        </w:rPr>
        <w:t>the #NoCOVIDiscrimination Initiative</w:t>
      </w:r>
    </w:p>
    <w:p w14:paraId="0A3276D7" w14:textId="77777777" w:rsidR="009A4000" w:rsidRPr="00F15FFF" w:rsidRDefault="009A4000" w:rsidP="00194610">
      <w:pPr>
        <w:snapToGrid w:val="0"/>
        <w:contextualSpacing/>
        <w:jc w:val="both"/>
        <w:rPr>
          <w:rFonts w:ascii="Cambria" w:hAnsi="Cambria"/>
          <w:sz w:val="22"/>
          <w:szCs w:val="22"/>
        </w:rPr>
      </w:pPr>
      <w:bookmarkStart w:id="0" w:name="_Hlk43904243"/>
    </w:p>
    <w:p w14:paraId="4EEC9BA7" w14:textId="77777777" w:rsidR="00754D02" w:rsidRDefault="00F671E9" w:rsidP="00FE7BAB">
      <w:pPr>
        <w:numPr>
          <w:ilvl w:val="0"/>
          <w:numId w:val="1"/>
        </w:numPr>
        <w:tabs>
          <w:tab w:val="left" w:pos="567"/>
        </w:tabs>
        <w:snapToGrid w:val="0"/>
        <w:contextualSpacing/>
        <w:jc w:val="both"/>
        <w:rPr>
          <w:rFonts w:ascii="Cambria" w:hAnsi="Cambria"/>
          <w:sz w:val="22"/>
          <w:szCs w:val="22"/>
        </w:rPr>
      </w:pPr>
      <w:r>
        <w:rPr>
          <w:rFonts w:ascii="Cambria" w:hAnsi="Cambria"/>
          <w:sz w:val="22"/>
          <w:szCs w:val="22"/>
        </w:rPr>
        <w:t xml:space="preserve">Between September 2020 and February 2021, the Equal Rights Trust provided financial, technical and strategic support to organisations in nine different countries to document or challenge the discriminatory impacts of state responses to the pandemic. </w:t>
      </w:r>
      <w:r w:rsidR="00A31DB1">
        <w:rPr>
          <w:rFonts w:ascii="Cambria" w:hAnsi="Cambria"/>
          <w:sz w:val="22"/>
          <w:szCs w:val="22"/>
        </w:rPr>
        <w:t xml:space="preserve">The work done by these organisations demonstrates the range, diversity and scale of these discriminatory impacts, and serves to </w:t>
      </w:r>
      <w:r w:rsidR="00754D02">
        <w:rPr>
          <w:rFonts w:ascii="Cambria" w:hAnsi="Cambria"/>
          <w:sz w:val="22"/>
          <w:szCs w:val="22"/>
        </w:rPr>
        <w:t>illustrate the breadth and depth of the problem. A selection of the evidence generated by our partners is provided below.</w:t>
      </w:r>
    </w:p>
    <w:p w14:paraId="08E429DA" w14:textId="01D7CD53" w:rsidR="00F671E9" w:rsidRDefault="00A31DB1" w:rsidP="00754D02">
      <w:pPr>
        <w:snapToGrid w:val="0"/>
        <w:ind w:left="567"/>
        <w:contextualSpacing/>
        <w:jc w:val="both"/>
        <w:rPr>
          <w:rFonts w:ascii="Cambria" w:hAnsi="Cambria"/>
          <w:sz w:val="22"/>
          <w:szCs w:val="22"/>
        </w:rPr>
      </w:pPr>
      <w:r>
        <w:rPr>
          <w:rFonts w:ascii="Cambria" w:hAnsi="Cambria"/>
          <w:sz w:val="22"/>
          <w:szCs w:val="22"/>
        </w:rPr>
        <w:t xml:space="preserve"> </w:t>
      </w:r>
    </w:p>
    <w:p w14:paraId="4301EE24" w14:textId="3B961D05" w:rsidR="009A4000" w:rsidRPr="00F15FFF" w:rsidRDefault="009A4000"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 xml:space="preserve">In </w:t>
      </w:r>
      <w:r w:rsidRPr="00F15FFF">
        <w:rPr>
          <w:rFonts w:ascii="Cambria" w:hAnsi="Cambria"/>
          <w:b/>
          <w:bCs/>
          <w:sz w:val="22"/>
          <w:szCs w:val="22"/>
        </w:rPr>
        <w:t>the Philippines</w:t>
      </w:r>
      <w:r w:rsidRPr="00F15FFF">
        <w:rPr>
          <w:rFonts w:ascii="Cambria" w:hAnsi="Cambria"/>
          <w:sz w:val="22"/>
          <w:szCs w:val="22"/>
        </w:rPr>
        <w:t xml:space="preserve">, the Philippine Alliance of Human Rights Advocates (PAHRA) and Partido ng Manggagawa (Labour Party) reported to </w:t>
      </w:r>
      <w:r w:rsidR="00307541">
        <w:rPr>
          <w:rFonts w:ascii="Cambria" w:hAnsi="Cambria"/>
          <w:sz w:val="22"/>
          <w:szCs w:val="22"/>
        </w:rPr>
        <w:t>the Equal Rights Trust</w:t>
      </w:r>
      <w:r w:rsidRPr="00F15FFF">
        <w:rPr>
          <w:rFonts w:ascii="Cambria" w:hAnsi="Cambria"/>
          <w:sz w:val="22"/>
          <w:szCs w:val="22"/>
        </w:rPr>
        <w:t xml:space="preserve"> that when the Mactan Export Processing Zone in Lapu City was downgraded from enhanced to general community quarantine and resumed operation, workers at Sports City International, Inc. (SCI) and First Glory Philippines, Inc., </w:t>
      </w:r>
      <w:r w:rsidR="0093608F">
        <w:rPr>
          <w:rFonts w:ascii="Cambria" w:hAnsi="Cambria"/>
          <w:sz w:val="22"/>
          <w:szCs w:val="22"/>
        </w:rPr>
        <w:t>were exposed to discrimination on a number of grounds</w:t>
      </w:r>
      <w:r w:rsidR="0093608F" w:rsidRPr="00F15FFF">
        <w:rPr>
          <w:rFonts w:ascii="Cambria" w:hAnsi="Cambria"/>
          <w:sz w:val="22"/>
          <w:szCs w:val="22"/>
        </w:rPr>
        <w:t>.</w:t>
      </w:r>
      <w:r w:rsidR="0093608F" w:rsidRPr="00F15FFF">
        <w:rPr>
          <w:rFonts w:ascii="Cambria" w:hAnsi="Cambria"/>
          <w:vertAlign w:val="superscript"/>
        </w:rPr>
        <w:footnoteReference w:id="2"/>
      </w:r>
      <w:r w:rsidR="0093608F">
        <w:rPr>
          <w:rFonts w:ascii="Cambria" w:hAnsi="Cambria"/>
          <w:sz w:val="22"/>
          <w:szCs w:val="22"/>
        </w:rPr>
        <w:t xml:space="preserve"> They found that workers </w:t>
      </w:r>
      <w:r w:rsidRPr="00F15FFF">
        <w:rPr>
          <w:rFonts w:ascii="Cambria" w:hAnsi="Cambria"/>
          <w:sz w:val="22"/>
          <w:szCs w:val="22"/>
        </w:rPr>
        <w:t xml:space="preserve">sharing protected characteristics </w:t>
      </w:r>
      <w:r w:rsidR="009D7A1D">
        <w:rPr>
          <w:rFonts w:ascii="Cambria" w:hAnsi="Cambria"/>
          <w:sz w:val="22"/>
          <w:szCs w:val="22"/>
        </w:rPr>
        <w:t xml:space="preserve">such as pregnancy and health status </w:t>
      </w:r>
      <w:r w:rsidRPr="00F15FFF">
        <w:rPr>
          <w:rFonts w:ascii="Cambria" w:hAnsi="Cambria"/>
          <w:sz w:val="22"/>
          <w:szCs w:val="22"/>
        </w:rPr>
        <w:t xml:space="preserve">were unable to return to work </w:t>
      </w:r>
      <w:r w:rsidR="00316C02" w:rsidRPr="00F15FFF">
        <w:rPr>
          <w:rFonts w:ascii="Cambria" w:hAnsi="Cambria"/>
          <w:sz w:val="22"/>
          <w:szCs w:val="22"/>
        </w:rPr>
        <w:t xml:space="preserve">due to their perceived risk of </w:t>
      </w:r>
      <w:r w:rsidR="006803E9">
        <w:rPr>
          <w:rFonts w:ascii="Cambria" w:hAnsi="Cambria"/>
          <w:sz w:val="22"/>
          <w:szCs w:val="22"/>
        </w:rPr>
        <w:t xml:space="preserve">contracting and dying from </w:t>
      </w:r>
      <w:r w:rsidR="00316C02" w:rsidRPr="00F15FFF">
        <w:rPr>
          <w:rFonts w:ascii="Cambria" w:hAnsi="Cambria"/>
          <w:sz w:val="22"/>
          <w:szCs w:val="22"/>
        </w:rPr>
        <w:t>COVID-19</w:t>
      </w:r>
      <w:r w:rsidR="009D7A1D">
        <w:rPr>
          <w:rFonts w:ascii="Cambria" w:hAnsi="Cambria"/>
          <w:sz w:val="22"/>
          <w:szCs w:val="22"/>
        </w:rPr>
        <w:t xml:space="preserve">, while at the same time </w:t>
      </w:r>
      <w:r w:rsidR="00316C02">
        <w:rPr>
          <w:rFonts w:ascii="Cambria" w:hAnsi="Cambria"/>
          <w:sz w:val="22"/>
          <w:szCs w:val="22"/>
        </w:rPr>
        <w:t>receiv</w:t>
      </w:r>
      <w:r w:rsidR="009D7A1D">
        <w:rPr>
          <w:rFonts w:ascii="Cambria" w:hAnsi="Cambria"/>
          <w:sz w:val="22"/>
          <w:szCs w:val="22"/>
        </w:rPr>
        <w:t>ing</w:t>
      </w:r>
      <w:r w:rsidR="00316C02">
        <w:rPr>
          <w:rFonts w:ascii="Cambria" w:hAnsi="Cambria"/>
          <w:sz w:val="22"/>
          <w:szCs w:val="22"/>
        </w:rPr>
        <w:t xml:space="preserve"> no </w:t>
      </w:r>
      <w:r w:rsidRPr="00F15FFF">
        <w:rPr>
          <w:rFonts w:ascii="Cambria" w:hAnsi="Cambria"/>
          <w:sz w:val="22"/>
          <w:szCs w:val="22"/>
        </w:rPr>
        <w:t>financial</w:t>
      </w:r>
      <w:r w:rsidR="00316C02">
        <w:rPr>
          <w:rFonts w:ascii="Cambria" w:hAnsi="Cambria"/>
          <w:sz w:val="22"/>
          <w:szCs w:val="22"/>
        </w:rPr>
        <w:t xml:space="preserve"> assistance</w:t>
      </w:r>
      <w:r w:rsidRPr="00F15FFF">
        <w:rPr>
          <w:rFonts w:ascii="Cambria" w:hAnsi="Cambria"/>
          <w:sz w:val="22"/>
          <w:szCs w:val="22"/>
        </w:rPr>
        <w:t>.</w:t>
      </w:r>
      <w:r w:rsidRPr="00F15FFF">
        <w:rPr>
          <w:rFonts w:ascii="Cambria" w:hAnsi="Cambria"/>
          <w:vertAlign w:val="superscript"/>
        </w:rPr>
        <w:footnoteReference w:id="3"/>
      </w:r>
      <w:r w:rsidRPr="00F15FFF">
        <w:rPr>
          <w:rFonts w:ascii="Cambria" w:hAnsi="Cambria"/>
          <w:sz w:val="22"/>
          <w:szCs w:val="22"/>
        </w:rPr>
        <w:t xml:space="preserve"> </w:t>
      </w:r>
    </w:p>
    <w:p w14:paraId="3C19AF26" w14:textId="77777777" w:rsidR="009A4000" w:rsidRPr="00F15FFF" w:rsidRDefault="009A4000" w:rsidP="00FE7BAB">
      <w:pPr>
        <w:pStyle w:val="ListParagraph"/>
        <w:rPr>
          <w:rFonts w:ascii="Cambria" w:hAnsi="Cambria"/>
          <w:sz w:val="22"/>
          <w:szCs w:val="22"/>
        </w:rPr>
      </w:pPr>
    </w:p>
    <w:p w14:paraId="33515EDB" w14:textId="24A6CBA0" w:rsidR="009A4000" w:rsidRPr="00F15FFF" w:rsidRDefault="009A4000"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The Filipino non-governmental organisation, Center for Women’s Resources, has identified the exclusion of women in the informal labour market from financial assistance, and the delayed receipt of financial assistance, in the context of the pandemic, based on interviews undertaken with local women’s organisations in urban poor communities in Metro Manila.</w:t>
      </w:r>
      <w:r w:rsidRPr="00F15FFF">
        <w:rPr>
          <w:rFonts w:ascii="Cambria" w:hAnsi="Cambria"/>
          <w:vertAlign w:val="superscript"/>
        </w:rPr>
        <w:footnoteReference w:id="4"/>
      </w:r>
      <w:r w:rsidRPr="00F15FFF">
        <w:rPr>
          <w:rFonts w:ascii="Cambria" w:hAnsi="Cambria"/>
          <w:sz w:val="22"/>
          <w:szCs w:val="22"/>
        </w:rPr>
        <w:t xml:space="preserve"> The non-governmental organisation, Concern Inc., who work with the internally displaced Moro community</w:t>
      </w:r>
      <w:r w:rsidR="00052852" w:rsidRPr="00F15FFF">
        <w:rPr>
          <w:rFonts w:ascii="Cambria" w:hAnsi="Cambria"/>
          <w:sz w:val="22"/>
          <w:szCs w:val="22"/>
        </w:rPr>
        <w:t xml:space="preserve"> </w:t>
      </w:r>
      <w:r w:rsidR="00633BB6">
        <w:rPr>
          <w:rFonts w:ascii="Cambria" w:hAnsi="Cambria"/>
          <w:sz w:val="22"/>
          <w:szCs w:val="22"/>
        </w:rPr>
        <w:t>i</w:t>
      </w:r>
      <w:r w:rsidR="00052852" w:rsidRPr="00F15FFF">
        <w:rPr>
          <w:rFonts w:ascii="Cambria" w:hAnsi="Cambria"/>
          <w:sz w:val="22"/>
          <w:szCs w:val="22"/>
        </w:rPr>
        <w:t>n Marawi City</w:t>
      </w:r>
      <w:r w:rsidRPr="00F15FFF">
        <w:rPr>
          <w:rFonts w:ascii="Cambria" w:hAnsi="Cambria"/>
          <w:sz w:val="22"/>
          <w:szCs w:val="22"/>
        </w:rPr>
        <w:t>, identified a range of discriminatory impacts in the context of the pandemic in terms of access to healthcare, education, and treatment by law enforcement officials</w:t>
      </w:r>
      <w:r w:rsidR="00052852" w:rsidRPr="00F15FFF">
        <w:rPr>
          <w:rFonts w:ascii="Cambria" w:hAnsi="Cambria"/>
          <w:sz w:val="22"/>
          <w:szCs w:val="22"/>
        </w:rPr>
        <w:t>, based on interviews with 151 Internally Displaced Persons (IDPs) residing in transitory shelters</w:t>
      </w:r>
      <w:r w:rsidRPr="00F15FFF">
        <w:rPr>
          <w:rFonts w:ascii="Cambria" w:hAnsi="Cambria"/>
          <w:sz w:val="22"/>
          <w:szCs w:val="22"/>
        </w:rPr>
        <w:t>.</w:t>
      </w:r>
      <w:r w:rsidRPr="00F15FFF">
        <w:rPr>
          <w:rFonts w:ascii="Cambria" w:hAnsi="Cambria"/>
          <w:vertAlign w:val="superscript"/>
        </w:rPr>
        <w:footnoteReference w:id="5"/>
      </w:r>
    </w:p>
    <w:p w14:paraId="33A80845" w14:textId="77777777" w:rsidR="009A4000" w:rsidRPr="00F15FFF" w:rsidRDefault="009A4000" w:rsidP="00FE7BAB">
      <w:pPr>
        <w:tabs>
          <w:tab w:val="left" w:pos="567"/>
        </w:tabs>
        <w:snapToGrid w:val="0"/>
        <w:ind w:left="567"/>
        <w:contextualSpacing/>
        <w:jc w:val="both"/>
        <w:rPr>
          <w:rFonts w:ascii="Cambria" w:hAnsi="Cambria"/>
          <w:sz w:val="22"/>
          <w:szCs w:val="22"/>
        </w:rPr>
      </w:pPr>
    </w:p>
    <w:p w14:paraId="2C96DEBB" w14:textId="3521873F" w:rsidR="009A4000" w:rsidRPr="00F15FFF" w:rsidRDefault="009A4000"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 xml:space="preserve">The Human Rights Committee of </w:t>
      </w:r>
      <w:r w:rsidRPr="00F15FFF">
        <w:rPr>
          <w:rFonts w:ascii="Cambria" w:hAnsi="Cambria"/>
          <w:b/>
          <w:bCs/>
          <w:sz w:val="22"/>
          <w:szCs w:val="22"/>
        </w:rPr>
        <w:t xml:space="preserve">Pakistan </w:t>
      </w:r>
      <w:r w:rsidRPr="00F15FFF">
        <w:rPr>
          <w:rFonts w:ascii="Cambria" w:hAnsi="Cambria"/>
          <w:sz w:val="22"/>
          <w:szCs w:val="22"/>
        </w:rPr>
        <w:t xml:space="preserve">(HRCP) – on the basis of its work with several non-governmental organisations in Pakistan – has identified discriminatory impacts of the </w:t>
      </w:r>
      <w:r w:rsidR="00AC6CD5">
        <w:rPr>
          <w:rFonts w:ascii="Cambria" w:hAnsi="Cambria"/>
          <w:sz w:val="22"/>
          <w:szCs w:val="22"/>
        </w:rPr>
        <w:t>s</w:t>
      </w:r>
      <w:r w:rsidRPr="00F15FFF">
        <w:rPr>
          <w:rFonts w:ascii="Cambria" w:hAnsi="Cambria"/>
          <w:sz w:val="22"/>
          <w:szCs w:val="22"/>
        </w:rPr>
        <w:t xml:space="preserve">tate response to the pandemic resulting from the </w:t>
      </w:r>
      <w:r w:rsidR="00AC6CD5">
        <w:rPr>
          <w:rFonts w:ascii="Cambria" w:hAnsi="Cambria"/>
          <w:i/>
          <w:iCs/>
          <w:sz w:val="22"/>
          <w:szCs w:val="22"/>
        </w:rPr>
        <w:t xml:space="preserve">de facto </w:t>
      </w:r>
      <w:r w:rsidRPr="00F15FFF">
        <w:rPr>
          <w:rFonts w:ascii="Cambria" w:hAnsi="Cambria"/>
          <w:sz w:val="22"/>
          <w:szCs w:val="22"/>
        </w:rPr>
        <w:t xml:space="preserve">horizontal segregation of the labour market </w:t>
      </w:r>
      <w:r w:rsidR="00AC6CD5">
        <w:rPr>
          <w:rFonts w:ascii="Cambria" w:hAnsi="Cambria"/>
          <w:sz w:val="22"/>
          <w:szCs w:val="22"/>
        </w:rPr>
        <w:t xml:space="preserve">on the basis of </w:t>
      </w:r>
      <w:r w:rsidRPr="00F15FFF">
        <w:rPr>
          <w:rFonts w:ascii="Cambria" w:hAnsi="Cambria"/>
          <w:sz w:val="22"/>
          <w:szCs w:val="22"/>
        </w:rPr>
        <w:t>gender, ethnicity and religio</w:t>
      </w:r>
      <w:r w:rsidR="00AC6CD5">
        <w:rPr>
          <w:rFonts w:ascii="Cambria" w:hAnsi="Cambria"/>
          <w:sz w:val="22"/>
          <w:szCs w:val="22"/>
        </w:rPr>
        <w:t>n</w:t>
      </w:r>
      <w:r w:rsidRPr="00F15FFF">
        <w:rPr>
          <w:rFonts w:ascii="Cambria" w:hAnsi="Cambria"/>
          <w:sz w:val="22"/>
          <w:szCs w:val="22"/>
        </w:rPr>
        <w:t>. HRCP’s partner organisations</w:t>
      </w:r>
      <w:r w:rsidR="00052852" w:rsidRPr="00F15FFF">
        <w:rPr>
          <w:rFonts w:ascii="Cambria" w:hAnsi="Cambria"/>
          <w:sz w:val="22"/>
          <w:szCs w:val="22"/>
        </w:rPr>
        <w:t xml:space="preserve">, </w:t>
      </w:r>
      <w:r w:rsidRPr="00F15FFF">
        <w:rPr>
          <w:rFonts w:ascii="Cambria" w:hAnsi="Cambria"/>
          <w:sz w:val="22"/>
          <w:szCs w:val="22"/>
        </w:rPr>
        <w:t>Labour Education Foundation (LEF) and Sindh Community Foundation (SCF)</w:t>
      </w:r>
      <w:r w:rsidR="00052852" w:rsidRPr="00F15FFF">
        <w:rPr>
          <w:rFonts w:ascii="Cambria" w:hAnsi="Cambria"/>
          <w:sz w:val="22"/>
          <w:szCs w:val="22"/>
        </w:rPr>
        <w:t>,</w:t>
      </w:r>
      <w:r w:rsidRPr="00F15FFF">
        <w:rPr>
          <w:rFonts w:ascii="Cambria" w:hAnsi="Cambria"/>
          <w:sz w:val="22"/>
          <w:szCs w:val="22"/>
        </w:rPr>
        <w:t xml:space="preserve"> have documented the discriminatory impacts of the State response to the pandemic on women workers in the garment and textile industry in Lahore and Faisalabad, and agricultural workers in Sindh.</w:t>
      </w:r>
      <w:r w:rsidRPr="00F15FFF">
        <w:rPr>
          <w:rFonts w:ascii="Cambria" w:hAnsi="Cambria"/>
          <w:vertAlign w:val="superscript"/>
        </w:rPr>
        <w:footnoteReference w:id="6"/>
      </w:r>
    </w:p>
    <w:p w14:paraId="293BEE31" w14:textId="1CB6C79B" w:rsidR="009A4000" w:rsidRPr="00F15FFF" w:rsidRDefault="009A4000" w:rsidP="00FE7BAB">
      <w:pPr>
        <w:snapToGrid w:val="0"/>
        <w:contextualSpacing/>
        <w:jc w:val="both"/>
        <w:rPr>
          <w:rFonts w:ascii="Cambria" w:hAnsi="Cambria"/>
          <w:sz w:val="22"/>
          <w:szCs w:val="22"/>
        </w:rPr>
      </w:pPr>
    </w:p>
    <w:p w14:paraId="2B143796" w14:textId="48243D04" w:rsidR="009A4000" w:rsidRPr="00F15FFF" w:rsidRDefault="009A4000"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 xml:space="preserve">The Pakistani non-governmental organisation, Good Thinkers Organisation, collected evidence from 382 transgender persons in Punjab, Pakistan, which found they have faced discrimination in access to relief measures, healthcare, public transport, </w:t>
      </w:r>
      <w:r w:rsidR="00052852" w:rsidRPr="00F15FFF">
        <w:rPr>
          <w:rFonts w:ascii="Cambria" w:hAnsi="Cambria"/>
          <w:sz w:val="22"/>
          <w:szCs w:val="22"/>
        </w:rPr>
        <w:t xml:space="preserve">and </w:t>
      </w:r>
      <w:r w:rsidRPr="00F15FFF">
        <w:rPr>
          <w:rFonts w:ascii="Cambria" w:hAnsi="Cambria"/>
          <w:sz w:val="22"/>
          <w:szCs w:val="22"/>
        </w:rPr>
        <w:t>places of religious worship</w:t>
      </w:r>
      <w:r w:rsidR="00052852" w:rsidRPr="00F15FFF">
        <w:rPr>
          <w:rFonts w:ascii="Cambria" w:hAnsi="Cambria"/>
          <w:sz w:val="22"/>
          <w:szCs w:val="22"/>
        </w:rPr>
        <w:t xml:space="preserve">, and that they </w:t>
      </w:r>
      <w:r w:rsidRPr="00F15FFF">
        <w:rPr>
          <w:rFonts w:ascii="Cambria" w:hAnsi="Cambria"/>
          <w:sz w:val="22"/>
          <w:szCs w:val="22"/>
        </w:rPr>
        <w:t xml:space="preserve">have suffered discriminatory treatment </w:t>
      </w:r>
      <w:r w:rsidR="00052852" w:rsidRPr="00F15FFF">
        <w:rPr>
          <w:rFonts w:ascii="Cambria" w:hAnsi="Cambria"/>
          <w:sz w:val="22"/>
          <w:szCs w:val="22"/>
        </w:rPr>
        <w:t>from</w:t>
      </w:r>
      <w:r w:rsidRPr="00F15FFF">
        <w:rPr>
          <w:rFonts w:ascii="Cambria" w:hAnsi="Cambria"/>
          <w:sz w:val="22"/>
          <w:szCs w:val="22"/>
        </w:rPr>
        <w:t xml:space="preserve"> the police and other duty-bearers. </w:t>
      </w:r>
      <w:r w:rsidR="00052852" w:rsidRPr="00F15FFF">
        <w:rPr>
          <w:rFonts w:ascii="Cambria" w:hAnsi="Cambria"/>
          <w:sz w:val="22"/>
          <w:szCs w:val="22"/>
        </w:rPr>
        <w:t>Specifically</w:t>
      </w:r>
      <w:r w:rsidRPr="00F15FFF">
        <w:rPr>
          <w:rFonts w:ascii="Cambria" w:hAnsi="Cambria"/>
          <w:sz w:val="22"/>
          <w:szCs w:val="22"/>
        </w:rPr>
        <w:t>, Good Thinkers Organisation found that only 3% of those surveyed were able to access the Ehsaas Emergency Cash Program.</w:t>
      </w:r>
      <w:r w:rsidRPr="00F15FFF">
        <w:rPr>
          <w:rFonts w:ascii="Cambria" w:hAnsi="Cambria"/>
          <w:vertAlign w:val="superscript"/>
        </w:rPr>
        <w:footnoteReference w:id="7"/>
      </w:r>
      <w:r w:rsidRPr="00F15FFF">
        <w:rPr>
          <w:rFonts w:ascii="Cambria" w:hAnsi="Cambria"/>
          <w:sz w:val="22"/>
          <w:szCs w:val="22"/>
        </w:rPr>
        <w:t xml:space="preserve"> Their research identified that the requirement for individuals to </w:t>
      </w:r>
      <w:r w:rsidRPr="00F15FFF">
        <w:rPr>
          <w:rFonts w:ascii="Cambria" w:hAnsi="Cambria"/>
          <w:sz w:val="22"/>
          <w:szCs w:val="22"/>
        </w:rPr>
        <w:lastRenderedPageBreak/>
        <w:t xml:space="preserve">possess a Computerized National Identity Card (CNIC) as a prerequisite for eligibility to the Ehsaas Program </w:t>
      </w:r>
      <w:r w:rsidR="00052852" w:rsidRPr="00F15FFF">
        <w:rPr>
          <w:rFonts w:ascii="Cambria" w:hAnsi="Cambria"/>
          <w:sz w:val="22"/>
          <w:szCs w:val="22"/>
        </w:rPr>
        <w:t>discriminated indirectly against</w:t>
      </w:r>
      <w:r w:rsidRPr="00F15FFF">
        <w:rPr>
          <w:rFonts w:ascii="Cambria" w:hAnsi="Cambria"/>
          <w:sz w:val="22"/>
          <w:szCs w:val="22"/>
        </w:rPr>
        <w:t xml:space="preserve"> transgender persons, many of whom </w:t>
      </w:r>
      <w:r w:rsidR="00052852" w:rsidRPr="00F15FFF">
        <w:rPr>
          <w:rFonts w:ascii="Cambria" w:hAnsi="Cambria"/>
          <w:sz w:val="22"/>
          <w:szCs w:val="22"/>
        </w:rPr>
        <w:t xml:space="preserve">were excluded because they </w:t>
      </w:r>
      <w:r w:rsidRPr="00F15FFF">
        <w:rPr>
          <w:rFonts w:ascii="Cambria" w:hAnsi="Cambria"/>
          <w:sz w:val="22"/>
          <w:szCs w:val="22"/>
        </w:rPr>
        <w:t>d</w:t>
      </w:r>
      <w:r w:rsidR="00CF25ED">
        <w:rPr>
          <w:rFonts w:ascii="Cambria" w:hAnsi="Cambria"/>
          <w:sz w:val="22"/>
          <w:szCs w:val="22"/>
        </w:rPr>
        <w:t>id</w:t>
      </w:r>
      <w:r w:rsidRPr="00F15FFF">
        <w:rPr>
          <w:rFonts w:ascii="Cambria" w:hAnsi="Cambria"/>
          <w:sz w:val="22"/>
          <w:szCs w:val="22"/>
        </w:rPr>
        <w:t xml:space="preserve"> not possess a CNIC.</w:t>
      </w:r>
      <w:r w:rsidRPr="00F15FFF">
        <w:rPr>
          <w:rFonts w:ascii="Cambria" w:hAnsi="Cambria"/>
          <w:vertAlign w:val="superscript"/>
        </w:rPr>
        <w:footnoteReference w:id="8"/>
      </w:r>
    </w:p>
    <w:p w14:paraId="32EB7464" w14:textId="77777777" w:rsidR="009A4000" w:rsidRPr="00F15FFF" w:rsidRDefault="009A4000" w:rsidP="00FE7BAB">
      <w:pPr>
        <w:pStyle w:val="ListParagraph"/>
        <w:rPr>
          <w:rFonts w:ascii="Cambria" w:hAnsi="Cambria"/>
          <w:sz w:val="22"/>
          <w:szCs w:val="22"/>
        </w:rPr>
      </w:pPr>
    </w:p>
    <w:p w14:paraId="6286EF90" w14:textId="4DE90727" w:rsidR="009A4000" w:rsidRPr="00F15FFF" w:rsidRDefault="009A4000"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 xml:space="preserve">Our partners in </w:t>
      </w:r>
      <w:r w:rsidRPr="00F15FFF">
        <w:rPr>
          <w:rFonts w:ascii="Cambria" w:hAnsi="Cambria"/>
          <w:b/>
          <w:bCs/>
          <w:sz w:val="22"/>
          <w:szCs w:val="22"/>
        </w:rPr>
        <w:t>Cabo Verde</w:t>
      </w:r>
      <w:r w:rsidRPr="00F15FFF">
        <w:rPr>
          <w:rFonts w:ascii="Cambria" w:hAnsi="Cambria"/>
          <w:sz w:val="22"/>
          <w:szCs w:val="22"/>
        </w:rPr>
        <w:t>, Associação Cabo-verdiana de Luta contra VBG (ACLCVBG), ha</w:t>
      </w:r>
      <w:r w:rsidR="00052852" w:rsidRPr="00F15FFF">
        <w:rPr>
          <w:rFonts w:ascii="Cambria" w:hAnsi="Cambria"/>
          <w:sz w:val="22"/>
          <w:szCs w:val="22"/>
        </w:rPr>
        <w:t>ve</w:t>
      </w:r>
      <w:r w:rsidRPr="00F15FFF">
        <w:rPr>
          <w:rFonts w:ascii="Cambria" w:hAnsi="Cambria"/>
          <w:sz w:val="22"/>
          <w:szCs w:val="22"/>
        </w:rPr>
        <w:t xml:space="preserve"> documented how the absence of </w:t>
      </w:r>
      <w:r w:rsidR="007445F0">
        <w:rPr>
          <w:rFonts w:ascii="Cambria" w:hAnsi="Cambria"/>
          <w:sz w:val="22"/>
          <w:szCs w:val="22"/>
        </w:rPr>
        <w:t xml:space="preserve">protective and preventative </w:t>
      </w:r>
      <w:r w:rsidRPr="00F15FFF">
        <w:rPr>
          <w:rFonts w:ascii="Cambria" w:hAnsi="Cambria"/>
          <w:sz w:val="22"/>
          <w:szCs w:val="22"/>
        </w:rPr>
        <w:t>measures taken by the State has had a severely discriminatory impact on domestic workers. Research by ACLCVBG found that domestic workers were increasingly exposed to the virus, and disproportionately dismissed from employment due to the economic situation, and</w:t>
      </w:r>
      <w:r w:rsidR="005125FD" w:rsidRPr="00F15FFF">
        <w:rPr>
          <w:rFonts w:ascii="Cambria" w:hAnsi="Cambria"/>
          <w:sz w:val="22"/>
          <w:szCs w:val="22"/>
        </w:rPr>
        <w:t xml:space="preserve"> – </w:t>
      </w:r>
      <w:r w:rsidR="00165721">
        <w:rPr>
          <w:rFonts w:ascii="Cambria" w:hAnsi="Cambria"/>
          <w:sz w:val="22"/>
          <w:szCs w:val="22"/>
        </w:rPr>
        <w:t>of particular concern</w:t>
      </w:r>
      <w:r w:rsidR="005125FD" w:rsidRPr="00F15FFF">
        <w:rPr>
          <w:rFonts w:ascii="Cambria" w:hAnsi="Cambria"/>
          <w:sz w:val="22"/>
          <w:szCs w:val="22"/>
        </w:rPr>
        <w:t xml:space="preserve"> –</w:t>
      </w:r>
      <w:r w:rsidRPr="00F15FFF">
        <w:rPr>
          <w:rFonts w:ascii="Cambria" w:hAnsi="Cambria"/>
          <w:sz w:val="22"/>
          <w:szCs w:val="22"/>
        </w:rPr>
        <w:t xml:space="preserve"> due to the perception of them as vectors of the virus.</w:t>
      </w:r>
      <w:r w:rsidRPr="00F15FFF">
        <w:rPr>
          <w:rFonts w:ascii="Cambria" w:hAnsi="Cambria"/>
          <w:vertAlign w:val="superscript"/>
        </w:rPr>
        <w:footnoteReference w:id="9"/>
      </w:r>
    </w:p>
    <w:p w14:paraId="6DA156E1" w14:textId="77777777" w:rsidR="009A4000" w:rsidRPr="00F15FFF" w:rsidRDefault="009A4000" w:rsidP="00FE7BAB">
      <w:pPr>
        <w:pStyle w:val="ListParagraph"/>
        <w:rPr>
          <w:rFonts w:ascii="Cambria" w:hAnsi="Cambria"/>
          <w:sz w:val="22"/>
          <w:szCs w:val="22"/>
        </w:rPr>
      </w:pPr>
    </w:p>
    <w:p w14:paraId="0D63400D" w14:textId="7A7F28B7" w:rsidR="009A4000" w:rsidRPr="00F15FFF" w:rsidRDefault="009A4000" w:rsidP="00FE7BAB">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 xml:space="preserve">The </w:t>
      </w:r>
      <w:r w:rsidRPr="00F15FFF">
        <w:rPr>
          <w:rFonts w:ascii="Cambria" w:hAnsi="Cambria"/>
          <w:b/>
          <w:bCs/>
          <w:sz w:val="22"/>
          <w:szCs w:val="22"/>
        </w:rPr>
        <w:t>Paraguayan</w:t>
      </w:r>
      <w:r w:rsidRPr="00F15FFF">
        <w:rPr>
          <w:rFonts w:ascii="Cambria" w:hAnsi="Cambria"/>
          <w:sz w:val="22"/>
          <w:szCs w:val="22"/>
        </w:rPr>
        <w:t xml:space="preserve"> non-governmental organisations, Kuña Roga and Central Unitaria de Trabajadores (CUT), </w:t>
      </w:r>
      <w:r w:rsidR="00165721">
        <w:rPr>
          <w:rFonts w:ascii="Cambria" w:hAnsi="Cambria"/>
          <w:sz w:val="22"/>
          <w:szCs w:val="22"/>
        </w:rPr>
        <w:t>reported</w:t>
      </w:r>
      <w:r w:rsidR="005125FD" w:rsidRPr="00F15FFF">
        <w:rPr>
          <w:rFonts w:ascii="Cambria" w:hAnsi="Cambria"/>
          <w:sz w:val="22"/>
          <w:szCs w:val="22"/>
        </w:rPr>
        <w:t xml:space="preserve"> </w:t>
      </w:r>
      <w:r w:rsidRPr="00F15FFF">
        <w:rPr>
          <w:rFonts w:ascii="Cambria" w:hAnsi="Cambria"/>
          <w:sz w:val="22"/>
          <w:szCs w:val="22"/>
        </w:rPr>
        <w:t xml:space="preserve">that in the city of Encarnación, Paraguay, women workers have been disproportionately disadvantaged by the </w:t>
      </w:r>
      <w:r w:rsidR="0002321A">
        <w:rPr>
          <w:rFonts w:ascii="Cambria" w:hAnsi="Cambria"/>
          <w:sz w:val="22"/>
          <w:szCs w:val="22"/>
        </w:rPr>
        <w:t>s</w:t>
      </w:r>
      <w:r w:rsidRPr="00F15FFF">
        <w:rPr>
          <w:rFonts w:ascii="Cambria" w:hAnsi="Cambria"/>
          <w:sz w:val="22"/>
          <w:szCs w:val="22"/>
        </w:rPr>
        <w:t xml:space="preserve">tate response to the pandemic because of the </w:t>
      </w:r>
      <w:r w:rsidR="0002321A">
        <w:rPr>
          <w:rFonts w:ascii="Cambria" w:hAnsi="Cambria"/>
          <w:i/>
          <w:iCs/>
          <w:sz w:val="22"/>
          <w:szCs w:val="22"/>
        </w:rPr>
        <w:t xml:space="preserve">de facto </w:t>
      </w:r>
      <w:r w:rsidRPr="00F15FFF">
        <w:rPr>
          <w:rFonts w:ascii="Cambria" w:hAnsi="Cambria"/>
          <w:sz w:val="22"/>
          <w:szCs w:val="22"/>
        </w:rPr>
        <w:t>horizontal segregation of the labour market. Research by Kuña Roga and CUT found that job losses in Encarnación have affected women more than men, and that 2</w:t>
      </w:r>
      <w:r w:rsidR="005125FD" w:rsidRPr="00F15FFF">
        <w:rPr>
          <w:rFonts w:ascii="Cambria" w:hAnsi="Cambria"/>
          <w:sz w:val="22"/>
          <w:szCs w:val="22"/>
        </w:rPr>
        <w:t xml:space="preserve"> out of 10</w:t>
      </w:r>
      <w:r w:rsidRPr="00F15FFF">
        <w:rPr>
          <w:rFonts w:ascii="Cambria" w:hAnsi="Cambria"/>
          <w:sz w:val="22"/>
          <w:szCs w:val="22"/>
        </w:rPr>
        <w:t xml:space="preserve"> women workers have been dismissed or faced a reduction in their working days this year.</w:t>
      </w:r>
      <w:r w:rsidRPr="00F15FFF">
        <w:rPr>
          <w:rFonts w:ascii="Cambria" w:hAnsi="Cambria"/>
          <w:vertAlign w:val="superscript"/>
        </w:rPr>
        <w:footnoteReference w:id="10"/>
      </w:r>
    </w:p>
    <w:p w14:paraId="633FDAA3" w14:textId="77777777" w:rsidR="009A4000" w:rsidRPr="00F15FFF" w:rsidRDefault="009A4000" w:rsidP="00FE7BAB">
      <w:pPr>
        <w:rPr>
          <w:rFonts w:ascii="Cambria" w:hAnsi="Cambria"/>
          <w:sz w:val="22"/>
          <w:szCs w:val="22"/>
        </w:rPr>
      </w:pPr>
    </w:p>
    <w:p w14:paraId="30C630E6" w14:textId="276B01C7" w:rsidR="009A4000" w:rsidRPr="00F15FFF" w:rsidRDefault="00754D02" w:rsidP="00FE7BAB">
      <w:pPr>
        <w:numPr>
          <w:ilvl w:val="0"/>
          <w:numId w:val="1"/>
        </w:numPr>
        <w:tabs>
          <w:tab w:val="left" w:pos="567"/>
        </w:tabs>
        <w:snapToGrid w:val="0"/>
        <w:contextualSpacing/>
        <w:jc w:val="both"/>
        <w:rPr>
          <w:rFonts w:ascii="Cambria" w:hAnsi="Cambria"/>
          <w:sz w:val="22"/>
          <w:szCs w:val="22"/>
        </w:rPr>
      </w:pPr>
      <w:r>
        <w:rPr>
          <w:rFonts w:ascii="Cambria" w:hAnsi="Cambria"/>
          <w:sz w:val="22"/>
          <w:szCs w:val="22"/>
        </w:rPr>
        <w:t>Our</w:t>
      </w:r>
      <w:r w:rsidR="009A4000" w:rsidRPr="00F15FFF">
        <w:rPr>
          <w:rFonts w:ascii="Cambria" w:hAnsi="Cambria"/>
          <w:sz w:val="22"/>
          <w:szCs w:val="22"/>
        </w:rPr>
        <w:t xml:space="preserve"> partners in </w:t>
      </w:r>
      <w:r w:rsidR="009A4000" w:rsidRPr="00F15FFF">
        <w:rPr>
          <w:rFonts w:ascii="Cambria" w:hAnsi="Cambria"/>
          <w:b/>
          <w:bCs/>
          <w:sz w:val="22"/>
          <w:szCs w:val="22"/>
        </w:rPr>
        <w:t>Kyrgyzstan</w:t>
      </w:r>
      <w:r w:rsidR="009A4000" w:rsidRPr="00F15FFF">
        <w:rPr>
          <w:rFonts w:ascii="Cambria" w:hAnsi="Cambria"/>
          <w:sz w:val="22"/>
          <w:szCs w:val="22"/>
        </w:rPr>
        <w:t>, the Institute of Youth Development</w:t>
      </w:r>
      <w:r w:rsidR="005125FD" w:rsidRPr="00F15FFF">
        <w:rPr>
          <w:rFonts w:ascii="Cambria" w:hAnsi="Cambria"/>
          <w:sz w:val="22"/>
          <w:szCs w:val="22"/>
        </w:rPr>
        <w:t>,</w:t>
      </w:r>
      <w:r w:rsidR="009A4000" w:rsidRPr="00F15FFF">
        <w:rPr>
          <w:rFonts w:ascii="Cambria" w:hAnsi="Cambria"/>
          <w:sz w:val="22"/>
          <w:szCs w:val="22"/>
        </w:rPr>
        <w:t xml:space="preserve"> have undertaken research which has identified indirectly discriminatory impacts resulting from the State response to the pandemic in education, on the basis of disability, language and socio-economic status. For example, they </w:t>
      </w:r>
      <w:r w:rsidR="005125FD" w:rsidRPr="00F15FFF">
        <w:rPr>
          <w:rFonts w:ascii="Cambria" w:hAnsi="Cambria"/>
          <w:sz w:val="22"/>
          <w:szCs w:val="22"/>
        </w:rPr>
        <w:t xml:space="preserve">have reported </w:t>
      </w:r>
      <w:r w:rsidR="009A4000" w:rsidRPr="00F15FFF">
        <w:rPr>
          <w:rFonts w:ascii="Cambria" w:hAnsi="Cambria"/>
          <w:sz w:val="22"/>
          <w:szCs w:val="22"/>
        </w:rPr>
        <w:t xml:space="preserve">that the State </w:t>
      </w:r>
      <w:r w:rsidR="005125FD" w:rsidRPr="00F15FFF">
        <w:rPr>
          <w:rFonts w:ascii="Cambria" w:hAnsi="Cambria"/>
          <w:sz w:val="22"/>
          <w:szCs w:val="22"/>
        </w:rPr>
        <w:t>failed to</w:t>
      </w:r>
      <w:r w:rsidR="009A4000" w:rsidRPr="00F15FFF">
        <w:rPr>
          <w:rFonts w:ascii="Cambria" w:hAnsi="Cambria"/>
          <w:sz w:val="22"/>
          <w:szCs w:val="22"/>
        </w:rPr>
        <w:t xml:space="preserve"> develop education materials which </w:t>
      </w:r>
      <w:r w:rsidR="00CF25ED">
        <w:rPr>
          <w:rFonts w:ascii="Cambria" w:hAnsi="Cambria"/>
          <w:sz w:val="22"/>
          <w:szCs w:val="22"/>
        </w:rPr>
        <w:t>were</w:t>
      </w:r>
      <w:r w:rsidR="009A4000" w:rsidRPr="00F15FFF">
        <w:rPr>
          <w:rFonts w:ascii="Cambria" w:hAnsi="Cambria"/>
          <w:sz w:val="22"/>
          <w:szCs w:val="22"/>
        </w:rPr>
        <w:t xml:space="preserve"> accessible to students with visual and hearing impairments, and </w:t>
      </w:r>
      <w:r w:rsidR="00DE5AB5">
        <w:rPr>
          <w:rFonts w:ascii="Cambria" w:hAnsi="Cambria"/>
          <w:sz w:val="22"/>
          <w:szCs w:val="22"/>
        </w:rPr>
        <w:t>neglected</w:t>
      </w:r>
      <w:r w:rsidR="009A4000" w:rsidRPr="00F15FFF">
        <w:rPr>
          <w:rFonts w:ascii="Cambria" w:hAnsi="Cambria"/>
          <w:sz w:val="22"/>
          <w:szCs w:val="22"/>
        </w:rPr>
        <w:t xml:space="preserve"> to monitor the effective realisation of the right to non-discrimination in the context of education.</w:t>
      </w:r>
      <w:r w:rsidR="009A4000" w:rsidRPr="00F15FFF">
        <w:rPr>
          <w:rFonts w:ascii="Cambria" w:hAnsi="Cambria"/>
          <w:vertAlign w:val="superscript"/>
        </w:rPr>
        <w:footnoteReference w:id="11"/>
      </w:r>
    </w:p>
    <w:p w14:paraId="3E4EC597" w14:textId="77777777" w:rsidR="009A4000" w:rsidRPr="00F15FFF" w:rsidRDefault="009A4000" w:rsidP="00FE7BAB">
      <w:pPr>
        <w:tabs>
          <w:tab w:val="left" w:pos="567"/>
        </w:tabs>
        <w:snapToGrid w:val="0"/>
        <w:ind w:left="567" w:hanging="567"/>
        <w:contextualSpacing/>
        <w:jc w:val="both"/>
        <w:rPr>
          <w:rFonts w:ascii="Cambria" w:hAnsi="Cambria"/>
          <w:sz w:val="22"/>
          <w:szCs w:val="22"/>
        </w:rPr>
      </w:pPr>
    </w:p>
    <w:bookmarkEnd w:id="0"/>
    <w:p w14:paraId="2AE78376" w14:textId="1CE936CF" w:rsidR="00864342" w:rsidRPr="00F15FFF" w:rsidRDefault="00DC506D" w:rsidP="00FE7BAB">
      <w:pPr>
        <w:tabs>
          <w:tab w:val="left" w:pos="567"/>
        </w:tabs>
        <w:snapToGrid w:val="0"/>
        <w:ind w:left="567" w:hanging="567"/>
        <w:contextualSpacing/>
        <w:jc w:val="both"/>
        <w:rPr>
          <w:rFonts w:ascii="Cambria" w:hAnsi="Cambria"/>
          <w:b/>
          <w:bCs/>
          <w:sz w:val="22"/>
          <w:szCs w:val="22"/>
          <w:u w:val="single"/>
        </w:rPr>
      </w:pPr>
      <w:r w:rsidRPr="00F15FFF">
        <w:rPr>
          <w:rFonts w:ascii="Cambria" w:hAnsi="Cambria"/>
          <w:b/>
          <w:bCs/>
          <w:sz w:val="22"/>
          <w:szCs w:val="22"/>
          <w:u w:val="single"/>
        </w:rPr>
        <w:t xml:space="preserve">Recommendation: Adoption of </w:t>
      </w:r>
      <w:r w:rsidR="00864342" w:rsidRPr="00F15FFF">
        <w:rPr>
          <w:rFonts w:ascii="Cambria" w:hAnsi="Cambria"/>
          <w:b/>
          <w:bCs/>
          <w:sz w:val="22"/>
          <w:szCs w:val="22"/>
          <w:u w:val="single"/>
        </w:rPr>
        <w:t>Equality Impact Assessment</w:t>
      </w:r>
    </w:p>
    <w:p w14:paraId="51FFB413" w14:textId="77777777" w:rsidR="007A439C" w:rsidRPr="00F15FFF" w:rsidRDefault="007A439C" w:rsidP="00FE7BAB">
      <w:pPr>
        <w:jc w:val="both"/>
        <w:rPr>
          <w:rFonts w:ascii="Cambria" w:hAnsi="Cambria"/>
          <w:sz w:val="22"/>
          <w:szCs w:val="22"/>
        </w:rPr>
      </w:pPr>
    </w:p>
    <w:p w14:paraId="05271AC0" w14:textId="3B166F9C" w:rsidR="00FE7BAB" w:rsidRPr="00F15FFF" w:rsidRDefault="00FE7BAB" w:rsidP="00FE7BAB">
      <w:pPr>
        <w:pStyle w:val="ListParagraph"/>
        <w:numPr>
          <w:ilvl w:val="0"/>
          <w:numId w:val="1"/>
        </w:numPr>
        <w:tabs>
          <w:tab w:val="left" w:pos="567"/>
        </w:tabs>
        <w:jc w:val="both"/>
        <w:rPr>
          <w:rFonts w:ascii="Cambria" w:hAnsi="Cambria"/>
          <w:u w:val="single"/>
        </w:rPr>
      </w:pPr>
      <w:r w:rsidRPr="00F15FFF">
        <w:rPr>
          <w:rFonts w:ascii="Cambria" w:hAnsi="Cambria"/>
          <w:sz w:val="22"/>
          <w:szCs w:val="22"/>
        </w:rPr>
        <w:t>The discriminatory impacts documented by our partners</w:t>
      </w:r>
      <w:r w:rsidR="001A0F49">
        <w:rPr>
          <w:rFonts w:ascii="Cambria" w:hAnsi="Cambria"/>
          <w:sz w:val="22"/>
          <w:szCs w:val="22"/>
        </w:rPr>
        <w:t xml:space="preserve"> – together with the many others both documented and undocumented</w:t>
      </w:r>
      <w:r w:rsidR="00113193">
        <w:rPr>
          <w:rFonts w:ascii="Cambria" w:hAnsi="Cambria"/>
          <w:sz w:val="22"/>
          <w:szCs w:val="22"/>
        </w:rPr>
        <w:t xml:space="preserve"> in these and other countries –</w:t>
      </w:r>
      <w:r w:rsidRPr="00F15FFF">
        <w:rPr>
          <w:rFonts w:ascii="Cambria" w:hAnsi="Cambria"/>
          <w:sz w:val="22"/>
          <w:szCs w:val="22"/>
        </w:rPr>
        <w:t xml:space="preserve"> are occurring despite the fact that almost every State in the world has accepted non-discrimination obligations, through </w:t>
      </w:r>
      <w:r w:rsidRPr="00F15FFF">
        <w:rPr>
          <w:rFonts w:ascii="Cambria" w:hAnsi="Cambria"/>
          <w:i/>
          <w:iCs/>
          <w:sz w:val="22"/>
          <w:szCs w:val="22"/>
        </w:rPr>
        <w:t xml:space="preserve">inter alia </w:t>
      </w:r>
      <w:r w:rsidRPr="00F15FFF">
        <w:rPr>
          <w:rFonts w:ascii="Cambria" w:hAnsi="Cambria"/>
          <w:sz w:val="22"/>
          <w:szCs w:val="22"/>
        </w:rPr>
        <w:t>ratification of the International Covenant on Civil and Political Rights (ICCPR) and the International Covenant on Economic, Social and Cultural Rights (ICESCR).</w:t>
      </w:r>
      <w:r w:rsidRPr="00F15FFF">
        <w:rPr>
          <w:rStyle w:val="FootnoteReference"/>
          <w:rFonts w:ascii="Cambria" w:hAnsi="Cambria"/>
          <w:sz w:val="22"/>
          <w:szCs w:val="22"/>
        </w:rPr>
        <w:footnoteReference w:id="12"/>
      </w:r>
      <w:r w:rsidRPr="00F15FFF">
        <w:rPr>
          <w:rFonts w:ascii="Cambria" w:hAnsi="Cambria"/>
          <w:sz w:val="22"/>
          <w:szCs w:val="22"/>
        </w:rPr>
        <w:t xml:space="preserve"> While many </w:t>
      </w:r>
      <w:r w:rsidR="00EB4AB0" w:rsidRPr="00F15FFF">
        <w:rPr>
          <w:rFonts w:ascii="Cambria" w:hAnsi="Cambria"/>
          <w:sz w:val="22"/>
          <w:szCs w:val="22"/>
        </w:rPr>
        <w:t>s</w:t>
      </w:r>
      <w:r w:rsidRPr="00F15FFF">
        <w:rPr>
          <w:rFonts w:ascii="Cambria" w:hAnsi="Cambria"/>
          <w:sz w:val="22"/>
          <w:szCs w:val="22"/>
        </w:rPr>
        <w:t>tates have also accepted obligations to guarantee the rights to equality and non-discrimination under instruments to eliminate discrimination against women, discrimination on the basis of race and discrimination against persons with disabilities, we focus on these instruments as they have received almost universal recognition</w:t>
      </w:r>
      <w:r w:rsidR="00EB4AB0" w:rsidRPr="00F15FFF">
        <w:rPr>
          <w:rFonts w:ascii="Cambria" w:hAnsi="Cambria"/>
          <w:sz w:val="22"/>
          <w:szCs w:val="22"/>
        </w:rPr>
        <w:t>.</w:t>
      </w:r>
      <w:r w:rsidR="00EB4AB0" w:rsidRPr="00F15FFF">
        <w:rPr>
          <w:rStyle w:val="FootnoteReference"/>
          <w:rFonts w:ascii="Cambria" w:hAnsi="Cambria"/>
          <w:sz w:val="22"/>
          <w:szCs w:val="22"/>
        </w:rPr>
        <w:footnoteReference w:id="13"/>
      </w:r>
      <w:r w:rsidRPr="00F15FFF">
        <w:rPr>
          <w:rFonts w:ascii="Cambria" w:hAnsi="Cambria"/>
          <w:sz w:val="22"/>
          <w:szCs w:val="22"/>
        </w:rPr>
        <w:t xml:space="preserve"> </w:t>
      </w:r>
    </w:p>
    <w:p w14:paraId="4839EB60" w14:textId="77777777" w:rsidR="00FE7BAB" w:rsidRPr="00F15FFF" w:rsidRDefault="00FE7BAB" w:rsidP="00FE7BAB">
      <w:pPr>
        <w:tabs>
          <w:tab w:val="left" w:pos="567"/>
        </w:tabs>
        <w:snapToGrid w:val="0"/>
        <w:ind w:left="567" w:hanging="567"/>
        <w:contextualSpacing/>
        <w:jc w:val="both"/>
        <w:rPr>
          <w:rFonts w:ascii="Cambria" w:hAnsi="Cambria"/>
          <w:sz w:val="22"/>
          <w:szCs w:val="22"/>
        </w:rPr>
      </w:pPr>
    </w:p>
    <w:p w14:paraId="6BCCAE69" w14:textId="3FDAFEA5" w:rsidR="00194610" w:rsidRPr="00F15FFF" w:rsidRDefault="00FE7BAB" w:rsidP="00194610">
      <w:pPr>
        <w:numPr>
          <w:ilvl w:val="0"/>
          <w:numId w:val="1"/>
        </w:numPr>
        <w:tabs>
          <w:tab w:val="left" w:pos="567"/>
        </w:tabs>
        <w:snapToGrid w:val="0"/>
        <w:contextualSpacing/>
        <w:jc w:val="both"/>
        <w:rPr>
          <w:rFonts w:ascii="Cambria" w:hAnsi="Cambria"/>
          <w:sz w:val="22"/>
          <w:szCs w:val="22"/>
        </w:rPr>
      </w:pPr>
      <w:r w:rsidRPr="00F15FFF">
        <w:rPr>
          <w:rFonts w:ascii="Cambria" w:hAnsi="Cambria"/>
          <w:sz w:val="22"/>
          <w:szCs w:val="22"/>
        </w:rPr>
        <w:t xml:space="preserve">States’ non-discrimination obligations under these instruments apply to all: citizen and non-citizen, irrespective of their identity, status or beliefs. The UN Human Rights Committee has stated that the rights in the ICCPR “apply to everyone, irrespective of reciprocity, and irrespective of his </w:t>
      </w:r>
      <w:r w:rsidRPr="00F15FFF">
        <w:rPr>
          <w:rFonts w:ascii="Cambria" w:hAnsi="Cambria"/>
          <w:sz w:val="22"/>
          <w:szCs w:val="22"/>
        </w:rPr>
        <w:lastRenderedPageBreak/>
        <w:t>or her nationality or statelessness”.</w:t>
      </w:r>
      <w:r w:rsidRPr="00F15FFF">
        <w:rPr>
          <w:rStyle w:val="FootnoteReference"/>
          <w:rFonts w:ascii="Cambria" w:hAnsi="Cambria"/>
          <w:sz w:val="22"/>
          <w:szCs w:val="22"/>
        </w:rPr>
        <w:footnoteReference w:id="14"/>
      </w:r>
      <w:r w:rsidRPr="00F15FFF">
        <w:rPr>
          <w:rFonts w:ascii="Cambria" w:hAnsi="Cambria"/>
          <w:sz w:val="22"/>
          <w:szCs w:val="22"/>
        </w:rPr>
        <w:t xml:space="preserve"> The Committee on Economic, Social and Cultural Rights has clarified that the list of grounds of discrimination provided in the ICESCR (and by implication in the ICCPR) is illustrative and that, irrespective of their omission from the original text of the Covenant, States are obligated to ensure non-discrimination on grounds such as age, disability, gender identity</w:t>
      </w:r>
      <w:r w:rsidR="00AE78D1">
        <w:rPr>
          <w:rFonts w:ascii="Cambria" w:hAnsi="Cambria"/>
          <w:sz w:val="22"/>
          <w:szCs w:val="22"/>
        </w:rPr>
        <w:t>, health status</w:t>
      </w:r>
      <w:r w:rsidRPr="00F15FFF">
        <w:rPr>
          <w:rFonts w:ascii="Cambria" w:hAnsi="Cambria"/>
          <w:sz w:val="22"/>
          <w:szCs w:val="22"/>
        </w:rPr>
        <w:t xml:space="preserve"> and sexual orientation.</w:t>
      </w:r>
      <w:r w:rsidRPr="00F15FFF">
        <w:rPr>
          <w:rStyle w:val="FootnoteReference"/>
          <w:rFonts w:ascii="Cambria" w:hAnsi="Cambria"/>
          <w:sz w:val="22"/>
          <w:szCs w:val="22"/>
        </w:rPr>
        <w:footnoteReference w:id="15"/>
      </w:r>
      <w:r w:rsidR="00194610" w:rsidRPr="00F15FFF">
        <w:rPr>
          <w:rFonts w:ascii="Cambria" w:hAnsi="Cambria"/>
          <w:sz w:val="22"/>
          <w:szCs w:val="22"/>
        </w:rPr>
        <w:t xml:space="preserve"> </w:t>
      </w:r>
    </w:p>
    <w:p w14:paraId="264BE71C" w14:textId="77777777" w:rsidR="00194610" w:rsidRPr="00F15FFF" w:rsidRDefault="00194610" w:rsidP="00194610">
      <w:pPr>
        <w:pStyle w:val="ListParagraph"/>
        <w:rPr>
          <w:rFonts w:ascii="Cambria" w:hAnsi="Cambria"/>
          <w:sz w:val="22"/>
          <w:szCs w:val="22"/>
        </w:rPr>
      </w:pPr>
    </w:p>
    <w:p w14:paraId="1E0ADB43" w14:textId="77777777" w:rsidR="00585341" w:rsidRPr="00585341" w:rsidRDefault="00FE7BAB" w:rsidP="00590C4B">
      <w:pPr>
        <w:numPr>
          <w:ilvl w:val="0"/>
          <w:numId w:val="1"/>
        </w:numPr>
        <w:tabs>
          <w:tab w:val="left" w:pos="567"/>
        </w:tabs>
        <w:snapToGrid w:val="0"/>
        <w:contextualSpacing/>
        <w:jc w:val="both"/>
        <w:rPr>
          <w:rFonts w:ascii="Cambria" w:hAnsi="Cambria"/>
          <w:sz w:val="22"/>
          <w:szCs w:val="22"/>
          <w:u w:val="single"/>
          <w:lang w:val="en-US"/>
        </w:rPr>
      </w:pPr>
      <w:r w:rsidRPr="00585341">
        <w:rPr>
          <w:rFonts w:ascii="Cambria" w:hAnsi="Cambria"/>
          <w:sz w:val="22"/>
          <w:szCs w:val="22"/>
        </w:rPr>
        <w:t xml:space="preserve">At a bare minimum, these obligations require that the </w:t>
      </w:r>
      <w:r w:rsidR="00EB4AB0" w:rsidRPr="00585341">
        <w:rPr>
          <w:rFonts w:ascii="Cambria" w:hAnsi="Cambria"/>
          <w:sz w:val="22"/>
          <w:szCs w:val="22"/>
        </w:rPr>
        <w:t>s</w:t>
      </w:r>
      <w:r w:rsidRPr="00585341">
        <w:rPr>
          <w:rFonts w:ascii="Cambria" w:hAnsi="Cambria"/>
          <w:sz w:val="22"/>
          <w:szCs w:val="22"/>
        </w:rPr>
        <w:t>tate does not discriminate in its actions, whether through law, policy or practice. They also create a duty to provide effective protection from all forms of discrimination by private actors and to make reasonable accommodation when required. The CESCR, for example, has noted that states are required to ensure that their “constitution, laws and policy documents do not discriminate”</w:t>
      </w:r>
      <w:r w:rsidR="007016CA" w:rsidRPr="00585341">
        <w:rPr>
          <w:rFonts w:ascii="Cambria" w:hAnsi="Cambria"/>
          <w:sz w:val="22"/>
          <w:szCs w:val="22"/>
        </w:rPr>
        <w:t>;</w:t>
      </w:r>
      <w:r w:rsidRPr="00585341">
        <w:rPr>
          <w:rFonts w:ascii="Cambria" w:hAnsi="Cambria"/>
          <w:sz w:val="22"/>
          <w:szCs w:val="22"/>
        </w:rPr>
        <w:t xml:space="preserve"> to refrain from discriminatory actions</w:t>
      </w:r>
      <w:r w:rsidR="007016CA" w:rsidRPr="00585341">
        <w:rPr>
          <w:rFonts w:ascii="Cambria" w:hAnsi="Cambria"/>
          <w:sz w:val="22"/>
          <w:szCs w:val="22"/>
        </w:rPr>
        <w:t>;</w:t>
      </w:r>
      <w:r w:rsidRPr="00585341">
        <w:rPr>
          <w:rFonts w:ascii="Cambria" w:hAnsi="Cambria"/>
          <w:sz w:val="22"/>
          <w:szCs w:val="22"/>
        </w:rPr>
        <w:t xml:space="preserve"> and to “take concrete, deliberate and targeted measures” to eliminate discrimination, in particular through the adoption of legislation.</w:t>
      </w:r>
      <w:r w:rsidRPr="00F15FFF">
        <w:rPr>
          <w:rStyle w:val="FootnoteReference"/>
          <w:rFonts w:ascii="Cambria" w:hAnsi="Cambria"/>
          <w:sz w:val="22"/>
          <w:szCs w:val="22"/>
        </w:rPr>
        <w:footnoteReference w:id="16"/>
      </w:r>
      <w:r w:rsidRPr="00585341">
        <w:rPr>
          <w:rFonts w:ascii="Cambria" w:hAnsi="Cambria"/>
          <w:sz w:val="22"/>
          <w:szCs w:val="22"/>
        </w:rPr>
        <w:t xml:space="preserve"> The CESCR has noted that non-discrimination obligations are “immediate and cross-cutting”.</w:t>
      </w:r>
      <w:r w:rsidRPr="00F15FFF">
        <w:rPr>
          <w:rStyle w:val="FootnoteReference"/>
          <w:rFonts w:ascii="Cambria" w:hAnsi="Cambria"/>
          <w:sz w:val="22"/>
          <w:szCs w:val="22"/>
        </w:rPr>
        <w:footnoteReference w:id="17"/>
      </w:r>
      <w:r w:rsidRPr="00585341">
        <w:rPr>
          <w:rFonts w:ascii="Cambria" w:hAnsi="Cambria"/>
          <w:sz w:val="22"/>
          <w:szCs w:val="22"/>
        </w:rPr>
        <w:t xml:space="preserve"> These obligations apply irrespective of whether the discriminatory impact is intended or foreseen: as the Human Rights Committee has noted, in order to meet their obligations to guarantee the enjoyment of rights without discrimination, states are required to eliminate discrimination in both purpose and effect.</w:t>
      </w:r>
      <w:r w:rsidRPr="00F15FFF">
        <w:rPr>
          <w:rStyle w:val="FootnoteReference"/>
          <w:rFonts w:ascii="Cambria" w:hAnsi="Cambria"/>
          <w:sz w:val="22"/>
          <w:szCs w:val="22"/>
        </w:rPr>
        <w:footnoteReference w:id="18"/>
      </w:r>
      <w:r w:rsidRPr="00585341">
        <w:rPr>
          <w:rFonts w:ascii="Cambria" w:hAnsi="Cambria"/>
          <w:sz w:val="22"/>
          <w:szCs w:val="22"/>
        </w:rPr>
        <w:t xml:space="preserve"> Crucially, the </w:t>
      </w:r>
      <w:r w:rsidR="004A17DB" w:rsidRPr="00585341">
        <w:rPr>
          <w:rFonts w:ascii="Cambria" w:hAnsi="Cambria"/>
          <w:sz w:val="22"/>
          <w:szCs w:val="22"/>
        </w:rPr>
        <w:t xml:space="preserve">Human Rights </w:t>
      </w:r>
      <w:r w:rsidRPr="00585341">
        <w:rPr>
          <w:rFonts w:ascii="Cambria" w:hAnsi="Cambria"/>
          <w:sz w:val="22"/>
          <w:szCs w:val="22"/>
        </w:rPr>
        <w:t>Committee has also stated that one of the conditions for limiting the enjoyment of human rights in times of emergency is that measures taken do not discriminate.</w:t>
      </w:r>
      <w:r w:rsidRPr="00F15FFF">
        <w:rPr>
          <w:rStyle w:val="FootnoteReference"/>
          <w:rFonts w:ascii="Cambria" w:hAnsi="Cambria"/>
          <w:sz w:val="22"/>
          <w:szCs w:val="22"/>
        </w:rPr>
        <w:footnoteReference w:id="19"/>
      </w:r>
    </w:p>
    <w:p w14:paraId="61EB318A" w14:textId="77777777" w:rsidR="001C5B7B" w:rsidRPr="008A3072" w:rsidRDefault="001C5B7B" w:rsidP="001C5B7B">
      <w:pPr>
        <w:snapToGrid w:val="0"/>
        <w:ind w:left="567"/>
        <w:contextualSpacing/>
        <w:jc w:val="both"/>
        <w:rPr>
          <w:rFonts w:ascii="Cambria" w:hAnsi="Cambria"/>
          <w:sz w:val="22"/>
          <w:szCs w:val="22"/>
          <w:lang w:val="en-US"/>
        </w:rPr>
      </w:pPr>
    </w:p>
    <w:p w14:paraId="6FA35969" w14:textId="29FF0D48" w:rsidR="00982C63" w:rsidRPr="008A3072" w:rsidRDefault="001C5B7B" w:rsidP="00544642">
      <w:pPr>
        <w:numPr>
          <w:ilvl w:val="0"/>
          <w:numId w:val="1"/>
        </w:numPr>
        <w:tabs>
          <w:tab w:val="left" w:pos="567"/>
        </w:tabs>
        <w:snapToGrid w:val="0"/>
        <w:contextualSpacing/>
        <w:jc w:val="both"/>
        <w:rPr>
          <w:rFonts w:ascii="Cambria" w:hAnsi="Cambria"/>
          <w:sz w:val="22"/>
          <w:szCs w:val="22"/>
        </w:rPr>
      </w:pPr>
      <w:r w:rsidRPr="008A3072">
        <w:rPr>
          <w:rFonts w:ascii="Cambria" w:hAnsi="Cambria"/>
          <w:sz w:val="22"/>
          <w:szCs w:val="22"/>
          <w:lang w:val="en-US"/>
        </w:rPr>
        <w:t>Since May 2020, we have called</w:t>
      </w:r>
      <w:r w:rsidR="00585341" w:rsidRPr="00585341">
        <w:rPr>
          <w:rFonts w:ascii="Cambria" w:hAnsi="Cambria"/>
          <w:sz w:val="22"/>
          <w:szCs w:val="22"/>
          <w:lang w:val="en-US"/>
        </w:rPr>
        <w:t xml:space="preserve"> on all States to incorporate </w:t>
      </w:r>
      <w:r w:rsidR="00585341" w:rsidRPr="00585341">
        <w:rPr>
          <w:rFonts w:ascii="Cambria" w:hAnsi="Cambria"/>
          <w:b/>
          <w:bCs/>
          <w:sz w:val="22"/>
          <w:szCs w:val="22"/>
          <w:lang w:val="en-US"/>
        </w:rPr>
        <w:t xml:space="preserve">equality impact assessment </w:t>
      </w:r>
      <w:r w:rsidR="00585341" w:rsidRPr="00585341">
        <w:rPr>
          <w:rFonts w:ascii="Cambria" w:hAnsi="Cambria"/>
          <w:sz w:val="22"/>
          <w:szCs w:val="22"/>
          <w:lang w:val="en-US"/>
        </w:rPr>
        <w:t xml:space="preserve">as an integral element of their on-going public health, economic and social policy responses to the crisis. It is only through assessing the equality impacts of their policy responses that States can ensure that their actions comply with their </w:t>
      </w:r>
      <w:r w:rsidR="00585341" w:rsidRPr="008A3072">
        <w:rPr>
          <w:rFonts w:ascii="Cambria" w:hAnsi="Cambria"/>
          <w:sz w:val="22"/>
          <w:szCs w:val="22"/>
          <w:lang w:val="en-US"/>
        </w:rPr>
        <w:t>binding non-discrimination obligations under international law</w:t>
      </w:r>
      <w:r w:rsidR="008A3072" w:rsidRPr="008A3072">
        <w:rPr>
          <w:rFonts w:ascii="Cambria" w:hAnsi="Cambria"/>
          <w:sz w:val="22"/>
          <w:szCs w:val="22"/>
          <w:lang w:val="en-US"/>
        </w:rPr>
        <w:t xml:space="preserve"> and can</w:t>
      </w:r>
      <w:r w:rsidR="00585341" w:rsidRPr="008A3072">
        <w:rPr>
          <w:rFonts w:ascii="Cambria" w:hAnsi="Cambria"/>
          <w:sz w:val="22"/>
          <w:szCs w:val="22"/>
          <w:lang w:val="en-US"/>
        </w:rPr>
        <w:t xml:space="preserve"> anticipate and eliminate the discriminatory effects of their policy responses</w:t>
      </w:r>
      <w:r w:rsidR="008A3072" w:rsidRPr="008A3072">
        <w:rPr>
          <w:rFonts w:ascii="Cambria" w:hAnsi="Cambria"/>
          <w:sz w:val="22"/>
          <w:szCs w:val="22"/>
          <w:lang w:val="en-US"/>
        </w:rPr>
        <w:t>.</w:t>
      </w:r>
    </w:p>
    <w:p w14:paraId="17BD6F71" w14:textId="77777777" w:rsidR="008A3072" w:rsidRDefault="008A3072" w:rsidP="008A3072">
      <w:pPr>
        <w:pStyle w:val="ListParagraph"/>
        <w:rPr>
          <w:rFonts w:ascii="Cambria" w:hAnsi="Cambria"/>
          <w:sz w:val="22"/>
          <w:szCs w:val="22"/>
        </w:rPr>
      </w:pPr>
    </w:p>
    <w:p w14:paraId="16A32E44" w14:textId="56A98314" w:rsidR="007A439C" w:rsidRPr="00B45F26" w:rsidRDefault="00307839" w:rsidP="00911B64">
      <w:pPr>
        <w:pStyle w:val="ListParagraph"/>
        <w:numPr>
          <w:ilvl w:val="0"/>
          <w:numId w:val="1"/>
        </w:numPr>
        <w:tabs>
          <w:tab w:val="left" w:pos="567"/>
        </w:tabs>
        <w:jc w:val="both"/>
        <w:rPr>
          <w:rFonts w:ascii="Cambria" w:hAnsi="Cambria"/>
          <w:u w:val="single"/>
        </w:rPr>
      </w:pPr>
      <w:r w:rsidRPr="00F15FFF">
        <w:rPr>
          <w:rFonts w:ascii="Cambria" w:hAnsi="Cambria"/>
          <w:sz w:val="22"/>
          <w:szCs w:val="22"/>
          <w:u w:val="single"/>
        </w:rPr>
        <w:t>W</w:t>
      </w:r>
      <w:r w:rsidR="00AB34C6" w:rsidRPr="00F15FFF">
        <w:rPr>
          <w:rFonts w:ascii="Cambria" w:hAnsi="Cambria"/>
          <w:sz w:val="22"/>
          <w:szCs w:val="22"/>
          <w:u w:val="single"/>
        </w:rPr>
        <w:t xml:space="preserve">e </w:t>
      </w:r>
      <w:r w:rsidR="006B3CC7" w:rsidRPr="00F15FFF">
        <w:rPr>
          <w:rFonts w:ascii="Cambria" w:hAnsi="Cambria"/>
          <w:sz w:val="22"/>
          <w:szCs w:val="22"/>
          <w:u w:val="single"/>
        </w:rPr>
        <w:t>urge</w:t>
      </w:r>
      <w:r w:rsidR="002F0B0A" w:rsidRPr="00F15FFF">
        <w:rPr>
          <w:rFonts w:ascii="Cambria" w:hAnsi="Cambria"/>
          <w:sz w:val="22"/>
          <w:szCs w:val="22"/>
          <w:u w:val="single"/>
        </w:rPr>
        <w:t xml:space="preserve"> the </w:t>
      </w:r>
      <w:r w:rsidR="009A4000" w:rsidRPr="00F15FFF">
        <w:rPr>
          <w:rFonts w:ascii="Cambria" w:hAnsi="Cambria"/>
          <w:sz w:val="22"/>
          <w:szCs w:val="22"/>
          <w:u w:val="single"/>
        </w:rPr>
        <w:t>High Commissioner</w:t>
      </w:r>
      <w:r w:rsidR="002F0B0A" w:rsidRPr="00F15FFF">
        <w:rPr>
          <w:rFonts w:ascii="Cambria" w:hAnsi="Cambria"/>
          <w:sz w:val="22"/>
          <w:szCs w:val="22"/>
          <w:u w:val="single"/>
        </w:rPr>
        <w:t xml:space="preserve"> to recommend that </w:t>
      </w:r>
      <w:r w:rsidR="009A4000" w:rsidRPr="00F15FFF">
        <w:rPr>
          <w:rFonts w:ascii="Cambria" w:hAnsi="Cambria"/>
          <w:sz w:val="22"/>
          <w:szCs w:val="22"/>
          <w:u w:val="single"/>
        </w:rPr>
        <w:t>s</w:t>
      </w:r>
      <w:r w:rsidR="002F0B0A" w:rsidRPr="00F15FFF">
        <w:rPr>
          <w:rFonts w:ascii="Cambria" w:hAnsi="Cambria"/>
          <w:sz w:val="22"/>
          <w:szCs w:val="22"/>
          <w:u w:val="single"/>
        </w:rPr>
        <w:t>tates incorporate equality impact assessment</w:t>
      </w:r>
      <w:r w:rsidR="00AB34C6" w:rsidRPr="00F15FFF">
        <w:rPr>
          <w:rFonts w:ascii="Cambria" w:hAnsi="Cambria"/>
          <w:sz w:val="22"/>
          <w:szCs w:val="22"/>
          <w:u w:val="single"/>
        </w:rPr>
        <w:t xml:space="preserve"> into their ongoing public health, economic, and social policy responses to the crisis</w:t>
      </w:r>
      <w:r w:rsidR="0030274B" w:rsidRPr="00F15FFF">
        <w:rPr>
          <w:rFonts w:ascii="Cambria" w:hAnsi="Cambria"/>
          <w:sz w:val="22"/>
          <w:szCs w:val="22"/>
          <w:u w:val="single"/>
        </w:rPr>
        <w:t xml:space="preserve">, as a </w:t>
      </w:r>
      <w:r w:rsidR="009C2DE2">
        <w:rPr>
          <w:rFonts w:ascii="Cambria" w:hAnsi="Cambria"/>
          <w:sz w:val="22"/>
          <w:szCs w:val="22"/>
          <w:u w:val="single"/>
        </w:rPr>
        <w:t xml:space="preserve">necessary – though not sufficient – </w:t>
      </w:r>
      <w:r w:rsidR="00AB34C6" w:rsidRPr="00F15FFF">
        <w:rPr>
          <w:rFonts w:ascii="Cambria" w:hAnsi="Cambria"/>
          <w:sz w:val="22"/>
          <w:szCs w:val="22"/>
          <w:u w:val="single"/>
        </w:rPr>
        <w:t xml:space="preserve">means </w:t>
      </w:r>
      <w:r w:rsidR="0030274B" w:rsidRPr="00F15FFF">
        <w:rPr>
          <w:rFonts w:ascii="Cambria" w:hAnsi="Cambria"/>
          <w:sz w:val="22"/>
          <w:szCs w:val="22"/>
          <w:u w:val="single"/>
        </w:rPr>
        <w:t>of fulfilling the</w:t>
      </w:r>
      <w:r w:rsidRPr="00F15FFF">
        <w:rPr>
          <w:rFonts w:ascii="Cambria" w:hAnsi="Cambria"/>
          <w:sz w:val="22"/>
          <w:szCs w:val="22"/>
          <w:u w:val="single"/>
        </w:rPr>
        <w:t xml:space="preserve">ir </w:t>
      </w:r>
      <w:r w:rsidR="0030274B" w:rsidRPr="00F15FFF">
        <w:rPr>
          <w:rFonts w:ascii="Cambria" w:hAnsi="Cambria"/>
          <w:sz w:val="22"/>
          <w:szCs w:val="22"/>
          <w:u w:val="single"/>
        </w:rPr>
        <w:t xml:space="preserve">obligations </w:t>
      </w:r>
      <w:r w:rsidRPr="00F15FFF">
        <w:rPr>
          <w:rFonts w:ascii="Cambria" w:hAnsi="Cambria"/>
          <w:sz w:val="22"/>
          <w:szCs w:val="22"/>
          <w:u w:val="single"/>
        </w:rPr>
        <w:t>to guarantee the enjoyment of human rights without discrimination</w:t>
      </w:r>
      <w:r w:rsidR="0030274B" w:rsidRPr="00F15FFF">
        <w:rPr>
          <w:rFonts w:ascii="Cambria" w:hAnsi="Cambria"/>
          <w:sz w:val="22"/>
          <w:szCs w:val="22"/>
          <w:u w:val="single"/>
        </w:rPr>
        <w:t>.</w:t>
      </w:r>
      <w:r w:rsidR="003A3F11" w:rsidRPr="00F15FFF">
        <w:rPr>
          <w:rFonts w:ascii="Cambria" w:hAnsi="Cambria"/>
          <w:sz w:val="22"/>
          <w:szCs w:val="22"/>
          <w:u w:val="single"/>
        </w:rPr>
        <w:t xml:space="preserve"> </w:t>
      </w:r>
      <w:r w:rsidR="008C4FBD" w:rsidRPr="00F15FFF">
        <w:rPr>
          <w:rFonts w:ascii="Cambria" w:hAnsi="Cambria"/>
          <w:sz w:val="22"/>
          <w:szCs w:val="22"/>
          <w:u w:val="single"/>
        </w:rPr>
        <w:t xml:space="preserve">We </w:t>
      </w:r>
      <w:r w:rsidR="006B3CC7" w:rsidRPr="00F15FFF">
        <w:rPr>
          <w:rFonts w:ascii="Cambria" w:hAnsi="Cambria"/>
          <w:sz w:val="22"/>
          <w:szCs w:val="22"/>
          <w:u w:val="single"/>
        </w:rPr>
        <w:t>call on</w:t>
      </w:r>
      <w:r w:rsidR="008C4FBD" w:rsidRPr="00F15FFF">
        <w:rPr>
          <w:rFonts w:ascii="Cambria" w:hAnsi="Cambria"/>
          <w:sz w:val="22"/>
          <w:szCs w:val="22"/>
          <w:u w:val="single"/>
        </w:rPr>
        <w:t xml:space="preserve"> the </w:t>
      </w:r>
      <w:r w:rsidR="009A4000" w:rsidRPr="00F15FFF">
        <w:rPr>
          <w:rFonts w:ascii="Cambria" w:hAnsi="Cambria"/>
          <w:sz w:val="22"/>
          <w:szCs w:val="22"/>
          <w:u w:val="single"/>
        </w:rPr>
        <w:t>High Commissioner</w:t>
      </w:r>
      <w:r w:rsidR="008C4FBD" w:rsidRPr="00F15FFF">
        <w:rPr>
          <w:rFonts w:ascii="Cambria" w:hAnsi="Cambria"/>
          <w:sz w:val="22"/>
          <w:szCs w:val="22"/>
          <w:u w:val="single"/>
        </w:rPr>
        <w:t xml:space="preserve"> to recommend t</w:t>
      </w:r>
      <w:r w:rsidR="00F75E31">
        <w:rPr>
          <w:rFonts w:ascii="Cambria" w:hAnsi="Cambria"/>
          <w:sz w:val="22"/>
          <w:szCs w:val="22"/>
          <w:u w:val="single"/>
        </w:rPr>
        <w:t>hat</w:t>
      </w:r>
      <w:r w:rsidR="00911B64">
        <w:rPr>
          <w:rFonts w:ascii="Cambria" w:hAnsi="Cambria"/>
          <w:sz w:val="22"/>
          <w:szCs w:val="22"/>
          <w:u w:val="single"/>
        </w:rPr>
        <w:t xml:space="preserve"> a</w:t>
      </w:r>
      <w:r w:rsidR="00EA2629" w:rsidRPr="00911B64">
        <w:rPr>
          <w:rFonts w:ascii="Cambria" w:hAnsi="Cambria"/>
          <w:sz w:val="22"/>
          <w:szCs w:val="22"/>
          <w:u w:val="single"/>
        </w:rPr>
        <w:t xml:space="preserve">ll </w:t>
      </w:r>
      <w:r w:rsidR="009A4000" w:rsidRPr="00911B64">
        <w:rPr>
          <w:rFonts w:ascii="Cambria" w:hAnsi="Cambria"/>
          <w:sz w:val="22"/>
          <w:szCs w:val="22"/>
          <w:u w:val="single"/>
        </w:rPr>
        <w:t>COVID response and recover</w:t>
      </w:r>
      <w:r w:rsidR="00911B64" w:rsidRPr="00911B64">
        <w:rPr>
          <w:rFonts w:ascii="Cambria" w:hAnsi="Cambria"/>
          <w:sz w:val="22"/>
          <w:szCs w:val="22"/>
          <w:u w:val="single"/>
        </w:rPr>
        <w:t>y</w:t>
      </w:r>
      <w:r w:rsidR="009A4000" w:rsidRPr="00911B64">
        <w:rPr>
          <w:rFonts w:ascii="Cambria" w:hAnsi="Cambria"/>
          <w:sz w:val="22"/>
          <w:szCs w:val="22"/>
          <w:u w:val="single"/>
        </w:rPr>
        <w:t xml:space="preserve"> measures</w:t>
      </w:r>
      <w:r w:rsidR="00EA2629" w:rsidRPr="00911B64">
        <w:rPr>
          <w:rFonts w:ascii="Cambria" w:hAnsi="Cambria"/>
          <w:sz w:val="22"/>
          <w:szCs w:val="22"/>
          <w:u w:val="single"/>
        </w:rPr>
        <w:t xml:space="preserve"> </w:t>
      </w:r>
      <w:r w:rsidR="003D7DB4" w:rsidRPr="00911B64">
        <w:rPr>
          <w:rFonts w:ascii="Cambria" w:hAnsi="Cambria"/>
          <w:sz w:val="22"/>
          <w:szCs w:val="22"/>
          <w:u w:val="single"/>
        </w:rPr>
        <w:t>must</w:t>
      </w:r>
      <w:r w:rsidR="00EA2629" w:rsidRPr="00911B64">
        <w:rPr>
          <w:rFonts w:ascii="Cambria" w:hAnsi="Cambria"/>
          <w:sz w:val="22"/>
          <w:szCs w:val="22"/>
          <w:u w:val="single"/>
        </w:rPr>
        <w:t xml:space="preserve"> be subject to equality impact assessment</w:t>
      </w:r>
      <w:r w:rsidR="00911B64">
        <w:rPr>
          <w:rFonts w:ascii="Cambria" w:hAnsi="Cambria"/>
          <w:sz w:val="22"/>
          <w:szCs w:val="22"/>
          <w:u w:val="single"/>
        </w:rPr>
        <w:t>,</w:t>
      </w:r>
      <w:r w:rsidR="00B45F26">
        <w:rPr>
          <w:rFonts w:ascii="Cambria" w:hAnsi="Cambria"/>
          <w:sz w:val="22"/>
          <w:szCs w:val="22"/>
          <w:u w:val="single"/>
        </w:rPr>
        <w:t xml:space="preserve"> applying the following principles:</w:t>
      </w:r>
    </w:p>
    <w:p w14:paraId="38BD8323" w14:textId="77777777" w:rsidR="00B45F26" w:rsidRPr="00B45F26" w:rsidRDefault="00B45F26" w:rsidP="00B45F26">
      <w:pPr>
        <w:pStyle w:val="ListParagraph"/>
        <w:rPr>
          <w:rFonts w:ascii="Cambria" w:hAnsi="Cambria"/>
          <w:u w:val="single"/>
        </w:rPr>
      </w:pPr>
    </w:p>
    <w:p w14:paraId="727FCCBD" w14:textId="776A9290" w:rsidR="00EA2629" w:rsidRPr="00F15FFF" w:rsidRDefault="007A439C" w:rsidP="006D580E">
      <w:pPr>
        <w:pStyle w:val="ListParagraph"/>
        <w:numPr>
          <w:ilvl w:val="0"/>
          <w:numId w:val="6"/>
        </w:numPr>
        <w:tabs>
          <w:tab w:val="left" w:pos="1134"/>
        </w:tabs>
        <w:snapToGrid w:val="0"/>
        <w:ind w:left="1134" w:hanging="567"/>
        <w:jc w:val="both"/>
        <w:rPr>
          <w:rFonts w:ascii="Cambria" w:hAnsi="Cambria"/>
          <w:sz w:val="22"/>
          <w:szCs w:val="22"/>
          <w:u w:val="single"/>
        </w:rPr>
      </w:pPr>
      <w:r w:rsidRPr="00F15FFF">
        <w:rPr>
          <w:rFonts w:ascii="Cambria" w:hAnsi="Cambria" w:cs="Times New Roman (Body CS)"/>
          <w:sz w:val="22"/>
          <w:szCs w:val="22"/>
          <w:u w:val="single"/>
        </w:rPr>
        <w:t xml:space="preserve">Equality impact assessments must be aimed at identifying and eliminating the actual or potential discriminatory effects of </w:t>
      </w:r>
      <w:r w:rsidR="009A4000" w:rsidRPr="00F15FFF">
        <w:rPr>
          <w:rFonts w:ascii="Cambria" w:hAnsi="Cambria" w:cs="Times New Roman (Body CS)"/>
          <w:sz w:val="22"/>
          <w:szCs w:val="22"/>
          <w:u w:val="single"/>
        </w:rPr>
        <w:t>s</w:t>
      </w:r>
      <w:r w:rsidRPr="00F15FFF">
        <w:rPr>
          <w:rFonts w:ascii="Cambria" w:hAnsi="Cambria" w:cs="Times New Roman (Body CS)"/>
          <w:sz w:val="22"/>
          <w:szCs w:val="22"/>
          <w:u w:val="single"/>
        </w:rPr>
        <w:t>tate policies</w:t>
      </w:r>
      <w:r w:rsidR="00B8068D">
        <w:rPr>
          <w:rFonts w:ascii="Cambria" w:hAnsi="Cambria" w:cs="Times New Roman (Body CS)"/>
          <w:sz w:val="22"/>
          <w:szCs w:val="22"/>
          <w:u w:val="single"/>
        </w:rPr>
        <w:t>; ensuring</w:t>
      </w:r>
      <w:r w:rsidRPr="00F15FFF">
        <w:rPr>
          <w:rFonts w:ascii="Cambria" w:hAnsi="Cambria" w:cs="Times New Roman (Body CS)"/>
          <w:sz w:val="22"/>
          <w:szCs w:val="22"/>
          <w:u w:val="single"/>
        </w:rPr>
        <w:t xml:space="preserve"> that policies and programmes respond to and accommodate the different needs of diverse groups with due consideration to intersectionality</w:t>
      </w:r>
      <w:r w:rsidR="00B8068D">
        <w:rPr>
          <w:rFonts w:ascii="Cambria" w:hAnsi="Cambria" w:cs="Times New Roman (Body CS)"/>
          <w:sz w:val="22"/>
          <w:szCs w:val="22"/>
          <w:u w:val="single"/>
        </w:rPr>
        <w:t>;</w:t>
      </w:r>
      <w:r w:rsidRPr="00F15FFF">
        <w:rPr>
          <w:rFonts w:ascii="Cambria" w:hAnsi="Cambria" w:cs="Times New Roman (Body CS)"/>
          <w:sz w:val="22"/>
          <w:szCs w:val="22"/>
          <w:u w:val="single"/>
        </w:rPr>
        <w:t xml:space="preserve"> and that they do not create or exacerbate inequality</w:t>
      </w:r>
      <w:r w:rsidR="00F15FFF" w:rsidRPr="00F15FFF">
        <w:rPr>
          <w:rFonts w:ascii="Cambria" w:hAnsi="Cambria" w:cs="Times New Roman (Body CS)"/>
          <w:sz w:val="22"/>
          <w:szCs w:val="22"/>
          <w:u w:val="single"/>
        </w:rPr>
        <w:t>;</w:t>
      </w:r>
      <w:r w:rsidRPr="00F15FFF">
        <w:rPr>
          <w:rFonts w:ascii="Cambria" w:hAnsi="Cambria" w:cs="Times New Roman (Body CS)"/>
          <w:sz w:val="22"/>
          <w:szCs w:val="22"/>
          <w:u w:val="single"/>
        </w:rPr>
        <w:t xml:space="preserve"> </w:t>
      </w:r>
    </w:p>
    <w:p w14:paraId="6B397F99" w14:textId="6A38BAC5" w:rsidR="007751FE" w:rsidRPr="00F15FFF" w:rsidRDefault="003D7DB4" w:rsidP="006D580E">
      <w:pPr>
        <w:pStyle w:val="ListParagraph"/>
        <w:numPr>
          <w:ilvl w:val="0"/>
          <w:numId w:val="6"/>
        </w:numPr>
        <w:tabs>
          <w:tab w:val="left" w:pos="1134"/>
        </w:tabs>
        <w:snapToGrid w:val="0"/>
        <w:ind w:left="1134" w:hanging="567"/>
        <w:jc w:val="both"/>
        <w:rPr>
          <w:rFonts w:ascii="Cambria" w:hAnsi="Cambria"/>
          <w:sz w:val="22"/>
          <w:szCs w:val="22"/>
          <w:u w:val="single"/>
        </w:rPr>
      </w:pPr>
      <w:r w:rsidRPr="00F15FFF">
        <w:rPr>
          <w:rFonts w:ascii="Cambria" w:hAnsi="Cambria"/>
          <w:sz w:val="22"/>
          <w:szCs w:val="22"/>
          <w:u w:val="single"/>
        </w:rPr>
        <w:t>Equality impact assessments must be pre-emptive,</w:t>
      </w:r>
      <w:r w:rsidR="00864342" w:rsidRPr="00F15FFF">
        <w:rPr>
          <w:rFonts w:ascii="Cambria" w:hAnsi="Cambria"/>
          <w:sz w:val="22"/>
          <w:szCs w:val="22"/>
          <w:u w:val="single"/>
        </w:rPr>
        <w:t xml:space="preserve"> coming before new policy measures are adopted and before any changes are made to policies which are already in force</w:t>
      </w:r>
      <w:r w:rsidR="007751FE" w:rsidRPr="00F15FFF">
        <w:rPr>
          <w:rFonts w:ascii="Cambria" w:hAnsi="Cambria"/>
          <w:sz w:val="22"/>
          <w:szCs w:val="22"/>
          <w:u w:val="single"/>
        </w:rPr>
        <w:t>;</w:t>
      </w:r>
    </w:p>
    <w:p w14:paraId="113EC052" w14:textId="34C6E365" w:rsidR="007A439C" w:rsidRPr="00F15FFF" w:rsidRDefault="00864342" w:rsidP="006D580E">
      <w:pPr>
        <w:pStyle w:val="ListParagraph"/>
        <w:numPr>
          <w:ilvl w:val="0"/>
          <w:numId w:val="6"/>
        </w:numPr>
        <w:tabs>
          <w:tab w:val="left" w:pos="1134"/>
        </w:tabs>
        <w:snapToGrid w:val="0"/>
        <w:ind w:left="1134" w:hanging="567"/>
        <w:jc w:val="both"/>
        <w:rPr>
          <w:rFonts w:ascii="Cambria" w:hAnsi="Cambria"/>
          <w:sz w:val="22"/>
          <w:szCs w:val="22"/>
          <w:u w:val="single"/>
        </w:rPr>
      </w:pPr>
      <w:r w:rsidRPr="00F15FFF">
        <w:rPr>
          <w:rFonts w:ascii="Cambria" w:hAnsi="Cambria"/>
          <w:sz w:val="22"/>
          <w:szCs w:val="22"/>
          <w:u w:val="single"/>
        </w:rPr>
        <w:t>Where measures have already been adopted, equality impact assessment</w:t>
      </w:r>
      <w:r w:rsidR="003D7DB4" w:rsidRPr="00F15FFF">
        <w:rPr>
          <w:rFonts w:ascii="Cambria" w:hAnsi="Cambria"/>
          <w:sz w:val="22"/>
          <w:szCs w:val="22"/>
          <w:u w:val="single"/>
        </w:rPr>
        <w:t>s</w:t>
      </w:r>
      <w:r w:rsidRPr="00F15FFF">
        <w:rPr>
          <w:rFonts w:ascii="Cambria" w:hAnsi="Cambria"/>
          <w:sz w:val="22"/>
          <w:szCs w:val="22"/>
          <w:u w:val="single"/>
        </w:rPr>
        <w:t xml:space="preserve"> </w:t>
      </w:r>
      <w:r w:rsidR="00EB710B" w:rsidRPr="00F15FFF">
        <w:rPr>
          <w:rFonts w:ascii="Cambria" w:hAnsi="Cambria"/>
          <w:sz w:val="22"/>
          <w:szCs w:val="22"/>
          <w:u w:val="single"/>
        </w:rPr>
        <w:t>must</w:t>
      </w:r>
      <w:r w:rsidRPr="00F15FFF">
        <w:rPr>
          <w:rFonts w:ascii="Cambria" w:hAnsi="Cambria"/>
          <w:sz w:val="22"/>
          <w:szCs w:val="22"/>
          <w:u w:val="single"/>
        </w:rPr>
        <w:t xml:space="preserve"> be undertaken as an urgent priority</w:t>
      </w:r>
      <w:r w:rsidR="009A4000" w:rsidRPr="00F15FFF">
        <w:rPr>
          <w:rFonts w:ascii="Cambria" w:hAnsi="Cambria"/>
          <w:sz w:val="22"/>
          <w:szCs w:val="22"/>
          <w:u w:val="single"/>
        </w:rPr>
        <w:t>;</w:t>
      </w:r>
    </w:p>
    <w:p w14:paraId="789A44D1" w14:textId="6FDD20C3" w:rsidR="003D7DB4" w:rsidRPr="00F15FFF" w:rsidRDefault="00864342" w:rsidP="006D580E">
      <w:pPr>
        <w:pStyle w:val="ListParagraph"/>
        <w:numPr>
          <w:ilvl w:val="0"/>
          <w:numId w:val="6"/>
        </w:numPr>
        <w:tabs>
          <w:tab w:val="left" w:pos="1134"/>
        </w:tabs>
        <w:snapToGrid w:val="0"/>
        <w:ind w:left="1134" w:hanging="567"/>
        <w:jc w:val="both"/>
        <w:rPr>
          <w:rFonts w:ascii="Cambria" w:hAnsi="Cambria"/>
          <w:sz w:val="22"/>
          <w:szCs w:val="22"/>
          <w:u w:val="single"/>
        </w:rPr>
      </w:pPr>
      <w:r w:rsidRPr="00F15FFF">
        <w:rPr>
          <w:rFonts w:ascii="Cambria" w:hAnsi="Cambria"/>
          <w:sz w:val="22"/>
          <w:szCs w:val="22"/>
          <w:u w:val="single"/>
        </w:rPr>
        <w:t xml:space="preserve">Where discriminatory impacts are identified, measures to eliminate any discrimination or inequality of impact </w:t>
      </w:r>
      <w:r w:rsidR="00EB710B" w:rsidRPr="00F15FFF">
        <w:rPr>
          <w:rFonts w:ascii="Cambria" w:hAnsi="Cambria"/>
          <w:sz w:val="22"/>
          <w:szCs w:val="22"/>
          <w:u w:val="single"/>
        </w:rPr>
        <w:t>must</w:t>
      </w:r>
      <w:r w:rsidRPr="00F15FFF">
        <w:rPr>
          <w:rFonts w:ascii="Cambria" w:hAnsi="Cambria"/>
          <w:sz w:val="22"/>
          <w:szCs w:val="22"/>
          <w:u w:val="single"/>
        </w:rPr>
        <w:t xml:space="preserve"> be taken with immediate effect</w:t>
      </w:r>
      <w:r w:rsidR="003D7DB4" w:rsidRPr="00F15FFF">
        <w:rPr>
          <w:rFonts w:ascii="Cambria" w:hAnsi="Cambria"/>
          <w:sz w:val="22"/>
          <w:szCs w:val="22"/>
          <w:u w:val="single"/>
        </w:rPr>
        <w:t>;</w:t>
      </w:r>
    </w:p>
    <w:p w14:paraId="729474A2" w14:textId="6FD122DA" w:rsidR="00EB710B" w:rsidRPr="00F15FFF" w:rsidRDefault="003D7DB4" w:rsidP="006D580E">
      <w:pPr>
        <w:pStyle w:val="ListParagraph"/>
        <w:numPr>
          <w:ilvl w:val="0"/>
          <w:numId w:val="6"/>
        </w:numPr>
        <w:tabs>
          <w:tab w:val="left" w:pos="1134"/>
        </w:tabs>
        <w:snapToGrid w:val="0"/>
        <w:ind w:left="1134" w:hanging="567"/>
        <w:jc w:val="both"/>
        <w:rPr>
          <w:rFonts w:ascii="Cambria" w:hAnsi="Cambria"/>
          <w:sz w:val="22"/>
          <w:szCs w:val="22"/>
          <w:u w:val="single"/>
        </w:rPr>
      </w:pPr>
      <w:r w:rsidRPr="00F15FFF">
        <w:rPr>
          <w:rFonts w:ascii="Cambria" w:hAnsi="Cambria"/>
          <w:sz w:val="22"/>
          <w:szCs w:val="22"/>
          <w:u w:val="single"/>
        </w:rPr>
        <w:lastRenderedPageBreak/>
        <w:t xml:space="preserve">Groups at risk of discrimination and experiencing inequality must be </w:t>
      </w:r>
      <w:r w:rsidR="00864342" w:rsidRPr="00F15FFF">
        <w:rPr>
          <w:rFonts w:ascii="Cambria" w:hAnsi="Cambria"/>
          <w:sz w:val="22"/>
          <w:szCs w:val="22"/>
          <w:u w:val="single"/>
        </w:rPr>
        <w:t>involve</w:t>
      </w:r>
      <w:r w:rsidRPr="00F15FFF">
        <w:rPr>
          <w:rFonts w:ascii="Cambria" w:hAnsi="Cambria"/>
          <w:sz w:val="22"/>
          <w:szCs w:val="22"/>
          <w:u w:val="single"/>
        </w:rPr>
        <w:t>d</w:t>
      </w:r>
      <w:r w:rsidR="00864342" w:rsidRPr="00F15FFF">
        <w:rPr>
          <w:rFonts w:ascii="Cambria" w:hAnsi="Cambria"/>
          <w:sz w:val="22"/>
          <w:szCs w:val="22"/>
          <w:u w:val="single"/>
        </w:rPr>
        <w:t xml:space="preserve"> and consult</w:t>
      </w:r>
      <w:r w:rsidRPr="00F15FFF">
        <w:rPr>
          <w:rFonts w:ascii="Cambria" w:hAnsi="Cambria"/>
          <w:sz w:val="22"/>
          <w:szCs w:val="22"/>
          <w:u w:val="single"/>
        </w:rPr>
        <w:t xml:space="preserve">ed </w:t>
      </w:r>
      <w:r w:rsidR="00864342" w:rsidRPr="00F15FFF">
        <w:rPr>
          <w:rFonts w:ascii="Cambria" w:hAnsi="Cambria"/>
          <w:sz w:val="22"/>
          <w:szCs w:val="22"/>
          <w:u w:val="single"/>
        </w:rPr>
        <w:t>in conducting equality impact assessment</w:t>
      </w:r>
      <w:r w:rsidR="00EB710B" w:rsidRPr="00F15FFF">
        <w:rPr>
          <w:rFonts w:ascii="Cambria" w:hAnsi="Cambria"/>
          <w:sz w:val="22"/>
          <w:szCs w:val="22"/>
          <w:u w:val="single"/>
        </w:rPr>
        <w:t>;</w:t>
      </w:r>
    </w:p>
    <w:p w14:paraId="45DD7576" w14:textId="45BA1118" w:rsidR="007A439C" w:rsidRPr="00F15FFF" w:rsidRDefault="00EB710B" w:rsidP="006D580E">
      <w:pPr>
        <w:pStyle w:val="ListParagraph"/>
        <w:numPr>
          <w:ilvl w:val="0"/>
          <w:numId w:val="6"/>
        </w:numPr>
        <w:tabs>
          <w:tab w:val="left" w:pos="1134"/>
        </w:tabs>
        <w:snapToGrid w:val="0"/>
        <w:ind w:left="1134" w:hanging="567"/>
        <w:jc w:val="both"/>
        <w:rPr>
          <w:rFonts w:ascii="Cambria" w:hAnsi="Cambria"/>
          <w:u w:val="single"/>
        </w:rPr>
      </w:pPr>
      <w:r w:rsidRPr="00F15FFF">
        <w:rPr>
          <w:rFonts w:ascii="Cambria" w:hAnsi="Cambria"/>
          <w:sz w:val="22"/>
          <w:szCs w:val="22"/>
          <w:u w:val="single"/>
        </w:rPr>
        <w:t xml:space="preserve">Equality impact assessments must be </w:t>
      </w:r>
      <w:r w:rsidR="00864342" w:rsidRPr="00F15FFF">
        <w:rPr>
          <w:rFonts w:ascii="Cambria" w:hAnsi="Cambria"/>
          <w:sz w:val="22"/>
          <w:szCs w:val="22"/>
          <w:u w:val="single"/>
        </w:rPr>
        <w:t>an essential element of the</w:t>
      </w:r>
      <w:r w:rsidRPr="00F15FFF">
        <w:rPr>
          <w:rFonts w:ascii="Cambria" w:hAnsi="Cambria"/>
          <w:sz w:val="22"/>
          <w:szCs w:val="22"/>
          <w:u w:val="single"/>
        </w:rPr>
        <w:t xml:space="preserve"> </w:t>
      </w:r>
      <w:r w:rsidR="00864342" w:rsidRPr="00F15FFF">
        <w:rPr>
          <w:rFonts w:ascii="Cambria" w:hAnsi="Cambria"/>
          <w:sz w:val="22"/>
          <w:szCs w:val="22"/>
          <w:u w:val="single"/>
        </w:rPr>
        <w:t>monitoring and review of policy responses to the pandemic</w:t>
      </w:r>
      <w:r w:rsidRPr="00F15FFF">
        <w:rPr>
          <w:rFonts w:ascii="Cambria" w:hAnsi="Cambria"/>
          <w:sz w:val="22"/>
          <w:szCs w:val="22"/>
          <w:u w:val="single"/>
        </w:rPr>
        <w:t>,</w:t>
      </w:r>
      <w:r w:rsidR="00864342" w:rsidRPr="00F15FFF">
        <w:rPr>
          <w:rFonts w:ascii="Cambria" w:hAnsi="Cambria"/>
          <w:sz w:val="22"/>
          <w:szCs w:val="22"/>
          <w:u w:val="single"/>
        </w:rPr>
        <w:t xml:space="preserve"> and of their on the ground effects</w:t>
      </w:r>
      <w:r w:rsidR="00F15FFF" w:rsidRPr="00F15FFF">
        <w:rPr>
          <w:rFonts w:ascii="Cambria" w:hAnsi="Cambria"/>
          <w:sz w:val="22"/>
          <w:szCs w:val="22"/>
          <w:u w:val="single"/>
        </w:rPr>
        <w:t>;</w:t>
      </w:r>
      <w:r w:rsidR="00864342" w:rsidRPr="00F15FFF">
        <w:rPr>
          <w:rFonts w:ascii="Cambria" w:hAnsi="Cambria"/>
          <w:sz w:val="22"/>
          <w:szCs w:val="22"/>
          <w:u w:val="single"/>
        </w:rPr>
        <w:t xml:space="preserve"> </w:t>
      </w:r>
    </w:p>
    <w:p w14:paraId="2FC76E4F" w14:textId="2F64B76C" w:rsidR="00917DF3" w:rsidRPr="00F15FFF" w:rsidRDefault="00864342" w:rsidP="006D580E">
      <w:pPr>
        <w:pStyle w:val="ListParagraph"/>
        <w:numPr>
          <w:ilvl w:val="0"/>
          <w:numId w:val="6"/>
        </w:numPr>
        <w:tabs>
          <w:tab w:val="left" w:pos="1134"/>
        </w:tabs>
        <w:snapToGrid w:val="0"/>
        <w:ind w:left="1134" w:hanging="567"/>
        <w:jc w:val="both"/>
        <w:rPr>
          <w:rFonts w:ascii="Cambria" w:hAnsi="Cambria"/>
          <w:u w:val="single"/>
        </w:rPr>
      </w:pPr>
      <w:r w:rsidRPr="00F15FFF">
        <w:rPr>
          <w:rFonts w:ascii="Cambria" w:hAnsi="Cambria"/>
          <w:sz w:val="22"/>
          <w:szCs w:val="22"/>
          <w:u w:val="single"/>
        </w:rPr>
        <w:t xml:space="preserve">Both initial assessments and ongoing monitoring must be informed by the collection of data on the experiences and outcomes of groups exposed to discrimination. </w:t>
      </w:r>
    </w:p>
    <w:sectPr w:rsidR="00917DF3" w:rsidRPr="00F15FFF" w:rsidSect="00D96EDE">
      <w:footerReference w:type="default" r:id="rId14"/>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4FCC2" w14:textId="77777777" w:rsidR="002F0C6C" w:rsidRDefault="002F0C6C" w:rsidP="00917DF3">
      <w:r>
        <w:separator/>
      </w:r>
    </w:p>
  </w:endnote>
  <w:endnote w:type="continuationSeparator" w:id="0">
    <w:p w14:paraId="638B2FDE" w14:textId="77777777" w:rsidR="002F0C6C" w:rsidRDefault="002F0C6C" w:rsidP="0091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sz w:val="22"/>
        <w:szCs w:val="22"/>
      </w:rPr>
      <w:id w:val="837817002"/>
      <w:docPartObj>
        <w:docPartGallery w:val="Page Numbers (Bottom of Page)"/>
        <w:docPartUnique/>
      </w:docPartObj>
    </w:sdtPr>
    <w:sdtEndPr>
      <w:rPr>
        <w:noProof/>
      </w:rPr>
    </w:sdtEndPr>
    <w:sdtContent>
      <w:p w14:paraId="4988A36B" w14:textId="7CFB8598" w:rsidR="006F3527" w:rsidRPr="00733D4B" w:rsidRDefault="00633BB6" w:rsidP="006F3527">
        <w:pPr>
          <w:pStyle w:val="Footer"/>
          <w:ind w:right="52"/>
          <w:jc w:val="center"/>
          <w:rPr>
            <w:rFonts w:ascii="Cambria" w:hAnsi="Cambria"/>
            <w:sz w:val="16"/>
            <w:szCs w:val="16"/>
          </w:rPr>
        </w:pPr>
        <w:hyperlink r:id="rId1" w:history="1">
          <w:r w:rsidR="006F3527" w:rsidRPr="00C04D14">
            <w:rPr>
              <w:rStyle w:val="Hyperlink"/>
              <w:rFonts w:ascii="Cambria" w:hAnsi="Cambria"/>
              <w:sz w:val="16"/>
              <w:szCs w:val="16"/>
            </w:rPr>
            <w:t>http://www.equalrightstrust.org/</w:t>
          </w:r>
        </w:hyperlink>
        <w:r w:rsidR="006F3527" w:rsidRPr="00084EDF">
          <w:rPr>
            <w:rFonts w:ascii="Cambria" w:hAnsi="Cambria"/>
            <w:sz w:val="16"/>
            <w:szCs w:val="16"/>
          </w:rPr>
          <w:t xml:space="preserve"> </w:t>
        </w:r>
        <w:r w:rsidR="006F3527" w:rsidRPr="00733D4B">
          <w:rPr>
            <w:rFonts w:ascii="Cambria" w:hAnsi="Cambria"/>
            <w:sz w:val="16"/>
            <w:szCs w:val="16"/>
          </w:rPr>
          <w:t xml:space="preserve">| </w:t>
        </w:r>
        <w:hyperlink r:id="rId2" w:history="1">
          <w:r w:rsidR="006F3527" w:rsidRPr="00733D4B">
            <w:rPr>
              <w:rStyle w:val="Hyperlink"/>
              <w:rFonts w:ascii="Cambria" w:hAnsi="Cambria"/>
              <w:sz w:val="16"/>
              <w:szCs w:val="16"/>
            </w:rPr>
            <w:t>info@equalrightstrust.org</w:t>
          </w:r>
        </w:hyperlink>
        <w:r w:rsidR="006F3527" w:rsidRPr="00733D4B">
          <w:rPr>
            <w:rFonts w:ascii="Cambria" w:hAnsi="Cambria"/>
            <w:sz w:val="16"/>
            <w:szCs w:val="16"/>
          </w:rPr>
          <w:t xml:space="preserve"> </w:t>
        </w:r>
        <w:r w:rsidR="006F3527">
          <w:rPr>
            <w:rFonts w:ascii="Cambria" w:hAnsi="Cambria"/>
            <w:sz w:val="16"/>
            <w:szCs w:val="16"/>
          </w:rPr>
          <w:t xml:space="preserve">                                                      </w:t>
        </w:r>
        <w:r w:rsidR="006F3527" w:rsidRPr="00733D4B">
          <w:rPr>
            <w:rFonts w:ascii="Cambria" w:hAnsi="Cambria"/>
            <w:sz w:val="16"/>
            <w:szCs w:val="16"/>
          </w:rPr>
          <w:t xml:space="preserve">                          Second Home London Fields</w:t>
        </w:r>
      </w:p>
      <w:p w14:paraId="19F21152" w14:textId="77777777" w:rsidR="006F3527" w:rsidRPr="004A466A" w:rsidRDefault="006F3527" w:rsidP="006F3527">
        <w:pPr>
          <w:pStyle w:val="Footer"/>
          <w:ind w:right="52"/>
          <w:jc w:val="center"/>
          <w:rPr>
            <w:rFonts w:ascii="Cambria" w:hAnsi="Cambria"/>
            <w:sz w:val="16"/>
            <w:szCs w:val="16"/>
          </w:rPr>
        </w:pPr>
        <w:r w:rsidRPr="00733D4B">
          <w:rPr>
            <w:rFonts w:ascii="Cambria" w:hAnsi="Cambria"/>
            <w:noProof/>
            <w:sz w:val="16"/>
            <w:szCs w:val="16"/>
          </w:rPr>
          <w:drawing>
            <wp:inline distT="0" distB="0" distL="0" distR="0" wp14:anchorId="6FE1C704" wp14:editId="439CD585">
              <wp:extent cx="115910" cy="11430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332" cy="122605"/>
                      </a:xfrm>
                      <a:prstGeom prst="rect">
                        <a:avLst/>
                      </a:prstGeom>
                      <a:noFill/>
                      <a:ln>
                        <a:noFill/>
                      </a:ln>
                    </pic:spPr>
                  </pic:pic>
                </a:graphicData>
              </a:graphic>
            </wp:inline>
          </w:drawing>
        </w:r>
        <w:r w:rsidRPr="00733D4B">
          <w:rPr>
            <w:rFonts w:ascii="Cambria" w:hAnsi="Cambria"/>
            <w:sz w:val="16"/>
            <w:szCs w:val="16"/>
          </w:rPr>
          <w:t xml:space="preserve">@equalrightstrust | </w:t>
        </w:r>
        <w:r w:rsidRPr="00733D4B">
          <w:rPr>
            <w:rFonts w:ascii="Cambria" w:hAnsi="Cambria"/>
            <w:noProof/>
            <w:sz w:val="16"/>
            <w:szCs w:val="16"/>
          </w:rPr>
          <w:drawing>
            <wp:inline distT="0" distB="0" distL="0" distR="0" wp14:anchorId="72B82CE6" wp14:editId="1E9F6EBD">
              <wp:extent cx="129739" cy="123825"/>
              <wp:effectExtent l="0" t="0" r="3810" b="0"/>
              <wp:docPr id="18" name="Picture 18"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pers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315" cy="141555"/>
                      </a:xfrm>
                      <a:prstGeom prst="rect">
                        <a:avLst/>
                      </a:prstGeom>
                      <a:noFill/>
                      <a:ln>
                        <a:noFill/>
                      </a:ln>
                    </pic:spPr>
                  </pic:pic>
                </a:graphicData>
              </a:graphic>
            </wp:inline>
          </w:drawing>
        </w:r>
        <w:r>
          <w:rPr>
            <w:rFonts w:ascii="Cambria" w:hAnsi="Cambria"/>
            <w:sz w:val="16"/>
            <w:szCs w:val="16"/>
          </w:rPr>
          <w:t xml:space="preserve"> </w:t>
        </w:r>
        <w:r w:rsidRPr="00733D4B">
          <w:rPr>
            <w:rFonts w:ascii="Cambria" w:hAnsi="Cambria"/>
            <w:sz w:val="16"/>
            <w:szCs w:val="16"/>
          </w:rPr>
          <w:t xml:space="preserve">facebook.com/equalrightstrust                   </w:t>
        </w:r>
        <w:r>
          <w:rPr>
            <w:rFonts w:ascii="Cambria" w:hAnsi="Cambria"/>
            <w:sz w:val="16"/>
            <w:szCs w:val="16"/>
          </w:rPr>
          <w:t xml:space="preserve">                        </w:t>
        </w:r>
        <w:r w:rsidRPr="00733D4B">
          <w:rPr>
            <w:rFonts w:ascii="Cambria" w:hAnsi="Cambria"/>
            <w:sz w:val="16"/>
            <w:szCs w:val="16"/>
          </w:rPr>
          <w:t>125</w:t>
        </w:r>
        <w:r>
          <w:rPr>
            <w:rFonts w:ascii="Cambria" w:hAnsi="Cambria"/>
            <w:sz w:val="16"/>
            <w:szCs w:val="16"/>
          </w:rPr>
          <w:t xml:space="preserve"> </w:t>
        </w:r>
        <w:r w:rsidRPr="00733D4B">
          <w:rPr>
            <w:rFonts w:ascii="Cambria" w:hAnsi="Cambria"/>
            <w:sz w:val="16"/>
            <w:szCs w:val="16"/>
          </w:rPr>
          <w:t>-</w:t>
        </w:r>
        <w:r>
          <w:rPr>
            <w:rFonts w:ascii="Cambria" w:hAnsi="Cambria"/>
            <w:sz w:val="16"/>
            <w:szCs w:val="16"/>
          </w:rPr>
          <w:t xml:space="preserve"> </w:t>
        </w:r>
        <w:r w:rsidRPr="00733D4B">
          <w:rPr>
            <w:rFonts w:ascii="Cambria" w:hAnsi="Cambria"/>
            <w:sz w:val="16"/>
            <w:szCs w:val="16"/>
          </w:rPr>
          <w:t>127 Mare Street</w:t>
        </w:r>
        <w:r>
          <w:rPr>
            <w:rFonts w:ascii="Cambria" w:hAnsi="Cambria"/>
            <w:sz w:val="16"/>
            <w:szCs w:val="16"/>
          </w:rPr>
          <w:t xml:space="preserve"> </w:t>
        </w:r>
        <w:r w:rsidRPr="00733D4B">
          <w:rPr>
            <w:rFonts w:ascii="Cambria" w:hAnsi="Cambria"/>
            <w:sz w:val="16"/>
            <w:szCs w:val="16"/>
          </w:rPr>
          <w:t>|</w:t>
        </w:r>
        <w:r>
          <w:rPr>
            <w:rFonts w:ascii="Cambria" w:hAnsi="Cambria"/>
            <w:sz w:val="16"/>
            <w:szCs w:val="16"/>
          </w:rPr>
          <w:t xml:space="preserve"> </w:t>
        </w:r>
        <w:r w:rsidRPr="00733D4B">
          <w:rPr>
            <w:rFonts w:ascii="Cambria" w:hAnsi="Cambria"/>
            <w:sz w:val="16"/>
            <w:szCs w:val="16"/>
          </w:rPr>
          <w:t>London E8 3SJ</w:t>
        </w:r>
        <w:r>
          <w:rPr>
            <w:rFonts w:ascii="Cambria" w:hAnsi="Cambria"/>
            <w:sz w:val="16"/>
            <w:szCs w:val="16"/>
          </w:rPr>
          <w:t xml:space="preserve"> </w:t>
        </w:r>
        <w:r w:rsidRPr="00733D4B">
          <w:rPr>
            <w:rFonts w:ascii="Cambria" w:hAnsi="Cambria"/>
            <w:sz w:val="16"/>
            <w:szCs w:val="16"/>
          </w:rPr>
          <w:t>|</w:t>
        </w:r>
        <w:r>
          <w:rPr>
            <w:rFonts w:ascii="Cambria" w:hAnsi="Cambria"/>
            <w:sz w:val="16"/>
            <w:szCs w:val="16"/>
          </w:rPr>
          <w:t xml:space="preserve"> </w:t>
        </w:r>
        <w:r w:rsidRPr="00733D4B">
          <w:rPr>
            <w:rFonts w:ascii="Cambria" w:hAnsi="Cambria"/>
            <w:sz w:val="16"/>
            <w:szCs w:val="16"/>
          </w:rPr>
          <w:t>United Kingdom</w:t>
        </w:r>
      </w:p>
      <w:p w14:paraId="06EEF486" w14:textId="5841204A" w:rsidR="00F750B0" w:rsidRPr="00750F35" w:rsidRDefault="00633BB6" w:rsidP="006F3527">
        <w:pPr>
          <w:pStyle w:val="Footer"/>
          <w:jc w:val="center"/>
          <w:rPr>
            <w:rFonts w:ascii="Cambria" w:hAnsi="Cambria"/>
            <w:sz w:val="22"/>
            <w:szCs w:val="22"/>
          </w:rPr>
        </w:pPr>
      </w:p>
    </w:sdtContent>
  </w:sdt>
  <w:p w14:paraId="0FABC088" w14:textId="77777777" w:rsidR="00F750B0" w:rsidRPr="00750F35" w:rsidRDefault="00F750B0">
    <w:pPr>
      <w:pStyle w:val="Footer"/>
      <w:rPr>
        <w:rFonts w:ascii="Cambria" w:hAnsi="Cambr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29701" w14:textId="77777777" w:rsidR="002F0C6C" w:rsidRDefault="002F0C6C" w:rsidP="00917DF3">
      <w:r>
        <w:separator/>
      </w:r>
    </w:p>
  </w:footnote>
  <w:footnote w:type="continuationSeparator" w:id="0">
    <w:p w14:paraId="7D494464" w14:textId="77777777" w:rsidR="002F0C6C" w:rsidRDefault="002F0C6C" w:rsidP="00917DF3">
      <w:r>
        <w:continuationSeparator/>
      </w:r>
    </w:p>
  </w:footnote>
  <w:footnote w:id="1">
    <w:p w14:paraId="037AC0DA" w14:textId="7EF63B93" w:rsidR="00F750B0" w:rsidRPr="006D6594" w:rsidRDefault="00F750B0" w:rsidP="00194610">
      <w:pPr>
        <w:pStyle w:val="FootnoteText"/>
      </w:pPr>
      <w:r w:rsidRPr="006D6594">
        <w:rPr>
          <w:rStyle w:val="FootnoteReference"/>
        </w:rPr>
        <w:footnoteRef/>
      </w:r>
      <w:r w:rsidRPr="006D6594">
        <w:t xml:space="preserve"> </w:t>
      </w:r>
      <w:r w:rsidR="006D6594" w:rsidRPr="006D6594">
        <w:t xml:space="preserve">Equal Rights Trust and others, </w:t>
      </w:r>
      <w:r w:rsidR="006D6594" w:rsidRPr="006D6594">
        <w:rPr>
          <w:lang w:val="en-US"/>
        </w:rPr>
        <w:t xml:space="preserve">“ Call to Action: Addressing discrimination and inequality in the global response to COVID-19 “, May 2020, available at: </w:t>
      </w:r>
      <w:hyperlink r:id="rId1" w:history="1">
        <w:r w:rsidR="006D6594" w:rsidRPr="006D6594">
          <w:rPr>
            <w:rStyle w:val="Hyperlink"/>
          </w:rPr>
          <w:t>https://www.equalrightstrust.org/sites/default/files/images/COVIDResponse.pdf</w:t>
        </w:r>
      </w:hyperlink>
      <w:r w:rsidRPr="006D6594">
        <w:t xml:space="preserve">. </w:t>
      </w:r>
    </w:p>
  </w:footnote>
  <w:footnote w:id="2">
    <w:p w14:paraId="7272F95E" w14:textId="71E174D3" w:rsidR="0093608F" w:rsidRPr="0093608F" w:rsidRDefault="0093608F" w:rsidP="0093608F">
      <w:pPr>
        <w:pStyle w:val="FootnoteText"/>
        <w:rPr>
          <w:sz w:val="18"/>
          <w:szCs w:val="18"/>
        </w:rPr>
      </w:pPr>
      <w:r w:rsidRPr="0093608F">
        <w:rPr>
          <w:rStyle w:val="FootnoteReference"/>
        </w:rPr>
        <w:footnoteRef/>
      </w:r>
      <w:r w:rsidRPr="0093608F">
        <w:t xml:space="preserve"> Based on interviews with 29 male and 61 female workers undertaken by PAHRA and Labour Party, March 2021 (Provided to the Equal Rights Trust).</w:t>
      </w:r>
    </w:p>
  </w:footnote>
  <w:footnote w:id="3">
    <w:p w14:paraId="6AA0EA6C" w14:textId="3E704823" w:rsidR="009A4000" w:rsidRDefault="009A4000" w:rsidP="00194610">
      <w:pPr>
        <w:pStyle w:val="FootnoteText"/>
      </w:pPr>
      <w:r>
        <w:rPr>
          <w:rStyle w:val="FootnoteReference"/>
        </w:rPr>
        <w:footnoteRef/>
      </w:r>
      <w:r>
        <w:t xml:space="preserve"> PAHRA and Labour Party, </w:t>
      </w:r>
      <w:r w:rsidR="009D7A1D">
        <w:t xml:space="preserve">March </w:t>
      </w:r>
      <w:r>
        <w:t>202</w:t>
      </w:r>
      <w:r w:rsidR="009D7A1D">
        <w:t xml:space="preserve">1 </w:t>
      </w:r>
      <w:r>
        <w:t>(Provided to the Equal Rights Trust).</w:t>
      </w:r>
    </w:p>
  </w:footnote>
  <w:footnote w:id="4">
    <w:p w14:paraId="64BFE7E0" w14:textId="0E2E9598" w:rsidR="009A4000" w:rsidRDefault="009A4000" w:rsidP="00194610">
      <w:pPr>
        <w:pStyle w:val="FootnoteText"/>
      </w:pPr>
      <w:r>
        <w:rPr>
          <w:rStyle w:val="FootnoteReference"/>
        </w:rPr>
        <w:footnoteRef/>
      </w:r>
      <w:r>
        <w:t xml:space="preserve"> Center for Women’s Resources, December 2020 (Provided to the Equal Rights Trust).</w:t>
      </w:r>
    </w:p>
  </w:footnote>
  <w:footnote w:id="5">
    <w:p w14:paraId="41E538A7" w14:textId="2C2DB3D3" w:rsidR="009A4000" w:rsidRDefault="009A4000" w:rsidP="00194610">
      <w:pPr>
        <w:pStyle w:val="FootnoteText"/>
      </w:pPr>
      <w:r>
        <w:rPr>
          <w:rStyle w:val="FootnoteReference"/>
        </w:rPr>
        <w:footnoteRef/>
      </w:r>
      <w:r>
        <w:t xml:space="preserve"> Concern Inc., March 2021 (Provided to the Equal Rights Trust).</w:t>
      </w:r>
    </w:p>
  </w:footnote>
  <w:footnote w:id="6">
    <w:p w14:paraId="312F6640" w14:textId="09F5666E" w:rsidR="009A4000" w:rsidRDefault="009A4000" w:rsidP="00194610">
      <w:pPr>
        <w:pStyle w:val="FootnoteText"/>
      </w:pPr>
      <w:r>
        <w:rPr>
          <w:rStyle w:val="FootnoteReference"/>
        </w:rPr>
        <w:footnoteRef/>
      </w:r>
      <w:r>
        <w:t xml:space="preserve"> Human Rights Committee of Pakistan, January 2021 (Provided to the Equal Rights Trust). </w:t>
      </w:r>
    </w:p>
  </w:footnote>
  <w:footnote w:id="7">
    <w:p w14:paraId="7D31E970" w14:textId="26673772" w:rsidR="009A4000" w:rsidRDefault="009A4000" w:rsidP="00194610">
      <w:pPr>
        <w:pStyle w:val="FootnoteText"/>
      </w:pPr>
      <w:r>
        <w:rPr>
          <w:rStyle w:val="FootnoteReference"/>
        </w:rPr>
        <w:footnoteRef/>
      </w:r>
      <w:r>
        <w:t xml:space="preserve"> Good Thinkers Organisation, </w:t>
      </w:r>
      <w:r w:rsidR="005125FD">
        <w:t>R</w:t>
      </w:r>
      <w:r>
        <w:t xml:space="preserve">esearch study COVID-19 impact on Transgender community, March 2021, Page 9 (Provided to the Equal Rights Trust). </w:t>
      </w:r>
    </w:p>
  </w:footnote>
  <w:footnote w:id="8">
    <w:p w14:paraId="7ED55C47" w14:textId="60C6CDB4" w:rsidR="009A4000" w:rsidRDefault="009A4000" w:rsidP="00194610">
      <w:pPr>
        <w:pStyle w:val="FootnoteText"/>
      </w:pPr>
      <w:r>
        <w:rPr>
          <w:rStyle w:val="FootnoteReference"/>
        </w:rPr>
        <w:footnoteRef/>
      </w:r>
      <w:r>
        <w:t xml:space="preserve"> Good Thinkers Organisation, </w:t>
      </w:r>
      <w:r w:rsidR="005125FD">
        <w:t>R</w:t>
      </w:r>
      <w:r>
        <w:t>esearch study COVID-19 impact on Transgender community, March 2021, Page 10 (Provided to the Equal Rights Trust).</w:t>
      </w:r>
    </w:p>
  </w:footnote>
  <w:footnote w:id="9">
    <w:p w14:paraId="027271FB" w14:textId="45CE628F" w:rsidR="009A4000" w:rsidRDefault="009A4000" w:rsidP="00194610">
      <w:pPr>
        <w:pStyle w:val="FootnoteText"/>
      </w:pPr>
      <w:r>
        <w:rPr>
          <w:rStyle w:val="FootnoteReference"/>
        </w:rPr>
        <w:footnoteRef/>
      </w:r>
      <w:r>
        <w:t xml:space="preserve"> Dionara Anjos, on behalf of ACLCVBG, March 2021 (Provided to the Equal Rights Trust).</w:t>
      </w:r>
    </w:p>
  </w:footnote>
  <w:footnote w:id="10">
    <w:p w14:paraId="7B8B5DA8" w14:textId="19A7DE92" w:rsidR="009A4000" w:rsidRDefault="009A4000" w:rsidP="00194610">
      <w:pPr>
        <w:pStyle w:val="FootnoteText"/>
      </w:pPr>
      <w:r>
        <w:rPr>
          <w:rStyle w:val="FootnoteReference"/>
        </w:rPr>
        <w:footnoteRef/>
      </w:r>
      <w:r>
        <w:t xml:space="preserve"> </w:t>
      </w:r>
      <w:r w:rsidRPr="00315687">
        <w:t>Kuña Roga</w:t>
      </w:r>
      <w:r>
        <w:t xml:space="preserve"> and </w:t>
      </w:r>
      <w:r w:rsidRPr="00315687">
        <w:t>Central</w:t>
      </w:r>
      <w:r>
        <w:t xml:space="preserve"> </w:t>
      </w:r>
      <w:r w:rsidRPr="00315687">
        <w:t>Unitaria</w:t>
      </w:r>
      <w:r>
        <w:t xml:space="preserve"> d</w:t>
      </w:r>
      <w:r w:rsidRPr="00315687">
        <w:t>e</w:t>
      </w:r>
      <w:r>
        <w:t xml:space="preserve"> </w:t>
      </w:r>
      <w:r w:rsidRPr="00315687">
        <w:t>Trabajadores</w:t>
      </w:r>
      <w:r>
        <w:t xml:space="preserve"> </w:t>
      </w:r>
      <w:r w:rsidRPr="00315687">
        <w:t>(CUT)</w:t>
      </w:r>
      <w:r>
        <w:t>, March 2021 (Provided to the Equal Rights Trust).</w:t>
      </w:r>
    </w:p>
  </w:footnote>
  <w:footnote w:id="11">
    <w:p w14:paraId="42D27012" w14:textId="5812399D" w:rsidR="009A4000" w:rsidRDefault="009A4000" w:rsidP="00194610">
      <w:pPr>
        <w:pStyle w:val="FootnoteText"/>
      </w:pPr>
      <w:r>
        <w:rPr>
          <w:rStyle w:val="FootnoteReference"/>
        </w:rPr>
        <w:footnoteRef/>
      </w:r>
      <w:r>
        <w:t xml:space="preserve"> Institute for Youth Development, March 2021 (Provided to the Equal Rights Trust). </w:t>
      </w:r>
    </w:p>
  </w:footnote>
  <w:footnote w:id="12">
    <w:p w14:paraId="2A079061" w14:textId="77777777" w:rsidR="00FE7BAB" w:rsidRPr="006D6594" w:rsidRDefault="00FE7BAB" w:rsidP="00194610">
      <w:pPr>
        <w:pStyle w:val="FootnoteText"/>
      </w:pPr>
      <w:r w:rsidRPr="006D6594">
        <w:rPr>
          <w:rStyle w:val="FootnoteReference"/>
        </w:rPr>
        <w:footnoteRef/>
      </w:r>
      <w:r w:rsidRPr="006D6594">
        <w:t xml:space="preserve"> Under Article 2(1) of the International Covenant on Civil and Political Rights (ICCPR) and Article 2(2) of the International Covenant on Economic, Social and Cultural Rights (ICESCR), states guarantee the enjoyment of the rights provided in those Covenants without discrimination. </w:t>
      </w:r>
      <w:r w:rsidRPr="006D6594">
        <w:rPr>
          <w:rFonts w:cstheme="majorBidi"/>
        </w:rPr>
        <w:t>In addition, Article 26 of the ICCPR contains an explicit requirement that “the law shall prohibit any discrimination (…) on any ground such as (…)  sex”. The UN Human Rights Committee has noted that Article 26 “</w:t>
      </w:r>
      <w:r w:rsidRPr="006D6594">
        <w:t xml:space="preserve">provides (…) an autonomous right” which “prohibits discrimination in law or in fact in any field regulated and protected by public authorities” (Human Rights Committee, </w:t>
      </w:r>
      <w:r w:rsidRPr="006D6594">
        <w:rPr>
          <w:i/>
          <w:iCs/>
        </w:rPr>
        <w:t xml:space="preserve">General Comment 18: </w:t>
      </w:r>
      <w:r w:rsidRPr="006D6594">
        <w:rPr>
          <w:i/>
          <w:iCs/>
          <w:lang w:val="en-US"/>
        </w:rPr>
        <w:t xml:space="preserve"> Non-discrimination</w:t>
      </w:r>
      <w:r w:rsidRPr="006D6594">
        <w:rPr>
          <w:lang w:val="en-US"/>
        </w:rPr>
        <w:t>, 1989, Para 12).</w:t>
      </w:r>
    </w:p>
  </w:footnote>
  <w:footnote w:id="13">
    <w:p w14:paraId="4F21429A" w14:textId="0F38597D" w:rsidR="00EB4AB0" w:rsidRDefault="00EB4AB0">
      <w:pPr>
        <w:pStyle w:val="FootnoteText"/>
      </w:pPr>
      <w:r>
        <w:rPr>
          <w:rStyle w:val="FootnoteReference"/>
        </w:rPr>
        <w:footnoteRef/>
      </w:r>
      <w:r>
        <w:t xml:space="preserve"> </w:t>
      </w:r>
      <w:r w:rsidRPr="00EB4AB0">
        <w:t>173 states have ratified the ICCPR and 170 states have ratified the ICESCR</w:t>
      </w:r>
      <w:r>
        <w:t xml:space="preserve">. See: </w:t>
      </w:r>
      <w:r w:rsidRPr="006D6594">
        <w:t xml:space="preserve">OHCHR, </w:t>
      </w:r>
      <w:r w:rsidRPr="006D6594">
        <w:rPr>
          <w:i/>
        </w:rPr>
        <w:t>Status of Ratification Interactive Dashboard,</w:t>
      </w:r>
      <w:r w:rsidRPr="006D6594">
        <w:t xml:space="preserve"> visited 23 June 2020</w:t>
      </w:r>
      <w:r w:rsidRPr="006D6594">
        <w:rPr>
          <w:i/>
        </w:rPr>
        <w:t xml:space="preserve">, </w:t>
      </w:r>
      <w:r w:rsidRPr="006D6594">
        <w:t xml:space="preserve">available at: </w:t>
      </w:r>
      <w:hyperlink r:id="rId2" w:history="1">
        <w:r w:rsidRPr="006D6594">
          <w:rPr>
            <w:rStyle w:val="Hyperlink"/>
          </w:rPr>
          <w:t>https://indicators.ohchr.org</w:t>
        </w:r>
      </w:hyperlink>
      <w:r w:rsidRPr="006D6594">
        <w:t>.</w:t>
      </w:r>
    </w:p>
  </w:footnote>
  <w:footnote w:id="14">
    <w:p w14:paraId="09DAF91B" w14:textId="77777777" w:rsidR="00FE7BAB" w:rsidRPr="006D6594" w:rsidRDefault="00FE7BAB" w:rsidP="00194610">
      <w:pPr>
        <w:pStyle w:val="FootnoteText"/>
      </w:pPr>
      <w:r w:rsidRPr="006D6594">
        <w:rPr>
          <w:rStyle w:val="FootnoteReference"/>
        </w:rPr>
        <w:footnoteRef/>
      </w:r>
      <w:r w:rsidRPr="006D6594">
        <w:t xml:space="preserve"> Human Rights Committee, </w:t>
      </w:r>
      <w:r w:rsidRPr="006D6594">
        <w:rPr>
          <w:i/>
          <w:iCs/>
        </w:rPr>
        <w:t>General Comment No. 15: The Position of Aliens Under the Covenant</w:t>
      </w:r>
      <w:r w:rsidRPr="006D6594">
        <w:t>, UN Doc. HRI/GEN/1/Rev.6 at p. 140, 1986.</w:t>
      </w:r>
    </w:p>
  </w:footnote>
  <w:footnote w:id="15">
    <w:p w14:paraId="309332A3" w14:textId="77777777" w:rsidR="00FE7BAB" w:rsidRPr="006D6594" w:rsidRDefault="00FE7BAB" w:rsidP="00194610">
      <w:pPr>
        <w:pStyle w:val="FootnoteText"/>
      </w:pPr>
      <w:r w:rsidRPr="006D6594">
        <w:rPr>
          <w:rStyle w:val="FootnoteReference"/>
        </w:rPr>
        <w:footnoteRef/>
      </w:r>
      <w:r w:rsidRPr="006D6594">
        <w:t xml:space="preserve"> Committee on Economic, Social and Cultural Rights (CESCR), </w:t>
      </w:r>
      <w:r w:rsidRPr="006D6594">
        <w:rPr>
          <w:i/>
        </w:rPr>
        <w:t>General Comment No. 20: Non-discrimination in economic, social and cultural rights (art. 2, para. 2, of the International Covenant on Economic, Social and Cultural Rights)</w:t>
      </w:r>
      <w:r w:rsidRPr="006D6594">
        <w:t xml:space="preserve">, UN Doc. E/C.12/GC/20, 2009 (CESCR, </w:t>
      </w:r>
      <w:r w:rsidRPr="006D6594">
        <w:rPr>
          <w:iCs/>
        </w:rPr>
        <w:t>General Comment No. 20), Paras 15 and 27-35.</w:t>
      </w:r>
    </w:p>
  </w:footnote>
  <w:footnote w:id="16">
    <w:p w14:paraId="1A0A690A" w14:textId="77777777" w:rsidR="00FE7BAB" w:rsidRPr="006D6594" w:rsidRDefault="00FE7BAB" w:rsidP="00194610">
      <w:pPr>
        <w:pStyle w:val="FootnoteText"/>
        <w:rPr>
          <w:iCs/>
        </w:rPr>
      </w:pPr>
      <w:r w:rsidRPr="006D6594">
        <w:rPr>
          <w:rStyle w:val="FootnoteReference"/>
        </w:rPr>
        <w:footnoteRef/>
      </w:r>
      <w:r w:rsidRPr="006D6594">
        <w:t xml:space="preserve"> </w:t>
      </w:r>
      <w:r w:rsidRPr="006D6594">
        <w:rPr>
          <w:i/>
          <w:iCs/>
        </w:rPr>
        <w:t>Ibid.,</w:t>
      </w:r>
      <w:r w:rsidRPr="006D6594">
        <w:rPr>
          <w:iCs/>
        </w:rPr>
        <w:t xml:space="preserve"> Paras 8 and 36-37.</w:t>
      </w:r>
    </w:p>
  </w:footnote>
  <w:footnote w:id="17">
    <w:p w14:paraId="1C6C6599" w14:textId="77777777" w:rsidR="00FE7BAB" w:rsidRPr="006D6594" w:rsidRDefault="00FE7BAB" w:rsidP="00194610">
      <w:pPr>
        <w:pStyle w:val="FootnoteText"/>
      </w:pPr>
      <w:r w:rsidRPr="006D6594">
        <w:rPr>
          <w:rStyle w:val="FootnoteReference"/>
        </w:rPr>
        <w:footnoteRef/>
      </w:r>
      <w:r w:rsidRPr="006D6594">
        <w:t xml:space="preserve"> </w:t>
      </w:r>
      <w:r w:rsidRPr="006D6594">
        <w:rPr>
          <w:i/>
          <w:iCs/>
        </w:rPr>
        <w:t>Ibid.,</w:t>
      </w:r>
      <w:r w:rsidRPr="006D6594">
        <w:rPr>
          <w:iCs/>
        </w:rPr>
        <w:t xml:space="preserve"> </w:t>
      </w:r>
      <w:r w:rsidRPr="006D6594">
        <w:t>Para 7.</w:t>
      </w:r>
    </w:p>
  </w:footnote>
  <w:footnote w:id="18">
    <w:p w14:paraId="05826492" w14:textId="77777777" w:rsidR="00FE7BAB" w:rsidRPr="006D6594" w:rsidRDefault="00FE7BAB" w:rsidP="00194610">
      <w:pPr>
        <w:pStyle w:val="FootnoteText"/>
      </w:pPr>
      <w:r w:rsidRPr="006D6594">
        <w:rPr>
          <w:rStyle w:val="FootnoteReference"/>
        </w:rPr>
        <w:footnoteRef/>
      </w:r>
      <w:r w:rsidRPr="006D6594">
        <w:t xml:space="preserve"> Human Rights Committee, </w:t>
      </w:r>
      <w:r w:rsidRPr="006D6594">
        <w:rPr>
          <w:i/>
          <w:iCs/>
        </w:rPr>
        <w:t xml:space="preserve">General Comment 18: </w:t>
      </w:r>
      <w:r w:rsidRPr="006D6594">
        <w:rPr>
          <w:i/>
          <w:iCs/>
          <w:lang w:val="en-US"/>
        </w:rPr>
        <w:t xml:space="preserve"> Non-discrimination</w:t>
      </w:r>
      <w:r w:rsidRPr="006D6594">
        <w:rPr>
          <w:lang w:val="en-US"/>
        </w:rPr>
        <w:t>, 1989, Para 12.</w:t>
      </w:r>
    </w:p>
  </w:footnote>
  <w:footnote w:id="19">
    <w:p w14:paraId="7658DB2D" w14:textId="77777777" w:rsidR="00FE7BAB" w:rsidRPr="006D6594" w:rsidRDefault="00FE7BAB" w:rsidP="00194610">
      <w:pPr>
        <w:pStyle w:val="FootnoteText"/>
      </w:pPr>
      <w:r w:rsidRPr="006D6594">
        <w:rPr>
          <w:rStyle w:val="FootnoteReference"/>
        </w:rPr>
        <w:footnoteRef/>
      </w:r>
      <w:r w:rsidRPr="006D6594">
        <w:t xml:space="preserve"> Human Rights Committee, </w:t>
      </w:r>
      <w:r w:rsidRPr="006D6594">
        <w:rPr>
          <w:i/>
        </w:rPr>
        <w:t xml:space="preserve">General Comment No. 29: States of emergency (art. 4), </w:t>
      </w:r>
      <w:r w:rsidRPr="006D6594">
        <w:t xml:space="preserve">UN Doc. CCPR/C/21/Rev.1/Add.11, 2001, Para 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B475E"/>
    <w:multiLevelType w:val="multilevel"/>
    <w:tmpl w:val="5BA068EE"/>
    <w:lvl w:ilvl="0">
      <w:start w:val="1"/>
      <w:numFmt w:val="decimal"/>
      <w:lvlText w:val="%1."/>
      <w:lvlJc w:val="left"/>
      <w:pPr>
        <w:tabs>
          <w:tab w:val="num" w:pos="567"/>
        </w:tabs>
        <w:ind w:left="567" w:hanging="567"/>
      </w:pPr>
      <w:rPr>
        <w:rFonts w:ascii="Cambria" w:hAnsi="Cambria" w:hint="default"/>
        <w:b w:val="0"/>
        <w:bCs w:val="0"/>
        <w:color w:val="000000" w:themeColor="text1"/>
        <w:sz w:val="22"/>
        <w:szCs w:val="22"/>
      </w:rPr>
    </w:lvl>
    <w:lvl w:ilvl="1">
      <w:start w:val="1"/>
      <w:numFmt w:val="upperRoman"/>
      <w:lvlText w:val="%2."/>
      <w:lvlJc w:val="left"/>
      <w:pPr>
        <w:ind w:left="1440" w:hanging="720"/>
      </w:pPr>
      <w:rPr>
        <w:rFonts w:hint="default"/>
        <w:b/>
        <w:bCs w:val="0"/>
        <w:u w:val="none"/>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1C8674FE"/>
    <w:multiLevelType w:val="hybridMultilevel"/>
    <w:tmpl w:val="614C2D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1F1028"/>
    <w:multiLevelType w:val="hybridMultilevel"/>
    <w:tmpl w:val="79181FE4"/>
    <w:lvl w:ilvl="0" w:tplc="2D080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60944"/>
    <w:multiLevelType w:val="hybridMultilevel"/>
    <w:tmpl w:val="435C9778"/>
    <w:lvl w:ilvl="0" w:tplc="A36E42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B91C8C"/>
    <w:multiLevelType w:val="hybridMultilevel"/>
    <w:tmpl w:val="5B2AC4AE"/>
    <w:lvl w:ilvl="0" w:tplc="BD44576C">
      <w:start w:val="1"/>
      <w:numFmt w:val="lowerLetter"/>
      <w:lvlText w:val="%1."/>
      <w:lvlJc w:val="left"/>
      <w:pPr>
        <w:ind w:left="1287" w:hanging="360"/>
      </w:pPr>
      <w:rPr>
        <w:rFonts w:ascii="Cambria" w:hAnsi="Cambria" w:hint="default"/>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5E71644B"/>
    <w:multiLevelType w:val="hybridMultilevel"/>
    <w:tmpl w:val="EF181EB0"/>
    <w:lvl w:ilvl="0" w:tplc="ABBCE78E">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48"/>
    <w:rsid w:val="0000203B"/>
    <w:rsid w:val="0001179C"/>
    <w:rsid w:val="00017D2B"/>
    <w:rsid w:val="0002321A"/>
    <w:rsid w:val="000305DC"/>
    <w:rsid w:val="000429DD"/>
    <w:rsid w:val="000448CC"/>
    <w:rsid w:val="00051177"/>
    <w:rsid w:val="00052852"/>
    <w:rsid w:val="00052B0D"/>
    <w:rsid w:val="00065D9A"/>
    <w:rsid w:val="000A6718"/>
    <w:rsid w:val="000E56D7"/>
    <w:rsid w:val="000F1ED2"/>
    <w:rsid w:val="000F51F3"/>
    <w:rsid w:val="00107FB1"/>
    <w:rsid w:val="00113193"/>
    <w:rsid w:val="001200EE"/>
    <w:rsid w:val="0012644B"/>
    <w:rsid w:val="00164171"/>
    <w:rsid w:val="00165721"/>
    <w:rsid w:val="001745F4"/>
    <w:rsid w:val="00180994"/>
    <w:rsid w:val="00186ADE"/>
    <w:rsid w:val="00194610"/>
    <w:rsid w:val="001A0F49"/>
    <w:rsid w:val="001B1D31"/>
    <w:rsid w:val="001C3EB8"/>
    <w:rsid w:val="001C463D"/>
    <w:rsid w:val="001C5B7B"/>
    <w:rsid w:val="001E1DB9"/>
    <w:rsid w:val="001E6F48"/>
    <w:rsid w:val="0026469D"/>
    <w:rsid w:val="00271A77"/>
    <w:rsid w:val="00284C5C"/>
    <w:rsid w:val="002A5323"/>
    <w:rsid w:val="002B7D57"/>
    <w:rsid w:val="002D4CA4"/>
    <w:rsid w:val="002D54ED"/>
    <w:rsid w:val="002F0B0A"/>
    <w:rsid w:val="002F0C6C"/>
    <w:rsid w:val="0030274B"/>
    <w:rsid w:val="00303BAD"/>
    <w:rsid w:val="00306E7B"/>
    <w:rsid w:val="00307541"/>
    <w:rsid w:val="00307839"/>
    <w:rsid w:val="00314F38"/>
    <w:rsid w:val="003152FE"/>
    <w:rsid w:val="00316C02"/>
    <w:rsid w:val="0032581A"/>
    <w:rsid w:val="00334A78"/>
    <w:rsid w:val="00340D0D"/>
    <w:rsid w:val="00344181"/>
    <w:rsid w:val="003572BD"/>
    <w:rsid w:val="00357F65"/>
    <w:rsid w:val="00360555"/>
    <w:rsid w:val="003672E7"/>
    <w:rsid w:val="003A3F11"/>
    <w:rsid w:val="003B1461"/>
    <w:rsid w:val="003C7799"/>
    <w:rsid w:val="003D7DB4"/>
    <w:rsid w:val="003E5871"/>
    <w:rsid w:val="003F491C"/>
    <w:rsid w:val="00401937"/>
    <w:rsid w:val="00415B31"/>
    <w:rsid w:val="00475325"/>
    <w:rsid w:val="004A17DB"/>
    <w:rsid w:val="004C0638"/>
    <w:rsid w:val="004E0644"/>
    <w:rsid w:val="004E3967"/>
    <w:rsid w:val="004E3AEC"/>
    <w:rsid w:val="005125FD"/>
    <w:rsid w:val="00515D64"/>
    <w:rsid w:val="005267C1"/>
    <w:rsid w:val="00532F72"/>
    <w:rsid w:val="005363BA"/>
    <w:rsid w:val="00551998"/>
    <w:rsid w:val="00556963"/>
    <w:rsid w:val="00561A05"/>
    <w:rsid w:val="00562D09"/>
    <w:rsid w:val="00572474"/>
    <w:rsid w:val="00585341"/>
    <w:rsid w:val="005907AA"/>
    <w:rsid w:val="00590E30"/>
    <w:rsid w:val="005A25B9"/>
    <w:rsid w:val="005B6434"/>
    <w:rsid w:val="005B7772"/>
    <w:rsid w:val="005E193A"/>
    <w:rsid w:val="006335D9"/>
    <w:rsid w:val="00633BB6"/>
    <w:rsid w:val="006658E9"/>
    <w:rsid w:val="006803E9"/>
    <w:rsid w:val="006837C3"/>
    <w:rsid w:val="006B3CC7"/>
    <w:rsid w:val="006D580E"/>
    <w:rsid w:val="006D6594"/>
    <w:rsid w:val="006F3527"/>
    <w:rsid w:val="007016CA"/>
    <w:rsid w:val="00712CE3"/>
    <w:rsid w:val="00720FDD"/>
    <w:rsid w:val="00723307"/>
    <w:rsid w:val="007445F0"/>
    <w:rsid w:val="00750F35"/>
    <w:rsid w:val="00754D02"/>
    <w:rsid w:val="00761FF6"/>
    <w:rsid w:val="007657C1"/>
    <w:rsid w:val="00765B62"/>
    <w:rsid w:val="007751FE"/>
    <w:rsid w:val="00781B70"/>
    <w:rsid w:val="00794E7A"/>
    <w:rsid w:val="007A439C"/>
    <w:rsid w:val="007B21FF"/>
    <w:rsid w:val="00826BB2"/>
    <w:rsid w:val="00831062"/>
    <w:rsid w:val="00841F35"/>
    <w:rsid w:val="008502BC"/>
    <w:rsid w:val="00864342"/>
    <w:rsid w:val="0087173C"/>
    <w:rsid w:val="008867FD"/>
    <w:rsid w:val="00893FEC"/>
    <w:rsid w:val="008A3072"/>
    <w:rsid w:val="008C0E38"/>
    <w:rsid w:val="008C4FBD"/>
    <w:rsid w:val="008F44B3"/>
    <w:rsid w:val="009050B6"/>
    <w:rsid w:val="00911B64"/>
    <w:rsid w:val="00912280"/>
    <w:rsid w:val="0091315F"/>
    <w:rsid w:val="00914E06"/>
    <w:rsid w:val="00917DF3"/>
    <w:rsid w:val="0093608F"/>
    <w:rsid w:val="009524E8"/>
    <w:rsid w:val="00955E92"/>
    <w:rsid w:val="00980A09"/>
    <w:rsid w:val="00982C63"/>
    <w:rsid w:val="009A4000"/>
    <w:rsid w:val="009C2DE2"/>
    <w:rsid w:val="009C7DA6"/>
    <w:rsid w:val="009D7A1D"/>
    <w:rsid w:val="00A01A2F"/>
    <w:rsid w:val="00A20928"/>
    <w:rsid w:val="00A31DB1"/>
    <w:rsid w:val="00A83364"/>
    <w:rsid w:val="00AA1C5F"/>
    <w:rsid w:val="00AB34C6"/>
    <w:rsid w:val="00AC0100"/>
    <w:rsid w:val="00AC06F9"/>
    <w:rsid w:val="00AC2CB0"/>
    <w:rsid w:val="00AC37EA"/>
    <w:rsid w:val="00AC6CD5"/>
    <w:rsid w:val="00AE37D9"/>
    <w:rsid w:val="00AE78D1"/>
    <w:rsid w:val="00B14DDD"/>
    <w:rsid w:val="00B21340"/>
    <w:rsid w:val="00B41A65"/>
    <w:rsid w:val="00B45F26"/>
    <w:rsid w:val="00B566F3"/>
    <w:rsid w:val="00B569E4"/>
    <w:rsid w:val="00B6348E"/>
    <w:rsid w:val="00B8068D"/>
    <w:rsid w:val="00B81FD2"/>
    <w:rsid w:val="00BA4D85"/>
    <w:rsid w:val="00BA6699"/>
    <w:rsid w:val="00BA7C82"/>
    <w:rsid w:val="00BC7AC5"/>
    <w:rsid w:val="00C109AB"/>
    <w:rsid w:val="00C238E7"/>
    <w:rsid w:val="00C30E42"/>
    <w:rsid w:val="00C34CB0"/>
    <w:rsid w:val="00C5228E"/>
    <w:rsid w:val="00C63048"/>
    <w:rsid w:val="00C73E39"/>
    <w:rsid w:val="00C815B6"/>
    <w:rsid w:val="00C8304B"/>
    <w:rsid w:val="00C92E98"/>
    <w:rsid w:val="00C9317B"/>
    <w:rsid w:val="00CA21F2"/>
    <w:rsid w:val="00CD6A6E"/>
    <w:rsid w:val="00CF25ED"/>
    <w:rsid w:val="00D415B1"/>
    <w:rsid w:val="00D47F3A"/>
    <w:rsid w:val="00D62723"/>
    <w:rsid w:val="00D64A4E"/>
    <w:rsid w:val="00D96EDE"/>
    <w:rsid w:val="00D9701B"/>
    <w:rsid w:val="00DA202E"/>
    <w:rsid w:val="00DC06C6"/>
    <w:rsid w:val="00DC506D"/>
    <w:rsid w:val="00DE5AB5"/>
    <w:rsid w:val="00E024A3"/>
    <w:rsid w:val="00E26686"/>
    <w:rsid w:val="00E37966"/>
    <w:rsid w:val="00E7496D"/>
    <w:rsid w:val="00EA0CE7"/>
    <w:rsid w:val="00EA15E7"/>
    <w:rsid w:val="00EA2629"/>
    <w:rsid w:val="00EB4AB0"/>
    <w:rsid w:val="00EB710B"/>
    <w:rsid w:val="00ED4524"/>
    <w:rsid w:val="00EE48C6"/>
    <w:rsid w:val="00EE7F89"/>
    <w:rsid w:val="00F04865"/>
    <w:rsid w:val="00F15FFF"/>
    <w:rsid w:val="00F170BA"/>
    <w:rsid w:val="00F351C2"/>
    <w:rsid w:val="00F516FC"/>
    <w:rsid w:val="00F52CF3"/>
    <w:rsid w:val="00F64C61"/>
    <w:rsid w:val="00F671E9"/>
    <w:rsid w:val="00F712CC"/>
    <w:rsid w:val="00F750B0"/>
    <w:rsid w:val="00F75E31"/>
    <w:rsid w:val="00F84DFA"/>
    <w:rsid w:val="00F90AC5"/>
    <w:rsid w:val="00F92704"/>
    <w:rsid w:val="00FB3E1C"/>
    <w:rsid w:val="00FB6DAB"/>
    <w:rsid w:val="00FE0984"/>
    <w:rsid w:val="00FE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EA67"/>
  <w14:defaultImageDpi w14:val="32767"/>
  <w15:chartTrackingRefBased/>
  <w15:docId w15:val="{0AB39D4C-6797-2E45-841E-D28B55E9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7DF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DF3"/>
    <w:pPr>
      <w:spacing w:before="100" w:beforeAutospacing="1" w:after="100" w:afterAutospacing="1"/>
    </w:pPr>
  </w:style>
  <w:style w:type="paragraph" w:styleId="BalloonText">
    <w:name w:val="Balloon Text"/>
    <w:basedOn w:val="Normal"/>
    <w:link w:val="BalloonTextChar"/>
    <w:uiPriority w:val="99"/>
    <w:semiHidden/>
    <w:unhideWhenUsed/>
    <w:rsid w:val="00917DF3"/>
    <w:rPr>
      <w:sz w:val="18"/>
      <w:szCs w:val="18"/>
    </w:rPr>
  </w:style>
  <w:style w:type="character" w:customStyle="1" w:styleId="BalloonTextChar">
    <w:name w:val="Balloon Text Char"/>
    <w:basedOn w:val="DefaultParagraphFont"/>
    <w:link w:val="BalloonText"/>
    <w:uiPriority w:val="99"/>
    <w:semiHidden/>
    <w:rsid w:val="00917DF3"/>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917DF3"/>
    <w:rPr>
      <w:color w:val="0563C1" w:themeColor="hyperlink"/>
      <w:u w:val="single"/>
    </w:rPr>
  </w:style>
  <w:style w:type="paragraph" w:styleId="FootnoteText">
    <w:name w:val="footnote text"/>
    <w:basedOn w:val="Normal"/>
    <w:link w:val="FootnoteTextChar"/>
    <w:unhideWhenUsed/>
    <w:rsid w:val="00917DF3"/>
    <w:rPr>
      <w:rFonts w:ascii="Cambria" w:eastAsiaTheme="minorHAnsi" w:hAnsi="Cambria" w:cs="Times New Roman (Body CS)"/>
      <w:sz w:val="20"/>
      <w:szCs w:val="20"/>
      <w:lang w:eastAsia="en-US"/>
    </w:rPr>
  </w:style>
  <w:style w:type="character" w:customStyle="1" w:styleId="FootnoteTextChar">
    <w:name w:val="Footnote Text Char"/>
    <w:basedOn w:val="DefaultParagraphFont"/>
    <w:link w:val="FootnoteText"/>
    <w:rsid w:val="00917DF3"/>
    <w:rPr>
      <w:rFonts w:ascii="Cambria" w:hAnsi="Cambria" w:cs="Times New Roman (Body CS)"/>
      <w:sz w:val="20"/>
      <w:szCs w:val="20"/>
    </w:rPr>
  </w:style>
  <w:style w:type="character" w:styleId="FootnoteReference">
    <w:name w:val="footnote reference"/>
    <w:basedOn w:val="DefaultParagraphFont"/>
    <w:uiPriority w:val="99"/>
    <w:unhideWhenUsed/>
    <w:rsid w:val="00917DF3"/>
    <w:rPr>
      <w:vertAlign w:val="superscript"/>
    </w:rPr>
  </w:style>
  <w:style w:type="character" w:styleId="CommentReference">
    <w:name w:val="annotation reference"/>
    <w:basedOn w:val="DefaultParagraphFont"/>
    <w:uiPriority w:val="99"/>
    <w:semiHidden/>
    <w:unhideWhenUsed/>
    <w:rsid w:val="00917DF3"/>
    <w:rPr>
      <w:sz w:val="16"/>
      <w:szCs w:val="16"/>
    </w:rPr>
  </w:style>
  <w:style w:type="paragraph" w:styleId="CommentText">
    <w:name w:val="annotation text"/>
    <w:basedOn w:val="Normal"/>
    <w:link w:val="CommentTextChar"/>
    <w:uiPriority w:val="99"/>
    <w:unhideWhenUsed/>
    <w:rsid w:val="00917DF3"/>
    <w:rPr>
      <w:rFonts w:ascii="Cambria" w:eastAsiaTheme="minorHAnsi" w:hAnsi="Cambria" w:cs="Times New Roman (Body CS)"/>
      <w:sz w:val="20"/>
      <w:szCs w:val="20"/>
      <w:lang w:eastAsia="en-US"/>
    </w:rPr>
  </w:style>
  <w:style w:type="character" w:customStyle="1" w:styleId="CommentTextChar">
    <w:name w:val="Comment Text Char"/>
    <w:basedOn w:val="DefaultParagraphFont"/>
    <w:link w:val="CommentText"/>
    <w:uiPriority w:val="99"/>
    <w:rsid w:val="00917DF3"/>
    <w:rPr>
      <w:rFonts w:ascii="Cambria" w:hAnsi="Cambria" w:cs="Times New Roman (Body CS)"/>
      <w:sz w:val="20"/>
      <w:szCs w:val="20"/>
    </w:rPr>
  </w:style>
  <w:style w:type="paragraph" w:styleId="ListParagraph">
    <w:name w:val="List Paragraph"/>
    <w:basedOn w:val="Normal"/>
    <w:uiPriority w:val="34"/>
    <w:qFormat/>
    <w:rsid w:val="00917DF3"/>
    <w:pPr>
      <w:ind w:left="720"/>
      <w:contextualSpacing/>
    </w:pPr>
  </w:style>
  <w:style w:type="character" w:styleId="UnresolvedMention">
    <w:name w:val="Unresolved Mention"/>
    <w:basedOn w:val="DefaultParagraphFont"/>
    <w:uiPriority w:val="99"/>
    <w:rsid w:val="00917DF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DF3"/>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917DF3"/>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5B7772"/>
    <w:rPr>
      <w:color w:val="954F72" w:themeColor="followedHyperlink"/>
      <w:u w:val="single"/>
    </w:rPr>
  </w:style>
  <w:style w:type="paragraph" w:styleId="Header">
    <w:name w:val="header"/>
    <w:basedOn w:val="Normal"/>
    <w:link w:val="HeaderChar"/>
    <w:uiPriority w:val="99"/>
    <w:unhideWhenUsed/>
    <w:rsid w:val="005267C1"/>
    <w:pPr>
      <w:tabs>
        <w:tab w:val="center" w:pos="4513"/>
        <w:tab w:val="right" w:pos="9026"/>
      </w:tabs>
    </w:pPr>
  </w:style>
  <w:style w:type="character" w:customStyle="1" w:styleId="HeaderChar">
    <w:name w:val="Header Char"/>
    <w:basedOn w:val="DefaultParagraphFont"/>
    <w:link w:val="Header"/>
    <w:uiPriority w:val="99"/>
    <w:rsid w:val="005267C1"/>
    <w:rPr>
      <w:rFonts w:ascii="Times New Roman" w:eastAsia="Times New Roman" w:hAnsi="Times New Roman" w:cs="Times New Roman"/>
      <w:lang w:eastAsia="en-GB"/>
    </w:rPr>
  </w:style>
  <w:style w:type="paragraph" w:styleId="Footer">
    <w:name w:val="footer"/>
    <w:basedOn w:val="Normal"/>
    <w:link w:val="FooterChar"/>
    <w:unhideWhenUsed/>
    <w:rsid w:val="005267C1"/>
    <w:pPr>
      <w:tabs>
        <w:tab w:val="center" w:pos="4513"/>
        <w:tab w:val="right" w:pos="9026"/>
      </w:tabs>
    </w:pPr>
  </w:style>
  <w:style w:type="character" w:customStyle="1" w:styleId="FooterChar">
    <w:name w:val="Footer Char"/>
    <w:basedOn w:val="DefaultParagraphFont"/>
    <w:link w:val="Footer"/>
    <w:rsid w:val="005267C1"/>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1533">
      <w:bodyDiv w:val="1"/>
      <w:marLeft w:val="0"/>
      <w:marRight w:val="0"/>
      <w:marTop w:val="0"/>
      <w:marBottom w:val="0"/>
      <w:divBdr>
        <w:top w:val="none" w:sz="0" w:space="0" w:color="auto"/>
        <w:left w:val="none" w:sz="0" w:space="0" w:color="auto"/>
        <w:bottom w:val="none" w:sz="0" w:space="0" w:color="auto"/>
        <w:right w:val="none" w:sz="0" w:space="0" w:color="auto"/>
      </w:divBdr>
    </w:div>
    <w:div w:id="240987188">
      <w:bodyDiv w:val="1"/>
      <w:marLeft w:val="0"/>
      <w:marRight w:val="0"/>
      <w:marTop w:val="0"/>
      <w:marBottom w:val="0"/>
      <w:divBdr>
        <w:top w:val="none" w:sz="0" w:space="0" w:color="auto"/>
        <w:left w:val="none" w:sz="0" w:space="0" w:color="auto"/>
        <w:bottom w:val="none" w:sz="0" w:space="0" w:color="auto"/>
        <w:right w:val="none" w:sz="0" w:space="0" w:color="auto"/>
      </w:divBdr>
    </w:div>
    <w:div w:id="510492171">
      <w:bodyDiv w:val="1"/>
      <w:marLeft w:val="0"/>
      <w:marRight w:val="0"/>
      <w:marTop w:val="0"/>
      <w:marBottom w:val="0"/>
      <w:divBdr>
        <w:top w:val="none" w:sz="0" w:space="0" w:color="auto"/>
        <w:left w:val="none" w:sz="0" w:space="0" w:color="auto"/>
        <w:bottom w:val="none" w:sz="0" w:space="0" w:color="auto"/>
        <w:right w:val="none" w:sz="0" w:space="0" w:color="auto"/>
      </w:divBdr>
    </w:div>
    <w:div w:id="652684045">
      <w:bodyDiv w:val="1"/>
      <w:marLeft w:val="0"/>
      <w:marRight w:val="0"/>
      <w:marTop w:val="0"/>
      <w:marBottom w:val="0"/>
      <w:divBdr>
        <w:top w:val="none" w:sz="0" w:space="0" w:color="auto"/>
        <w:left w:val="none" w:sz="0" w:space="0" w:color="auto"/>
        <w:bottom w:val="none" w:sz="0" w:space="0" w:color="auto"/>
        <w:right w:val="none" w:sz="0" w:space="0" w:color="auto"/>
      </w:divBdr>
    </w:div>
    <w:div w:id="1031877436">
      <w:bodyDiv w:val="1"/>
      <w:marLeft w:val="0"/>
      <w:marRight w:val="0"/>
      <w:marTop w:val="0"/>
      <w:marBottom w:val="0"/>
      <w:divBdr>
        <w:top w:val="none" w:sz="0" w:space="0" w:color="auto"/>
        <w:left w:val="none" w:sz="0" w:space="0" w:color="auto"/>
        <w:bottom w:val="none" w:sz="0" w:space="0" w:color="auto"/>
        <w:right w:val="none" w:sz="0" w:space="0" w:color="auto"/>
      </w:divBdr>
    </w:div>
    <w:div w:id="17012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rightstrust.org/news/nocovidiscrimination-initiative-grant-scheme-launch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rightstrust.org/sites/default/files/images/COVIDRespons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equalrightstrust.org" TargetMode="External"/><Relationship Id="rId1" Type="http://schemas.openxmlformats.org/officeDocument/2006/relationships/hyperlink" Target="http://www.equalrightstrust.org/" TargetMode="External"/><Relationship Id="rId4"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indicators.ohchr.org" TargetMode="External"/><Relationship Id="rId1" Type="http://schemas.openxmlformats.org/officeDocument/2006/relationships/hyperlink" Target="https://www.equalrightstrust.org/sites/default/files/images/COVIDRespon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D8120-5015-47B8-9F64-F46E6F11F15B}">
  <ds:schemaRefs>
    <ds:schemaRef ds:uri="http://purl.org/dc/elements/1.1/"/>
    <ds:schemaRef ds:uri="http://schemas.microsoft.com/office/2006/metadata/properties"/>
    <ds:schemaRef ds:uri="ca569423-81a9-4b2a-8e7f-3d6012c8bdcd"/>
    <ds:schemaRef ds:uri="http://schemas.microsoft.com/office/2006/documentManagement/types"/>
    <ds:schemaRef ds:uri="http://purl.org/dc/terms/"/>
    <ds:schemaRef ds:uri="http://schemas.openxmlformats.org/package/2006/metadata/core-properties"/>
    <ds:schemaRef ds:uri="aa8bd78e-629c-445f-a0a4-66286f7aa1f4"/>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46D8459-7C5F-46B8-877D-3D12082EB7F8}">
  <ds:schemaRefs>
    <ds:schemaRef ds:uri="http://schemas.openxmlformats.org/officeDocument/2006/bibliography"/>
  </ds:schemaRefs>
</ds:datastoreItem>
</file>

<file path=customXml/itemProps3.xml><?xml version="1.0" encoding="utf-8"?>
<ds:datastoreItem xmlns:ds="http://schemas.openxmlformats.org/officeDocument/2006/customXml" ds:itemID="{9FE93C25-076D-448C-8618-7AE5C42339CA}"/>
</file>

<file path=customXml/itemProps4.xml><?xml version="1.0" encoding="utf-8"?>
<ds:datastoreItem xmlns:ds="http://schemas.openxmlformats.org/officeDocument/2006/customXml" ds:itemID="{72EEACB1-39A2-4595-A111-4E7A00403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Adam</dc:creator>
  <cp:keywords/>
  <dc:description/>
  <cp:lastModifiedBy>Ellie McDonald</cp:lastModifiedBy>
  <cp:revision>52</cp:revision>
  <cp:lastPrinted>2020-06-29T10:13:00Z</cp:lastPrinted>
  <dcterms:created xsi:type="dcterms:W3CDTF">2021-03-23T08:50:00Z</dcterms:created>
  <dcterms:modified xsi:type="dcterms:W3CDTF">2021-03-23T17:39:00Z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