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18649F">
        <w:trPr>
          <w:trHeight w:hRule="exact" w:val="851"/>
        </w:trPr>
        <w:tc>
          <w:tcPr>
            <w:tcW w:w="1276" w:type="dxa"/>
            <w:tcBorders>
              <w:bottom w:val="single" w:sz="4" w:space="0" w:color="auto"/>
            </w:tcBorders>
          </w:tcPr>
          <w:p w:rsidR="002D5AAC" w:rsidRDefault="002D5AAC" w:rsidP="0018649F">
            <w:bookmarkStart w:id="0" w:name="_GoBack"/>
            <w:bookmarkEnd w:id="0"/>
          </w:p>
        </w:tc>
        <w:tc>
          <w:tcPr>
            <w:tcW w:w="2268"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73" w:type="dxa"/>
            <w:gridSpan w:val="2"/>
            <w:tcBorders>
              <w:bottom w:val="single" w:sz="4" w:space="0" w:color="auto"/>
            </w:tcBorders>
            <w:vAlign w:val="bottom"/>
          </w:tcPr>
          <w:p w:rsidR="002D5AAC" w:rsidRDefault="00E15D3C" w:rsidP="00E15D3C">
            <w:pPr>
              <w:jc w:val="right"/>
            </w:pPr>
            <w:r w:rsidRPr="00E15D3C">
              <w:rPr>
                <w:sz w:val="40"/>
              </w:rPr>
              <w:t>A</w:t>
            </w:r>
            <w:r>
              <w:t>/HRC/28/19</w:t>
            </w:r>
          </w:p>
        </w:tc>
      </w:tr>
      <w:tr w:rsidR="002D5AAC" w:rsidTr="0018649F">
        <w:trPr>
          <w:trHeight w:hRule="exact" w:val="2835"/>
        </w:trPr>
        <w:tc>
          <w:tcPr>
            <w:tcW w:w="1276" w:type="dxa"/>
            <w:tcBorders>
              <w:top w:val="single" w:sz="4" w:space="0" w:color="auto"/>
              <w:bottom w:val="single" w:sz="12" w:space="0" w:color="auto"/>
            </w:tcBorders>
          </w:tcPr>
          <w:p w:rsidR="002D5AAC" w:rsidRDefault="00041454" w:rsidP="0018649F">
            <w:pPr>
              <w:spacing w:before="120"/>
              <w:jc w:val="center"/>
            </w:pPr>
            <w:r>
              <w:rPr>
                <w:noProof/>
                <w:lang w:val="en-GB" w:eastAsia="en-GB"/>
              </w:rPr>
              <w:drawing>
                <wp:inline distT="0" distB="0" distL="0" distR="0">
                  <wp:extent cx="716280" cy="593725"/>
                  <wp:effectExtent l="0" t="0" r="7620" b="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59372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3" w:type="dxa"/>
            <w:tcBorders>
              <w:top w:val="single" w:sz="4" w:space="0" w:color="auto"/>
              <w:bottom w:val="single" w:sz="12" w:space="0" w:color="auto"/>
            </w:tcBorders>
          </w:tcPr>
          <w:p w:rsidR="002D5AAC" w:rsidRDefault="00E15D3C" w:rsidP="00712895">
            <w:pPr>
              <w:spacing w:before="240"/>
            </w:pPr>
            <w:r>
              <w:t>Distr. general</w:t>
            </w:r>
          </w:p>
          <w:p w:rsidR="00E15D3C" w:rsidRDefault="00E15D3C" w:rsidP="00E15D3C">
            <w:pPr>
              <w:spacing w:line="240" w:lineRule="exact"/>
            </w:pPr>
            <w:r>
              <w:t>12 de diciembre de 2014</w:t>
            </w:r>
          </w:p>
          <w:p w:rsidR="00E15D3C" w:rsidRDefault="00E15D3C" w:rsidP="00E15D3C">
            <w:pPr>
              <w:spacing w:line="240" w:lineRule="exact"/>
            </w:pPr>
            <w:r>
              <w:t>Español</w:t>
            </w:r>
          </w:p>
          <w:p w:rsidR="00E15D3C" w:rsidRDefault="00E15D3C" w:rsidP="00E15D3C">
            <w:pPr>
              <w:spacing w:line="240" w:lineRule="exact"/>
            </w:pPr>
            <w:r>
              <w:t>Original: inglés</w:t>
            </w:r>
          </w:p>
        </w:tc>
      </w:tr>
    </w:tbl>
    <w:p w:rsidR="00E15D3C" w:rsidRPr="001A7153" w:rsidRDefault="00E15D3C" w:rsidP="00E15D3C">
      <w:pPr>
        <w:spacing w:before="120"/>
        <w:rPr>
          <w:b/>
          <w:sz w:val="24"/>
          <w:szCs w:val="24"/>
        </w:rPr>
      </w:pPr>
      <w:r w:rsidRPr="001A7153">
        <w:rPr>
          <w:b/>
          <w:sz w:val="24"/>
        </w:rPr>
        <w:t>Consejo de Derechos Humanos</w:t>
      </w:r>
    </w:p>
    <w:p w:rsidR="00E15D3C" w:rsidRPr="001A7153" w:rsidRDefault="00E15D3C" w:rsidP="00E15D3C">
      <w:pPr>
        <w:rPr>
          <w:b/>
        </w:rPr>
      </w:pPr>
      <w:r w:rsidRPr="001A7153">
        <w:rPr>
          <w:b/>
        </w:rPr>
        <w:t>28º período de sesiones</w:t>
      </w:r>
    </w:p>
    <w:p w:rsidR="00E15D3C" w:rsidRPr="001A7153" w:rsidRDefault="00E15D3C" w:rsidP="00E15D3C">
      <w:r w:rsidRPr="001A7153">
        <w:t>Tema 2 de la agenda</w:t>
      </w:r>
    </w:p>
    <w:p w:rsidR="00E15D3C" w:rsidRPr="00A23ED1" w:rsidRDefault="00E15D3C" w:rsidP="00A23ED1">
      <w:pPr>
        <w:rPr>
          <w:b/>
          <w:bCs/>
          <w:szCs w:val="19"/>
        </w:rPr>
      </w:pPr>
      <w:r w:rsidRPr="00A23ED1">
        <w:rPr>
          <w:b/>
        </w:rPr>
        <w:t xml:space="preserve">Informe anual del Alto Comisionado de las </w:t>
      </w:r>
      <w:r w:rsidR="00131D60" w:rsidRPr="00A23ED1">
        <w:rPr>
          <w:b/>
        </w:rPr>
        <w:br/>
      </w:r>
      <w:r w:rsidRPr="00A23ED1">
        <w:rPr>
          <w:b/>
        </w:rPr>
        <w:t xml:space="preserve">Naciones Unidas para los Derechos Humanos </w:t>
      </w:r>
      <w:r w:rsidR="00131D60" w:rsidRPr="00A23ED1">
        <w:rPr>
          <w:b/>
        </w:rPr>
        <w:br/>
      </w:r>
      <w:r w:rsidRPr="00A23ED1">
        <w:rPr>
          <w:b/>
        </w:rPr>
        <w:t xml:space="preserve">e informes de la Oficina del Alto Comisionado </w:t>
      </w:r>
      <w:r w:rsidR="00131D60" w:rsidRPr="00A23ED1">
        <w:rPr>
          <w:b/>
        </w:rPr>
        <w:br/>
      </w:r>
      <w:r w:rsidRPr="00A23ED1">
        <w:rPr>
          <w:b/>
        </w:rPr>
        <w:t>y del Secretario General</w:t>
      </w:r>
    </w:p>
    <w:p w:rsidR="00E15D3C" w:rsidRPr="00131D60" w:rsidRDefault="00E15D3C" w:rsidP="00131D60">
      <w:pPr>
        <w:pStyle w:val="HChG"/>
      </w:pPr>
      <w:r w:rsidRPr="001A7153">
        <w:tab/>
      </w:r>
      <w:r w:rsidRPr="001A7153">
        <w:tab/>
      </w:r>
      <w:r w:rsidRPr="00131D60">
        <w:t>Conclusiones y recomendaciones de los procedimientos especiales</w:t>
      </w:r>
    </w:p>
    <w:p w:rsidR="00E15D3C" w:rsidRPr="001A7153" w:rsidRDefault="00E15D3C" w:rsidP="00131D60">
      <w:pPr>
        <w:pStyle w:val="H1G"/>
      </w:pPr>
      <w:r w:rsidRPr="001A7153">
        <w:tab/>
      </w:r>
      <w:r w:rsidRPr="001A7153">
        <w:tab/>
        <w:t>Informe del Secretario General</w:t>
      </w:r>
    </w:p>
    <w:p w:rsidR="00E15D3C" w:rsidRPr="001A7153" w:rsidRDefault="00E15D3C" w:rsidP="00E15D3C">
      <w:pPr>
        <w:pStyle w:val="SingleTxtG"/>
      </w:pPr>
      <w:r w:rsidRPr="001A7153">
        <w:t>1.</w:t>
      </w:r>
      <w:r w:rsidRPr="001A7153">
        <w:tab/>
        <w:t xml:space="preserve">En su decisión 2/102, el Consejo de Derechos Humanos pidió al Secretario General y a la Alta Comisionada de las Naciones Unidas para los Derechos Humanos que siguieran </w:t>
      </w:r>
      <w:proofErr w:type="gramStart"/>
      <w:r w:rsidRPr="001A7153">
        <w:t>llevando</w:t>
      </w:r>
      <w:proofErr w:type="gramEnd"/>
      <w:r w:rsidRPr="001A7153">
        <w:t xml:space="preserve"> a cabo sus actividades de conformidad con todas las decisiones aprobadas anteriormente por la Comisión de Derechos Humanos y que actualizaran los informes y estudios pertinentes.</w:t>
      </w:r>
    </w:p>
    <w:p w:rsidR="00E15D3C" w:rsidRPr="001A7153" w:rsidRDefault="00E15D3C" w:rsidP="00E15D3C">
      <w:pPr>
        <w:pStyle w:val="SingleTxtG"/>
      </w:pPr>
      <w:r w:rsidRPr="001A7153">
        <w:t>2.</w:t>
      </w:r>
      <w:r w:rsidRPr="001A7153">
        <w:tab/>
        <w:t>En su resolución 2004/76, la Comisión de Derechos Humanos pidió al Secretario General que publicara anualmente las conclusiones y recomendaciones de los procedimientos especiales para permitir la continuación del debate sobre su aplicación. La Comisión también pidió al Alto Comisionado que siguiera preparando, en los casos en que todavía no existiera, una compilación electrónica, amplia y actualizada periódicamente, de las recomendaciones de los procedimientos especiales por país. En el párrafo 29 del anexo de su resolución 65/281, la Asamblea General dispuso que la Oficina del Alto Comisionado (ACNUDH) siguiera manteniendo información sobre los procedimientos especiales de manera exhaustiva y fácilmente accesible.</w:t>
      </w:r>
    </w:p>
    <w:p w:rsidR="00E15D3C" w:rsidRPr="001A7153" w:rsidRDefault="00E15D3C" w:rsidP="00E15D3C">
      <w:pPr>
        <w:pStyle w:val="SingleTxtG"/>
      </w:pPr>
      <w:r w:rsidRPr="001A7153">
        <w:t>3.</w:t>
      </w:r>
      <w:r w:rsidRPr="001A7153">
        <w:tab/>
        <w:t>El Secretario General llama a la atención del Consejo de Derechos Humanos las conclusiones y recomendaciones incluidas en los informes anuales y sus adiciones pertinentes, presentadas por los procedimientos especiales al Consejo en 2014, en sus períodos de sesiones 25º, 26º y 27º</w:t>
      </w:r>
      <w:r w:rsidR="006C39F3" w:rsidRPr="006C39F3">
        <w:rPr>
          <w:rStyle w:val="FootnoteReference"/>
          <w:sz w:val="20"/>
          <w:vertAlign w:val="baseline"/>
        </w:rPr>
        <w:footnoteReference w:customMarkFollows="1" w:id="1"/>
        <w:t>*</w:t>
      </w:r>
      <w:r w:rsidRPr="001A7153">
        <w:t>.</w:t>
      </w:r>
    </w:p>
    <w:p w:rsidR="00E15D3C" w:rsidRDefault="00E15D3C" w:rsidP="00E15D3C">
      <w:pPr>
        <w:spacing w:before="240"/>
        <w:jc w:val="center"/>
        <w:rPr>
          <w:u w:val="single"/>
        </w:rPr>
      </w:pPr>
      <w:r w:rsidRPr="001A7153">
        <w:rPr>
          <w:u w:val="single"/>
        </w:rPr>
        <w:tab/>
      </w:r>
      <w:r w:rsidRPr="001A7153">
        <w:rPr>
          <w:u w:val="single"/>
        </w:rPr>
        <w:tab/>
      </w:r>
      <w:r w:rsidRPr="001A7153">
        <w:rPr>
          <w:u w:val="single"/>
        </w:rPr>
        <w:tab/>
      </w:r>
    </w:p>
    <w:p w:rsidR="00B65A47" w:rsidRPr="001A7153" w:rsidRDefault="00B65A47" w:rsidP="00E15D3C">
      <w:pPr>
        <w:spacing w:before="240"/>
        <w:jc w:val="center"/>
        <w:rPr>
          <w:u w:val="single"/>
        </w:rPr>
      </w:pPr>
    </w:p>
    <w:sectPr w:rsidR="00B65A47" w:rsidRPr="001A7153" w:rsidSect="00E15D3C">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142" w:rsidRPr="00A312BC" w:rsidRDefault="00192142" w:rsidP="00A312BC">
      <w:pPr>
        <w:pStyle w:val="Footer"/>
      </w:pPr>
    </w:p>
  </w:endnote>
  <w:endnote w:type="continuationSeparator" w:id="0">
    <w:p w:rsidR="00192142" w:rsidRPr="00A312BC" w:rsidRDefault="00192142" w:rsidP="00A312B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3C" w:rsidRPr="00E15D3C" w:rsidRDefault="00E15D3C" w:rsidP="00E15D3C">
    <w:pPr>
      <w:pStyle w:val="Footer"/>
      <w:tabs>
        <w:tab w:val="right" w:pos="9638"/>
      </w:tabs>
    </w:pPr>
    <w:r w:rsidRPr="00E15D3C">
      <w:rPr>
        <w:b/>
        <w:sz w:val="18"/>
      </w:rPr>
      <w:fldChar w:fldCharType="begin"/>
    </w:r>
    <w:r w:rsidRPr="00E15D3C">
      <w:rPr>
        <w:b/>
        <w:sz w:val="18"/>
      </w:rPr>
      <w:instrText xml:space="preserve"> PAGE  \* MERGEFORMAT </w:instrText>
    </w:r>
    <w:r w:rsidRPr="00E15D3C">
      <w:rPr>
        <w:b/>
        <w:sz w:val="18"/>
      </w:rPr>
      <w:fldChar w:fldCharType="separate"/>
    </w:r>
    <w:r w:rsidR="009216DD">
      <w:rPr>
        <w:b/>
        <w:noProof/>
        <w:sz w:val="18"/>
      </w:rPr>
      <w:t>2</w:t>
    </w:r>
    <w:r w:rsidRPr="00E15D3C">
      <w:rPr>
        <w:b/>
        <w:sz w:val="18"/>
      </w:rPr>
      <w:fldChar w:fldCharType="end"/>
    </w:r>
    <w:r>
      <w:rPr>
        <w:b/>
        <w:sz w:val="18"/>
      </w:rPr>
      <w:tab/>
    </w:r>
    <w:r>
      <w:t>GE.14-24151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3C" w:rsidRPr="00E15D3C" w:rsidRDefault="00E15D3C" w:rsidP="00E15D3C">
    <w:pPr>
      <w:pStyle w:val="Footer"/>
      <w:tabs>
        <w:tab w:val="right" w:pos="9638"/>
      </w:tabs>
      <w:rPr>
        <w:b/>
        <w:sz w:val="18"/>
      </w:rPr>
    </w:pPr>
    <w:r>
      <w:t>GE.14-24151</w:t>
    </w:r>
    <w:r>
      <w:tab/>
    </w:r>
    <w:r w:rsidRPr="00E15D3C">
      <w:rPr>
        <w:b/>
        <w:sz w:val="18"/>
      </w:rPr>
      <w:fldChar w:fldCharType="begin"/>
    </w:r>
    <w:r w:rsidRPr="00E15D3C">
      <w:rPr>
        <w:b/>
        <w:sz w:val="18"/>
      </w:rPr>
      <w:instrText xml:space="preserve"> PAGE  \* MERGEFORMAT </w:instrText>
    </w:r>
    <w:r w:rsidRPr="00E15D3C">
      <w:rPr>
        <w:b/>
        <w:sz w:val="18"/>
      </w:rPr>
      <w:fldChar w:fldCharType="separate"/>
    </w:r>
    <w:r w:rsidR="00806768">
      <w:rPr>
        <w:b/>
        <w:noProof/>
        <w:sz w:val="18"/>
      </w:rPr>
      <w:t>1</w:t>
    </w:r>
    <w:r w:rsidRPr="00E15D3C">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2" w:rsidRDefault="00E15D3C" w:rsidP="00E15D3C">
    <w:pPr>
      <w:pStyle w:val="Footer"/>
      <w:spacing w:before="240"/>
      <w:rPr>
        <w:sz w:val="20"/>
      </w:rPr>
    </w:pPr>
    <w:r>
      <w:rPr>
        <w:sz w:val="20"/>
      </w:rPr>
      <w:t>GE.</w:t>
    </w:r>
    <w:r w:rsidR="00041454">
      <w:rPr>
        <w:noProof/>
        <w:lang w:val="en-GB" w:eastAsia="en-GB"/>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14-24151  (S)</w:t>
    </w:r>
    <w:r w:rsidR="00131D60">
      <w:rPr>
        <w:sz w:val="20"/>
      </w:rPr>
      <w:t xml:space="preserve">    151214    161214</w:t>
    </w:r>
  </w:p>
  <w:p w:rsidR="00E15D3C" w:rsidRPr="00E15D3C" w:rsidRDefault="00E15D3C" w:rsidP="00E15D3C">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041454">
      <w:rPr>
        <w:rFonts w:ascii="C39T30Lfz" w:hAnsi="C39T30Lfz"/>
        <w:noProof/>
        <w:sz w:val="56"/>
        <w:lang w:val="en-GB" w:eastAsia="en-GB"/>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19&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142" w:rsidRPr="001075E9" w:rsidRDefault="00192142" w:rsidP="001075E9">
      <w:pPr>
        <w:tabs>
          <w:tab w:val="right" w:pos="2155"/>
        </w:tabs>
        <w:spacing w:after="80" w:line="240" w:lineRule="auto"/>
        <w:ind w:left="680"/>
        <w:rPr>
          <w:u w:val="single"/>
        </w:rPr>
      </w:pPr>
      <w:r>
        <w:rPr>
          <w:u w:val="single"/>
        </w:rPr>
        <w:tab/>
      </w:r>
    </w:p>
  </w:footnote>
  <w:footnote w:type="continuationSeparator" w:id="0">
    <w:p w:rsidR="00192142" w:rsidRDefault="00192142" w:rsidP="00407B78">
      <w:pPr>
        <w:tabs>
          <w:tab w:val="right" w:pos="2155"/>
        </w:tabs>
        <w:spacing w:after="80"/>
        <w:ind w:left="680"/>
        <w:rPr>
          <w:u w:val="single"/>
        </w:rPr>
      </w:pPr>
      <w:r>
        <w:rPr>
          <w:u w:val="single"/>
        </w:rPr>
        <w:tab/>
      </w:r>
    </w:p>
  </w:footnote>
  <w:footnote w:id="1">
    <w:p w:rsidR="006C39F3" w:rsidRPr="006C39F3" w:rsidRDefault="006C39F3">
      <w:pPr>
        <w:pStyle w:val="FootnoteText"/>
        <w:rPr>
          <w:sz w:val="20"/>
        </w:rPr>
      </w:pPr>
      <w:r>
        <w:tab/>
      </w:r>
      <w:r w:rsidRPr="006C39F3">
        <w:rPr>
          <w:rStyle w:val="FootnoteReference"/>
          <w:sz w:val="20"/>
          <w:vertAlign w:val="baseline"/>
        </w:rPr>
        <w:t>*</w:t>
      </w:r>
      <w:r w:rsidRPr="006C39F3">
        <w:rPr>
          <w:rStyle w:val="FootnoteReference"/>
          <w:vertAlign w:val="baseline"/>
        </w:rPr>
        <w:tab/>
      </w:r>
      <w:r w:rsidRPr="001A7153">
        <w:t>Pueden consultarse en el sitio web del ACNUDH en www.ohchr.org.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3C" w:rsidRPr="00E15D3C" w:rsidRDefault="00E15D3C">
    <w:pPr>
      <w:pStyle w:val="Header"/>
    </w:pPr>
    <w:r>
      <w:t>A/HRC/28/19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3C" w:rsidRPr="00E15D3C" w:rsidRDefault="00E15D3C" w:rsidP="00E15D3C">
    <w:pPr>
      <w:pStyle w:val="Header"/>
      <w:jc w:val="right"/>
    </w:pPr>
    <w:r>
      <w:t>A/HRC/28/19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10"/>
  </w:num>
  <w:num w:numId="3">
    <w:abstractNumId w:val="14"/>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42"/>
    <w:rsid w:val="00033EE1"/>
    <w:rsid w:val="00041454"/>
    <w:rsid w:val="00042B72"/>
    <w:rsid w:val="000558BD"/>
    <w:rsid w:val="000B57E7"/>
    <w:rsid w:val="000B6373"/>
    <w:rsid w:val="000F09DF"/>
    <w:rsid w:val="000F61B2"/>
    <w:rsid w:val="001075E9"/>
    <w:rsid w:val="00131D60"/>
    <w:rsid w:val="00180183"/>
    <w:rsid w:val="0018024D"/>
    <w:rsid w:val="0018649F"/>
    <w:rsid w:val="00192142"/>
    <w:rsid w:val="00196389"/>
    <w:rsid w:val="001B3EF6"/>
    <w:rsid w:val="001C7A89"/>
    <w:rsid w:val="002A2EFC"/>
    <w:rsid w:val="002C0E18"/>
    <w:rsid w:val="002D5AAC"/>
    <w:rsid w:val="002F405F"/>
    <w:rsid w:val="002F7EEC"/>
    <w:rsid w:val="00301299"/>
    <w:rsid w:val="00307FB6"/>
    <w:rsid w:val="00317339"/>
    <w:rsid w:val="00322004"/>
    <w:rsid w:val="003402C2"/>
    <w:rsid w:val="00381C24"/>
    <w:rsid w:val="003958D0"/>
    <w:rsid w:val="003B00E5"/>
    <w:rsid w:val="00407B78"/>
    <w:rsid w:val="00424203"/>
    <w:rsid w:val="00452493"/>
    <w:rsid w:val="00454E07"/>
    <w:rsid w:val="0050108D"/>
    <w:rsid w:val="00513081"/>
    <w:rsid w:val="00517901"/>
    <w:rsid w:val="00526683"/>
    <w:rsid w:val="005709E0"/>
    <w:rsid w:val="00572E19"/>
    <w:rsid w:val="005961C8"/>
    <w:rsid w:val="005D7914"/>
    <w:rsid w:val="005E2B41"/>
    <w:rsid w:val="005F0B42"/>
    <w:rsid w:val="00643082"/>
    <w:rsid w:val="00681A10"/>
    <w:rsid w:val="00697898"/>
    <w:rsid w:val="006A1ED8"/>
    <w:rsid w:val="006C2031"/>
    <w:rsid w:val="006C39F3"/>
    <w:rsid w:val="006D461A"/>
    <w:rsid w:val="006F35EE"/>
    <w:rsid w:val="007021FF"/>
    <w:rsid w:val="00712895"/>
    <w:rsid w:val="00757357"/>
    <w:rsid w:val="00806768"/>
    <w:rsid w:val="00825F8D"/>
    <w:rsid w:val="00834B71"/>
    <w:rsid w:val="0086445C"/>
    <w:rsid w:val="00894693"/>
    <w:rsid w:val="008A08D7"/>
    <w:rsid w:val="008B6909"/>
    <w:rsid w:val="00906890"/>
    <w:rsid w:val="00911BE4"/>
    <w:rsid w:val="009216DD"/>
    <w:rsid w:val="00951972"/>
    <w:rsid w:val="009608F3"/>
    <w:rsid w:val="00A23ED1"/>
    <w:rsid w:val="00A312BC"/>
    <w:rsid w:val="00A62EC3"/>
    <w:rsid w:val="00A84021"/>
    <w:rsid w:val="00A84D35"/>
    <w:rsid w:val="00A917B3"/>
    <w:rsid w:val="00AB4B51"/>
    <w:rsid w:val="00AF578A"/>
    <w:rsid w:val="00B10CC7"/>
    <w:rsid w:val="00B539E7"/>
    <w:rsid w:val="00B62458"/>
    <w:rsid w:val="00B65A47"/>
    <w:rsid w:val="00B9667C"/>
    <w:rsid w:val="00BC18B2"/>
    <w:rsid w:val="00BD33EE"/>
    <w:rsid w:val="00C106D6"/>
    <w:rsid w:val="00C60F0C"/>
    <w:rsid w:val="00C805C9"/>
    <w:rsid w:val="00C92939"/>
    <w:rsid w:val="00CA1679"/>
    <w:rsid w:val="00CB151C"/>
    <w:rsid w:val="00CE5A1A"/>
    <w:rsid w:val="00CF55F6"/>
    <w:rsid w:val="00D33D63"/>
    <w:rsid w:val="00D90138"/>
    <w:rsid w:val="00E15D3C"/>
    <w:rsid w:val="00E73F76"/>
    <w:rsid w:val="00EA2C9F"/>
    <w:rsid w:val="00ED0BDA"/>
    <w:rsid w:val="00EF1360"/>
    <w:rsid w:val="00EF3220"/>
    <w:rsid w:val="00F94155"/>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footnote text" w:qFormat="1"/>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rsid w:val="001B3EF6"/>
    <w:pPr>
      <w:keepNext/>
      <w:spacing w:after="0" w:line="240" w:lineRule="auto"/>
      <w:outlineLvl w:val="0"/>
    </w:pPr>
    <w:rPr>
      <w:rFonts w:cs="Arial"/>
      <w:bCs/>
      <w:szCs w:val="32"/>
    </w:rPr>
  </w:style>
  <w:style w:type="paragraph" w:styleId="Heading2">
    <w:name w:val="heading 2"/>
    <w:basedOn w:val="Normal"/>
    <w:next w:val="Normal"/>
    <w:rsid w:val="00681A10"/>
    <w:pPr>
      <w:keepNext/>
      <w:outlineLvl w:val="1"/>
    </w:pPr>
    <w:rPr>
      <w:rFonts w:cs="Arial"/>
      <w:bCs/>
      <w:iCs/>
      <w:szCs w:val="28"/>
    </w:rPr>
  </w:style>
  <w:style w:type="paragraph" w:styleId="Heading3">
    <w:name w:val="heading 3"/>
    <w:basedOn w:val="Normal"/>
    <w:next w:val="Normal"/>
    <w:rsid w:val="00681A10"/>
    <w:pPr>
      <w:keepNext/>
      <w:spacing w:before="240" w:after="60"/>
      <w:outlineLvl w:val="2"/>
    </w:pPr>
    <w:rPr>
      <w:rFonts w:ascii="Arial" w:hAnsi="Arial" w:cs="Arial"/>
      <w:b/>
      <w:bCs/>
      <w:sz w:val="26"/>
      <w:szCs w:val="26"/>
    </w:rPr>
  </w:style>
  <w:style w:type="paragraph" w:styleId="Heading4">
    <w:name w:val="heading 4"/>
    <w:basedOn w:val="Normal"/>
    <w:next w:val="Normal"/>
    <w:rsid w:val="00681A10"/>
    <w:pPr>
      <w:keepNext/>
      <w:spacing w:before="240" w:after="60"/>
      <w:outlineLvl w:val="3"/>
    </w:pPr>
    <w:rPr>
      <w:b/>
      <w:bCs/>
      <w:sz w:val="28"/>
      <w:szCs w:val="28"/>
    </w:rPr>
  </w:style>
  <w:style w:type="paragraph" w:styleId="Heading5">
    <w:name w:val="heading 5"/>
    <w:basedOn w:val="Normal"/>
    <w:next w:val="Normal"/>
    <w:rsid w:val="00681A10"/>
    <w:pPr>
      <w:spacing w:before="240" w:after="60"/>
      <w:outlineLvl w:val="4"/>
    </w:pPr>
    <w:rPr>
      <w:b/>
      <w:bCs/>
      <w:i/>
      <w:iCs/>
      <w:sz w:val="26"/>
      <w:szCs w:val="26"/>
    </w:rPr>
  </w:style>
  <w:style w:type="paragraph" w:styleId="Heading6">
    <w:name w:val="heading 6"/>
    <w:basedOn w:val="Normal"/>
    <w:next w:val="Normal"/>
    <w:rsid w:val="00681A10"/>
    <w:pPr>
      <w:spacing w:before="240" w:after="60"/>
      <w:outlineLvl w:val="5"/>
    </w:pPr>
    <w:rPr>
      <w:b/>
      <w:bCs/>
      <w:sz w:val="22"/>
      <w:szCs w:val="22"/>
    </w:rPr>
  </w:style>
  <w:style w:type="paragraph" w:styleId="Heading7">
    <w:name w:val="heading 7"/>
    <w:basedOn w:val="Normal"/>
    <w:next w:val="Normal"/>
    <w:rsid w:val="00681A10"/>
    <w:pPr>
      <w:spacing w:before="240" w:after="60"/>
      <w:outlineLvl w:val="6"/>
    </w:pPr>
    <w:rPr>
      <w:sz w:val="24"/>
      <w:szCs w:val="24"/>
    </w:rPr>
  </w:style>
  <w:style w:type="paragraph" w:styleId="Heading8">
    <w:name w:val="heading 8"/>
    <w:basedOn w:val="Normal"/>
    <w:next w:val="Normal"/>
    <w:rsid w:val="00681A10"/>
    <w:pPr>
      <w:spacing w:before="240" w:after="60"/>
      <w:outlineLvl w:val="7"/>
    </w:pPr>
    <w:rPr>
      <w:i/>
      <w:iCs/>
      <w:sz w:val="24"/>
      <w:szCs w:val="24"/>
    </w:rPr>
  </w:style>
  <w:style w:type="paragraph" w:styleId="Heading9">
    <w:name w:val="heading 9"/>
    <w:basedOn w:val="Normal"/>
    <w:next w:val="Normal"/>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link w:val="HChGChar"/>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Footnote Text Char,Footnote Text Char3,Footnote Text Char1 Char,Footnote Text Char Char Char,Footnote Text Char1 Char Char Char,Footnote Text Char Char Char Char Char1,Text pozn. pod čarou Char,Note de bas de page2,Footnotes,fn"/>
    <w:basedOn w:val="Normal"/>
    <w:link w:val="FootnoteTextChar1"/>
    <w:qFormat/>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semiHidden/>
    <w:rsid w:val="00681A10"/>
    <w:rPr>
      <w:color w:val="0000FF"/>
      <w:u w:val="single"/>
    </w:rPr>
  </w:style>
  <w:style w:type="character" w:styleId="FollowedHyperlink">
    <w:name w:val="FollowedHyperlink"/>
    <w:basedOn w:val="DefaultParagraphFont"/>
    <w:semiHidden/>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FootnoteTextChar1">
    <w:name w:val="Footnote Text Char1"/>
    <w:aliases w:val="5_G Char,Footnote Text Char Char,Footnote Text Char3 Char,Footnote Text Char1 Char Char,Footnote Text Char Char Char Char,Footnote Text Char1 Char Char Char Char,Footnote Text Char Char Char Char Char1 Char,Note de bas de page2 Char"/>
    <w:link w:val="FootnoteText"/>
    <w:rsid w:val="00E15D3C"/>
    <w:rPr>
      <w:sz w:val="18"/>
    </w:rPr>
  </w:style>
  <w:style w:type="character" w:customStyle="1" w:styleId="HChGChar">
    <w:name w:val="_ H _Ch_G Char"/>
    <w:link w:val="HChG"/>
    <w:rsid w:val="00E15D3C"/>
    <w:rPr>
      <w:b/>
      <w:sz w:val="28"/>
    </w:rPr>
  </w:style>
  <w:style w:type="paragraph" w:styleId="BalloonText">
    <w:name w:val="Balloon Text"/>
    <w:basedOn w:val="Normal"/>
    <w:link w:val="BalloonTextChar"/>
    <w:rsid w:val="0080676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067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footnote text" w:qFormat="1"/>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rsid w:val="001B3EF6"/>
    <w:pPr>
      <w:keepNext/>
      <w:spacing w:after="0" w:line="240" w:lineRule="auto"/>
      <w:outlineLvl w:val="0"/>
    </w:pPr>
    <w:rPr>
      <w:rFonts w:cs="Arial"/>
      <w:bCs/>
      <w:szCs w:val="32"/>
    </w:rPr>
  </w:style>
  <w:style w:type="paragraph" w:styleId="Heading2">
    <w:name w:val="heading 2"/>
    <w:basedOn w:val="Normal"/>
    <w:next w:val="Normal"/>
    <w:rsid w:val="00681A10"/>
    <w:pPr>
      <w:keepNext/>
      <w:outlineLvl w:val="1"/>
    </w:pPr>
    <w:rPr>
      <w:rFonts w:cs="Arial"/>
      <w:bCs/>
      <w:iCs/>
      <w:szCs w:val="28"/>
    </w:rPr>
  </w:style>
  <w:style w:type="paragraph" w:styleId="Heading3">
    <w:name w:val="heading 3"/>
    <w:basedOn w:val="Normal"/>
    <w:next w:val="Normal"/>
    <w:rsid w:val="00681A10"/>
    <w:pPr>
      <w:keepNext/>
      <w:spacing w:before="240" w:after="60"/>
      <w:outlineLvl w:val="2"/>
    </w:pPr>
    <w:rPr>
      <w:rFonts w:ascii="Arial" w:hAnsi="Arial" w:cs="Arial"/>
      <w:b/>
      <w:bCs/>
      <w:sz w:val="26"/>
      <w:szCs w:val="26"/>
    </w:rPr>
  </w:style>
  <w:style w:type="paragraph" w:styleId="Heading4">
    <w:name w:val="heading 4"/>
    <w:basedOn w:val="Normal"/>
    <w:next w:val="Normal"/>
    <w:rsid w:val="00681A10"/>
    <w:pPr>
      <w:keepNext/>
      <w:spacing w:before="240" w:after="60"/>
      <w:outlineLvl w:val="3"/>
    </w:pPr>
    <w:rPr>
      <w:b/>
      <w:bCs/>
      <w:sz w:val="28"/>
      <w:szCs w:val="28"/>
    </w:rPr>
  </w:style>
  <w:style w:type="paragraph" w:styleId="Heading5">
    <w:name w:val="heading 5"/>
    <w:basedOn w:val="Normal"/>
    <w:next w:val="Normal"/>
    <w:rsid w:val="00681A10"/>
    <w:pPr>
      <w:spacing w:before="240" w:after="60"/>
      <w:outlineLvl w:val="4"/>
    </w:pPr>
    <w:rPr>
      <w:b/>
      <w:bCs/>
      <w:i/>
      <w:iCs/>
      <w:sz w:val="26"/>
      <w:szCs w:val="26"/>
    </w:rPr>
  </w:style>
  <w:style w:type="paragraph" w:styleId="Heading6">
    <w:name w:val="heading 6"/>
    <w:basedOn w:val="Normal"/>
    <w:next w:val="Normal"/>
    <w:rsid w:val="00681A10"/>
    <w:pPr>
      <w:spacing w:before="240" w:after="60"/>
      <w:outlineLvl w:val="5"/>
    </w:pPr>
    <w:rPr>
      <w:b/>
      <w:bCs/>
      <w:sz w:val="22"/>
      <w:szCs w:val="22"/>
    </w:rPr>
  </w:style>
  <w:style w:type="paragraph" w:styleId="Heading7">
    <w:name w:val="heading 7"/>
    <w:basedOn w:val="Normal"/>
    <w:next w:val="Normal"/>
    <w:rsid w:val="00681A10"/>
    <w:pPr>
      <w:spacing w:before="240" w:after="60"/>
      <w:outlineLvl w:val="6"/>
    </w:pPr>
    <w:rPr>
      <w:sz w:val="24"/>
      <w:szCs w:val="24"/>
    </w:rPr>
  </w:style>
  <w:style w:type="paragraph" w:styleId="Heading8">
    <w:name w:val="heading 8"/>
    <w:basedOn w:val="Normal"/>
    <w:next w:val="Normal"/>
    <w:rsid w:val="00681A10"/>
    <w:pPr>
      <w:spacing w:before="240" w:after="60"/>
      <w:outlineLvl w:val="7"/>
    </w:pPr>
    <w:rPr>
      <w:i/>
      <w:iCs/>
      <w:sz w:val="24"/>
      <w:szCs w:val="24"/>
    </w:rPr>
  </w:style>
  <w:style w:type="paragraph" w:styleId="Heading9">
    <w:name w:val="heading 9"/>
    <w:basedOn w:val="Normal"/>
    <w:next w:val="Normal"/>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link w:val="HChGChar"/>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Footnote Text Char,Footnote Text Char3,Footnote Text Char1 Char,Footnote Text Char Char Char,Footnote Text Char1 Char Char Char,Footnote Text Char Char Char Char Char1,Text pozn. pod čarou Char,Note de bas de page2,Footnotes,fn"/>
    <w:basedOn w:val="Normal"/>
    <w:link w:val="FootnoteTextChar1"/>
    <w:qFormat/>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semiHidden/>
    <w:rsid w:val="00681A10"/>
    <w:rPr>
      <w:color w:val="0000FF"/>
      <w:u w:val="single"/>
    </w:rPr>
  </w:style>
  <w:style w:type="character" w:styleId="FollowedHyperlink">
    <w:name w:val="FollowedHyperlink"/>
    <w:basedOn w:val="DefaultParagraphFont"/>
    <w:semiHidden/>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FootnoteTextChar1">
    <w:name w:val="Footnote Text Char1"/>
    <w:aliases w:val="5_G Char,Footnote Text Char Char,Footnote Text Char3 Char,Footnote Text Char1 Char Char,Footnote Text Char Char Char Char,Footnote Text Char1 Char Char Char Char,Footnote Text Char Char Char Char Char1 Char,Note de bas de page2 Char"/>
    <w:link w:val="FootnoteText"/>
    <w:rsid w:val="00E15D3C"/>
    <w:rPr>
      <w:sz w:val="18"/>
    </w:rPr>
  </w:style>
  <w:style w:type="character" w:customStyle="1" w:styleId="HChGChar">
    <w:name w:val="_ H _Ch_G Char"/>
    <w:link w:val="HChG"/>
    <w:rsid w:val="00E15D3C"/>
    <w:rPr>
      <w:b/>
      <w:sz w:val="28"/>
    </w:rPr>
  </w:style>
  <w:style w:type="paragraph" w:styleId="BalloonText">
    <w:name w:val="Balloon Text"/>
    <w:basedOn w:val="Normal"/>
    <w:link w:val="BalloonTextChar"/>
    <w:rsid w:val="0080676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06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D93AF-9427-4EB4-A822-C1FC62DE5778}"/>
</file>

<file path=customXml/itemProps2.xml><?xml version="1.0" encoding="utf-8"?>
<ds:datastoreItem xmlns:ds="http://schemas.openxmlformats.org/officeDocument/2006/customXml" ds:itemID="{01D57A7E-1A78-451C-89CC-F05A90578A28}"/>
</file>

<file path=customXml/itemProps3.xml><?xml version="1.0" encoding="utf-8"?>
<ds:datastoreItem xmlns:ds="http://schemas.openxmlformats.org/officeDocument/2006/customXml" ds:itemID="{9C82EB3E-E6C1-455D-BC8E-F058C4B72302}"/>
</file>

<file path=customXml/itemProps4.xml><?xml version="1.0" encoding="utf-8"?>
<ds:datastoreItem xmlns:ds="http://schemas.openxmlformats.org/officeDocument/2006/customXml" ds:itemID="{D368AB20-7C8D-4132-B4BD-95ECE553388C}"/>
</file>

<file path=docProps/app.xml><?xml version="1.0" encoding="utf-8"?>
<Properties xmlns="http://schemas.openxmlformats.org/officeDocument/2006/extended-properties" xmlns:vt="http://schemas.openxmlformats.org/officeDocument/2006/docPropsVTypes">
  <Template>A</Template>
  <TotalTime>1</TotalTime>
  <Pages>2</Pages>
  <Words>271</Words>
  <Characters>1550</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A/HRC/28/19</vt:lpstr>
      <vt:lpstr>Naciones Unidas</vt:lpstr>
    </vt:vector>
  </TitlesOfParts>
  <Company>DCM</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 and recommendations of special procedures - Report of the Secretary-General in Spanish</dc:title>
  <dc:subject>FINAL</dc:subject>
  <dc:creator>Javier Rodríguez</dc:creator>
  <cp:lastModifiedBy>Valeriano De Castro</cp:lastModifiedBy>
  <cp:revision>2</cp:revision>
  <cp:lastPrinted>2014-12-16T13:22:00Z</cp:lastPrinted>
  <dcterms:created xsi:type="dcterms:W3CDTF">2015-01-05T14:29:00Z</dcterms:created>
  <dcterms:modified xsi:type="dcterms:W3CDTF">2015-01-05T14:29:00Z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9100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