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59" w:rsidRPr="00DC3616" w:rsidRDefault="002C2559" w:rsidP="002C2559">
      <w:pPr>
        <w:spacing w:line="60" w:lineRule="exact"/>
        <w:rPr>
          <w:color w:val="010000"/>
          <w:sz w:val="6"/>
        </w:rPr>
        <w:sectPr w:rsidR="002C2559" w:rsidRPr="00DC3616" w:rsidSect="002C25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bookmarkStart w:id="0" w:name="_GoBack"/>
      <w:bookmarkEnd w:id="0"/>
    </w:p>
    <w:p w:rsidR="002C2559" w:rsidRPr="00DC3616" w:rsidRDefault="002C2559" w:rsidP="002C2559">
      <w:pPr>
        <w:pStyle w:val="H1"/>
      </w:pPr>
      <w:r w:rsidRPr="00DC3616">
        <w:lastRenderedPageBreak/>
        <w:t>Совет по правам человека</w:t>
      </w:r>
    </w:p>
    <w:p w:rsidR="002C2559" w:rsidRPr="00DC3616" w:rsidRDefault="00DC3616" w:rsidP="002C2559">
      <w:pPr>
        <w:pStyle w:val="H23"/>
      </w:pPr>
      <w:r>
        <w:t>Тридцатая</w:t>
      </w:r>
      <w:r w:rsidR="002C2559" w:rsidRPr="00DC3616">
        <w:t xml:space="preserve"> сессия</w:t>
      </w:r>
    </w:p>
    <w:p w:rsidR="002C2559" w:rsidRDefault="002C2559" w:rsidP="00DC3616">
      <w:r w:rsidRPr="00DC3616">
        <w:t xml:space="preserve">Пункт </w:t>
      </w:r>
      <w:r w:rsidR="00DC3616">
        <w:t>6</w:t>
      </w:r>
      <w:r w:rsidRPr="00DC3616">
        <w:t xml:space="preserve"> повестки дня</w:t>
      </w:r>
    </w:p>
    <w:p w:rsidR="00DC3616" w:rsidRPr="00DC3616" w:rsidRDefault="00DC3616" w:rsidP="00DC3616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DC3616">
        <w:t>Универсальный периодический обзор</w:t>
      </w:r>
    </w:p>
    <w:p w:rsidR="002C2559" w:rsidRPr="00DC3616" w:rsidRDefault="002C2559" w:rsidP="00DC3616">
      <w:pPr>
        <w:pStyle w:val="SingleTxt"/>
        <w:spacing w:after="0" w:line="120" w:lineRule="exact"/>
        <w:rPr>
          <w:sz w:val="10"/>
        </w:rPr>
      </w:pPr>
    </w:p>
    <w:p w:rsidR="00DC3616" w:rsidRPr="00DC3616" w:rsidRDefault="00DC3616" w:rsidP="00DC3616">
      <w:pPr>
        <w:pStyle w:val="SingleTxt"/>
        <w:spacing w:after="0" w:line="120" w:lineRule="exact"/>
        <w:rPr>
          <w:sz w:val="10"/>
        </w:rPr>
      </w:pPr>
    </w:p>
    <w:p w:rsidR="00DC3616" w:rsidRPr="00DC3616" w:rsidRDefault="00DC3616" w:rsidP="00DC3616">
      <w:pPr>
        <w:pStyle w:val="SingleTxt"/>
        <w:spacing w:after="0" w:line="120" w:lineRule="exact"/>
        <w:rPr>
          <w:sz w:val="10"/>
        </w:rPr>
      </w:pPr>
    </w:p>
    <w:p w:rsidR="00DC3616" w:rsidRDefault="00DC3616" w:rsidP="00DC361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b w:val="0"/>
          <w:bCs/>
          <w:color w:val="943634" w:themeColor="accent2" w:themeShade="BF"/>
          <w:sz w:val="20"/>
        </w:rPr>
      </w:pPr>
      <w:r>
        <w:tab/>
      </w:r>
      <w:r>
        <w:tab/>
      </w:r>
      <w:r w:rsidR="00FA2A0E">
        <w:t>Доклад Рабочей группы по у</w:t>
      </w:r>
      <w:r w:rsidRPr="00DC3616">
        <w:t>ниверсальному периодическому обзору</w:t>
      </w:r>
      <w:r w:rsidRPr="00DC3616">
        <w:rPr>
          <w:b w:val="0"/>
          <w:bCs/>
          <w:color w:val="943634" w:themeColor="accent2" w:themeShade="BF"/>
          <w:sz w:val="20"/>
        </w:rPr>
        <w:footnoteReference w:customMarkFollows="1" w:id="1"/>
        <w:t>*</w:t>
      </w:r>
    </w:p>
    <w:p w:rsidR="00DC3616" w:rsidRPr="00DC3616" w:rsidRDefault="00DC3616" w:rsidP="00DC3616">
      <w:pPr>
        <w:pStyle w:val="SingleTxt"/>
        <w:spacing w:after="0" w:line="120" w:lineRule="exact"/>
        <w:rPr>
          <w:sz w:val="10"/>
        </w:rPr>
      </w:pPr>
    </w:p>
    <w:p w:rsidR="00DC3616" w:rsidRPr="00DC3616" w:rsidRDefault="00DC3616" w:rsidP="00DC3616">
      <w:pPr>
        <w:pStyle w:val="SingleTxt"/>
        <w:spacing w:after="0" w:line="120" w:lineRule="exact"/>
        <w:rPr>
          <w:sz w:val="10"/>
        </w:rPr>
      </w:pPr>
    </w:p>
    <w:p w:rsidR="00DC3616" w:rsidRDefault="00DC3616" w:rsidP="00DC361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Pr="00DC3616">
        <w:t>Андорра</w:t>
      </w:r>
    </w:p>
    <w:p w:rsidR="00DC3616" w:rsidRPr="00DC3616" w:rsidRDefault="00DC3616" w:rsidP="00DC3616">
      <w:pPr>
        <w:pStyle w:val="SingleTxt"/>
        <w:spacing w:after="0" w:line="120" w:lineRule="exact"/>
        <w:rPr>
          <w:b/>
          <w:bCs/>
          <w:sz w:val="10"/>
        </w:rPr>
      </w:pPr>
    </w:p>
    <w:p w:rsidR="00DC3616" w:rsidRPr="00DC3616" w:rsidRDefault="00DC3616" w:rsidP="00DC3616">
      <w:pPr>
        <w:pStyle w:val="SingleTxt"/>
        <w:spacing w:after="0" w:line="120" w:lineRule="exact"/>
        <w:rPr>
          <w:b/>
          <w:bCs/>
          <w:sz w:val="10"/>
        </w:rPr>
      </w:pPr>
    </w:p>
    <w:p w:rsidR="00DC3616" w:rsidRDefault="00DC3616" w:rsidP="00DC3616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Pr="00DC3616">
        <w:t>Добавление</w:t>
      </w:r>
    </w:p>
    <w:p w:rsidR="00DC3616" w:rsidRPr="00DC3616" w:rsidRDefault="00DC3616" w:rsidP="00DC3616">
      <w:pPr>
        <w:pStyle w:val="SingleTxt"/>
        <w:spacing w:after="0" w:line="120" w:lineRule="exact"/>
        <w:rPr>
          <w:b/>
          <w:bCs/>
          <w:sz w:val="10"/>
        </w:rPr>
      </w:pPr>
    </w:p>
    <w:p w:rsidR="00DC3616" w:rsidRPr="00DC3616" w:rsidRDefault="00DC3616" w:rsidP="00DC3616">
      <w:pPr>
        <w:pStyle w:val="SingleTxt"/>
        <w:spacing w:after="0" w:line="120" w:lineRule="exact"/>
        <w:rPr>
          <w:b/>
          <w:bCs/>
          <w:sz w:val="10"/>
        </w:rPr>
      </w:pPr>
    </w:p>
    <w:p w:rsidR="00DC3616" w:rsidRDefault="00DC3616" w:rsidP="00DC361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FA2A0E">
        <w:t>Мнения по выводам</w:t>
      </w:r>
      <w:r w:rsidRPr="00DC3616">
        <w:t xml:space="preserve"> и/или рекомендациям, добровольные обязательства и ответы, представленные государством – объектом обзора</w:t>
      </w:r>
    </w:p>
    <w:p w:rsidR="009754C2" w:rsidRDefault="00DC3616" w:rsidP="009754C2">
      <w:pPr>
        <w:pStyle w:val="SingleTxt"/>
      </w:pPr>
      <w:r>
        <w:br w:type="page"/>
      </w:r>
      <w:r w:rsidR="009754C2">
        <w:lastRenderedPageBreak/>
        <w:t>1.</w:t>
      </w:r>
      <w:r w:rsidR="009754C2">
        <w:tab/>
        <w:t>7 мая 2015 года Андорра представила свой второй доклад в рамках универсального периодического обзора (УПО). В ход</w:t>
      </w:r>
      <w:r w:rsidR="006C0568">
        <w:t>е представления этого доклада с </w:t>
      </w:r>
      <w:r w:rsidR="009754C2">
        <w:t>заявлениями выступили 39 государств-членов, которые вынесли 85 рекомендаций.</w:t>
      </w:r>
    </w:p>
    <w:p w:rsidR="009754C2" w:rsidRDefault="009754C2" w:rsidP="00FA2A0E">
      <w:pPr>
        <w:pStyle w:val="SingleTxt"/>
      </w:pPr>
      <w:r>
        <w:t>2.</w:t>
      </w:r>
      <w:r>
        <w:tab/>
        <w:t>12 мая 2015 года Рабочая группа по универсальному периодическому обзору (РГУПО) утвердила раздел, содержащий эти рекомендации. Андорра сообщи</w:t>
      </w:r>
      <w:r w:rsidR="00FA2A0E">
        <w:t xml:space="preserve">ла, что она поддерживает </w:t>
      </w:r>
      <w:r>
        <w:t xml:space="preserve">9 и </w:t>
      </w:r>
      <w:r w:rsidR="00FA2A0E">
        <w:t>принимает к сведению 2 рекомендации, а</w:t>
      </w:r>
      <w:r>
        <w:t xml:space="preserve"> реше</w:t>
      </w:r>
      <w:r w:rsidR="00FA2A0E">
        <w:t>ния</w:t>
      </w:r>
      <w:r>
        <w:t xml:space="preserve"> по оставшимся 74 рекомендациям</w:t>
      </w:r>
      <w:r w:rsidR="00FA2A0E">
        <w:t xml:space="preserve"> были отложены</w:t>
      </w:r>
      <w:r>
        <w:t>.</w:t>
      </w:r>
    </w:p>
    <w:p w:rsidR="009754C2" w:rsidRDefault="009754C2" w:rsidP="009754C2">
      <w:pPr>
        <w:pStyle w:val="SingleTxt"/>
      </w:pPr>
      <w:r>
        <w:t>3.</w:t>
      </w:r>
      <w:r>
        <w:tab/>
        <w:t>Андорра хотела бы скорректировать свою позицию в отношении двух учтенных рекомендаций (85.1 и 85.2).</w:t>
      </w:r>
    </w:p>
    <w:p w:rsidR="009754C2" w:rsidRDefault="009754C2" w:rsidP="00FA2A0E">
      <w:pPr>
        <w:pStyle w:val="SingleTxt"/>
      </w:pPr>
      <w:r>
        <w:t>4.</w:t>
      </w:r>
      <w:r>
        <w:tab/>
        <w:t xml:space="preserve">Андорра считает, что она уже выполнила рекомендацию 85.1. В результате последнего изменения Уголовного кодекса был завершен процесс криминализации торговли людьми, о чем </w:t>
      </w:r>
      <w:r w:rsidR="00FA2A0E">
        <w:t>сказано</w:t>
      </w:r>
      <w:r>
        <w:t xml:space="preserve"> в национальном докладе и докладе РГУПО.</w:t>
      </w:r>
    </w:p>
    <w:p w:rsidR="009754C2" w:rsidRDefault="009754C2" w:rsidP="00FA2A0E">
      <w:pPr>
        <w:pStyle w:val="SingleTxt"/>
      </w:pPr>
      <w:r>
        <w:t>5.</w:t>
      </w:r>
      <w:r>
        <w:tab/>
        <w:t xml:space="preserve">Андорра считает также выполненной рекомендацию 85.2. Как было объяснено в ходе представления национального доклада и описано в докладе РГУПО, поправка, внесенная в статью 476 Закона 40/2014, </w:t>
      </w:r>
      <w:r w:rsidR="00FA2A0E">
        <w:t>прямо</w:t>
      </w:r>
      <w:r>
        <w:t xml:space="preserve"> запрещает применение телесных наказаний.</w:t>
      </w:r>
    </w:p>
    <w:p w:rsidR="009754C2" w:rsidRDefault="009754C2" w:rsidP="009754C2">
      <w:pPr>
        <w:pStyle w:val="SingleTxt"/>
      </w:pPr>
      <w:r>
        <w:t>6.</w:t>
      </w:r>
      <w:r>
        <w:tab/>
        <w:t>С учетом вышеизложенного Андорра хотела бы принять эти две вышеупомянутые рекомендации, считая их уже выполненными.</w:t>
      </w:r>
    </w:p>
    <w:p w:rsidR="009754C2" w:rsidRDefault="00FA2A0E" w:rsidP="00FA2A0E">
      <w:pPr>
        <w:pStyle w:val="SingleTxt"/>
      </w:pPr>
      <w:r>
        <w:t>7.</w:t>
      </w:r>
      <w:r>
        <w:tab/>
        <w:t>Министерству</w:t>
      </w:r>
      <w:r w:rsidR="009754C2">
        <w:t xml:space="preserve"> иностранных дел </w:t>
      </w:r>
      <w:r>
        <w:t>поручено распространи</w:t>
      </w:r>
      <w:r w:rsidR="009754C2">
        <w:t xml:space="preserve">ть полученные рекомендации среди </w:t>
      </w:r>
      <w:r>
        <w:t>соответствующих</w:t>
      </w:r>
      <w:r w:rsidR="009754C2">
        <w:t xml:space="preserve"> государственных ведомств для изучения.</w:t>
      </w:r>
    </w:p>
    <w:p w:rsidR="009754C2" w:rsidRDefault="009754C2" w:rsidP="009754C2">
      <w:pPr>
        <w:pStyle w:val="SingleTxt"/>
      </w:pPr>
      <w:r>
        <w:t>8.</w:t>
      </w:r>
      <w:r>
        <w:tab/>
        <w:t xml:space="preserve">В рамках </w:t>
      </w:r>
      <w:r w:rsidR="00FA2A0E">
        <w:t xml:space="preserve">настоящего </w:t>
      </w:r>
      <w:r>
        <w:t>второго цикла универсального периодического обзора Андорра поддерживает 41 рекомендацию и принимает к сведению 44 оставшихся рекомендации.</w:t>
      </w:r>
    </w:p>
    <w:p w:rsidR="009754C2" w:rsidRDefault="009754C2" w:rsidP="009754C2">
      <w:pPr>
        <w:pStyle w:val="SingleTxt"/>
      </w:pPr>
      <w:r>
        <w:t>9.</w:t>
      </w:r>
      <w:r>
        <w:tab/>
        <w:t>Настоящий доклад был пр</w:t>
      </w:r>
      <w:r w:rsidR="00FA2A0E">
        <w:t>едставлен Генеральному совету (п</w:t>
      </w:r>
      <w:r>
        <w:t>арламент</w:t>
      </w:r>
      <w:r w:rsidR="00FA2A0E">
        <w:t>у), Народному защитнику (о</w:t>
      </w:r>
      <w:r>
        <w:t>мбудсмен</w:t>
      </w:r>
      <w:r w:rsidR="00FA2A0E">
        <w:t>у</w:t>
      </w:r>
      <w:r>
        <w:t>) и гражданскому обществу посредством его распространения в официальных СМИ.</w:t>
      </w:r>
    </w:p>
    <w:p w:rsidR="009754C2" w:rsidRDefault="00FA2A0E" w:rsidP="00FA2A0E">
      <w:pPr>
        <w:pStyle w:val="SingleTxt"/>
      </w:pPr>
      <w:r>
        <w:t>10.</w:t>
      </w:r>
      <w:r>
        <w:tab/>
        <w:t>В таблице ниже представлены</w:t>
      </w:r>
      <w:r w:rsidR="009754C2">
        <w:t xml:space="preserve"> 74 рекомендации, </w:t>
      </w:r>
      <w:r>
        <w:t xml:space="preserve">решения </w:t>
      </w:r>
      <w:r w:rsidR="009754C2">
        <w:t xml:space="preserve">по которым </w:t>
      </w:r>
      <w:r>
        <w:t>были отложены</w:t>
      </w:r>
      <w:r w:rsidR="009754C2">
        <w:t>, а также позиция правительства Андорры и соответствующие разъяснения.</w:t>
      </w:r>
    </w:p>
    <w:p w:rsidR="009754C2" w:rsidRPr="009754C2" w:rsidRDefault="009754C2" w:rsidP="009754C2">
      <w:pPr>
        <w:pStyle w:val="SingleTxt"/>
        <w:spacing w:after="0" w:line="120" w:lineRule="exact"/>
        <w:rPr>
          <w:sz w:val="10"/>
        </w:rPr>
      </w:pPr>
    </w:p>
    <w:tbl>
      <w:tblPr>
        <w:tblW w:w="13154" w:type="dxa"/>
        <w:tblInd w:w="1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1495"/>
        <w:gridCol w:w="2241"/>
        <w:gridCol w:w="5014"/>
        <w:gridCol w:w="4397"/>
      </w:tblGrid>
      <w:tr w:rsidR="009754C2" w:rsidRPr="00984CAE" w:rsidTr="009754C2">
        <w:trPr>
          <w:gridBefore w:val="1"/>
          <w:gridAfter w:val="1"/>
          <w:wBefore w:w="7" w:type="dxa"/>
          <w:wAfter w:w="4397" w:type="dxa"/>
          <w:tblHeader/>
        </w:trPr>
        <w:tc>
          <w:tcPr>
            <w:tcW w:w="149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9754C2" w:rsidRPr="00984CAE" w:rsidRDefault="009754C2" w:rsidP="009754C2">
            <w:pPr>
              <w:suppressAutoHyphens/>
              <w:spacing w:before="80" w:after="80" w:line="160" w:lineRule="exact"/>
              <w:ind w:right="115"/>
              <w:rPr>
                <w:i/>
                <w:sz w:val="14"/>
              </w:rPr>
            </w:pPr>
            <w:r>
              <w:rPr>
                <w:i/>
                <w:sz w:val="14"/>
              </w:rPr>
              <w:t>Рекомендаци</w:t>
            </w:r>
            <w:r w:rsidR="00FA2A0E">
              <w:rPr>
                <w:i/>
                <w:sz w:val="14"/>
              </w:rPr>
              <w:t>и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9754C2" w:rsidRPr="00984CAE" w:rsidRDefault="009754C2" w:rsidP="009754C2">
            <w:pPr>
              <w:spacing w:before="80" w:after="80" w:line="160" w:lineRule="exact"/>
              <w:ind w:right="115"/>
              <w:rPr>
                <w:i/>
                <w:sz w:val="14"/>
              </w:rPr>
            </w:pPr>
            <w:r>
              <w:rPr>
                <w:i/>
                <w:sz w:val="14"/>
              </w:rPr>
              <w:t>Статус</w:t>
            </w:r>
          </w:p>
        </w:tc>
        <w:tc>
          <w:tcPr>
            <w:tcW w:w="50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9754C2" w:rsidRPr="00984CAE" w:rsidRDefault="009754C2" w:rsidP="009754C2">
            <w:pPr>
              <w:spacing w:before="80" w:after="80" w:line="160" w:lineRule="exact"/>
              <w:ind w:right="115"/>
              <w:rPr>
                <w:i/>
                <w:sz w:val="14"/>
              </w:rPr>
            </w:pPr>
            <w:r>
              <w:rPr>
                <w:i/>
                <w:sz w:val="14"/>
              </w:rPr>
              <w:t>Разъяснения</w:t>
            </w:r>
          </w:p>
        </w:tc>
      </w:tr>
      <w:tr w:rsidR="009754C2" w:rsidRPr="00984CAE" w:rsidTr="009754C2">
        <w:trPr>
          <w:gridBefore w:val="1"/>
          <w:gridAfter w:val="1"/>
          <w:wBefore w:w="7" w:type="dxa"/>
          <w:wAfter w:w="4397" w:type="dxa"/>
          <w:trHeight w:hRule="exact" w:val="115"/>
          <w:tblHeader/>
        </w:trPr>
        <w:tc>
          <w:tcPr>
            <w:tcW w:w="149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9754C2" w:rsidRPr="00984CAE" w:rsidRDefault="009754C2" w:rsidP="009754C2">
            <w:pPr>
              <w:suppressAutoHyphens/>
              <w:spacing w:before="40" w:after="80" w:line="720" w:lineRule="auto"/>
              <w:ind w:right="40"/>
              <w:rPr>
                <w:lang w:val="ca-ES"/>
              </w:rPr>
            </w:pPr>
          </w:p>
        </w:tc>
        <w:tc>
          <w:tcPr>
            <w:tcW w:w="224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9754C2" w:rsidRPr="00984CAE" w:rsidRDefault="009754C2" w:rsidP="009754C2">
            <w:pPr>
              <w:spacing w:before="40" w:after="80" w:line="720" w:lineRule="auto"/>
              <w:ind w:right="397"/>
            </w:pPr>
          </w:p>
        </w:tc>
        <w:tc>
          <w:tcPr>
            <w:tcW w:w="50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9754C2" w:rsidRPr="00984CAE" w:rsidRDefault="009754C2" w:rsidP="009754C2">
            <w:pPr>
              <w:spacing w:before="40" w:after="80" w:line="720" w:lineRule="auto"/>
              <w:ind w:right="397"/>
              <w:rPr>
                <w:lang w:val="es-ES"/>
              </w:rPr>
            </w:pPr>
          </w:p>
        </w:tc>
      </w:tr>
      <w:tr w:rsidR="009754C2" w:rsidRPr="00984CAE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rPr>
                <w:lang w:val="ca-ES"/>
              </w:rPr>
              <w:t>84.1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984CAE" w:rsidRDefault="009754C2" w:rsidP="00FA2A0E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 xml:space="preserve">Андорра обязалась провести подробный анализ своего законодательства для определения того, следует ли принимать какие-либо меры по этому вопросу. Андорра подтверждает свою приверженность </w:t>
            </w:r>
            <w:r w:rsidR="00FA2A0E">
              <w:t>взятым обязательствам, без ущерба для принятия</w:t>
            </w:r>
            <w:r>
              <w:t xml:space="preserve"> в конечном итоге мер по пр</w:t>
            </w:r>
            <w:r w:rsidR="00FA2A0E">
              <w:t>и</w:t>
            </w:r>
            <w:r>
              <w:t>ведению законодательства в полное соответствие с Римским статутом.</w:t>
            </w:r>
          </w:p>
        </w:tc>
      </w:tr>
      <w:tr w:rsidR="009754C2" w:rsidRPr="00984CAE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rPr>
                <w:lang w:val="ca-ES"/>
              </w:rPr>
              <w:t>84.2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Default="009754C2" w:rsidP="00FA2A0E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 xml:space="preserve">Андорра выразила свою готовность продолжать процесс ратификации основных международных договоров по правам человека, отметив, однако, необходимость до присоединения к этим договорам провести всеобъемлющий анализ законов, касающихся каждого из </w:t>
            </w:r>
            <w:r w:rsidR="00FA2A0E">
              <w:t>таких</w:t>
            </w:r>
            <w:r>
              <w:t xml:space="preserve"> международных договоров.</w:t>
            </w:r>
          </w:p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Андорра согласна присоединиться к Факультативному протоколу к Конвенции против пыток (ФП-КПП).</w:t>
            </w:r>
          </w:p>
        </w:tc>
      </w:tr>
      <w:tr w:rsidR="009754C2" w:rsidRPr="005E2394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84.3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Андорра отмечает, что она изучит свое законодательство применительно к каждому из упомянутых международных договоров, не предопределяя решение о присоединении к ним.</w:t>
            </w:r>
          </w:p>
          <w:p w:rsidR="009754C2" w:rsidRPr="005E239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Андорра согласна присоединиться к ФП-КПП.</w:t>
            </w:r>
          </w:p>
        </w:tc>
      </w:tr>
      <w:tr w:rsidR="009754C2" w:rsidRPr="005E2394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84.4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5E239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Андорра не может взять на себя обязательство присоединиться к упомянутой Конвенции.</w:t>
            </w:r>
          </w:p>
        </w:tc>
      </w:tr>
      <w:tr w:rsidR="009754C2" w:rsidRPr="005E2394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84.5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5E239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См</w:t>
            </w:r>
            <w:r w:rsidRPr="005E2394">
              <w:rPr>
                <w:lang w:val="es-ES"/>
              </w:rPr>
              <w:t>. 84.4.</w:t>
            </w:r>
          </w:p>
        </w:tc>
      </w:tr>
      <w:tr w:rsidR="009754C2" w:rsidRPr="005E2394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5E239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5E2394">
              <w:rPr>
                <w:lang w:val="es-ES"/>
              </w:rPr>
              <w:t>84.6</w:t>
            </w:r>
          </w:p>
        </w:tc>
        <w:tc>
          <w:tcPr>
            <w:tcW w:w="2241" w:type="dxa"/>
            <w:shd w:val="clear" w:color="auto" w:fill="auto"/>
          </w:tcPr>
          <w:p w:rsidR="009754C2" w:rsidRPr="005E239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5E239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В настоящий момент Андорра не может взять на себя обязательство по изучению упомянутой Конвенции, однако она изучит другие международные договоры по правам человека, указанные в других рекомендациях.</w:t>
            </w:r>
          </w:p>
        </w:tc>
      </w:tr>
      <w:tr w:rsidR="009754C2" w:rsidRPr="005E2394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84.7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5E239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См</w:t>
            </w:r>
            <w:r w:rsidRPr="005E2394">
              <w:rPr>
                <w:lang w:val="es-ES"/>
              </w:rPr>
              <w:t>. 84.6.</w:t>
            </w:r>
          </w:p>
        </w:tc>
      </w:tr>
      <w:tr w:rsidR="009754C2" w:rsidRPr="005E2394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5E239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5E2394">
              <w:rPr>
                <w:lang w:val="es-ES"/>
              </w:rPr>
              <w:t>84.8</w:t>
            </w:r>
          </w:p>
        </w:tc>
        <w:tc>
          <w:tcPr>
            <w:tcW w:w="2241" w:type="dxa"/>
            <w:shd w:val="clear" w:color="auto" w:fill="auto"/>
          </w:tcPr>
          <w:p w:rsidR="009754C2" w:rsidRPr="005E239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5E239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Андорра не может присоединиться к Международному пакту об экономических, социальных и культурных правах (МПЭСКП), однако она проведет анализ своего законодательства в соответствии с рекомендациями 84.2 и 84.11.</w:t>
            </w:r>
          </w:p>
        </w:tc>
      </w:tr>
      <w:tr w:rsidR="009754C2" w:rsidRPr="005E2394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84.9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5E239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См</w:t>
            </w:r>
            <w:r w:rsidRPr="005E2394">
              <w:rPr>
                <w:lang w:val="es-ES"/>
              </w:rPr>
              <w:t>. 84.8.</w:t>
            </w:r>
          </w:p>
        </w:tc>
      </w:tr>
      <w:tr w:rsidR="009754C2" w:rsidRPr="005E2394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5E239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5E2394">
              <w:rPr>
                <w:lang w:val="es-ES"/>
              </w:rPr>
              <w:t>84.10</w:t>
            </w:r>
          </w:p>
        </w:tc>
        <w:tc>
          <w:tcPr>
            <w:tcW w:w="2241" w:type="dxa"/>
            <w:shd w:val="clear" w:color="auto" w:fill="auto"/>
          </w:tcPr>
          <w:p w:rsidR="009754C2" w:rsidRPr="005E239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5E239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См</w:t>
            </w:r>
            <w:r w:rsidRPr="005E2394">
              <w:rPr>
                <w:lang w:val="es-ES"/>
              </w:rPr>
              <w:t>. 84.8.</w:t>
            </w:r>
          </w:p>
        </w:tc>
      </w:tr>
      <w:tr w:rsidR="009754C2" w:rsidRPr="005E2394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5E239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5E2394">
              <w:rPr>
                <w:lang w:val="es-ES"/>
              </w:rPr>
              <w:t>84.11</w:t>
            </w:r>
          </w:p>
        </w:tc>
        <w:tc>
          <w:tcPr>
            <w:tcW w:w="2241" w:type="dxa"/>
            <w:shd w:val="clear" w:color="auto" w:fill="auto"/>
          </w:tcPr>
          <w:p w:rsidR="009754C2" w:rsidRPr="005E239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5E2394" w:rsidRDefault="009754C2" w:rsidP="00FA2A0E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 xml:space="preserve">Андорра отмечает, что она сопоставит свое законодательство с положениями МПЭСКП, не предопределяя конечного решения о присоединении к </w:t>
            </w:r>
            <w:r w:rsidR="00FA2A0E">
              <w:t>Пакту</w:t>
            </w:r>
            <w:r>
              <w:t>.</w:t>
            </w:r>
          </w:p>
        </w:tc>
      </w:tr>
      <w:tr w:rsidR="009754C2" w:rsidRPr="00AC337D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84.12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См</w:t>
            </w:r>
            <w:r w:rsidRPr="00AC337D">
              <w:rPr>
                <w:lang w:val="es-ES"/>
              </w:rPr>
              <w:t>. 84.8.</w:t>
            </w:r>
          </w:p>
        </w:tc>
      </w:tr>
      <w:tr w:rsidR="009754C2" w:rsidRPr="00AC337D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AC337D">
              <w:rPr>
                <w:lang w:val="es-ES"/>
              </w:rPr>
              <w:t>84.13</w:t>
            </w:r>
          </w:p>
        </w:tc>
        <w:tc>
          <w:tcPr>
            <w:tcW w:w="2241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9754C2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См</w:t>
            </w:r>
            <w:r w:rsidRPr="009754C2">
              <w:t>. 84.8.</w:t>
            </w:r>
          </w:p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Андорра согласна присоединиться к ФП-КПП.</w:t>
            </w:r>
          </w:p>
        </w:tc>
      </w:tr>
      <w:tr w:rsidR="009754C2" w:rsidRPr="00AC337D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AC337D">
              <w:rPr>
                <w:lang w:val="es-ES"/>
              </w:rPr>
              <w:t>84.14</w:t>
            </w:r>
          </w:p>
        </w:tc>
        <w:tc>
          <w:tcPr>
            <w:tcW w:w="2241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</w:p>
        </w:tc>
      </w:tr>
      <w:tr w:rsidR="009754C2" w:rsidRPr="00AC337D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AC337D">
              <w:rPr>
                <w:lang w:val="es-ES"/>
              </w:rPr>
              <w:t>84.15</w:t>
            </w:r>
          </w:p>
        </w:tc>
        <w:tc>
          <w:tcPr>
            <w:tcW w:w="2241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</w:p>
        </w:tc>
      </w:tr>
      <w:tr w:rsidR="009754C2" w:rsidRPr="00AC337D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AC337D">
              <w:rPr>
                <w:lang w:val="es-ES"/>
              </w:rPr>
              <w:t>84.16</w:t>
            </w:r>
          </w:p>
        </w:tc>
        <w:tc>
          <w:tcPr>
            <w:tcW w:w="2241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См</w:t>
            </w:r>
            <w:r w:rsidRPr="00AC337D">
              <w:rPr>
                <w:lang w:val="es-ES"/>
              </w:rPr>
              <w:t>. 84.2.</w:t>
            </w:r>
          </w:p>
        </w:tc>
      </w:tr>
      <w:tr w:rsidR="009754C2" w:rsidRPr="00AC337D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AC337D">
              <w:rPr>
                <w:lang w:val="es-ES"/>
              </w:rPr>
              <w:t>84.17</w:t>
            </w:r>
          </w:p>
        </w:tc>
        <w:tc>
          <w:tcPr>
            <w:tcW w:w="2241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См</w:t>
            </w:r>
            <w:r w:rsidRPr="00AC337D">
              <w:rPr>
                <w:lang w:val="es-ES"/>
              </w:rPr>
              <w:t>. 84.2.</w:t>
            </w:r>
          </w:p>
        </w:tc>
      </w:tr>
      <w:tr w:rsidR="009754C2" w:rsidRPr="00AC337D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AC337D">
              <w:rPr>
                <w:lang w:val="es-ES"/>
              </w:rPr>
              <w:t>84.18</w:t>
            </w:r>
          </w:p>
        </w:tc>
        <w:tc>
          <w:tcPr>
            <w:tcW w:w="2241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</w:p>
        </w:tc>
      </w:tr>
      <w:tr w:rsidR="009754C2" w:rsidRPr="00AC337D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AC337D">
              <w:rPr>
                <w:lang w:val="es-ES"/>
              </w:rPr>
              <w:t>84.19</w:t>
            </w:r>
          </w:p>
        </w:tc>
        <w:tc>
          <w:tcPr>
            <w:tcW w:w="2241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Андорра не является государством – членом Международной организации труда (МОТ) и не может присоединиться к конвенциям МОТ. При этом следует отметить, что национальное трудовое законодательство соответст</w:t>
            </w:r>
            <w:r w:rsidR="006C0568">
              <w:t>вует основным конвенциям МОТ. В </w:t>
            </w:r>
            <w:r>
              <w:t xml:space="preserve">частности, раздел 5 под названием «Труд несовершеннолетних» главы </w:t>
            </w:r>
            <w:r>
              <w:rPr>
                <w:lang w:val="en-US"/>
              </w:rPr>
              <w:t>II</w:t>
            </w:r>
            <w:r>
              <w:t xml:space="preserve"> Трудового кодекса соответствует положениям Конвенции № 138.</w:t>
            </w:r>
          </w:p>
        </w:tc>
      </w:tr>
      <w:tr w:rsidR="009754C2" w:rsidRPr="00AC337D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84.20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Андорра не является государством – членом МОТ и не может присоединиться к конвенциям МОТ. Следует отметить, что в стране отсутствуют какие-либо конкретные нормативно-правовые акты о домашних работниках, однако им предоставляются такие же права, как и другим трудящимся.</w:t>
            </w:r>
          </w:p>
        </w:tc>
      </w:tr>
      <w:tr w:rsidR="009754C2" w:rsidRPr="00AC337D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84.21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Андорра не является государством – членом МОТ и не может присоединиться к конвенциям МОТ. Вместе с тем статьи 4, 45 и 74.2 Трудового кодекса предусматривают запрет на дискриминацию по признаку пола.</w:t>
            </w:r>
          </w:p>
        </w:tc>
      </w:tr>
      <w:tr w:rsidR="009754C2" w:rsidRPr="00AC337D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84.22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 xml:space="preserve">Андорра не обладает достаточными ресурсами для вступления во все международные </w:t>
            </w:r>
            <w:r w:rsidR="006C0568">
              <w:t>организации. При </w:t>
            </w:r>
            <w:r>
              <w:t>этом следует отметить, что трудовое законодательство соответствует международным нормам и положениям основных конвенций МОТ. Кроме того, они применяются в качестве вспомогательных правовых норм в соответствии с Трудовым кодексом.</w:t>
            </w:r>
          </w:p>
        </w:tc>
      </w:tr>
      <w:tr w:rsidR="009754C2" w:rsidRPr="00AC337D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84.23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Андорра сообщает, что она изучит указанную Конвенцию, не предопределяя решение о присоединении к ней.</w:t>
            </w:r>
          </w:p>
        </w:tc>
      </w:tr>
      <w:tr w:rsidR="009754C2" w:rsidRPr="00487289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84.24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C337D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В Андорре существовала и существует по сей день особая демографическая структура, отличительной чертой которой является присутствие в стране иммигрантов главным образом из соседних или близлежащих стран. Наличие трех государственных систем бесплатного образования – испанской, французской и андоррской – способствовало интеграции имми</w:t>
            </w:r>
            <w:r w:rsidR="00FE5997">
              <w:t>грантов в стране</w:t>
            </w:r>
            <w:r>
              <w:t xml:space="preserve">. Кроме того, в 2008 году Андорра ратифицировала Протокол № 12 к Конвенции о защите прав человека </w:t>
            </w:r>
            <w:r w:rsidR="006C0568">
              <w:t>и основных свобод, в котором, в </w:t>
            </w:r>
            <w:r>
              <w:t>частности, указано, что закрепленные в законодательстве права и свободы должны гарантироваться без какой-либо дискриминации.</w:t>
            </w:r>
          </w:p>
          <w:p w:rsidR="009754C2" w:rsidRPr="00487289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Вместе с тем в настоящее время Андорра не плани</w:t>
            </w:r>
            <w:r w:rsidR="00FE5997">
              <w:t>рует присоединя</w:t>
            </w:r>
            <w:r>
              <w:t>ться к Рамочной конвенции о защите национальных меньшинств.</w:t>
            </w:r>
          </w:p>
        </w:tc>
      </w:tr>
      <w:tr w:rsidR="009754C2" w:rsidRPr="00487289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84.25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487289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Изменение законодательства с целью отмены уголовной ответственности за прерывание беременности при определенных обстоятельствах в соответствии с этой рекомендацией предполагает изменение статьи 8.1 Конституции, которая гарантирует право на жизнь и на ее полноценную защиту на всех стадиях.</w:t>
            </w:r>
          </w:p>
        </w:tc>
      </w:tr>
      <w:tr w:rsidR="009754C2" w:rsidRPr="00487289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84.26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487289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См</w:t>
            </w:r>
            <w:r w:rsidRPr="00487289">
              <w:rPr>
                <w:lang w:val="es-ES"/>
              </w:rPr>
              <w:t>. 84.25.</w:t>
            </w:r>
          </w:p>
        </w:tc>
      </w:tr>
      <w:tr w:rsidR="009754C2" w:rsidRPr="004555E2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487289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487289">
              <w:rPr>
                <w:lang w:val="es-ES"/>
              </w:rPr>
              <w:t>84.27</w:t>
            </w:r>
          </w:p>
        </w:tc>
        <w:tc>
          <w:tcPr>
            <w:tcW w:w="2241" w:type="dxa"/>
            <w:shd w:val="clear" w:color="auto" w:fill="auto"/>
          </w:tcPr>
          <w:p w:rsidR="009754C2" w:rsidRPr="00487289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487289" w:rsidRDefault="009754C2" w:rsidP="00FE5997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754C2">
              <w:t xml:space="preserve">21 </w:t>
            </w:r>
            <w:r>
              <w:t>марта</w:t>
            </w:r>
            <w:r w:rsidRPr="009754C2">
              <w:t xml:space="preserve"> 1996 </w:t>
            </w:r>
            <w:r>
              <w:t>года</w:t>
            </w:r>
            <w:r w:rsidRPr="009754C2">
              <w:t xml:space="preserve"> </w:t>
            </w:r>
            <w:r>
              <w:t>Андорра</w:t>
            </w:r>
            <w:r w:rsidRPr="009754C2">
              <w:t xml:space="preserve"> </w:t>
            </w:r>
            <w:r>
              <w:t>приняла</w:t>
            </w:r>
            <w:r w:rsidRPr="009754C2">
              <w:t xml:space="preserve"> </w:t>
            </w:r>
            <w:r>
              <w:t>Закон</w:t>
            </w:r>
            <w:r w:rsidRPr="009754C2">
              <w:t xml:space="preserve"> </w:t>
            </w:r>
            <w:r>
              <w:t>об</w:t>
            </w:r>
            <w:r w:rsidRPr="009754C2">
              <w:t xml:space="preserve"> </w:t>
            </w:r>
            <w:r>
              <w:t>усыновлении</w:t>
            </w:r>
            <w:r w:rsidRPr="009754C2">
              <w:t xml:space="preserve"> </w:t>
            </w:r>
            <w:r>
              <w:t>и</w:t>
            </w:r>
            <w:r w:rsidRPr="009754C2">
              <w:t xml:space="preserve"> </w:t>
            </w:r>
            <w:r>
              <w:t>других</w:t>
            </w:r>
            <w:r w:rsidRPr="009754C2">
              <w:t xml:space="preserve"> </w:t>
            </w:r>
            <w:r>
              <w:t>формах</w:t>
            </w:r>
            <w:r w:rsidRPr="009754C2">
              <w:t xml:space="preserve"> </w:t>
            </w:r>
            <w:r>
              <w:t>защиты</w:t>
            </w:r>
            <w:r w:rsidRPr="009754C2">
              <w:t xml:space="preserve"> </w:t>
            </w:r>
            <w:r>
              <w:t>несовершеннолетних</w:t>
            </w:r>
            <w:r w:rsidRPr="009754C2">
              <w:t xml:space="preserve">, </w:t>
            </w:r>
            <w:r>
              <w:t>лишенных</w:t>
            </w:r>
            <w:r w:rsidRPr="009754C2">
              <w:t xml:space="preserve"> </w:t>
            </w:r>
            <w:r>
              <w:t>родительской</w:t>
            </w:r>
            <w:r w:rsidRPr="009754C2">
              <w:t xml:space="preserve"> </w:t>
            </w:r>
            <w:r>
              <w:t>опеки</w:t>
            </w:r>
            <w:r w:rsidRPr="009754C2">
              <w:t xml:space="preserve">. </w:t>
            </w:r>
            <w:r>
              <w:t xml:space="preserve">Со временем в различные профильные законы были включены положения, гарантирующие права детей. Например, последнее изменение Уголовного кодекса в соответствии с Законом 40/2014 позволило </w:t>
            </w:r>
            <w:r w:rsidR="00FE5997">
              <w:t>дополнить квалификацию посягательства на физическую неприкосновенность, включив в нее телесные наказания</w:t>
            </w:r>
            <w:r>
              <w:t xml:space="preserve">. Что касается определения функций и обязанностей государственных учреждений </w:t>
            </w:r>
            <w:r w:rsidR="00FE5997">
              <w:t>в области</w:t>
            </w:r>
            <w:r>
              <w:t xml:space="preserve"> защиты детей, </w:t>
            </w:r>
            <w:r w:rsidR="00FE5997">
              <w:t xml:space="preserve">то </w:t>
            </w:r>
            <w:r>
              <w:t>в статье 2 Постановления от 3 ян</w:t>
            </w:r>
            <w:r w:rsidR="00BE75D0">
              <w:t>варя 2013 </w:t>
            </w:r>
            <w:r>
              <w:t>года о внесении поправок в Правила усыновле</w:t>
            </w:r>
            <w:r w:rsidR="00FE5997">
              <w:t>ния</w:t>
            </w:r>
            <w:r>
              <w:t xml:space="preserve"> </w:t>
            </w:r>
            <w:r w:rsidR="00FE5997">
              <w:t>в</w:t>
            </w:r>
            <w:r w:rsidR="006C0568">
              <w:t> </w:t>
            </w:r>
            <w:r w:rsidR="00FE5997">
              <w:t>развитие по</w:t>
            </w:r>
            <w:r w:rsidR="00BE75D0">
              <w:t>ложений Закона от 21 марта 1996 </w:t>
            </w:r>
            <w:r w:rsidR="00FE5997">
              <w:t>года</w:t>
            </w:r>
            <w:r>
              <w:t xml:space="preserve"> государственным органом, уполномоченным обеспечивать защиту </w:t>
            </w:r>
            <w:r w:rsidR="00FE5997">
              <w:t xml:space="preserve">и оказание помощи </w:t>
            </w:r>
            <w:r>
              <w:t>де</w:t>
            </w:r>
            <w:r w:rsidR="00FE5997">
              <w:t>тям</w:t>
            </w:r>
            <w:r>
              <w:t>, находящи</w:t>
            </w:r>
            <w:r w:rsidR="00FE5997">
              <w:t>м</w:t>
            </w:r>
            <w:r>
              <w:t>ся в опасности или лишен</w:t>
            </w:r>
            <w:r w:rsidR="00FE5997">
              <w:t>ным</w:t>
            </w:r>
            <w:r>
              <w:t xml:space="preserve"> опеки, а также дет</w:t>
            </w:r>
            <w:r w:rsidR="00FE5997">
              <w:t>ям</w:t>
            </w:r>
            <w:r>
              <w:t xml:space="preserve"> на этапе усыновления</w:t>
            </w:r>
            <w:r w:rsidR="00FE5997">
              <w:t xml:space="preserve"> или после усыновления</w:t>
            </w:r>
            <w:r>
              <w:t xml:space="preserve">, </w:t>
            </w:r>
            <w:r w:rsidR="00FE5997">
              <w:t>назначено Управление социального обеспечения.</w:t>
            </w:r>
            <w:r>
              <w:t xml:space="preserve"> </w:t>
            </w:r>
          </w:p>
          <w:p w:rsidR="009754C2" w:rsidRPr="004555E2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Поэтому Андорра считает, что существующие нормативно-правовые акты в достаточной степени определяют функции и обязанности государственных учреждений.</w:t>
            </w:r>
          </w:p>
        </w:tc>
      </w:tr>
      <w:tr w:rsidR="009754C2" w:rsidRPr="004555E2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4555E2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487289">
              <w:rPr>
                <w:lang w:val="es-ES"/>
              </w:rPr>
              <w:t>84.28</w:t>
            </w:r>
          </w:p>
        </w:tc>
        <w:tc>
          <w:tcPr>
            <w:tcW w:w="2241" w:type="dxa"/>
            <w:shd w:val="clear" w:color="auto" w:fill="auto"/>
          </w:tcPr>
          <w:p w:rsidR="009754C2" w:rsidRPr="00487289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4555E2" w:rsidRDefault="009754C2" w:rsidP="00FE5997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 xml:space="preserve">Андорра занимается последовательной кодификацией своих норм гражданского права и примет решение относительно целесообразности декриминализации диффамации и ее </w:t>
            </w:r>
            <w:r w:rsidR="00FE5997">
              <w:t>включения</w:t>
            </w:r>
            <w:r>
              <w:t xml:space="preserve"> в новый Гражданский кодекс</w:t>
            </w:r>
            <w:r w:rsidR="00FE5997">
              <w:t>,</w:t>
            </w:r>
            <w:r>
              <w:t xml:space="preserve"> и </w:t>
            </w:r>
            <w:r w:rsidR="00FE5997">
              <w:t xml:space="preserve">поэтому она </w:t>
            </w:r>
            <w:r>
              <w:t>не может взять на себя обязательство по выполнению этой рекомендации в установленные сроки.</w:t>
            </w:r>
          </w:p>
        </w:tc>
      </w:tr>
      <w:tr w:rsidR="009754C2" w:rsidRPr="004555E2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84.29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4555E2" w:rsidRDefault="009754C2" w:rsidP="001C29B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Андорра считает национальн</w:t>
            </w:r>
            <w:r w:rsidR="00FE5997">
              <w:t>ые суды и Народного защитника (о</w:t>
            </w:r>
            <w:r>
              <w:t>мбудсмен</w:t>
            </w:r>
            <w:r w:rsidR="00FE5997">
              <w:t>а</w:t>
            </w:r>
            <w:r>
              <w:t xml:space="preserve">) основными гарантами прав человека в стране. </w:t>
            </w:r>
            <w:r w:rsidR="001C29B3">
              <w:t>Вместе с тем она</w:t>
            </w:r>
            <w:r>
              <w:t xml:space="preserve"> считает актуальным проведение оценки целесообразности создания единого национального учреждения по правам человека (НУПЧ) в стране в соответствии с Парижскими принципами без предопределения конечного решения по его созданию.</w:t>
            </w:r>
          </w:p>
        </w:tc>
      </w:tr>
      <w:tr w:rsidR="009754C2" w:rsidRPr="00A32734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84.30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3273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Андорра не может гарантировать создание НУПЧ, но рассмотрит этот вопрос в соответствии с рекомендацией 84.29.</w:t>
            </w:r>
          </w:p>
        </w:tc>
      </w:tr>
      <w:tr w:rsidR="009754C2" w:rsidRPr="00A32734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84.31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3273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См</w:t>
            </w:r>
            <w:r w:rsidRPr="00A32734">
              <w:rPr>
                <w:lang w:val="es-ES"/>
              </w:rPr>
              <w:t>. 84.30.</w:t>
            </w:r>
          </w:p>
        </w:tc>
      </w:tr>
      <w:tr w:rsidR="009754C2" w:rsidRPr="00A32734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A3273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A32734">
              <w:rPr>
                <w:lang w:val="es-ES"/>
              </w:rPr>
              <w:t>84.32</w:t>
            </w:r>
          </w:p>
        </w:tc>
        <w:tc>
          <w:tcPr>
            <w:tcW w:w="2241" w:type="dxa"/>
            <w:shd w:val="clear" w:color="auto" w:fill="auto"/>
          </w:tcPr>
          <w:p w:rsidR="009754C2" w:rsidRPr="00A3273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3273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См</w:t>
            </w:r>
            <w:r w:rsidRPr="00A32734">
              <w:rPr>
                <w:lang w:val="es-ES"/>
              </w:rPr>
              <w:t>. 84.30.</w:t>
            </w:r>
          </w:p>
        </w:tc>
      </w:tr>
      <w:tr w:rsidR="009754C2" w:rsidRPr="00A32734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A32734" w:rsidRDefault="009754C2" w:rsidP="006C0568">
            <w:pPr>
              <w:keepNext/>
              <w:keepLines/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A32734">
              <w:rPr>
                <w:lang w:val="es-ES"/>
              </w:rPr>
              <w:t>84.33</w:t>
            </w:r>
          </w:p>
        </w:tc>
        <w:tc>
          <w:tcPr>
            <w:tcW w:w="2241" w:type="dxa"/>
            <w:shd w:val="clear" w:color="auto" w:fill="auto"/>
          </w:tcPr>
          <w:p w:rsidR="009754C2" w:rsidRPr="00A32734" w:rsidRDefault="009754C2" w:rsidP="006C0568">
            <w:pPr>
              <w:keepNext/>
              <w:keepLines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32734" w:rsidRDefault="009754C2" w:rsidP="006C0568">
            <w:pPr>
              <w:keepNext/>
              <w:keepLines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См</w:t>
            </w:r>
            <w:r w:rsidRPr="00A32734">
              <w:rPr>
                <w:lang w:val="es-ES"/>
              </w:rPr>
              <w:t>. 84.30.</w:t>
            </w:r>
          </w:p>
        </w:tc>
      </w:tr>
      <w:tr w:rsidR="009754C2" w:rsidRPr="00A32734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A3273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A32734">
              <w:rPr>
                <w:lang w:val="es-ES"/>
              </w:rPr>
              <w:t>84.34</w:t>
            </w:r>
          </w:p>
        </w:tc>
        <w:tc>
          <w:tcPr>
            <w:tcW w:w="2241" w:type="dxa"/>
            <w:shd w:val="clear" w:color="auto" w:fill="auto"/>
          </w:tcPr>
          <w:p w:rsidR="009754C2" w:rsidRPr="00A3273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3273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См</w:t>
            </w:r>
            <w:r w:rsidRPr="00A32734">
              <w:rPr>
                <w:lang w:val="es-ES"/>
              </w:rPr>
              <w:t>. 84.30.</w:t>
            </w:r>
          </w:p>
        </w:tc>
      </w:tr>
      <w:tr w:rsidR="009754C2" w:rsidRPr="00A32734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A3273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A32734">
              <w:rPr>
                <w:lang w:val="es-ES"/>
              </w:rPr>
              <w:t>84.35</w:t>
            </w:r>
          </w:p>
        </w:tc>
        <w:tc>
          <w:tcPr>
            <w:tcW w:w="2241" w:type="dxa"/>
            <w:shd w:val="clear" w:color="auto" w:fill="auto"/>
          </w:tcPr>
          <w:p w:rsidR="009754C2" w:rsidRPr="00A3273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A3273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</w:p>
        </w:tc>
      </w:tr>
      <w:tr w:rsidR="009754C2" w:rsidRPr="00A32734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A3273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A32734">
              <w:rPr>
                <w:lang w:val="es-ES"/>
              </w:rPr>
              <w:t>84.36</w:t>
            </w:r>
          </w:p>
        </w:tc>
        <w:tc>
          <w:tcPr>
            <w:tcW w:w="2241" w:type="dxa"/>
            <w:shd w:val="clear" w:color="auto" w:fill="auto"/>
          </w:tcPr>
          <w:p w:rsidR="009754C2" w:rsidRPr="00A32734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  <w:rPr>
                <w:lang w:val="es-ES"/>
              </w:rPr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32734" w:rsidRDefault="00BE75D0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С учетом национальной</w:t>
            </w:r>
            <w:r w:rsidR="009754C2">
              <w:t xml:space="preserve"> демографической и адми</w:t>
            </w:r>
            <w:r w:rsidR="001C29B3">
              <w:t>нистративной структуры</w:t>
            </w:r>
            <w:r w:rsidR="009754C2">
              <w:t xml:space="preserve"> Андорра в настоящее время рассматривает возможности улучшения положе</w:t>
            </w:r>
            <w:r w:rsidR="006C0568">
              <w:t>ния в </w:t>
            </w:r>
            <w:r w:rsidR="009754C2">
              <w:t>области прав человека на основе отраслевого подхода и в соответствии с полномочиями каждого министерства и департамента правительства. При этом в соответствии с рекомендацией 84.29 будет изучена возможность наделения НУПЧ полномочиями выносить рекомендации и участвовать в разработке национального плана по правам человека.</w:t>
            </w:r>
          </w:p>
        </w:tc>
      </w:tr>
      <w:tr w:rsidR="009754C2" w:rsidRPr="00984CAE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84.37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984CAE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84.38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7B35E1" w:rsidTr="009754C2">
        <w:trPr>
          <w:gridBefore w:val="1"/>
          <w:gridAfter w:val="1"/>
          <w:wBefore w:w="7" w:type="dxa"/>
          <w:wAfter w:w="4397" w:type="dxa"/>
        </w:trPr>
        <w:tc>
          <w:tcPr>
            <w:tcW w:w="1495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115"/>
            </w:pPr>
            <w:r w:rsidRPr="00984CAE">
              <w:t>84.39</w:t>
            </w:r>
          </w:p>
        </w:tc>
        <w:tc>
          <w:tcPr>
            <w:tcW w:w="2241" w:type="dxa"/>
            <w:shd w:val="clear" w:color="auto" w:fill="auto"/>
          </w:tcPr>
          <w:p w:rsidR="009754C2" w:rsidRPr="00984CAE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7B35E1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Ратификация Конвенции Совета Европы о защите детей от эксплуатации и надругательств сексуального характера и внесение поправок в Уголовный кодекс в соответствии с Законом 40/2014 позволили завершить процесс криминализации торговли людьми, включая торговлю людьми с целью извлечения орга</w:t>
            </w:r>
            <w:r w:rsidR="001C29B3">
              <w:t>нов, содержания</w:t>
            </w:r>
            <w:r>
              <w:t xml:space="preserve"> в рабстве или в подневольном положении и сексуальной эксплуатации.</w:t>
            </w:r>
          </w:p>
          <w:p w:rsidR="009754C2" w:rsidRPr="007B35E1" w:rsidRDefault="009754C2" w:rsidP="009754C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Вместе с тем Андорра не может внести новые изменения в уголовное законодательство для распространения уголовно</w:t>
            </w:r>
            <w:r w:rsidR="001C29B3">
              <w:t>й ответственности на юридических лиц</w:t>
            </w:r>
            <w:r>
              <w:t>, поскольку для этого потребуется глобальный пересмотр действующих положений об уголовной ответственности.</w:t>
            </w: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84.40</w:t>
            </w:r>
          </w:p>
        </w:tc>
        <w:tc>
          <w:tcPr>
            <w:tcW w:w="2241" w:type="dxa"/>
            <w:shd w:val="clear" w:color="auto" w:fill="auto"/>
          </w:tcPr>
          <w:p w:rsidR="009754C2" w:rsidRPr="0068213D" w:rsidRDefault="006C0568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</w:r>
            <w:r w:rsidR="009754C2"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68213D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 xml:space="preserve">Андорра считает, что действующее законодательство уже предусматривает возмещение ущерба жертвам. Что касается конкретной политики по борьбе с принудительным трудом и проституцией, </w:t>
            </w:r>
            <w:r w:rsidR="001C29B3">
              <w:t xml:space="preserve">то </w:t>
            </w:r>
            <w:r>
              <w:t>власти всегда внимательно отслеживают любые соответствующие деяния. Кроме того, в стране не были зарегистрированы подобные случаи, поэтому не может быть разработано политики по этому вопросу</w:t>
            </w:r>
            <w:r w:rsidR="00BE75D0">
              <w:t>.</w:t>
            </w: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68213D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68213D">
              <w:t>84.41</w:t>
            </w:r>
          </w:p>
        </w:tc>
        <w:tc>
          <w:tcPr>
            <w:tcW w:w="2241" w:type="dxa"/>
            <w:shd w:val="clear" w:color="auto" w:fill="auto"/>
          </w:tcPr>
          <w:p w:rsidR="009754C2" w:rsidRPr="0068213D" w:rsidRDefault="006C0568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</w:r>
            <w:r w:rsidR="009754C2"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68213D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 xml:space="preserve">В Андорре отсутствуют программы по борьбе с торговлей людьми, поскольку в стране </w:t>
            </w:r>
            <w:r w:rsidR="001C29B3">
              <w:t xml:space="preserve">не </w:t>
            </w:r>
            <w:r>
              <w:t>было зарегистрировано подобной практики. Кроме того, компетентные органы власти отслеживают любую подобную преступную деятельность.</w:t>
            </w: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68213D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68213D">
              <w:t>84.42</w:t>
            </w:r>
          </w:p>
        </w:tc>
        <w:tc>
          <w:tcPr>
            <w:tcW w:w="2241" w:type="dxa"/>
            <w:shd w:val="clear" w:color="auto" w:fill="auto"/>
          </w:tcPr>
          <w:p w:rsidR="009754C2" w:rsidRPr="0068213D" w:rsidRDefault="006C0568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</w:r>
            <w:r w:rsidR="009754C2"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См</w:t>
            </w:r>
            <w:r w:rsidRPr="00952DA3">
              <w:t>. 84.41.</w:t>
            </w: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68213D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84.43</w:t>
            </w:r>
          </w:p>
        </w:tc>
        <w:tc>
          <w:tcPr>
            <w:tcW w:w="2241" w:type="dxa"/>
            <w:shd w:val="clear" w:color="auto" w:fill="auto"/>
          </w:tcPr>
          <w:p w:rsidR="009754C2" w:rsidRPr="0068213D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C7594B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68213D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84.44</w:t>
            </w:r>
          </w:p>
        </w:tc>
        <w:tc>
          <w:tcPr>
            <w:tcW w:w="2241" w:type="dxa"/>
            <w:shd w:val="clear" w:color="auto" w:fill="auto"/>
          </w:tcPr>
          <w:p w:rsidR="009754C2" w:rsidRPr="0068213D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C7594B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Андорра</w:t>
            </w:r>
            <w:r w:rsidRPr="0068213D">
              <w:t xml:space="preserve"> </w:t>
            </w:r>
            <w:r>
              <w:t>считает</w:t>
            </w:r>
            <w:r w:rsidRPr="0068213D">
              <w:t xml:space="preserve"> </w:t>
            </w:r>
            <w:r>
              <w:t>эту</w:t>
            </w:r>
            <w:r w:rsidRPr="0068213D">
              <w:t xml:space="preserve"> </w:t>
            </w:r>
            <w:r>
              <w:t>рекомендацию</w:t>
            </w:r>
            <w:r w:rsidRPr="0068213D">
              <w:t xml:space="preserve"> </w:t>
            </w:r>
            <w:r>
              <w:t>уже</w:t>
            </w:r>
            <w:r w:rsidRPr="0068213D">
              <w:t xml:space="preserve"> </w:t>
            </w:r>
            <w:r>
              <w:t>выполненной</w:t>
            </w:r>
            <w:r w:rsidRPr="0068213D">
              <w:t>.</w:t>
            </w:r>
            <w:r>
              <w:t xml:space="preserve"> Последняя</w:t>
            </w:r>
            <w:r w:rsidRPr="0068213D">
              <w:t xml:space="preserve"> </w:t>
            </w:r>
            <w:r>
              <w:t>поправка</w:t>
            </w:r>
            <w:r w:rsidRPr="0068213D">
              <w:t xml:space="preserve">, </w:t>
            </w:r>
            <w:r>
              <w:t>внесенная</w:t>
            </w:r>
            <w:r w:rsidRPr="0068213D">
              <w:t xml:space="preserve"> </w:t>
            </w:r>
            <w:r>
              <w:t>в</w:t>
            </w:r>
            <w:r w:rsidRPr="0068213D">
              <w:t xml:space="preserve"> </w:t>
            </w:r>
            <w:r>
              <w:t>Уголовный</w:t>
            </w:r>
            <w:r w:rsidRPr="0068213D">
              <w:t xml:space="preserve"> </w:t>
            </w:r>
            <w:r>
              <w:t>кодекс</w:t>
            </w:r>
            <w:r w:rsidRPr="0068213D">
              <w:t xml:space="preserve"> </w:t>
            </w:r>
            <w:r>
              <w:t>в</w:t>
            </w:r>
            <w:r w:rsidRPr="0068213D">
              <w:t xml:space="preserve"> </w:t>
            </w:r>
            <w:r>
              <w:t>соответствии</w:t>
            </w:r>
            <w:r w:rsidRPr="0068213D">
              <w:t xml:space="preserve"> </w:t>
            </w:r>
            <w:r>
              <w:t>с</w:t>
            </w:r>
            <w:r w:rsidRPr="0068213D">
              <w:t xml:space="preserve"> </w:t>
            </w:r>
            <w:r w:rsidR="001C29B3">
              <w:t>З</w:t>
            </w:r>
            <w:r>
              <w:t>аконом</w:t>
            </w:r>
            <w:r w:rsidRPr="0068213D">
              <w:t xml:space="preserve"> 40/2014, </w:t>
            </w:r>
            <w:r>
              <w:t>предусматривает уголовную ответственность за такое преступление, как публичное подстрекательство к расовому насилию, ненависти и дискриминации. В</w:t>
            </w:r>
            <w:r w:rsidRPr="00C7594B">
              <w:t xml:space="preserve"> </w:t>
            </w:r>
            <w:r>
              <w:t>частности</w:t>
            </w:r>
            <w:r w:rsidRPr="00C7594B">
              <w:t xml:space="preserve">, </w:t>
            </w:r>
            <w:r>
              <w:t>пункт</w:t>
            </w:r>
            <w:r w:rsidRPr="00C7594B">
              <w:t xml:space="preserve"> 1 </w:t>
            </w:r>
            <w:r>
              <w:t>новой</w:t>
            </w:r>
            <w:r w:rsidRPr="00C7594B">
              <w:t xml:space="preserve"> </w:t>
            </w:r>
            <w:r>
              <w:t>статьи</w:t>
            </w:r>
            <w:r w:rsidRPr="00C7594B">
              <w:t xml:space="preserve"> 338</w:t>
            </w:r>
            <w:r>
              <w:t xml:space="preserve"> предусматривает лишение свободы сроком от трех месяцев до трех лет за совершение следующих деяний по дискриминационным мотивам</w:t>
            </w:r>
            <w:r w:rsidRPr="00C7594B">
              <w:t>:</w:t>
            </w:r>
          </w:p>
        </w:tc>
      </w:tr>
      <w:tr w:rsidR="009754C2" w:rsidRPr="00F757E6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C7594B" w:rsidRDefault="009754C2" w:rsidP="009754C2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 w:line="720" w:lineRule="auto"/>
              <w:ind w:left="43" w:right="43"/>
            </w:pPr>
          </w:p>
        </w:tc>
        <w:tc>
          <w:tcPr>
            <w:tcW w:w="2241" w:type="dxa"/>
            <w:shd w:val="clear" w:color="auto" w:fill="auto"/>
          </w:tcPr>
          <w:p w:rsidR="009754C2" w:rsidRPr="00C7594B" w:rsidRDefault="009754C2" w:rsidP="009754C2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720" w:lineRule="auto"/>
              <w:ind w:left="43" w:right="43"/>
              <w:jc w:val="left"/>
            </w:pPr>
          </w:p>
        </w:tc>
        <w:tc>
          <w:tcPr>
            <w:tcW w:w="5014" w:type="dxa"/>
            <w:shd w:val="clear" w:color="auto" w:fill="auto"/>
          </w:tcPr>
          <w:p w:rsidR="009754C2" w:rsidRPr="00F757E6" w:rsidRDefault="009754C2" w:rsidP="00952DA3">
            <w:pPr>
              <w:pStyle w:val="Bullet1"/>
              <w:spacing w:before="40" w:after="80"/>
              <w:ind w:left="245" w:right="43" w:hanging="202"/>
              <w:jc w:val="left"/>
            </w:pPr>
            <w:r>
              <w:t>публичное подстрекательство к насилию, ненависти и</w:t>
            </w:r>
            <w:r w:rsidR="001C29B3">
              <w:t>ли</w:t>
            </w:r>
            <w:r>
              <w:t xml:space="preserve"> к дискриминации в отношении какого-либо лица или группы лиц</w:t>
            </w:r>
            <w:r w:rsidR="00BE75D0">
              <w:t>;</w:t>
            </w:r>
          </w:p>
        </w:tc>
      </w:tr>
      <w:tr w:rsidR="009754C2" w:rsidRPr="00F757E6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F757E6" w:rsidRDefault="009754C2" w:rsidP="009754C2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 w:line="720" w:lineRule="auto"/>
              <w:ind w:left="43" w:right="43"/>
            </w:pPr>
          </w:p>
        </w:tc>
        <w:tc>
          <w:tcPr>
            <w:tcW w:w="2241" w:type="dxa"/>
            <w:shd w:val="clear" w:color="auto" w:fill="auto"/>
          </w:tcPr>
          <w:p w:rsidR="009754C2" w:rsidRPr="00F757E6" w:rsidRDefault="009754C2" w:rsidP="009754C2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720" w:lineRule="auto"/>
              <w:ind w:left="43" w:right="43"/>
              <w:jc w:val="left"/>
            </w:pPr>
          </w:p>
        </w:tc>
        <w:tc>
          <w:tcPr>
            <w:tcW w:w="5014" w:type="dxa"/>
            <w:shd w:val="clear" w:color="auto" w:fill="auto"/>
          </w:tcPr>
          <w:p w:rsidR="009754C2" w:rsidRPr="00F757E6" w:rsidRDefault="009754C2" w:rsidP="00952DA3">
            <w:pPr>
              <w:pStyle w:val="Bullet1"/>
              <w:spacing w:before="40" w:after="80"/>
              <w:ind w:left="245" w:right="43" w:hanging="202"/>
              <w:jc w:val="left"/>
            </w:pPr>
            <w:r>
              <w:t>публичное оскорбление, клевета, диффамация или угроза в отношении какого-либо лица или группы лиц</w:t>
            </w:r>
            <w:r w:rsidR="00BE75D0">
              <w:t>;</w:t>
            </w:r>
          </w:p>
        </w:tc>
      </w:tr>
      <w:tr w:rsidR="009754C2" w:rsidRPr="00F757E6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F757E6" w:rsidRDefault="009754C2" w:rsidP="009754C2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 w:line="720" w:lineRule="auto"/>
              <w:ind w:left="43" w:right="43"/>
            </w:pPr>
          </w:p>
        </w:tc>
        <w:tc>
          <w:tcPr>
            <w:tcW w:w="2241" w:type="dxa"/>
            <w:shd w:val="clear" w:color="auto" w:fill="auto"/>
          </w:tcPr>
          <w:p w:rsidR="009754C2" w:rsidRPr="00F757E6" w:rsidRDefault="009754C2" w:rsidP="009754C2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720" w:lineRule="auto"/>
              <w:ind w:left="43" w:right="43"/>
              <w:jc w:val="left"/>
            </w:pPr>
          </w:p>
        </w:tc>
        <w:tc>
          <w:tcPr>
            <w:tcW w:w="5014" w:type="dxa"/>
            <w:shd w:val="clear" w:color="auto" w:fill="auto"/>
          </w:tcPr>
          <w:p w:rsidR="009754C2" w:rsidRPr="00F757E6" w:rsidRDefault="009754C2" w:rsidP="00952DA3">
            <w:pPr>
              <w:pStyle w:val="Bullet1"/>
              <w:spacing w:before="40" w:after="80"/>
              <w:ind w:left="245" w:right="43" w:hanging="202"/>
              <w:jc w:val="left"/>
            </w:pPr>
            <w:r>
              <w:t>публичная пропаганда любыми средствами идеологии или доктрины, в которой утверждается превосходство любой группы людей над другими или выражается пренебрежительное или оскорбительное отношение к какой-либо группе людей</w:t>
            </w:r>
            <w:r w:rsidR="00BE75D0">
              <w:t>;</w:t>
            </w:r>
          </w:p>
        </w:tc>
      </w:tr>
      <w:tr w:rsidR="009754C2" w:rsidRPr="00F757E6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F757E6" w:rsidRDefault="009754C2" w:rsidP="009754C2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 w:line="720" w:lineRule="auto"/>
              <w:ind w:left="43" w:right="43"/>
            </w:pPr>
          </w:p>
        </w:tc>
        <w:tc>
          <w:tcPr>
            <w:tcW w:w="2241" w:type="dxa"/>
            <w:shd w:val="clear" w:color="auto" w:fill="auto"/>
          </w:tcPr>
          <w:p w:rsidR="009754C2" w:rsidRPr="00F757E6" w:rsidRDefault="009754C2" w:rsidP="009754C2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720" w:lineRule="auto"/>
              <w:ind w:left="43" w:right="43"/>
              <w:jc w:val="left"/>
            </w:pPr>
          </w:p>
        </w:tc>
        <w:tc>
          <w:tcPr>
            <w:tcW w:w="5014" w:type="dxa"/>
            <w:shd w:val="clear" w:color="auto" w:fill="auto"/>
          </w:tcPr>
          <w:p w:rsidR="009754C2" w:rsidRPr="00F757E6" w:rsidRDefault="009754C2" w:rsidP="00952DA3">
            <w:pPr>
              <w:pStyle w:val="Bullet1"/>
              <w:spacing w:before="40" w:after="80"/>
              <w:ind w:left="245" w:right="43" w:hanging="202"/>
              <w:jc w:val="left"/>
            </w:pPr>
            <w:r>
              <w:t>публичная пропаганда или распространение каких-либо материалов, содержащих изображения или заявления, связанные с вышеуказанными деяниями.</w:t>
            </w:r>
          </w:p>
        </w:tc>
      </w:tr>
      <w:tr w:rsidR="009754C2" w:rsidRPr="00F757E6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F757E6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84.45</w:t>
            </w:r>
          </w:p>
        </w:tc>
        <w:tc>
          <w:tcPr>
            <w:tcW w:w="2241" w:type="dxa"/>
            <w:shd w:val="clear" w:color="auto" w:fill="auto"/>
          </w:tcPr>
          <w:p w:rsidR="009754C2" w:rsidRPr="00F757E6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См</w:t>
            </w:r>
            <w:r w:rsidRPr="00952DA3">
              <w:t>. 84.44.</w:t>
            </w:r>
          </w:p>
        </w:tc>
      </w:tr>
      <w:tr w:rsidR="009754C2" w:rsidRPr="00F757E6" w:rsidTr="009754C2">
        <w:tc>
          <w:tcPr>
            <w:tcW w:w="1502" w:type="dxa"/>
            <w:gridSpan w:val="2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84.46</w:t>
            </w:r>
          </w:p>
        </w:tc>
        <w:tc>
          <w:tcPr>
            <w:tcW w:w="2241" w:type="dxa"/>
            <w:shd w:val="clear" w:color="auto" w:fill="auto"/>
          </w:tcPr>
          <w:p w:rsidR="009754C2" w:rsidRPr="00F757E6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</w:t>
            </w:r>
            <w:r w:rsidR="006C0568">
              <w:t>нимается</w:t>
            </w:r>
            <w:r w:rsidR="006C0568">
              <w:br/>
            </w:r>
            <w:r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F757E6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F757E6">
              <w:t>Основны</w:t>
            </w:r>
            <w:r>
              <w:t>ми гарантами прав человека в Андорре являются национал</w:t>
            </w:r>
            <w:r w:rsidR="001C29B3">
              <w:t>ьные суды и Народный защитник (о</w:t>
            </w:r>
            <w:r>
              <w:t>мбудсмен). Андорра не считает целесообразным создавать новое учреждение, так как это при</w:t>
            </w:r>
            <w:r w:rsidR="006C0568">
              <w:t>ведет к </w:t>
            </w:r>
            <w:r w:rsidR="001C29B3">
              <w:t>дублированию обязанностей</w:t>
            </w:r>
            <w:r>
              <w:t>. Вместе с тем в соответствии с рекомендацией 84.29 будет изучена возможность наделения НУПЧ рекомендуемыми полномочиями.</w:t>
            </w:r>
          </w:p>
        </w:tc>
        <w:tc>
          <w:tcPr>
            <w:tcW w:w="4397" w:type="dxa"/>
          </w:tcPr>
          <w:p w:rsidR="009754C2" w:rsidRPr="00F757E6" w:rsidRDefault="009754C2" w:rsidP="009754C2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720" w:lineRule="auto"/>
              <w:ind w:left="0" w:right="397"/>
              <w:jc w:val="left"/>
            </w:pP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F757E6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84.47</w:t>
            </w:r>
          </w:p>
        </w:tc>
        <w:tc>
          <w:tcPr>
            <w:tcW w:w="2241" w:type="dxa"/>
            <w:shd w:val="clear" w:color="auto" w:fill="auto"/>
          </w:tcPr>
          <w:p w:rsidR="009754C2" w:rsidRPr="00F757E6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C00A9A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84.48</w:t>
            </w:r>
          </w:p>
        </w:tc>
        <w:tc>
          <w:tcPr>
            <w:tcW w:w="2241" w:type="dxa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F757E6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C00A9A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84.49</w:t>
            </w:r>
          </w:p>
        </w:tc>
        <w:tc>
          <w:tcPr>
            <w:tcW w:w="2241" w:type="dxa"/>
            <w:shd w:val="clear" w:color="auto" w:fill="auto"/>
          </w:tcPr>
          <w:p w:rsidR="009754C2" w:rsidRPr="00952DA3" w:rsidRDefault="006C0568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>
              <w:br/>
            </w:r>
            <w:r w:rsidR="009754C2"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F757E6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Андорра обязуется принять всеобъемлющий закон о гендерном равенстве. Однако, учитывая, что предпринимательский сектор состоит главным образом из малых и средних предприятий, Андорра не планирует вводить квоты для обеспечения паритетного пред</w:t>
            </w:r>
            <w:r w:rsidR="001C29B3">
              <w:t>ставительства</w:t>
            </w:r>
            <w:r>
              <w:t xml:space="preserve"> в исполнительных советах компаний.</w:t>
            </w: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F757E6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F757E6">
              <w:t>84.50</w:t>
            </w:r>
          </w:p>
        </w:tc>
        <w:tc>
          <w:tcPr>
            <w:tcW w:w="2241" w:type="dxa"/>
            <w:shd w:val="clear" w:color="auto" w:fill="auto"/>
          </w:tcPr>
          <w:p w:rsidR="009754C2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525231"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F757E6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F757E6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F757E6">
              <w:t>84.51</w:t>
            </w:r>
          </w:p>
        </w:tc>
        <w:tc>
          <w:tcPr>
            <w:tcW w:w="2241" w:type="dxa"/>
            <w:shd w:val="clear" w:color="auto" w:fill="auto"/>
          </w:tcPr>
          <w:p w:rsidR="009754C2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525231"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F757E6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F757E6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F757E6">
              <w:t>84.52</w:t>
            </w:r>
          </w:p>
        </w:tc>
        <w:tc>
          <w:tcPr>
            <w:tcW w:w="2241" w:type="dxa"/>
            <w:shd w:val="clear" w:color="auto" w:fill="auto"/>
          </w:tcPr>
          <w:p w:rsidR="009754C2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525231"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C00A9A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84.53</w:t>
            </w:r>
          </w:p>
        </w:tc>
        <w:tc>
          <w:tcPr>
            <w:tcW w:w="2241" w:type="dxa"/>
            <w:shd w:val="clear" w:color="auto" w:fill="auto"/>
          </w:tcPr>
          <w:p w:rsidR="009754C2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525231"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C00A9A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C00A9A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84.54</w:t>
            </w:r>
          </w:p>
        </w:tc>
        <w:tc>
          <w:tcPr>
            <w:tcW w:w="2241" w:type="dxa"/>
            <w:shd w:val="clear" w:color="auto" w:fill="auto"/>
          </w:tcPr>
          <w:p w:rsidR="009754C2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525231"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C00A9A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Андорра</w:t>
            </w:r>
            <w:r w:rsidRPr="00A22845">
              <w:t xml:space="preserve"> </w:t>
            </w:r>
            <w:r>
              <w:t>считает</w:t>
            </w:r>
            <w:r w:rsidRPr="00A22845">
              <w:t xml:space="preserve"> </w:t>
            </w:r>
            <w:r>
              <w:t>эту</w:t>
            </w:r>
            <w:r w:rsidRPr="00A22845">
              <w:t xml:space="preserve"> </w:t>
            </w:r>
            <w:r>
              <w:t>рекомендацию</w:t>
            </w:r>
            <w:r w:rsidRPr="00A22845">
              <w:t xml:space="preserve"> </w:t>
            </w:r>
            <w:r>
              <w:t>уже</w:t>
            </w:r>
            <w:r w:rsidRPr="00A22845">
              <w:t xml:space="preserve"> </w:t>
            </w:r>
            <w:r>
              <w:t>выполненной</w:t>
            </w:r>
            <w:r w:rsidRPr="00A22845">
              <w:t xml:space="preserve">. </w:t>
            </w:r>
            <w:r>
              <w:t xml:space="preserve">Статья 6.1 Конституции устанавливает равенство всех людей перед законом. </w:t>
            </w:r>
          </w:p>
        </w:tc>
      </w:tr>
      <w:tr w:rsidR="009754C2" w:rsidRPr="00C00A9A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C00A9A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  <w:tc>
          <w:tcPr>
            <w:tcW w:w="2241" w:type="dxa"/>
            <w:shd w:val="clear" w:color="auto" w:fill="auto"/>
          </w:tcPr>
          <w:p w:rsidR="009754C2" w:rsidRPr="00C00A9A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  <w:tc>
          <w:tcPr>
            <w:tcW w:w="5014" w:type="dxa"/>
            <w:shd w:val="clear" w:color="auto" w:fill="auto"/>
          </w:tcPr>
          <w:p w:rsidR="009754C2" w:rsidRPr="00C00A9A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 xml:space="preserve">Кроме того, в соответствии с пунктом 4 статьи 338 Уголовного кодекса дискриминационное поведение должностного лица или государственного служащего карается наказанием в виде лишения свободы на максимальный срок до одного года и лишения права занимать государственные должности на срок до трех лет. </w:t>
            </w:r>
          </w:p>
        </w:tc>
      </w:tr>
      <w:tr w:rsidR="009754C2" w:rsidRPr="00C00A9A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C00A9A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  <w:tc>
          <w:tcPr>
            <w:tcW w:w="2241" w:type="dxa"/>
            <w:shd w:val="clear" w:color="auto" w:fill="auto"/>
          </w:tcPr>
          <w:p w:rsidR="009754C2" w:rsidRPr="00C00A9A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  <w:tc>
          <w:tcPr>
            <w:tcW w:w="5014" w:type="dxa"/>
            <w:shd w:val="clear" w:color="auto" w:fill="auto"/>
          </w:tcPr>
          <w:p w:rsidR="009754C2" w:rsidRPr="00C00A9A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 xml:space="preserve">Таким образом, права содержащихся под стражей лиц уважаются и соблюдаются независимо от того, являются ли они гражданами Андорры или иностранцами. Кроме того, для сокращения сроков уголовного судопроизводства были выделены дополнительные кадровые и материальные ресурсы. </w:t>
            </w:r>
          </w:p>
        </w:tc>
      </w:tr>
      <w:tr w:rsidR="009754C2" w:rsidRPr="00F757E6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C00A9A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84.55</w:t>
            </w:r>
          </w:p>
        </w:tc>
        <w:tc>
          <w:tcPr>
            <w:tcW w:w="2241" w:type="dxa"/>
            <w:shd w:val="clear" w:color="auto" w:fill="auto"/>
          </w:tcPr>
          <w:p w:rsidR="009754C2" w:rsidRPr="00C00A9A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 w:rsidR="006C0568">
              <w:br/>
            </w:r>
            <w:r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22845" w:rsidRDefault="009754C2" w:rsidP="001C29B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Правовая система предусматривает административные и судебные средства борьбы с возможными нарушениями прав человека. Статья 85.1 Конституции гарантирует независимост</w:t>
            </w:r>
            <w:r w:rsidR="00BE75D0">
              <w:t>ь судебной власти</w:t>
            </w:r>
            <w:r w:rsidR="001C29B3">
              <w:t>. Кроме того, В</w:t>
            </w:r>
            <w:r>
              <w:t>ысший судебный с</w:t>
            </w:r>
            <w:r w:rsidR="001C29B3">
              <w:t>овет</w:t>
            </w:r>
            <w:r>
              <w:t xml:space="preserve"> и прокуратура отвечают за соблюдение и применение законов, а также за обеспечение независимо</w:t>
            </w:r>
            <w:r w:rsidR="006C0568">
              <w:t>сти судов (статьи </w:t>
            </w:r>
            <w:r w:rsidRPr="00C00A9A">
              <w:t xml:space="preserve">89 </w:t>
            </w:r>
            <w:r>
              <w:t>и</w:t>
            </w:r>
            <w:r w:rsidRPr="00C00A9A">
              <w:t xml:space="preserve"> 93 </w:t>
            </w:r>
            <w:r>
              <w:t>Конституции</w:t>
            </w:r>
            <w:r w:rsidRPr="00C00A9A">
              <w:t xml:space="preserve">). </w:t>
            </w:r>
          </w:p>
        </w:tc>
      </w:tr>
      <w:tr w:rsidR="009754C2" w:rsidRPr="00C00A9A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A22845" w:rsidRDefault="009754C2" w:rsidP="004D642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30" w:lineRule="exact"/>
              <w:ind w:right="115"/>
            </w:pPr>
          </w:p>
        </w:tc>
        <w:tc>
          <w:tcPr>
            <w:tcW w:w="2241" w:type="dxa"/>
            <w:shd w:val="clear" w:color="auto" w:fill="auto"/>
          </w:tcPr>
          <w:p w:rsidR="009754C2" w:rsidRPr="00A22845" w:rsidRDefault="009754C2" w:rsidP="004D642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30" w:lineRule="exact"/>
              <w:ind w:right="115"/>
            </w:pPr>
          </w:p>
        </w:tc>
        <w:tc>
          <w:tcPr>
            <w:tcW w:w="5014" w:type="dxa"/>
            <w:shd w:val="clear" w:color="auto" w:fill="auto"/>
          </w:tcPr>
          <w:p w:rsidR="009754C2" w:rsidRPr="00C00A9A" w:rsidRDefault="009754C2" w:rsidP="004D642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30" w:lineRule="exact"/>
              <w:ind w:right="115"/>
            </w:pPr>
            <w:r>
              <w:t xml:space="preserve">С учетом вышеизложенного и </w:t>
            </w:r>
            <w:r w:rsidR="001C29B3">
              <w:t>демографической</w:t>
            </w:r>
            <w:r>
              <w:t xml:space="preserve"> и административной структуры страны Андорра не считает целесообразным создание нового учреждения. </w:t>
            </w:r>
          </w:p>
        </w:tc>
      </w:tr>
      <w:tr w:rsidR="009754C2" w:rsidRPr="00C00A9A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C00A9A" w:rsidRDefault="009754C2" w:rsidP="004D642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30" w:lineRule="exact"/>
              <w:ind w:right="115"/>
            </w:pPr>
          </w:p>
        </w:tc>
        <w:tc>
          <w:tcPr>
            <w:tcW w:w="2241" w:type="dxa"/>
            <w:shd w:val="clear" w:color="auto" w:fill="auto"/>
          </w:tcPr>
          <w:p w:rsidR="009754C2" w:rsidRPr="00C00A9A" w:rsidRDefault="009754C2" w:rsidP="004D642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30" w:lineRule="exact"/>
              <w:ind w:right="115"/>
            </w:pPr>
          </w:p>
        </w:tc>
        <w:tc>
          <w:tcPr>
            <w:tcW w:w="5014" w:type="dxa"/>
            <w:shd w:val="clear" w:color="auto" w:fill="auto"/>
          </w:tcPr>
          <w:p w:rsidR="009754C2" w:rsidRPr="00C00A9A" w:rsidRDefault="009754C2" w:rsidP="004D642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30" w:lineRule="exact"/>
              <w:ind w:right="115"/>
            </w:pPr>
            <w:r>
              <w:t>Кроме того, в соответствии с рекомендацией 84.29 Андорра изучит возможность наделения НУПЧ полномочиями рассматривать жалобы на неправомерное поведение сотрудников полиции.</w:t>
            </w: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987C2C" w:rsidRDefault="009754C2" w:rsidP="004D642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30" w:lineRule="exact"/>
              <w:ind w:right="115"/>
            </w:pPr>
            <w:r w:rsidRPr="00952DA3">
              <w:t>84.56</w:t>
            </w:r>
          </w:p>
        </w:tc>
        <w:tc>
          <w:tcPr>
            <w:tcW w:w="2241" w:type="dxa"/>
            <w:shd w:val="clear" w:color="auto" w:fill="auto"/>
          </w:tcPr>
          <w:p w:rsidR="009754C2" w:rsidRPr="00987C2C" w:rsidRDefault="009754C2" w:rsidP="004D642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30" w:lineRule="exact"/>
              <w:ind w:right="115"/>
            </w:pPr>
            <w:r>
              <w:t xml:space="preserve">Принимается </w:t>
            </w:r>
          </w:p>
        </w:tc>
        <w:tc>
          <w:tcPr>
            <w:tcW w:w="5014" w:type="dxa"/>
            <w:shd w:val="clear" w:color="auto" w:fill="auto"/>
          </w:tcPr>
          <w:p w:rsidR="009754C2" w:rsidRPr="00952DA3" w:rsidRDefault="009754C2" w:rsidP="004D642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30" w:lineRule="exact"/>
              <w:ind w:right="115"/>
            </w:pP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987C2C" w:rsidRDefault="009754C2" w:rsidP="006C0568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30" w:lineRule="exact"/>
              <w:ind w:right="115"/>
            </w:pPr>
            <w:r w:rsidRPr="00952DA3">
              <w:t>84.5</w:t>
            </w:r>
            <w:r w:rsidR="006C0568">
              <w:t>7</w:t>
            </w:r>
          </w:p>
        </w:tc>
        <w:tc>
          <w:tcPr>
            <w:tcW w:w="2241" w:type="dxa"/>
            <w:shd w:val="clear" w:color="auto" w:fill="auto"/>
          </w:tcPr>
          <w:p w:rsidR="009754C2" w:rsidRPr="00987C2C" w:rsidRDefault="006C0568" w:rsidP="006C0568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30" w:lineRule="exact"/>
              <w:ind w:right="115"/>
            </w:pPr>
            <w:r>
              <w:t>Принимается</w:t>
            </w:r>
            <w:r>
              <w:br/>
            </w:r>
            <w:r w:rsidR="009754C2"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987C2C" w:rsidRDefault="009754C2" w:rsidP="006C0568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30" w:lineRule="exact"/>
              <w:ind w:right="115"/>
            </w:pPr>
            <w:r>
              <w:t>В настоящее время Андорра ведет пе</w:t>
            </w:r>
            <w:r w:rsidR="001C29B3">
              <w:t>реговоры по С</w:t>
            </w:r>
            <w:r>
              <w:t>оглашению об ассоциации с Европейским союзом и после их завершения изучит возможность пересмотра своего законодательства о гражданстве. В настоящий момент Андорра не может принять эту рекомендацию.</w:t>
            </w:r>
          </w:p>
        </w:tc>
      </w:tr>
      <w:tr w:rsidR="009754C2" w:rsidRPr="00987C2C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987C2C" w:rsidRDefault="009754C2" w:rsidP="006C0568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30" w:lineRule="exact"/>
              <w:ind w:right="115"/>
            </w:pPr>
            <w:r w:rsidRPr="00987C2C">
              <w:t>84.58</w:t>
            </w:r>
          </w:p>
        </w:tc>
        <w:tc>
          <w:tcPr>
            <w:tcW w:w="2241" w:type="dxa"/>
            <w:shd w:val="clear" w:color="auto" w:fill="auto"/>
          </w:tcPr>
          <w:p w:rsidR="009754C2" w:rsidRPr="00987C2C" w:rsidRDefault="006C0568" w:rsidP="006C0568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30" w:lineRule="exact"/>
              <w:ind w:right="115"/>
            </w:pPr>
            <w:r>
              <w:t>Принимается</w:t>
            </w:r>
            <w:r>
              <w:br/>
            </w:r>
            <w:r w:rsidR="009754C2"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987C2C" w:rsidRDefault="009754C2" w:rsidP="006C0568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30" w:lineRule="exact"/>
              <w:ind w:right="115"/>
            </w:pPr>
            <w:r>
              <w:t xml:space="preserve">Временные работники получают разрешение на работу и проживание в стране на срок до 12 месяцев. По закону после истечения срока действия разрешения на работу </w:t>
            </w:r>
            <w:r w:rsidR="006C0568">
              <w:t>и</w:t>
            </w:r>
            <w:r>
              <w:t xml:space="preserve"> проживание они могут запрашивать новое разрешение лишь через </w:t>
            </w:r>
            <w:r w:rsidR="006C0568">
              <w:t>пять</w:t>
            </w:r>
            <w:r>
              <w:t xml:space="preserve"> месяцев. С учетом короткого срока пребывания работников в стране в настоящий момент Андорра не может изменить свое законодательство для гарантирования временным работникам права на воссоединение семьи</w:t>
            </w:r>
            <w:r w:rsidR="006C0568">
              <w:t>.</w:t>
            </w: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987C2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87C2C">
              <w:t>84.59</w:t>
            </w:r>
          </w:p>
        </w:tc>
        <w:tc>
          <w:tcPr>
            <w:tcW w:w="2241" w:type="dxa"/>
            <w:shd w:val="clear" w:color="auto" w:fill="auto"/>
          </w:tcPr>
          <w:p w:rsidR="009754C2" w:rsidRPr="00987C2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987C2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987C2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87C2C">
              <w:t>84.60</w:t>
            </w:r>
          </w:p>
        </w:tc>
        <w:tc>
          <w:tcPr>
            <w:tcW w:w="2241" w:type="dxa"/>
            <w:shd w:val="clear" w:color="auto" w:fill="auto"/>
          </w:tcPr>
          <w:p w:rsidR="009754C2" w:rsidRPr="00987C2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987C2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A22845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A22845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84.61</w:t>
            </w:r>
          </w:p>
        </w:tc>
        <w:tc>
          <w:tcPr>
            <w:tcW w:w="2241" w:type="dxa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 w:rsidR="004D642A">
              <w:br/>
            </w:r>
            <w:r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22845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Статья</w:t>
            </w:r>
            <w:r w:rsidRPr="00A22845">
              <w:t xml:space="preserve"> 11.1 </w:t>
            </w:r>
            <w:r>
              <w:t>Конституции</w:t>
            </w:r>
            <w:r w:rsidRPr="00A22845">
              <w:t xml:space="preserve"> </w:t>
            </w:r>
            <w:r>
              <w:t>гарантирует</w:t>
            </w:r>
            <w:r w:rsidRPr="00A22845">
              <w:t xml:space="preserve"> </w:t>
            </w:r>
            <w:r>
              <w:t>идеологическую</w:t>
            </w:r>
            <w:r w:rsidRPr="00A22845">
              <w:t xml:space="preserve"> </w:t>
            </w:r>
            <w:r>
              <w:t>и</w:t>
            </w:r>
            <w:r w:rsidRPr="00A22845">
              <w:t xml:space="preserve"> </w:t>
            </w:r>
            <w:r>
              <w:t>религиозную</w:t>
            </w:r>
            <w:r w:rsidRPr="00A22845">
              <w:t xml:space="preserve"> </w:t>
            </w:r>
            <w:r>
              <w:t>свободу</w:t>
            </w:r>
            <w:r w:rsidRPr="00A22845">
              <w:t xml:space="preserve">, </w:t>
            </w:r>
            <w:r>
              <w:t>а</w:t>
            </w:r>
            <w:r w:rsidRPr="00A22845">
              <w:t xml:space="preserve"> </w:t>
            </w:r>
            <w:r>
              <w:t>также</w:t>
            </w:r>
            <w:r w:rsidRPr="00A22845">
              <w:t xml:space="preserve"> </w:t>
            </w:r>
            <w:r>
              <w:t>свободу</w:t>
            </w:r>
            <w:r w:rsidRPr="00A22845">
              <w:t xml:space="preserve"> </w:t>
            </w:r>
            <w:r>
              <w:t>отправления</w:t>
            </w:r>
            <w:r w:rsidRPr="00A22845">
              <w:t xml:space="preserve"> </w:t>
            </w:r>
            <w:r>
              <w:t>культов</w:t>
            </w:r>
            <w:r w:rsidRPr="00A22845">
              <w:t>.</w:t>
            </w:r>
            <w:r>
              <w:t xml:space="preserve"> В</w:t>
            </w:r>
            <w:r w:rsidRPr="00A22845">
              <w:t xml:space="preserve"> </w:t>
            </w:r>
            <w:r>
              <w:t>соответствии</w:t>
            </w:r>
            <w:r w:rsidRPr="00A22845">
              <w:t xml:space="preserve"> </w:t>
            </w:r>
            <w:r>
              <w:t>со</w:t>
            </w:r>
            <w:r w:rsidRPr="00A22845">
              <w:t xml:space="preserve"> </w:t>
            </w:r>
            <w:r>
              <w:t>статьей</w:t>
            </w:r>
            <w:r w:rsidRPr="00A22845">
              <w:t xml:space="preserve"> 11.2 </w:t>
            </w:r>
            <w:r>
              <w:t>свобода исповедовать религию или веру по своему выбору подлежит лишь ограничениям, установленным законом и необходимым для охраны общественной безопасности, порядка, здоровья и морали, равно как и основных прав и свобод других лиц. Андорра считает, что статья 11.3 лишь признает исторические связи между государством и католической церковью, но ни в коем случае не предполагает ограни</w:t>
            </w:r>
            <w:r w:rsidR="006C0568">
              <w:t>чение</w:t>
            </w:r>
            <w:r>
              <w:t xml:space="preserve"> свободы вероисповедания или религии, которая предусмотрена Конституцией.</w:t>
            </w:r>
          </w:p>
        </w:tc>
      </w:tr>
      <w:tr w:rsidR="009754C2" w:rsidRPr="00A22845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A22845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A22845">
              <w:t>84.62</w:t>
            </w:r>
          </w:p>
        </w:tc>
        <w:tc>
          <w:tcPr>
            <w:tcW w:w="2241" w:type="dxa"/>
            <w:shd w:val="clear" w:color="auto" w:fill="auto"/>
          </w:tcPr>
          <w:p w:rsidR="009754C2" w:rsidRPr="00A22845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  <w:r w:rsidR="004D642A">
              <w:br/>
            </w:r>
            <w:r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22845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Закон</w:t>
            </w:r>
            <w:r w:rsidRPr="00A22845">
              <w:t xml:space="preserve"> 30/2014</w:t>
            </w:r>
            <w:r>
              <w:t xml:space="preserve"> о гражданской защите прав на неприкосновенность частной жизни, защиту чести и личной репутации направлен на регулирование и определение ситуаций, в которых </w:t>
            </w:r>
            <w:r w:rsidR="006C0568">
              <w:t>реализация права</w:t>
            </w:r>
            <w:r>
              <w:t xml:space="preserve"> на свободу мнений и их свободное выражение может подрывать права на неприкосновенность частной жизни и </w:t>
            </w:r>
            <w:r w:rsidR="006C0568">
              <w:t xml:space="preserve">на </w:t>
            </w:r>
            <w:r>
              <w:t xml:space="preserve">защиту чести и личной репутации. Андорра считает, что упомянутый закон не ограничивает доступ к информации и не ущемляет право на свободное выражение мнений. </w:t>
            </w: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A22845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A22845">
              <w:t>84.63</w:t>
            </w:r>
          </w:p>
        </w:tc>
        <w:tc>
          <w:tcPr>
            <w:tcW w:w="2241" w:type="dxa"/>
            <w:shd w:val="clear" w:color="auto" w:fill="auto"/>
          </w:tcPr>
          <w:p w:rsidR="009754C2" w:rsidRPr="00A22845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A22845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987C2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A22845">
              <w:t>84.64</w:t>
            </w:r>
          </w:p>
        </w:tc>
        <w:tc>
          <w:tcPr>
            <w:tcW w:w="2241" w:type="dxa"/>
            <w:shd w:val="clear" w:color="auto" w:fill="auto"/>
          </w:tcPr>
          <w:p w:rsidR="009754C2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0600D5"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A22845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987C2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A22845">
              <w:t>84.65</w:t>
            </w:r>
          </w:p>
        </w:tc>
        <w:tc>
          <w:tcPr>
            <w:tcW w:w="2241" w:type="dxa"/>
            <w:shd w:val="clear" w:color="auto" w:fill="auto"/>
          </w:tcPr>
          <w:p w:rsidR="009754C2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0600D5"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A22845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987C2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A22845">
              <w:t>84.66</w:t>
            </w:r>
          </w:p>
        </w:tc>
        <w:tc>
          <w:tcPr>
            <w:tcW w:w="2241" w:type="dxa"/>
            <w:shd w:val="clear" w:color="auto" w:fill="auto"/>
          </w:tcPr>
          <w:p w:rsidR="009754C2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0600D5"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A22845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987C2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A22845">
              <w:t>84.67</w:t>
            </w:r>
          </w:p>
        </w:tc>
        <w:tc>
          <w:tcPr>
            <w:tcW w:w="2241" w:type="dxa"/>
            <w:shd w:val="clear" w:color="auto" w:fill="auto"/>
          </w:tcPr>
          <w:p w:rsidR="009754C2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0600D5"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987C2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84.68</w:t>
            </w:r>
          </w:p>
        </w:tc>
        <w:tc>
          <w:tcPr>
            <w:tcW w:w="2241" w:type="dxa"/>
            <w:shd w:val="clear" w:color="auto" w:fill="auto"/>
          </w:tcPr>
          <w:p w:rsidR="009754C2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0600D5"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987C2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84.69</w:t>
            </w:r>
          </w:p>
        </w:tc>
        <w:tc>
          <w:tcPr>
            <w:tcW w:w="2241" w:type="dxa"/>
            <w:shd w:val="clear" w:color="auto" w:fill="auto"/>
          </w:tcPr>
          <w:p w:rsidR="009754C2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0600D5"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987C2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84.70</w:t>
            </w:r>
          </w:p>
        </w:tc>
        <w:tc>
          <w:tcPr>
            <w:tcW w:w="2241" w:type="dxa"/>
            <w:shd w:val="clear" w:color="auto" w:fill="auto"/>
          </w:tcPr>
          <w:p w:rsidR="009754C2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0600D5">
              <w:t>Принимается</w:t>
            </w:r>
          </w:p>
        </w:tc>
        <w:tc>
          <w:tcPr>
            <w:tcW w:w="5014" w:type="dxa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</w:p>
        </w:tc>
      </w:tr>
      <w:tr w:rsidR="009754C2" w:rsidRPr="00A22845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987C2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84.71</w:t>
            </w:r>
          </w:p>
        </w:tc>
        <w:tc>
          <w:tcPr>
            <w:tcW w:w="2241" w:type="dxa"/>
            <w:shd w:val="clear" w:color="auto" w:fill="auto"/>
          </w:tcPr>
          <w:p w:rsidR="009754C2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6B66F8">
              <w:t>Принимается</w:t>
            </w:r>
            <w:r w:rsidR="00BE75D0">
              <w:br/>
            </w:r>
            <w:r w:rsidRPr="006B66F8"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22845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 xml:space="preserve">С учетом того, что в Андорре существовала и существует по сей день особая демографическая структура, отличительной чертой которой является присутствие в стране большого числа </w:t>
            </w:r>
            <w:r w:rsidR="006C0568">
              <w:t>им</w:t>
            </w:r>
            <w:r>
              <w:t>мигрантов из соседних и</w:t>
            </w:r>
            <w:r w:rsidR="006C0568">
              <w:t>ли</w:t>
            </w:r>
            <w:r>
              <w:t xml:space="preserve"> близлежащих стран, она не считает целесообразным в данный момент укреплять свои национальные стратегии по поощрению и защите прав иммигрантов. Наличие в стране трех государственных систем бесплатного образования – испанской, французской и андоррской – способствовало интеграции иммигрантов в стране.</w:t>
            </w:r>
          </w:p>
        </w:tc>
      </w:tr>
      <w:tr w:rsidR="009754C2" w:rsidRPr="00A22845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987C2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A22845">
              <w:t>84.72</w:t>
            </w:r>
          </w:p>
        </w:tc>
        <w:tc>
          <w:tcPr>
            <w:tcW w:w="2241" w:type="dxa"/>
            <w:shd w:val="clear" w:color="auto" w:fill="auto"/>
          </w:tcPr>
          <w:p w:rsidR="009754C2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6B66F8">
              <w:t>Принимается</w:t>
            </w:r>
            <w:r w:rsidR="004D642A">
              <w:br/>
            </w:r>
            <w:r w:rsidRPr="006B66F8">
              <w:t>во 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A22845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См</w:t>
            </w:r>
            <w:r w:rsidRPr="00A22845">
              <w:t>. 84.71.</w:t>
            </w:r>
          </w:p>
        </w:tc>
      </w:tr>
      <w:tr w:rsidR="009754C2" w:rsidRPr="00117B8C" w:rsidTr="009754C2">
        <w:trPr>
          <w:gridAfter w:val="1"/>
          <w:wAfter w:w="4397" w:type="dxa"/>
        </w:trPr>
        <w:tc>
          <w:tcPr>
            <w:tcW w:w="1502" w:type="dxa"/>
            <w:gridSpan w:val="2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952DA3">
              <w:t>84.73</w:t>
            </w:r>
          </w:p>
        </w:tc>
        <w:tc>
          <w:tcPr>
            <w:tcW w:w="2241" w:type="dxa"/>
            <w:shd w:val="clear" w:color="auto" w:fill="auto"/>
          </w:tcPr>
          <w:p w:rsidR="009754C2" w:rsidRPr="00952DA3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6B66F8">
              <w:t>Принимается</w:t>
            </w:r>
            <w:r w:rsidR="004D642A">
              <w:br/>
            </w:r>
            <w:r w:rsidRPr="006B66F8">
              <w:t>во</w:t>
            </w:r>
            <w:r w:rsidRPr="00952DA3">
              <w:t xml:space="preserve"> </w:t>
            </w:r>
            <w:r w:rsidRPr="006B66F8">
              <w:t>внимание</w:t>
            </w:r>
          </w:p>
        </w:tc>
        <w:tc>
          <w:tcPr>
            <w:tcW w:w="5014" w:type="dxa"/>
            <w:shd w:val="clear" w:color="auto" w:fill="auto"/>
          </w:tcPr>
          <w:p w:rsidR="009754C2" w:rsidRPr="00117B8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В настоящее вре</w:t>
            </w:r>
            <w:r w:rsidR="006C0568">
              <w:t>мя Андорра ведет переговоры по С</w:t>
            </w:r>
            <w:r>
              <w:t xml:space="preserve">оглашению об ассоциации с Европейским союзом и после их завершения изучит возможность приведения своего законодательства о просителях убежища и беженцах в соответствие с действующими нормами международного права. </w:t>
            </w:r>
          </w:p>
        </w:tc>
      </w:tr>
      <w:tr w:rsidR="009754C2" w:rsidRPr="0068213D" w:rsidTr="009754C2">
        <w:trPr>
          <w:gridAfter w:val="1"/>
          <w:wAfter w:w="4397" w:type="dxa"/>
        </w:trPr>
        <w:tc>
          <w:tcPr>
            <w:tcW w:w="150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754C2" w:rsidRPr="00987C2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117B8C">
              <w:t>84.74</w:t>
            </w:r>
          </w:p>
        </w:tc>
        <w:tc>
          <w:tcPr>
            <w:tcW w:w="2241" w:type="dxa"/>
            <w:tcBorders>
              <w:bottom w:val="single" w:sz="12" w:space="0" w:color="auto"/>
            </w:tcBorders>
            <w:shd w:val="clear" w:color="auto" w:fill="auto"/>
          </w:tcPr>
          <w:p w:rsidR="009754C2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 w:rsidRPr="006B66F8">
              <w:t>Принимается</w:t>
            </w:r>
            <w:r w:rsidR="004D642A">
              <w:br/>
            </w:r>
            <w:r w:rsidRPr="006B66F8">
              <w:t>во внимание</w:t>
            </w:r>
          </w:p>
        </w:tc>
        <w:tc>
          <w:tcPr>
            <w:tcW w:w="5014" w:type="dxa"/>
            <w:tcBorders>
              <w:bottom w:val="single" w:sz="12" w:space="0" w:color="auto"/>
            </w:tcBorders>
            <w:shd w:val="clear" w:color="auto" w:fill="auto"/>
          </w:tcPr>
          <w:p w:rsidR="009754C2" w:rsidRPr="00117B8C" w:rsidRDefault="009754C2" w:rsidP="00952DA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15"/>
            </w:pPr>
            <w:r>
              <w:t>См.</w:t>
            </w:r>
            <w:r w:rsidRPr="00117B8C">
              <w:t xml:space="preserve"> 84.73.</w:t>
            </w:r>
          </w:p>
        </w:tc>
      </w:tr>
    </w:tbl>
    <w:p w:rsidR="009754C2" w:rsidRPr="00952DA3" w:rsidRDefault="00952DA3" w:rsidP="00952DA3">
      <w:pPr>
        <w:pStyle w:val="SingleTxt"/>
        <w:spacing w:after="0" w:line="240" w:lineRule="auto"/>
      </w:pP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9754C2" w:rsidRPr="00952DA3" w:rsidSect="002C2559">
      <w:endnotePr>
        <w:numFmt w:val="decimal"/>
      </w:endnotePr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4C2" w:rsidRDefault="009754C2" w:rsidP="008A1A7A">
      <w:pPr>
        <w:spacing w:line="240" w:lineRule="auto"/>
      </w:pPr>
      <w:r>
        <w:separator/>
      </w:r>
    </w:p>
  </w:endnote>
  <w:endnote w:type="continuationSeparator" w:id="0">
    <w:p w:rsidR="009754C2" w:rsidRDefault="009754C2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9754C2" w:rsidTr="002C2559">
      <w:trPr>
        <w:jc w:val="center"/>
      </w:trPr>
      <w:tc>
        <w:tcPr>
          <w:tcW w:w="5126" w:type="dxa"/>
          <w:shd w:val="clear" w:color="auto" w:fill="auto"/>
          <w:vAlign w:val="bottom"/>
        </w:tcPr>
        <w:p w:rsidR="009754C2" w:rsidRPr="002C2559" w:rsidRDefault="009754C2" w:rsidP="002C2559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7405E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 \* Arabic  \* MERGEFORMAT ">
            <w:r w:rsidR="0077405E">
              <w:rPr>
                <w:noProof/>
              </w:rPr>
              <w:t>10</w:t>
            </w:r>
          </w:fldSimple>
        </w:p>
      </w:tc>
      <w:tc>
        <w:tcPr>
          <w:tcW w:w="5127" w:type="dxa"/>
          <w:shd w:val="clear" w:color="auto" w:fill="auto"/>
          <w:vAlign w:val="bottom"/>
        </w:tcPr>
        <w:p w:rsidR="009754C2" w:rsidRPr="002C2559" w:rsidRDefault="009754C2" w:rsidP="002C2559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FF46D1">
            <w:rPr>
              <w:b w:val="0"/>
              <w:color w:val="000000"/>
              <w:sz w:val="14"/>
            </w:rPr>
            <w:t>GE.15-15525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9754C2" w:rsidRPr="002C2559" w:rsidRDefault="009754C2" w:rsidP="002C25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9754C2" w:rsidTr="002C2559">
      <w:trPr>
        <w:jc w:val="center"/>
      </w:trPr>
      <w:tc>
        <w:tcPr>
          <w:tcW w:w="5126" w:type="dxa"/>
          <w:shd w:val="clear" w:color="auto" w:fill="auto"/>
          <w:vAlign w:val="bottom"/>
        </w:tcPr>
        <w:p w:rsidR="009754C2" w:rsidRPr="002C2559" w:rsidRDefault="009754C2" w:rsidP="002C2559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FF46D1">
            <w:rPr>
              <w:b w:val="0"/>
              <w:color w:val="000000"/>
              <w:sz w:val="14"/>
            </w:rPr>
            <w:t>GE.15-15525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9754C2" w:rsidRPr="002C2559" w:rsidRDefault="009754C2" w:rsidP="002C2559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7405E">
            <w:rPr>
              <w:noProof/>
            </w:rPr>
            <w:t>9</w:t>
          </w:r>
          <w:r>
            <w:fldChar w:fldCharType="end"/>
          </w:r>
          <w:r>
            <w:t>/</w:t>
          </w:r>
          <w:fldSimple w:instr=" NUMPAGES  \* Arabic  \* MERGEFORMAT ">
            <w:r w:rsidR="0077405E">
              <w:rPr>
                <w:noProof/>
              </w:rPr>
              <w:t>9</w:t>
            </w:r>
          </w:fldSimple>
        </w:p>
      </w:tc>
    </w:tr>
  </w:tbl>
  <w:p w:rsidR="009754C2" w:rsidRPr="002C2559" w:rsidRDefault="009754C2" w:rsidP="002C25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9754C2" w:rsidTr="002C2559">
      <w:tc>
        <w:tcPr>
          <w:tcW w:w="3873" w:type="dxa"/>
        </w:tcPr>
        <w:p w:rsidR="009754C2" w:rsidRDefault="009754C2" w:rsidP="00DC3616">
          <w:pPr>
            <w:pStyle w:val="ReleaseDate"/>
            <w:rPr>
              <w:color w:val="010000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6427648F" wp14:editId="5649B869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9/Add.1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9/Add.1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GE.15-15525 (R)</w:t>
          </w:r>
          <w:r>
            <w:rPr>
              <w:color w:val="010000"/>
            </w:rPr>
            <w:t xml:space="preserve">    240915    051015</w:t>
          </w:r>
        </w:p>
        <w:p w:rsidR="009754C2" w:rsidRPr="002C2559" w:rsidRDefault="009754C2" w:rsidP="002C2559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*1515525*</w:t>
          </w:r>
        </w:p>
      </w:tc>
      <w:tc>
        <w:tcPr>
          <w:tcW w:w="5127" w:type="dxa"/>
        </w:tcPr>
        <w:p w:rsidR="009754C2" w:rsidRDefault="009754C2" w:rsidP="002C2559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val="en-GB" w:eastAsia="en-GB"/>
            </w:rPr>
            <w:drawing>
              <wp:inline distT="0" distB="0" distL="0" distR="0" wp14:anchorId="57F81D02" wp14:editId="647DAED0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754C2" w:rsidRPr="002C2559" w:rsidRDefault="009754C2" w:rsidP="002C2559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4C2" w:rsidRPr="00DC3616" w:rsidRDefault="009754C2" w:rsidP="00DC3616">
      <w:pPr>
        <w:pStyle w:val="Footer"/>
        <w:spacing w:after="80"/>
        <w:ind w:left="792"/>
        <w:rPr>
          <w:sz w:val="16"/>
        </w:rPr>
      </w:pPr>
      <w:r w:rsidRPr="00DC3616">
        <w:rPr>
          <w:sz w:val="16"/>
        </w:rPr>
        <w:t>__________________</w:t>
      </w:r>
    </w:p>
  </w:footnote>
  <w:footnote w:type="continuationSeparator" w:id="0">
    <w:p w:rsidR="009754C2" w:rsidRPr="00DC3616" w:rsidRDefault="009754C2" w:rsidP="00DC3616">
      <w:pPr>
        <w:pStyle w:val="Footer"/>
        <w:spacing w:after="80"/>
        <w:ind w:left="792"/>
        <w:rPr>
          <w:sz w:val="16"/>
        </w:rPr>
      </w:pPr>
      <w:r w:rsidRPr="00DC3616">
        <w:rPr>
          <w:sz w:val="16"/>
        </w:rPr>
        <w:t>__________________</w:t>
      </w:r>
    </w:p>
  </w:footnote>
  <w:footnote w:id="1">
    <w:p w:rsidR="009754C2" w:rsidRPr="00340769" w:rsidRDefault="009754C2" w:rsidP="00DC361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 w:rsidRPr="00340769">
        <w:rPr>
          <w:rStyle w:val="FootnoteReference"/>
          <w:vertAlign w:val="baseline"/>
        </w:rPr>
        <w:t>*</w:t>
      </w:r>
      <w:r w:rsidRPr="00340769">
        <w:tab/>
        <w:t>Настоящий документ до передачи</w:t>
      </w:r>
      <w:r>
        <w:rPr>
          <w:vertAlign w:val="superscript"/>
        </w:rPr>
        <w:t xml:space="preserve"> </w:t>
      </w:r>
      <w:r>
        <w:t>в переводческие службы Организации Объединенных Наций не редактировался.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9754C2" w:rsidTr="002C2559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9754C2" w:rsidRPr="002C2559" w:rsidRDefault="009754C2" w:rsidP="002C2559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FF46D1">
            <w:rPr>
              <w:b/>
            </w:rPr>
            <w:t>A/HRC/30/9/Add.1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9754C2" w:rsidRDefault="009754C2" w:rsidP="002C2559">
          <w:pPr>
            <w:pStyle w:val="Header"/>
          </w:pPr>
        </w:p>
      </w:tc>
    </w:tr>
  </w:tbl>
  <w:p w:rsidR="009754C2" w:rsidRPr="002C2559" w:rsidRDefault="009754C2" w:rsidP="002C25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9754C2" w:rsidTr="002C2559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9754C2" w:rsidRDefault="009754C2" w:rsidP="002C2559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9754C2" w:rsidRPr="002C2559" w:rsidRDefault="009754C2" w:rsidP="002C2559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FF46D1">
            <w:rPr>
              <w:b/>
            </w:rPr>
            <w:t>A/HRC/30/9/Add.1</w:t>
          </w:r>
          <w:r>
            <w:rPr>
              <w:b/>
            </w:rPr>
            <w:fldChar w:fldCharType="end"/>
          </w:r>
        </w:p>
      </w:tc>
    </w:tr>
  </w:tbl>
  <w:p w:rsidR="009754C2" w:rsidRPr="002C2559" w:rsidRDefault="009754C2" w:rsidP="002C25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9754C2" w:rsidTr="002C2559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9754C2" w:rsidRPr="002C2559" w:rsidRDefault="009754C2" w:rsidP="002C2559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9754C2" w:rsidRDefault="009754C2" w:rsidP="002C2559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9754C2" w:rsidRPr="002C2559" w:rsidRDefault="009754C2" w:rsidP="002C2559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/HRC/30/9/Add.1</w:t>
          </w:r>
        </w:p>
      </w:tc>
    </w:tr>
    <w:tr w:rsidR="009754C2" w:rsidRPr="00FF46D1" w:rsidTr="002C2559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9754C2" w:rsidRPr="002C2559" w:rsidRDefault="009754C2" w:rsidP="002C2559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60671E5F" wp14:editId="6F04FDB2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9754C2" w:rsidRPr="002C2559" w:rsidRDefault="009754C2" w:rsidP="002C2559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9754C2" w:rsidRPr="002C2559" w:rsidRDefault="009754C2" w:rsidP="002C2559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9754C2" w:rsidRPr="00DC3616" w:rsidRDefault="009754C2" w:rsidP="002C2559">
          <w:pPr>
            <w:pStyle w:val="Distribution"/>
            <w:rPr>
              <w:color w:val="000000"/>
              <w:lang w:val="en-US"/>
            </w:rPr>
          </w:pPr>
          <w:r w:rsidRPr="00DC3616">
            <w:rPr>
              <w:color w:val="000000"/>
              <w:lang w:val="en-US"/>
            </w:rPr>
            <w:t>Distr.: General</w:t>
          </w:r>
        </w:p>
        <w:p w:rsidR="009754C2" w:rsidRPr="00DC3616" w:rsidRDefault="009754C2" w:rsidP="002C2559">
          <w:pPr>
            <w:pStyle w:val="Publication"/>
            <w:rPr>
              <w:color w:val="000000"/>
              <w:lang w:val="en-US"/>
            </w:rPr>
          </w:pPr>
          <w:r w:rsidRPr="00DC3616">
            <w:rPr>
              <w:color w:val="000000"/>
              <w:lang w:val="en-US"/>
            </w:rPr>
            <w:t>14 September 2015</w:t>
          </w:r>
        </w:p>
        <w:p w:rsidR="009754C2" w:rsidRPr="00DC3616" w:rsidRDefault="009754C2" w:rsidP="002C2559">
          <w:pPr>
            <w:rPr>
              <w:color w:val="000000"/>
              <w:lang w:val="en-US"/>
            </w:rPr>
          </w:pPr>
          <w:r w:rsidRPr="00DC3616">
            <w:rPr>
              <w:color w:val="000000"/>
              <w:lang w:val="en-US"/>
            </w:rPr>
            <w:t>Russian</w:t>
          </w:r>
        </w:p>
        <w:p w:rsidR="009754C2" w:rsidRPr="00DC3616" w:rsidRDefault="009754C2" w:rsidP="002C2559">
          <w:pPr>
            <w:pStyle w:val="Original"/>
            <w:rPr>
              <w:color w:val="000000"/>
              <w:lang w:val="en-US"/>
            </w:rPr>
          </w:pPr>
          <w:r w:rsidRPr="00DC3616">
            <w:rPr>
              <w:color w:val="000000"/>
              <w:lang w:val="en-US"/>
            </w:rPr>
            <w:t>Original: Spanish</w:t>
          </w:r>
        </w:p>
        <w:p w:rsidR="009754C2" w:rsidRPr="00DC3616" w:rsidRDefault="009754C2" w:rsidP="002C2559">
          <w:pPr>
            <w:rPr>
              <w:lang w:val="en-US"/>
            </w:rPr>
          </w:pPr>
        </w:p>
      </w:tc>
    </w:tr>
  </w:tbl>
  <w:p w:rsidR="009754C2" w:rsidRPr="00DC3616" w:rsidRDefault="009754C2" w:rsidP="002C2559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9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5525*"/>
    <w:docVar w:name="CreationDt" w:val="10/5/2015 12:27 PM"/>
    <w:docVar w:name="DocCategory" w:val="Doc"/>
    <w:docVar w:name="DocType" w:val="Final"/>
    <w:docVar w:name="DutyStation" w:val="Geneva"/>
    <w:docVar w:name="FooterJN" w:val="GE.15-15525"/>
    <w:docVar w:name="jobn" w:val="GE.15-15525 (R)"/>
    <w:docVar w:name="jobnDT" w:val="GE.15-15525 (R)   051015"/>
    <w:docVar w:name="jobnDTDT" w:val="GE.15-15525 (R)   051015   051015"/>
    <w:docVar w:name="JobNo" w:val="GE.1515525R"/>
    <w:docVar w:name="JobNo2" w:val="1520748R"/>
    <w:docVar w:name="LocalDrive" w:val="0"/>
    <w:docVar w:name="OandT" w:val="U.A."/>
    <w:docVar w:name="PaperSize" w:val="A4"/>
    <w:docVar w:name="sss1" w:val="A/HRC/30/9/Add.1"/>
    <w:docVar w:name="sss2" w:val="-"/>
    <w:docVar w:name="Symbol1" w:val="A/HRC/30/9/Add.1"/>
    <w:docVar w:name="Symbol2" w:val="-"/>
  </w:docVars>
  <w:rsids>
    <w:rsidRoot w:val="00B228BF"/>
    <w:rsid w:val="00004615"/>
    <w:rsid w:val="00004756"/>
    <w:rsid w:val="00010735"/>
    <w:rsid w:val="00013E03"/>
    <w:rsid w:val="00015201"/>
    <w:rsid w:val="0001588C"/>
    <w:rsid w:val="000162FB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1DC8"/>
    <w:rsid w:val="00092464"/>
    <w:rsid w:val="000A111E"/>
    <w:rsid w:val="000A1DF3"/>
    <w:rsid w:val="000A4A11"/>
    <w:rsid w:val="000B02B7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308F"/>
    <w:rsid w:val="001444A3"/>
    <w:rsid w:val="00153645"/>
    <w:rsid w:val="00153E8C"/>
    <w:rsid w:val="001565FD"/>
    <w:rsid w:val="00160648"/>
    <w:rsid w:val="00161F29"/>
    <w:rsid w:val="00162200"/>
    <w:rsid w:val="00162E88"/>
    <w:rsid w:val="00171F41"/>
    <w:rsid w:val="001726A4"/>
    <w:rsid w:val="001744B4"/>
    <w:rsid w:val="00175AC4"/>
    <w:rsid w:val="00177361"/>
    <w:rsid w:val="001802BD"/>
    <w:rsid w:val="001862BD"/>
    <w:rsid w:val="00193822"/>
    <w:rsid w:val="0019704E"/>
    <w:rsid w:val="001A0D31"/>
    <w:rsid w:val="001A39EE"/>
    <w:rsid w:val="001A4338"/>
    <w:rsid w:val="001A6777"/>
    <w:rsid w:val="001A76E4"/>
    <w:rsid w:val="001C29B3"/>
    <w:rsid w:val="001C54CE"/>
    <w:rsid w:val="001D15F8"/>
    <w:rsid w:val="001D1749"/>
    <w:rsid w:val="001D2679"/>
    <w:rsid w:val="001D502D"/>
    <w:rsid w:val="001D60ED"/>
    <w:rsid w:val="001E21CE"/>
    <w:rsid w:val="001E25A2"/>
    <w:rsid w:val="001E61AD"/>
    <w:rsid w:val="001E639C"/>
    <w:rsid w:val="001F1B08"/>
    <w:rsid w:val="001F4353"/>
    <w:rsid w:val="001F639D"/>
    <w:rsid w:val="00202940"/>
    <w:rsid w:val="00205CBD"/>
    <w:rsid w:val="00206603"/>
    <w:rsid w:val="002078A2"/>
    <w:rsid w:val="00211A7E"/>
    <w:rsid w:val="00215955"/>
    <w:rsid w:val="00217A24"/>
    <w:rsid w:val="00223C57"/>
    <w:rsid w:val="00227D15"/>
    <w:rsid w:val="00242477"/>
    <w:rsid w:val="00244051"/>
    <w:rsid w:val="002524D1"/>
    <w:rsid w:val="002535D8"/>
    <w:rsid w:val="00254046"/>
    <w:rsid w:val="002564AC"/>
    <w:rsid w:val="002608F3"/>
    <w:rsid w:val="00261386"/>
    <w:rsid w:val="00261C41"/>
    <w:rsid w:val="00264124"/>
    <w:rsid w:val="00264A43"/>
    <w:rsid w:val="002726BA"/>
    <w:rsid w:val="0027350A"/>
    <w:rsid w:val="00277697"/>
    <w:rsid w:val="00281B96"/>
    <w:rsid w:val="002853F1"/>
    <w:rsid w:val="00285565"/>
    <w:rsid w:val="00297C3D"/>
    <w:rsid w:val="002A04A3"/>
    <w:rsid w:val="002A0BAE"/>
    <w:rsid w:val="002A2DD8"/>
    <w:rsid w:val="002A712C"/>
    <w:rsid w:val="002A7921"/>
    <w:rsid w:val="002B1213"/>
    <w:rsid w:val="002B6501"/>
    <w:rsid w:val="002B6E2A"/>
    <w:rsid w:val="002C0A4B"/>
    <w:rsid w:val="002C2559"/>
    <w:rsid w:val="002C3DE6"/>
    <w:rsid w:val="002C66D0"/>
    <w:rsid w:val="002D396F"/>
    <w:rsid w:val="002D4606"/>
    <w:rsid w:val="002D4A88"/>
    <w:rsid w:val="002D666D"/>
    <w:rsid w:val="002E1F79"/>
    <w:rsid w:val="002F3CF9"/>
    <w:rsid w:val="002F5C45"/>
    <w:rsid w:val="002F6149"/>
    <w:rsid w:val="002F7D25"/>
    <w:rsid w:val="00310EA4"/>
    <w:rsid w:val="00310ED4"/>
    <w:rsid w:val="00325C10"/>
    <w:rsid w:val="00326F5F"/>
    <w:rsid w:val="00332D90"/>
    <w:rsid w:val="00333B06"/>
    <w:rsid w:val="00337D91"/>
    <w:rsid w:val="00343513"/>
    <w:rsid w:val="00346BFB"/>
    <w:rsid w:val="00350756"/>
    <w:rsid w:val="003542EE"/>
    <w:rsid w:val="00360D26"/>
    <w:rsid w:val="00362FFE"/>
    <w:rsid w:val="003658B0"/>
    <w:rsid w:val="0038044D"/>
    <w:rsid w:val="00384AEE"/>
    <w:rsid w:val="0038527A"/>
    <w:rsid w:val="00386A98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401CDD"/>
    <w:rsid w:val="00402244"/>
    <w:rsid w:val="00415DEC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6710A"/>
    <w:rsid w:val="0047759D"/>
    <w:rsid w:val="00487893"/>
    <w:rsid w:val="0049612D"/>
    <w:rsid w:val="004964B8"/>
    <w:rsid w:val="004A04A6"/>
    <w:rsid w:val="004A21EE"/>
    <w:rsid w:val="004A36EE"/>
    <w:rsid w:val="004A5E27"/>
    <w:rsid w:val="004A7499"/>
    <w:rsid w:val="004B1314"/>
    <w:rsid w:val="004B16C7"/>
    <w:rsid w:val="004B722C"/>
    <w:rsid w:val="004C1B79"/>
    <w:rsid w:val="004C27B4"/>
    <w:rsid w:val="004C6A2C"/>
    <w:rsid w:val="004D275F"/>
    <w:rsid w:val="004D474D"/>
    <w:rsid w:val="004D6276"/>
    <w:rsid w:val="004D642A"/>
    <w:rsid w:val="004D656E"/>
    <w:rsid w:val="004E6443"/>
    <w:rsid w:val="004E7743"/>
    <w:rsid w:val="00504669"/>
    <w:rsid w:val="005058E0"/>
    <w:rsid w:val="00511EAC"/>
    <w:rsid w:val="005121DC"/>
    <w:rsid w:val="00513113"/>
    <w:rsid w:val="005135CF"/>
    <w:rsid w:val="00515869"/>
    <w:rsid w:val="005160BC"/>
    <w:rsid w:val="005214BA"/>
    <w:rsid w:val="00522E6D"/>
    <w:rsid w:val="00524A24"/>
    <w:rsid w:val="005251C4"/>
    <w:rsid w:val="00526E12"/>
    <w:rsid w:val="00532578"/>
    <w:rsid w:val="00533411"/>
    <w:rsid w:val="00533DAB"/>
    <w:rsid w:val="00540BD6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4BF2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37D"/>
    <w:rsid w:val="0060593E"/>
    <w:rsid w:val="00611EE5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7F1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12A2"/>
    <w:rsid w:val="006B34CB"/>
    <w:rsid w:val="006B452C"/>
    <w:rsid w:val="006B590B"/>
    <w:rsid w:val="006C0568"/>
    <w:rsid w:val="006C44B7"/>
    <w:rsid w:val="006C59D5"/>
    <w:rsid w:val="006D58BE"/>
    <w:rsid w:val="006E1418"/>
    <w:rsid w:val="006F3683"/>
    <w:rsid w:val="00700738"/>
    <w:rsid w:val="007042EA"/>
    <w:rsid w:val="007043B9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3C4A"/>
    <w:rsid w:val="00767AED"/>
    <w:rsid w:val="0077374B"/>
    <w:rsid w:val="0077405E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B6EBF"/>
    <w:rsid w:val="007C62D1"/>
    <w:rsid w:val="007C706F"/>
    <w:rsid w:val="007C7320"/>
    <w:rsid w:val="007D01FF"/>
    <w:rsid w:val="007E0E39"/>
    <w:rsid w:val="007E2B60"/>
    <w:rsid w:val="007E5E3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2DFF"/>
    <w:rsid w:val="00843750"/>
    <w:rsid w:val="00844407"/>
    <w:rsid w:val="00853E2A"/>
    <w:rsid w:val="008541E9"/>
    <w:rsid w:val="00856EEB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279"/>
    <w:rsid w:val="00907EDB"/>
    <w:rsid w:val="009110C5"/>
    <w:rsid w:val="00912FB5"/>
    <w:rsid w:val="00913A54"/>
    <w:rsid w:val="00915944"/>
    <w:rsid w:val="00915A9F"/>
    <w:rsid w:val="009228D9"/>
    <w:rsid w:val="009312DC"/>
    <w:rsid w:val="009327BF"/>
    <w:rsid w:val="00934047"/>
    <w:rsid w:val="0093512D"/>
    <w:rsid w:val="00935F33"/>
    <w:rsid w:val="0094745A"/>
    <w:rsid w:val="00952B5F"/>
    <w:rsid w:val="00952DA3"/>
    <w:rsid w:val="00953546"/>
    <w:rsid w:val="009541F6"/>
    <w:rsid w:val="0095649D"/>
    <w:rsid w:val="009565AD"/>
    <w:rsid w:val="00960332"/>
    <w:rsid w:val="00963BDB"/>
    <w:rsid w:val="0097006F"/>
    <w:rsid w:val="009754C2"/>
    <w:rsid w:val="00984EE4"/>
    <w:rsid w:val="00990168"/>
    <w:rsid w:val="0099354F"/>
    <w:rsid w:val="00996CBB"/>
    <w:rsid w:val="009A5318"/>
    <w:rsid w:val="009B16EA"/>
    <w:rsid w:val="009B3444"/>
    <w:rsid w:val="009B5DCD"/>
    <w:rsid w:val="009B5EE6"/>
    <w:rsid w:val="009B7193"/>
    <w:rsid w:val="009C02FB"/>
    <w:rsid w:val="009C20B9"/>
    <w:rsid w:val="009C382E"/>
    <w:rsid w:val="009C495F"/>
    <w:rsid w:val="009C6A25"/>
    <w:rsid w:val="009D28B9"/>
    <w:rsid w:val="009D6E3D"/>
    <w:rsid w:val="009E5E58"/>
    <w:rsid w:val="009F0808"/>
    <w:rsid w:val="00A0688A"/>
    <w:rsid w:val="00A070E6"/>
    <w:rsid w:val="00A1426A"/>
    <w:rsid w:val="00A14F1D"/>
    <w:rsid w:val="00A152DC"/>
    <w:rsid w:val="00A1703F"/>
    <w:rsid w:val="00A2180A"/>
    <w:rsid w:val="00A22293"/>
    <w:rsid w:val="00A26973"/>
    <w:rsid w:val="00A3401C"/>
    <w:rsid w:val="00A344D5"/>
    <w:rsid w:val="00A37E33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B69B0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17F6"/>
    <w:rsid w:val="00B228BF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A6AD7"/>
    <w:rsid w:val="00BB052D"/>
    <w:rsid w:val="00BB1F92"/>
    <w:rsid w:val="00BB2E06"/>
    <w:rsid w:val="00BB46C6"/>
    <w:rsid w:val="00BB5B7F"/>
    <w:rsid w:val="00BB5C4E"/>
    <w:rsid w:val="00BB7E8A"/>
    <w:rsid w:val="00BC20A0"/>
    <w:rsid w:val="00BC75AA"/>
    <w:rsid w:val="00BD0770"/>
    <w:rsid w:val="00BD2F16"/>
    <w:rsid w:val="00BD4A29"/>
    <w:rsid w:val="00BE2488"/>
    <w:rsid w:val="00BE2D25"/>
    <w:rsid w:val="00BE448A"/>
    <w:rsid w:val="00BE531D"/>
    <w:rsid w:val="00BE7378"/>
    <w:rsid w:val="00BE75D0"/>
    <w:rsid w:val="00BF2725"/>
    <w:rsid w:val="00BF3D60"/>
    <w:rsid w:val="00BF5FCB"/>
    <w:rsid w:val="00BF72EA"/>
    <w:rsid w:val="00C00290"/>
    <w:rsid w:val="00C05FFF"/>
    <w:rsid w:val="00C10BAE"/>
    <w:rsid w:val="00C16B93"/>
    <w:rsid w:val="00C2210E"/>
    <w:rsid w:val="00C2524E"/>
    <w:rsid w:val="00C32802"/>
    <w:rsid w:val="00C35DFA"/>
    <w:rsid w:val="00C36272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57E6A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443"/>
    <w:rsid w:val="00CA2CF3"/>
    <w:rsid w:val="00CB519E"/>
    <w:rsid w:val="00CC2E58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07E0"/>
    <w:rsid w:val="00D11640"/>
    <w:rsid w:val="00D1470E"/>
    <w:rsid w:val="00D20AA4"/>
    <w:rsid w:val="00D25A7B"/>
    <w:rsid w:val="00D32157"/>
    <w:rsid w:val="00D35B2E"/>
    <w:rsid w:val="00D40F84"/>
    <w:rsid w:val="00D434AF"/>
    <w:rsid w:val="00D44FA6"/>
    <w:rsid w:val="00D554C9"/>
    <w:rsid w:val="00D60D62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A7B41"/>
    <w:rsid w:val="00DB058E"/>
    <w:rsid w:val="00DB326E"/>
    <w:rsid w:val="00DC1E7E"/>
    <w:rsid w:val="00DC31D2"/>
    <w:rsid w:val="00DC3616"/>
    <w:rsid w:val="00DC7A5F"/>
    <w:rsid w:val="00DD6A66"/>
    <w:rsid w:val="00DE0D15"/>
    <w:rsid w:val="00DF1CF0"/>
    <w:rsid w:val="00DF6656"/>
    <w:rsid w:val="00DF7388"/>
    <w:rsid w:val="00E04C73"/>
    <w:rsid w:val="00E079A3"/>
    <w:rsid w:val="00E11718"/>
    <w:rsid w:val="00E12674"/>
    <w:rsid w:val="00E132AC"/>
    <w:rsid w:val="00E15CCC"/>
    <w:rsid w:val="00E15D7D"/>
    <w:rsid w:val="00E17234"/>
    <w:rsid w:val="00E23ABA"/>
    <w:rsid w:val="00E261F5"/>
    <w:rsid w:val="00E34A5B"/>
    <w:rsid w:val="00E3623B"/>
    <w:rsid w:val="00E4741B"/>
    <w:rsid w:val="00E478DE"/>
    <w:rsid w:val="00E5157F"/>
    <w:rsid w:val="00E5226F"/>
    <w:rsid w:val="00E53135"/>
    <w:rsid w:val="00E54141"/>
    <w:rsid w:val="00E54D94"/>
    <w:rsid w:val="00E57E26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D3E61"/>
    <w:rsid w:val="00EE3586"/>
    <w:rsid w:val="00EE63A7"/>
    <w:rsid w:val="00EE7954"/>
    <w:rsid w:val="00EF1FBD"/>
    <w:rsid w:val="00EF29BE"/>
    <w:rsid w:val="00EF7FD0"/>
    <w:rsid w:val="00F07943"/>
    <w:rsid w:val="00F07DDF"/>
    <w:rsid w:val="00F11204"/>
    <w:rsid w:val="00F16256"/>
    <w:rsid w:val="00F231E8"/>
    <w:rsid w:val="00F26EA8"/>
    <w:rsid w:val="00F30632"/>
    <w:rsid w:val="00F31B97"/>
    <w:rsid w:val="00F32BCD"/>
    <w:rsid w:val="00F33544"/>
    <w:rsid w:val="00F35ACF"/>
    <w:rsid w:val="00F36445"/>
    <w:rsid w:val="00F40CAB"/>
    <w:rsid w:val="00F414C3"/>
    <w:rsid w:val="00F51C87"/>
    <w:rsid w:val="00F5214D"/>
    <w:rsid w:val="00F55457"/>
    <w:rsid w:val="00F6077B"/>
    <w:rsid w:val="00F624BD"/>
    <w:rsid w:val="00F62A5E"/>
    <w:rsid w:val="00F631B9"/>
    <w:rsid w:val="00F634A6"/>
    <w:rsid w:val="00F6634F"/>
    <w:rsid w:val="00F72CD1"/>
    <w:rsid w:val="00F74A39"/>
    <w:rsid w:val="00F8138E"/>
    <w:rsid w:val="00F8380B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2A0E"/>
    <w:rsid w:val="00FA5551"/>
    <w:rsid w:val="00FA6D66"/>
    <w:rsid w:val="00FA7C7A"/>
    <w:rsid w:val="00FC1C00"/>
    <w:rsid w:val="00FD213B"/>
    <w:rsid w:val="00FD3CE8"/>
    <w:rsid w:val="00FD5B91"/>
    <w:rsid w:val="00FD7513"/>
    <w:rsid w:val="00FE179A"/>
    <w:rsid w:val="00FE2684"/>
    <w:rsid w:val="00FE5997"/>
    <w:rsid w:val="00FF07F5"/>
    <w:rsid w:val="00FF1250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27350A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rsid w:val="0027350A"/>
    <w:pPr>
      <w:suppressAutoHyphens/>
      <w:spacing w:line="210" w:lineRule="exact"/>
      <w:contextualSpacing/>
    </w:pPr>
    <w:rPr>
      <w:spacing w:val="5"/>
      <w:w w:val="104"/>
      <w:sz w:val="17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27350A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2C25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5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59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59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0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05E"/>
    <w:rPr>
      <w:rFonts w:ascii="Tahoma" w:hAnsi="Tahoma" w:cs="Tahoma"/>
      <w:spacing w:val="4"/>
      <w:w w:val="103"/>
      <w:kern w:val="14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27350A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rsid w:val="0027350A"/>
    <w:pPr>
      <w:suppressAutoHyphens/>
      <w:spacing w:line="210" w:lineRule="exact"/>
      <w:contextualSpacing/>
    </w:pPr>
    <w:rPr>
      <w:spacing w:val="5"/>
      <w:w w:val="104"/>
      <w:sz w:val="17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27350A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2C25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5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59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59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0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05E"/>
    <w:rPr>
      <w:rFonts w:ascii="Tahoma" w:hAnsi="Tahoma" w:cs="Tahoma"/>
      <w:spacing w:val="4"/>
      <w:w w:val="103"/>
      <w:kern w:val="14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36207-70DE-4EED-B2E2-D2E16A98EB38}"/>
</file>

<file path=customXml/itemProps2.xml><?xml version="1.0" encoding="utf-8"?>
<ds:datastoreItem xmlns:ds="http://schemas.openxmlformats.org/officeDocument/2006/customXml" ds:itemID="{C28089FE-55E9-45EA-AEFB-41C2E940624D}"/>
</file>

<file path=customXml/itemProps3.xml><?xml version="1.0" encoding="utf-8"?>
<ds:datastoreItem xmlns:ds="http://schemas.openxmlformats.org/officeDocument/2006/customXml" ds:itemID="{899AA351-FF23-4A5D-AC7C-CB7CD3869760}"/>
</file>

<file path=customXml/itemProps4.xml><?xml version="1.0" encoding="utf-8"?>
<ds:datastoreItem xmlns:ds="http://schemas.openxmlformats.org/officeDocument/2006/customXml" ds:itemID="{7B40C70D-ED47-418B-B145-8E7C7511E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2562</Words>
  <Characters>14606</Characters>
  <Application>Microsoft Office Word</Application>
  <DocSecurity>4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17134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of the Report of the Working Group on the Universal Periodic Review - Andorra in Russian</dc:title>
  <dc:creator>Uliana Antipova</dc:creator>
  <cp:lastModifiedBy>Somova Iuliia</cp:lastModifiedBy>
  <cp:revision>2</cp:revision>
  <cp:lastPrinted>2015-10-05T13:31:00Z</cp:lastPrinted>
  <dcterms:created xsi:type="dcterms:W3CDTF">2015-10-29T15:47:00Z</dcterms:created>
  <dcterms:modified xsi:type="dcterms:W3CDTF">2015-10-29T15:47:00Z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1515525R</vt:lpwstr>
  </property>
  <property fmtid="{D5CDD505-2E9C-101B-9397-08002B2CF9AE}" pid="3" name="ODSRefJobNo">
    <vt:lpwstr>1520748R</vt:lpwstr>
  </property>
  <property fmtid="{D5CDD505-2E9C-101B-9397-08002B2CF9AE}" pid="4" name="Symbol1">
    <vt:lpwstr>A/HRC/30/9/Add.1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U.A.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14 September 2015</vt:lpwstr>
  </property>
  <property fmtid="{D5CDD505-2E9C-101B-9397-08002B2CF9AE}" pid="12" name="Original">
    <vt:lpwstr>Spanish</vt:lpwstr>
  </property>
  <property fmtid="{D5CDD505-2E9C-101B-9397-08002B2CF9AE}" pid="13" name="Release Date">
    <vt:lpwstr>051015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55500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