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76C" w:rsidRDefault="009E376C" w:rsidP="009E376C">
      <w:pPr>
        <w:spacing w:line="60" w:lineRule="exact"/>
        <w:rPr>
          <w:sz w:val="6"/>
        </w:rPr>
        <w:sectPr w:rsidR="009E376C" w:rsidSect="009E376C">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bookmarkStart w:id="1" w:name="_GoBack"/>
      <w:bookmarkEnd w:id="1"/>
    </w:p>
    <w:p w:rsidR="00B31E9D" w:rsidRDefault="00B31E9D" w:rsidP="009E376C">
      <w:pPr>
        <w:spacing w:line="60" w:lineRule="exact"/>
        <w:rPr>
          <w:sz w:val="6"/>
        </w:rPr>
      </w:pPr>
    </w:p>
    <w:p w:rsidR="008B1DAE" w:rsidRDefault="008B1DAE" w:rsidP="008B1DA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人权理事会</w:t>
      </w:r>
    </w:p>
    <w:p w:rsidR="008B1DAE" w:rsidRDefault="008B1DAE" w:rsidP="008B1DA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第三十届会议</w:t>
      </w:r>
    </w:p>
    <w:p w:rsidR="008B1DAE" w:rsidRDefault="008B1DAE" w:rsidP="008B1DAE">
      <w:pPr>
        <w:pStyle w:val="H56"/>
        <w:tabs>
          <w:tab w:val="clear"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议程项目</w:t>
      </w:r>
      <w:r>
        <w:rPr>
          <w:rFonts w:hint="eastAsia"/>
        </w:rPr>
        <w:t>1</w:t>
      </w:r>
    </w:p>
    <w:p w:rsidR="008B1DAE" w:rsidRDefault="008B1DAE" w:rsidP="008B1DA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组织和程序事项</w:t>
      </w:r>
    </w:p>
    <w:p w:rsidR="008B1DAE" w:rsidRPr="008B1DAE" w:rsidRDefault="008B1DAE" w:rsidP="008B1DAE">
      <w:pPr>
        <w:pStyle w:val="SingleTxt"/>
        <w:spacing w:after="0" w:line="120" w:lineRule="exact"/>
        <w:rPr>
          <w:sz w:val="10"/>
        </w:rPr>
      </w:pPr>
    </w:p>
    <w:p w:rsidR="008B1DAE" w:rsidRDefault="008B1DAE" w:rsidP="008B1DAE">
      <w:pPr>
        <w:pStyle w:val="SingleTxt"/>
        <w:spacing w:after="0" w:line="120" w:lineRule="exact"/>
        <w:rPr>
          <w:sz w:val="10"/>
        </w:rPr>
      </w:pPr>
    </w:p>
    <w:p w:rsidR="008B1DAE" w:rsidRPr="008B1DAE" w:rsidRDefault="008B1DAE" w:rsidP="008B1DAE">
      <w:pPr>
        <w:pStyle w:val="SingleTxt"/>
        <w:spacing w:after="0" w:line="120" w:lineRule="exact"/>
        <w:rPr>
          <w:sz w:val="10"/>
        </w:rPr>
      </w:pPr>
    </w:p>
    <w:p w:rsidR="008B1DAE" w:rsidRDefault="008B1DAE" w:rsidP="008B1DA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选举人权理事会咨询委员会委员</w:t>
      </w:r>
    </w:p>
    <w:p w:rsidR="008B1DAE" w:rsidRPr="008B1DAE" w:rsidRDefault="008B1DAE" w:rsidP="008B1DAE">
      <w:pPr>
        <w:pStyle w:val="SingleTxt"/>
        <w:spacing w:after="0" w:line="120" w:lineRule="exact"/>
        <w:rPr>
          <w:sz w:val="10"/>
        </w:rPr>
      </w:pPr>
    </w:p>
    <w:p w:rsidR="008B1DAE" w:rsidRPr="008B1DAE" w:rsidRDefault="008B1DAE" w:rsidP="008B1DAE">
      <w:pPr>
        <w:pStyle w:val="SingleTxt"/>
        <w:spacing w:after="0" w:line="120" w:lineRule="exact"/>
        <w:rPr>
          <w:sz w:val="10"/>
        </w:rPr>
      </w:pPr>
    </w:p>
    <w:p w:rsidR="008B1DAE" w:rsidRDefault="008B1DAE" w:rsidP="008B1DA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秘书长的说明</w:t>
      </w:r>
    </w:p>
    <w:p w:rsidR="008B1DAE" w:rsidRPr="008B1DAE" w:rsidRDefault="008B1DAE" w:rsidP="008B1DAE">
      <w:pPr>
        <w:pStyle w:val="SingleTxt"/>
        <w:spacing w:after="0" w:line="120" w:lineRule="exact"/>
        <w:rPr>
          <w:sz w:val="10"/>
        </w:rPr>
      </w:pPr>
    </w:p>
    <w:p w:rsidR="008B1DAE" w:rsidRPr="008B1DAE" w:rsidRDefault="008B1DAE" w:rsidP="008B1DAE">
      <w:pPr>
        <w:pStyle w:val="SingleTxt"/>
        <w:spacing w:after="0" w:line="120" w:lineRule="exact"/>
        <w:rPr>
          <w:sz w:val="10"/>
        </w:rPr>
      </w:pPr>
    </w:p>
    <w:p w:rsidR="008B1DAE" w:rsidRDefault="008B1DAE" w:rsidP="008B1DAE">
      <w:pPr>
        <w:pStyle w:val="SingleTxt"/>
      </w:pPr>
      <w:r>
        <w:rPr>
          <w:rFonts w:hint="eastAsia"/>
        </w:rPr>
        <w:t xml:space="preserve">1. </w:t>
      </w:r>
      <w:r>
        <w:t xml:space="preserve"> </w:t>
      </w:r>
      <w:r>
        <w:rPr>
          <w:rFonts w:hint="eastAsia"/>
        </w:rPr>
        <w:t>根据人权理事会第</w:t>
      </w:r>
      <w:r>
        <w:rPr>
          <w:rFonts w:hint="eastAsia"/>
        </w:rPr>
        <w:t>5/1</w:t>
      </w:r>
      <w:r>
        <w:rPr>
          <w:rFonts w:hint="eastAsia"/>
        </w:rPr>
        <w:t>号决议，人权理事会咨询委员会将由以个人身份任职的</w:t>
      </w:r>
      <w:r>
        <w:rPr>
          <w:rFonts w:hint="eastAsia"/>
        </w:rPr>
        <w:t>18</w:t>
      </w:r>
      <w:r>
        <w:rPr>
          <w:rFonts w:hint="eastAsia"/>
        </w:rPr>
        <w:t>名专家组成。</w:t>
      </w:r>
      <w:r>
        <w:rPr>
          <w:rFonts w:hint="eastAsia"/>
        </w:rPr>
        <w:t xml:space="preserve"> </w:t>
      </w:r>
      <w:r>
        <w:rPr>
          <w:rFonts w:hint="eastAsia"/>
        </w:rPr>
        <w:t>这些专家将由联合国会员国在征求本国人权机构和民间社会组织的意见后提名，理事会将从按商定要求提名的候选人名单中以无记名方式选出。</w:t>
      </w:r>
    </w:p>
    <w:p w:rsidR="008B1DAE" w:rsidRDefault="008B1DAE" w:rsidP="008B1DAE">
      <w:pPr>
        <w:pStyle w:val="SingleTxt"/>
      </w:pPr>
      <w:r>
        <w:rPr>
          <w:rFonts w:hint="eastAsia"/>
        </w:rPr>
        <w:t>2.</w:t>
      </w:r>
      <w:r>
        <w:t xml:space="preserve"> </w:t>
      </w:r>
      <w:r>
        <w:rPr>
          <w:rFonts w:hint="eastAsia"/>
        </w:rPr>
        <w:t xml:space="preserve"> </w:t>
      </w:r>
      <w:r>
        <w:rPr>
          <w:rFonts w:hint="eastAsia"/>
        </w:rPr>
        <w:t>委员会委员的地域分配如下：</w:t>
      </w:r>
    </w:p>
    <w:p w:rsidR="008B1DAE" w:rsidRDefault="008B1DAE" w:rsidP="008B1DAE">
      <w:pPr>
        <w:pStyle w:val="SingleTxt"/>
      </w:pPr>
      <w:r>
        <w:rPr>
          <w:rFonts w:hint="eastAsia"/>
        </w:rPr>
        <w:tab/>
        <w:t>(a)</w:t>
      </w:r>
      <w:r>
        <w:rPr>
          <w:rFonts w:hint="eastAsia"/>
        </w:rPr>
        <w:tab/>
      </w:r>
      <w:r>
        <w:rPr>
          <w:rFonts w:hint="eastAsia"/>
        </w:rPr>
        <w:t>非洲国家五名；</w:t>
      </w:r>
    </w:p>
    <w:p w:rsidR="008B1DAE" w:rsidRDefault="008B1DAE" w:rsidP="008B1DAE">
      <w:pPr>
        <w:pStyle w:val="SingleTxt"/>
      </w:pPr>
      <w:r>
        <w:rPr>
          <w:rFonts w:hint="eastAsia"/>
        </w:rPr>
        <w:tab/>
        <w:t>(b)</w:t>
      </w:r>
      <w:r>
        <w:rPr>
          <w:rFonts w:hint="eastAsia"/>
        </w:rPr>
        <w:tab/>
      </w:r>
      <w:r>
        <w:rPr>
          <w:rFonts w:hint="eastAsia"/>
        </w:rPr>
        <w:t>亚太国家五名；</w:t>
      </w:r>
    </w:p>
    <w:p w:rsidR="008B1DAE" w:rsidRDefault="008B1DAE" w:rsidP="008B1DAE">
      <w:pPr>
        <w:pStyle w:val="SingleTxt"/>
      </w:pPr>
      <w:r>
        <w:rPr>
          <w:rFonts w:hint="eastAsia"/>
        </w:rPr>
        <w:tab/>
        <w:t>(c)</w:t>
      </w:r>
      <w:r>
        <w:rPr>
          <w:rFonts w:hint="eastAsia"/>
        </w:rPr>
        <w:tab/>
      </w:r>
      <w:r>
        <w:rPr>
          <w:rFonts w:hint="eastAsia"/>
        </w:rPr>
        <w:t>东欧国家两名；</w:t>
      </w:r>
    </w:p>
    <w:p w:rsidR="008B1DAE" w:rsidRDefault="008B1DAE" w:rsidP="008B1DAE">
      <w:pPr>
        <w:pStyle w:val="SingleTxt"/>
      </w:pPr>
      <w:r>
        <w:rPr>
          <w:rFonts w:hint="eastAsia"/>
        </w:rPr>
        <w:tab/>
        <w:t>(d)</w:t>
      </w:r>
      <w:r>
        <w:rPr>
          <w:rFonts w:hint="eastAsia"/>
        </w:rPr>
        <w:tab/>
      </w:r>
      <w:r>
        <w:rPr>
          <w:rFonts w:hint="eastAsia"/>
        </w:rPr>
        <w:t>拉丁美洲和加勒比国家三名；</w:t>
      </w:r>
    </w:p>
    <w:p w:rsidR="008B1DAE" w:rsidRDefault="008B1DAE" w:rsidP="008B1DAE">
      <w:pPr>
        <w:pStyle w:val="SingleTxt"/>
      </w:pPr>
      <w:r>
        <w:rPr>
          <w:rFonts w:hint="eastAsia"/>
        </w:rPr>
        <w:tab/>
        <w:t>(e)</w:t>
      </w:r>
      <w:r>
        <w:rPr>
          <w:rFonts w:hint="eastAsia"/>
        </w:rPr>
        <w:tab/>
      </w:r>
      <w:r>
        <w:rPr>
          <w:rFonts w:hint="eastAsia"/>
        </w:rPr>
        <w:t>西欧和其他国家三名。</w:t>
      </w:r>
    </w:p>
    <w:p w:rsidR="008B1DAE" w:rsidRPr="00754CEB" w:rsidRDefault="008B1DAE" w:rsidP="008B1DAE">
      <w:pPr>
        <w:pStyle w:val="SingleTxt"/>
      </w:pPr>
      <w:r>
        <w:rPr>
          <w:rFonts w:hint="eastAsia"/>
        </w:rPr>
        <w:t>3.</w:t>
      </w:r>
      <w:r>
        <w:t xml:space="preserve"> </w:t>
      </w:r>
      <w:r>
        <w:rPr>
          <w:rFonts w:hint="eastAsia"/>
        </w:rPr>
        <w:t xml:space="preserve"> </w:t>
      </w:r>
      <w:r>
        <w:rPr>
          <w:rFonts w:hint="eastAsia"/>
        </w:rPr>
        <w:t>理事会第六届会议通过了关于第</w:t>
      </w:r>
      <w:r>
        <w:rPr>
          <w:rFonts w:hint="eastAsia"/>
        </w:rPr>
        <w:t>5/1</w:t>
      </w:r>
      <w:r>
        <w:rPr>
          <w:rFonts w:hint="eastAsia"/>
        </w:rPr>
        <w:t>号决议后续行动的第</w:t>
      </w:r>
      <w:r>
        <w:rPr>
          <w:rFonts w:hint="eastAsia"/>
        </w:rPr>
        <w:t>6/102</w:t>
      </w:r>
      <w:r>
        <w:rPr>
          <w:rFonts w:hint="eastAsia"/>
        </w:rPr>
        <w:t>号决定，列出了提出候选人的技术要求和客观要求，其中包括：</w:t>
      </w:r>
      <w:r>
        <w:rPr>
          <w:rFonts w:hint="eastAsia"/>
        </w:rPr>
        <w:t xml:space="preserve"> </w:t>
      </w:r>
    </w:p>
    <w:p w:rsidR="008B1DAE" w:rsidRDefault="008B1DAE" w:rsidP="008B1DAE">
      <w:pPr>
        <w:pStyle w:val="SingleTxt"/>
      </w:pPr>
      <w:r>
        <w:tab/>
      </w:r>
      <w:r>
        <w:rPr>
          <w:rFonts w:hint="eastAsia"/>
        </w:rPr>
        <w:t>(a)</w:t>
      </w:r>
      <w:r>
        <w:tab/>
      </w:r>
      <w:r>
        <w:rPr>
          <w:rFonts w:hint="eastAsia"/>
        </w:rPr>
        <w:t>在人权领域具有公认的能力和经验；</w:t>
      </w:r>
    </w:p>
    <w:p w:rsidR="008B1DAE" w:rsidRDefault="008B1DAE" w:rsidP="008B1DAE">
      <w:pPr>
        <w:pStyle w:val="SingleTxt"/>
      </w:pPr>
      <w:r>
        <w:tab/>
      </w:r>
      <w:r>
        <w:rPr>
          <w:rFonts w:hint="eastAsia"/>
        </w:rPr>
        <w:t>(b)</w:t>
      </w:r>
      <w:r>
        <w:tab/>
      </w:r>
      <w:r>
        <w:rPr>
          <w:rFonts w:hint="eastAsia"/>
        </w:rPr>
        <w:t>德高望重；</w:t>
      </w:r>
    </w:p>
    <w:p w:rsidR="008B1DAE" w:rsidRDefault="008B1DAE" w:rsidP="008B1DAE">
      <w:pPr>
        <w:pStyle w:val="SingleTxt"/>
      </w:pPr>
      <w:r>
        <w:tab/>
      </w:r>
      <w:r>
        <w:rPr>
          <w:rFonts w:hint="eastAsia"/>
        </w:rPr>
        <w:t>(c)</w:t>
      </w:r>
      <w:r>
        <w:tab/>
      </w:r>
      <w:r>
        <w:rPr>
          <w:rFonts w:hint="eastAsia"/>
        </w:rPr>
        <w:t>独立性和公正性。</w:t>
      </w:r>
    </w:p>
    <w:p w:rsidR="008B1DAE" w:rsidRDefault="008B1DAE" w:rsidP="008B1DAE">
      <w:pPr>
        <w:pStyle w:val="SingleTxt"/>
      </w:pPr>
      <w:r>
        <w:rPr>
          <w:rFonts w:hint="eastAsia"/>
        </w:rPr>
        <w:t xml:space="preserve">4. </w:t>
      </w:r>
      <w:r>
        <w:t xml:space="preserve"> </w:t>
      </w:r>
      <w:r>
        <w:rPr>
          <w:rFonts w:hint="eastAsia"/>
        </w:rPr>
        <w:t>会员国在挑选候选人时应采用下列关于提出候选人的技术和客观要求的准则：</w:t>
      </w:r>
    </w:p>
    <w:p w:rsidR="000E02C0" w:rsidRDefault="000E02C0">
      <w:pPr>
        <w:spacing w:line="240" w:lineRule="auto"/>
        <w:jc w:val="left"/>
      </w:pPr>
      <w:r>
        <w:br w:type="page"/>
      </w:r>
    </w:p>
    <w:p w:rsidR="008B1DAE" w:rsidRDefault="008B1DAE" w:rsidP="008B1DAE">
      <w:pPr>
        <w:pStyle w:val="SingleTxt"/>
      </w:pPr>
      <w:r>
        <w:rPr>
          <w:rFonts w:hint="eastAsia"/>
        </w:rPr>
        <w:lastRenderedPageBreak/>
        <w:tab/>
        <w:t>(a)</w:t>
      </w:r>
      <w:r>
        <w:rPr>
          <w:rFonts w:hint="eastAsia"/>
        </w:rPr>
        <w:tab/>
      </w:r>
      <w:r>
        <w:rPr>
          <w:rFonts w:hint="eastAsia"/>
        </w:rPr>
        <w:t>能力和经验：</w:t>
      </w:r>
    </w:p>
    <w:p w:rsidR="008B1DAE" w:rsidRDefault="008B1DAE" w:rsidP="008B1DAE">
      <w:pPr>
        <w:pStyle w:val="SingleTxt"/>
        <w:tabs>
          <w:tab w:val="clear" w:pos="2557"/>
          <w:tab w:val="left" w:pos="2694"/>
        </w:tabs>
        <w:ind w:left="1701"/>
      </w:pPr>
      <w:r>
        <w:rPr>
          <w:rFonts w:hint="eastAsia"/>
        </w:rPr>
        <w:tab/>
        <w:t>(</w:t>
      </w:r>
      <w:r>
        <w:rPr>
          <w:rFonts w:hint="eastAsia"/>
        </w:rPr>
        <w:t>一</w:t>
      </w:r>
      <w:r>
        <w:rPr>
          <w:rFonts w:hint="eastAsia"/>
        </w:rPr>
        <w:t>)</w:t>
      </w:r>
      <w:r>
        <w:rPr>
          <w:rFonts w:hint="eastAsia"/>
        </w:rPr>
        <w:tab/>
      </w:r>
      <w:r>
        <w:rPr>
          <w:rFonts w:hint="eastAsia"/>
        </w:rPr>
        <w:t>从事过人权领域或相关领域的学术研究和</w:t>
      </w:r>
      <w:r>
        <w:rPr>
          <w:rFonts w:hint="eastAsia"/>
        </w:rPr>
        <w:t>/</w:t>
      </w:r>
      <w:r>
        <w:rPr>
          <w:rFonts w:hint="eastAsia"/>
        </w:rPr>
        <w:t>或经历，并在国家、区域或国际各级人权领域担负过领导职责；</w:t>
      </w:r>
    </w:p>
    <w:p w:rsidR="008B1DAE" w:rsidRDefault="008B1DAE" w:rsidP="008B1DAE">
      <w:pPr>
        <w:pStyle w:val="SingleTxt"/>
        <w:tabs>
          <w:tab w:val="clear" w:pos="2557"/>
          <w:tab w:val="left" w:pos="2694"/>
        </w:tabs>
        <w:ind w:left="1701"/>
      </w:pPr>
      <w:r>
        <w:rPr>
          <w:rFonts w:hint="eastAsia"/>
        </w:rPr>
        <w:tab/>
        <w:t>(</w:t>
      </w:r>
      <w:r>
        <w:rPr>
          <w:rFonts w:hint="eastAsia"/>
        </w:rPr>
        <w:t>二</w:t>
      </w:r>
      <w:r>
        <w:rPr>
          <w:rFonts w:hint="eastAsia"/>
        </w:rPr>
        <w:t>)</w:t>
      </w:r>
      <w:r>
        <w:rPr>
          <w:rFonts w:hint="eastAsia"/>
        </w:rPr>
        <w:tab/>
      </w:r>
      <w:r>
        <w:rPr>
          <w:rFonts w:hint="eastAsia"/>
        </w:rPr>
        <w:t>具备人权领域的丰富经验</w:t>
      </w:r>
      <w:r>
        <w:rPr>
          <w:rFonts w:hint="eastAsia"/>
        </w:rPr>
        <w:t>(</w:t>
      </w:r>
      <w:r>
        <w:rPr>
          <w:rFonts w:hint="eastAsia"/>
        </w:rPr>
        <w:t>至少五年</w:t>
      </w:r>
      <w:r>
        <w:rPr>
          <w:rFonts w:hint="eastAsia"/>
        </w:rPr>
        <w:t>)</w:t>
      </w:r>
      <w:r>
        <w:rPr>
          <w:rFonts w:hint="eastAsia"/>
        </w:rPr>
        <w:t>和作出过个人贡献；</w:t>
      </w:r>
    </w:p>
    <w:p w:rsidR="008B1DAE" w:rsidRDefault="008B1DAE" w:rsidP="008B1DAE">
      <w:pPr>
        <w:pStyle w:val="SingleTxt"/>
        <w:tabs>
          <w:tab w:val="clear" w:pos="2557"/>
          <w:tab w:val="left" w:pos="2694"/>
        </w:tabs>
        <w:ind w:left="1701"/>
      </w:pPr>
      <w:r>
        <w:rPr>
          <w:rFonts w:hint="eastAsia"/>
        </w:rPr>
        <w:tab/>
        <w:t>(</w:t>
      </w:r>
      <w:r>
        <w:rPr>
          <w:rFonts w:hint="eastAsia"/>
        </w:rPr>
        <w:t>三</w:t>
      </w:r>
      <w:r>
        <w:rPr>
          <w:rFonts w:hint="eastAsia"/>
        </w:rPr>
        <w:t>)</w:t>
      </w:r>
      <w:r>
        <w:rPr>
          <w:rFonts w:hint="eastAsia"/>
        </w:rPr>
        <w:tab/>
      </w:r>
      <w:r>
        <w:rPr>
          <w:rFonts w:hint="eastAsia"/>
        </w:rPr>
        <w:t>了解联合国系统和与人权领域工作相关的体制任务和政策，并熟悉国际人权文书、标准和规则；若熟知不同法律体系与不同文明，则为更佳人选；</w:t>
      </w:r>
    </w:p>
    <w:p w:rsidR="008B1DAE" w:rsidRDefault="008B1DAE" w:rsidP="008B1DAE">
      <w:pPr>
        <w:pStyle w:val="SingleTxt"/>
        <w:tabs>
          <w:tab w:val="clear" w:pos="2557"/>
          <w:tab w:val="left" w:pos="2694"/>
        </w:tabs>
        <w:ind w:left="1701"/>
      </w:pPr>
      <w:r>
        <w:rPr>
          <w:rFonts w:hint="eastAsia"/>
        </w:rPr>
        <w:tab/>
        <w:t>(</w:t>
      </w:r>
      <w:r>
        <w:rPr>
          <w:rFonts w:hint="eastAsia"/>
        </w:rPr>
        <w:t>四</w:t>
      </w:r>
      <w:r>
        <w:rPr>
          <w:rFonts w:hint="eastAsia"/>
        </w:rPr>
        <w:t>)</w:t>
      </w:r>
      <w:r>
        <w:rPr>
          <w:rFonts w:hint="eastAsia"/>
        </w:rPr>
        <w:tab/>
      </w:r>
      <w:r>
        <w:rPr>
          <w:rFonts w:hint="eastAsia"/>
        </w:rPr>
        <w:t>至少熟练掌握一种联合国正式语文；</w:t>
      </w:r>
    </w:p>
    <w:p w:rsidR="008B1DAE" w:rsidRDefault="008B1DAE" w:rsidP="008B1DAE">
      <w:pPr>
        <w:pStyle w:val="SingleTxt"/>
        <w:tabs>
          <w:tab w:val="clear" w:pos="2557"/>
          <w:tab w:val="left" w:pos="2694"/>
        </w:tabs>
        <w:ind w:left="1701"/>
      </w:pPr>
      <w:r>
        <w:rPr>
          <w:rFonts w:hint="eastAsia"/>
        </w:rPr>
        <w:tab/>
        <w:t>(</w:t>
      </w:r>
      <w:r>
        <w:rPr>
          <w:rFonts w:hint="eastAsia"/>
        </w:rPr>
        <w:t>五</w:t>
      </w:r>
      <w:r>
        <w:rPr>
          <w:rFonts w:hint="eastAsia"/>
        </w:rPr>
        <w:t>)</w:t>
      </w:r>
      <w:r>
        <w:rPr>
          <w:rFonts w:hint="eastAsia"/>
        </w:rPr>
        <w:tab/>
      </w:r>
      <w:r>
        <w:rPr>
          <w:rFonts w:hint="eastAsia"/>
        </w:rPr>
        <w:t>拥有能够有效从事咨询委员会工作的时间，既能出席其会议，又能在闭会期间执行所委托的活动；</w:t>
      </w:r>
    </w:p>
    <w:p w:rsidR="008B1DAE" w:rsidRDefault="008B1DAE" w:rsidP="008B1DAE">
      <w:pPr>
        <w:pStyle w:val="SingleTxt"/>
      </w:pPr>
      <w:r>
        <w:rPr>
          <w:rFonts w:hint="eastAsia"/>
        </w:rPr>
        <w:tab/>
        <w:t>(b)</w:t>
      </w:r>
      <w:r>
        <w:rPr>
          <w:rFonts w:hint="eastAsia"/>
        </w:rPr>
        <w:tab/>
      </w:r>
      <w:r>
        <w:rPr>
          <w:rFonts w:hint="eastAsia"/>
        </w:rPr>
        <w:t>德高望重；</w:t>
      </w:r>
    </w:p>
    <w:p w:rsidR="008B1DAE" w:rsidRDefault="008B1DAE" w:rsidP="008B1DAE">
      <w:pPr>
        <w:pStyle w:val="SingleTxt"/>
      </w:pPr>
      <w:r>
        <w:rPr>
          <w:rFonts w:hint="eastAsia"/>
        </w:rPr>
        <w:tab/>
        <w:t>(c)</w:t>
      </w:r>
      <w:r>
        <w:rPr>
          <w:rFonts w:hint="eastAsia"/>
        </w:rPr>
        <w:tab/>
      </w:r>
      <w:r>
        <w:rPr>
          <w:rFonts w:hint="eastAsia"/>
        </w:rPr>
        <w:t>独立性和公正性：在政府或任何其他组织或实体中担任决策职务，并可能与任务所涉职责发生利益冲突的个人，不应在推举之列；咨询委员会当选的委员将以个人身份任职；</w:t>
      </w:r>
    </w:p>
    <w:p w:rsidR="008B1DAE" w:rsidRDefault="008B1DAE" w:rsidP="008B1DAE">
      <w:pPr>
        <w:pStyle w:val="SingleTxt"/>
      </w:pPr>
      <w:r>
        <w:rPr>
          <w:rFonts w:hint="eastAsia"/>
        </w:rPr>
        <w:tab/>
        <w:t>(d)</w:t>
      </w:r>
      <w:r>
        <w:rPr>
          <w:rFonts w:hint="eastAsia"/>
        </w:rPr>
        <w:tab/>
      </w:r>
      <w:r>
        <w:rPr>
          <w:rFonts w:hint="eastAsia"/>
        </w:rPr>
        <w:t>其他方面的考虑：应遵守不得同时兼任多项人权职务的原则。</w:t>
      </w:r>
    </w:p>
    <w:p w:rsidR="008B1DAE" w:rsidRDefault="008B1DAE" w:rsidP="008B1DAE">
      <w:pPr>
        <w:pStyle w:val="SingleTxt"/>
      </w:pPr>
      <w:r>
        <w:rPr>
          <w:rFonts w:hint="eastAsia"/>
        </w:rPr>
        <w:t xml:space="preserve">5.  </w:t>
      </w:r>
      <w:r>
        <w:rPr>
          <w:rFonts w:hint="eastAsia"/>
        </w:rPr>
        <w:t>理事会在选举咨询委员会委员时，应适当考虑性别平衡和不同文明及法系的适当代表性。</w:t>
      </w:r>
    </w:p>
    <w:p w:rsidR="008B1DAE" w:rsidRDefault="008B1DAE" w:rsidP="008B1DAE">
      <w:pPr>
        <w:pStyle w:val="SingleTxt"/>
      </w:pPr>
      <w:r>
        <w:rPr>
          <w:rFonts w:hint="eastAsia"/>
        </w:rPr>
        <w:t xml:space="preserve">6.  </w:t>
      </w:r>
      <w:r>
        <w:rPr>
          <w:rFonts w:hint="eastAsia"/>
        </w:rPr>
        <w:t>人权理事会第七届会议首次选出了咨询委员会</w:t>
      </w:r>
      <w:r>
        <w:rPr>
          <w:rFonts w:hint="eastAsia"/>
        </w:rPr>
        <w:t>18</w:t>
      </w:r>
      <w:r>
        <w:rPr>
          <w:rFonts w:hint="eastAsia"/>
        </w:rPr>
        <w:t>名委员，其中</w:t>
      </w:r>
      <w:r>
        <w:rPr>
          <w:rFonts w:hint="eastAsia"/>
        </w:rPr>
        <w:t>4</w:t>
      </w:r>
      <w:r>
        <w:rPr>
          <w:rFonts w:hint="eastAsia"/>
        </w:rPr>
        <w:t>名委员任期</w:t>
      </w:r>
      <w:r>
        <w:rPr>
          <w:rFonts w:hint="eastAsia"/>
        </w:rPr>
        <w:t>1</w:t>
      </w:r>
      <w:r>
        <w:rPr>
          <w:rFonts w:hint="eastAsia"/>
        </w:rPr>
        <w:t>年，</w:t>
      </w:r>
      <w:r>
        <w:rPr>
          <w:rFonts w:hint="eastAsia"/>
        </w:rPr>
        <w:t>7</w:t>
      </w:r>
      <w:r>
        <w:rPr>
          <w:rFonts w:hint="eastAsia"/>
        </w:rPr>
        <w:t>名委员任期</w:t>
      </w:r>
      <w:r>
        <w:rPr>
          <w:rFonts w:hint="eastAsia"/>
        </w:rPr>
        <w:t>2</w:t>
      </w:r>
      <w:r>
        <w:rPr>
          <w:rFonts w:hint="eastAsia"/>
        </w:rPr>
        <w:t>年，</w:t>
      </w:r>
      <w:r>
        <w:rPr>
          <w:rFonts w:hint="eastAsia"/>
        </w:rPr>
        <w:t>7</w:t>
      </w:r>
      <w:r>
        <w:rPr>
          <w:rFonts w:hint="eastAsia"/>
        </w:rPr>
        <w:t>名委员任期</w:t>
      </w:r>
      <w:r>
        <w:rPr>
          <w:rFonts w:hint="eastAsia"/>
        </w:rPr>
        <w:t>3</w:t>
      </w:r>
      <w:r>
        <w:rPr>
          <w:rFonts w:hint="eastAsia"/>
        </w:rPr>
        <w:t>年。</w:t>
      </w:r>
    </w:p>
    <w:p w:rsidR="008B1DAE" w:rsidRDefault="008B1DAE" w:rsidP="008B1DAE">
      <w:pPr>
        <w:pStyle w:val="SingleTxt"/>
      </w:pPr>
      <w:r>
        <w:rPr>
          <w:rFonts w:hint="eastAsia"/>
        </w:rPr>
        <w:t xml:space="preserve">7.  </w:t>
      </w:r>
      <w:r>
        <w:rPr>
          <w:rFonts w:hint="eastAsia"/>
        </w:rPr>
        <w:t>在第三十届会议上，人权理事会将按照其年度工作方案，为填补</w:t>
      </w:r>
      <w:r>
        <w:rPr>
          <w:rFonts w:hint="eastAsia"/>
        </w:rPr>
        <w:t>4</w:t>
      </w:r>
      <w:r>
        <w:rPr>
          <w:rFonts w:hint="eastAsia"/>
        </w:rPr>
        <w:t>个空缺选举咨询委员会委员。这</w:t>
      </w:r>
      <w:r>
        <w:rPr>
          <w:rFonts w:hint="eastAsia"/>
        </w:rPr>
        <w:t>4</w:t>
      </w:r>
      <w:r>
        <w:rPr>
          <w:rFonts w:hint="eastAsia"/>
        </w:rPr>
        <w:t>个空缺，非洲国家占</w:t>
      </w:r>
      <w:r>
        <w:rPr>
          <w:rFonts w:hint="eastAsia"/>
        </w:rPr>
        <w:t>1</w:t>
      </w:r>
      <w:r>
        <w:rPr>
          <w:rFonts w:hint="eastAsia"/>
        </w:rPr>
        <w:t>个，亚太国家占</w:t>
      </w:r>
      <w:r>
        <w:rPr>
          <w:rFonts w:hint="eastAsia"/>
        </w:rPr>
        <w:t>1</w:t>
      </w:r>
      <w:r>
        <w:rPr>
          <w:rFonts w:hint="eastAsia"/>
        </w:rPr>
        <w:t>个，拉丁美洲和加勒比国家</w:t>
      </w:r>
      <w:r>
        <w:rPr>
          <w:rFonts w:hint="eastAsia"/>
        </w:rPr>
        <w:t>1</w:t>
      </w:r>
      <w:r>
        <w:rPr>
          <w:rFonts w:hint="eastAsia"/>
        </w:rPr>
        <w:t>个，西欧和其他国家</w:t>
      </w:r>
      <w:r>
        <w:rPr>
          <w:rFonts w:hint="eastAsia"/>
        </w:rPr>
        <w:t>1</w:t>
      </w:r>
      <w:r>
        <w:rPr>
          <w:rFonts w:hint="eastAsia"/>
        </w:rPr>
        <w:t>个。</w:t>
      </w:r>
    </w:p>
    <w:p w:rsidR="008B1DAE" w:rsidRDefault="008B1DAE" w:rsidP="008B1DAE">
      <w:pPr>
        <w:pStyle w:val="SingleTxt"/>
      </w:pPr>
      <w:r>
        <w:rPr>
          <w:rFonts w:hint="eastAsia"/>
        </w:rPr>
        <w:t xml:space="preserve">8.  </w:t>
      </w:r>
      <w:r>
        <w:rPr>
          <w:rFonts w:hint="eastAsia"/>
        </w:rPr>
        <w:t>根据人权理事会第</w:t>
      </w:r>
      <w:r>
        <w:rPr>
          <w:rFonts w:hint="eastAsia"/>
        </w:rPr>
        <w:t>5/1</w:t>
      </w:r>
      <w:r>
        <w:rPr>
          <w:rFonts w:hint="eastAsia"/>
        </w:rPr>
        <w:t>号决议第</w:t>
      </w:r>
      <w:r>
        <w:rPr>
          <w:rFonts w:hint="eastAsia"/>
        </w:rPr>
        <w:t>71</w:t>
      </w:r>
      <w:r>
        <w:rPr>
          <w:rFonts w:hint="eastAsia"/>
        </w:rPr>
        <w:t>段，候选人提名截止日期为选举之日前</w:t>
      </w:r>
      <w:r>
        <w:rPr>
          <w:rFonts w:hint="eastAsia"/>
        </w:rPr>
        <w:t>2</w:t>
      </w:r>
      <w:r>
        <w:rPr>
          <w:rFonts w:hint="eastAsia"/>
        </w:rPr>
        <w:t>个月。秘书处将在选举之前至少</w:t>
      </w:r>
      <w:r>
        <w:rPr>
          <w:rFonts w:hint="eastAsia"/>
        </w:rPr>
        <w:t>1</w:t>
      </w:r>
      <w:r>
        <w:rPr>
          <w:rFonts w:hint="eastAsia"/>
        </w:rPr>
        <w:t>个月向会员国和公众提供候选人名单和相关资料。</w:t>
      </w:r>
    </w:p>
    <w:p w:rsidR="008B1DAE" w:rsidRDefault="008B1DAE" w:rsidP="008B1DAE">
      <w:pPr>
        <w:pStyle w:val="SingleTxt"/>
      </w:pPr>
      <w:r>
        <w:rPr>
          <w:rFonts w:hint="eastAsia"/>
        </w:rPr>
        <w:t>9.  2015</w:t>
      </w:r>
      <w:r>
        <w:rPr>
          <w:rFonts w:hint="eastAsia"/>
        </w:rPr>
        <w:t>年</w:t>
      </w:r>
      <w:r>
        <w:rPr>
          <w:rFonts w:hint="eastAsia"/>
        </w:rPr>
        <w:t>4</w:t>
      </w:r>
      <w:r>
        <w:rPr>
          <w:rFonts w:hint="eastAsia"/>
        </w:rPr>
        <w:t>月</w:t>
      </w:r>
      <w:r>
        <w:rPr>
          <w:rFonts w:hint="eastAsia"/>
        </w:rPr>
        <w:t>20</w:t>
      </w:r>
      <w:r>
        <w:rPr>
          <w:rFonts w:hint="eastAsia"/>
        </w:rPr>
        <w:t>日，人权理事会秘书处向相关区域协调员发出了一份普通照会，鼓励推举候选人，并告知提名的最后期限为</w:t>
      </w:r>
      <w:r>
        <w:rPr>
          <w:rFonts w:hint="eastAsia"/>
        </w:rPr>
        <w:t>2015</w:t>
      </w:r>
      <w:r>
        <w:rPr>
          <w:rFonts w:hint="eastAsia"/>
        </w:rPr>
        <w:t>年</w:t>
      </w:r>
      <w:r>
        <w:rPr>
          <w:rFonts w:hint="eastAsia"/>
        </w:rPr>
        <w:t>6</w:t>
      </w:r>
      <w:r>
        <w:rPr>
          <w:rFonts w:hint="eastAsia"/>
        </w:rPr>
        <w:t>月</w:t>
      </w:r>
      <w:r>
        <w:rPr>
          <w:rFonts w:hint="eastAsia"/>
        </w:rPr>
        <w:t>22</w:t>
      </w:r>
      <w:r>
        <w:rPr>
          <w:rFonts w:hint="eastAsia"/>
        </w:rPr>
        <w:t>日。</w:t>
      </w:r>
    </w:p>
    <w:p w:rsidR="008B1DAE" w:rsidRDefault="008B1DAE" w:rsidP="008B1DAE">
      <w:pPr>
        <w:pStyle w:val="SingleTxt"/>
      </w:pPr>
      <w:r>
        <w:rPr>
          <w:rFonts w:hint="eastAsia"/>
        </w:rPr>
        <w:t xml:space="preserve">10.  </w:t>
      </w:r>
      <w:r>
        <w:rPr>
          <w:rFonts w:hint="eastAsia"/>
        </w:rPr>
        <w:t>在此之后，秘书处收到阿根廷、奥地利、埃塞俄比亚和沙特阿拉伯政府为选举咨询委员会委员而提名的</w:t>
      </w:r>
      <w:r>
        <w:rPr>
          <w:rFonts w:hint="eastAsia"/>
        </w:rPr>
        <w:t>4</w:t>
      </w:r>
      <w:r>
        <w:rPr>
          <w:rFonts w:hint="eastAsia"/>
        </w:rPr>
        <w:t>个人选。</w:t>
      </w:r>
    </w:p>
    <w:p w:rsidR="008B1DAE" w:rsidRDefault="008B1DAE" w:rsidP="001B11D8">
      <w:pPr>
        <w:pStyle w:val="SingleTxt"/>
      </w:pPr>
      <w:r>
        <w:rPr>
          <w:rFonts w:hint="eastAsia"/>
        </w:rPr>
        <w:t xml:space="preserve">11.  </w:t>
      </w:r>
      <w:r>
        <w:rPr>
          <w:rFonts w:hint="eastAsia"/>
        </w:rPr>
        <w:t>以下是收到的提名人选名单；候选人履历表载于附件。</w:t>
      </w:r>
      <w:r w:rsidR="001B11D8" w:rsidRPr="001B11D8">
        <w:rPr>
          <w:rStyle w:val="a3"/>
          <w:vertAlign w:val="baseline"/>
        </w:rPr>
        <w:footnoteReference w:customMarkFollows="1" w:id="1"/>
        <w:t>*</w:t>
      </w:r>
    </w:p>
    <w:p w:rsidR="000E02C0" w:rsidRDefault="000E02C0">
      <w:pPr>
        <w:spacing w:line="240" w:lineRule="auto"/>
        <w:jc w:val="left"/>
        <w:rPr>
          <w:rFonts w:ascii="黑体" w:eastAsia="黑体"/>
          <w:spacing w:val="2"/>
        </w:rPr>
      </w:pPr>
      <w:r>
        <w:br w:type="page"/>
      </w:r>
    </w:p>
    <w:p w:rsidR="008B1DAE" w:rsidRDefault="008B1DAE" w:rsidP="008B1DA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lastRenderedPageBreak/>
        <w:tab/>
      </w:r>
      <w:r>
        <w:tab/>
      </w:r>
      <w:r>
        <w:rPr>
          <w:rFonts w:hint="eastAsia"/>
        </w:rPr>
        <w:t>非洲国家</w:t>
      </w:r>
    </w:p>
    <w:p w:rsidR="008B1DAE" w:rsidRPr="008B1DAE" w:rsidRDefault="008B1DAE" w:rsidP="008B1DAE">
      <w:pPr>
        <w:pStyle w:val="SingleTxt"/>
        <w:spacing w:after="0" w:line="120" w:lineRule="exact"/>
        <w:rPr>
          <w:sz w:val="10"/>
        </w:rPr>
      </w:pPr>
    </w:p>
    <w:p w:rsidR="008B1DAE" w:rsidRPr="008B1DAE" w:rsidRDefault="008B1DAE" w:rsidP="008B1DAE">
      <w:pPr>
        <w:pStyle w:val="SingleTxt"/>
        <w:spacing w:after="0" w:line="120" w:lineRule="exact"/>
        <w:rPr>
          <w:sz w:val="10"/>
        </w:rPr>
      </w:pPr>
    </w:p>
    <w:tbl>
      <w:tblPr>
        <w:tblW w:w="7365" w:type="dxa"/>
        <w:tblInd w:w="1264" w:type="dxa"/>
        <w:tblLayout w:type="fixed"/>
        <w:tblCellMar>
          <w:left w:w="0" w:type="dxa"/>
          <w:right w:w="0" w:type="dxa"/>
        </w:tblCellMar>
        <w:tblLook w:val="01E0" w:firstRow="1" w:lastRow="1" w:firstColumn="1" w:lastColumn="1" w:noHBand="0" w:noVBand="0"/>
      </w:tblPr>
      <w:tblGrid>
        <w:gridCol w:w="3683"/>
        <w:gridCol w:w="3682"/>
      </w:tblGrid>
      <w:tr w:rsidR="008B1DAE" w:rsidRPr="00454A61" w:rsidTr="001B11D8">
        <w:trPr>
          <w:tblHeader/>
        </w:trPr>
        <w:tc>
          <w:tcPr>
            <w:tcW w:w="3683" w:type="dxa"/>
            <w:tcBorders>
              <w:top w:val="single" w:sz="4" w:space="0" w:color="auto"/>
              <w:bottom w:val="single" w:sz="12" w:space="0" w:color="auto"/>
            </w:tcBorders>
            <w:shd w:val="clear" w:color="auto" w:fill="auto"/>
            <w:vAlign w:val="bottom"/>
            <w:hideMark/>
          </w:tcPr>
          <w:p w:rsidR="008B1DAE" w:rsidRPr="00454A61" w:rsidRDefault="008B1DAE" w:rsidP="00553DCB">
            <w:pPr>
              <w:tabs>
                <w:tab w:val="num" w:pos="1701"/>
              </w:tabs>
              <w:suppressAutoHyphens/>
              <w:spacing w:before="60" w:after="60" w:line="200" w:lineRule="exact"/>
              <w:ind w:right="57"/>
              <w:rPr>
                <w:rFonts w:eastAsia="楷体"/>
                <w:sz w:val="15"/>
                <w:szCs w:val="16"/>
                <w:lang w:val="en-GB" w:eastAsia="en-US"/>
              </w:rPr>
            </w:pPr>
            <w:r w:rsidRPr="00454A61">
              <w:rPr>
                <w:rFonts w:eastAsia="楷体" w:hint="eastAsia"/>
                <w:bCs/>
                <w:sz w:val="15"/>
                <w:szCs w:val="16"/>
              </w:rPr>
              <w:t>提名国</w:t>
            </w:r>
          </w:p>
        </w:tc>
        <w:tc>
          <w:tcPr>
            <w:tcW w:w="3682" w:type="dxa"/>
            <w:tcBorders>
              <w:top w:val="single" w:sz="4" w:space="0" w:color="auto"/>
              <w:bottom w:val="single" w:sz="12" w:space="0" w:color="auto"/>
            </w:tcBorders>
            <w:shd w:val="clear" w:color="auto" w:fill="auto"/>
            <w:vAlign w:val="bottom"/>
            <w:hideMark/>
          </w:tcPr>
          <w:p w:rsidR="008B1DAE" w:rsidRPr="00454A61" w:rsidRDefault="008B1DAE" w:rsidP="00553DCB">
            <w:pPr>
              <w:tabs>
                <w:tab w:val="num" w:pos="1701"/>
              </w:tabs>
              <w:suppressAutoHyphens/>
              <w:spacing w:before="60" w:after="60" w:line="200" w:lineRule="exact"/>
              <w:ind w:right="57"/>
              <w:rPr>
                <w:rFonts w:eastAsia="楷体"/>
                <w:sz w:val="15"/>
                <w:lang w:val="en-GB" w:eastAsia="en-US"/>
              </w:rPr>
            </w:pPr>
            <w:r w:rsidRPr="00454A61">
              <w:rPr>
                <w:rFonts w:eastAsia="楷体" w:hint="eastAsia"/>
                <w:bCs/>
                <w:sz w:val="15"/>
                <w:szCs w:val="16"/>
              </w:rPr>
              <w:t>获提名专家</w:t>
            </w:r>
          </w:p>
        </w:tc>
      </w:tr>
      <w:tr w:rsidR="008B1DAE" w:rsidRPr="00454A61" w:rsidTr="001B11D8">
        <w:trPr>
          <w:trHeight w:hRule="exact" w:val="115"/>
          <w:tblHeader/>
        </w:trPr>
        <w:tc>
          <w:tcPr>
            <w:tcW w:w="3683" w:type="dxa"/>
            <w:tcBorders>
              <w:top w:val="single" w:sz="12" w:space="0" w:color="auto"/>
            </w:tcBorders>
            <w:shd w:val="clear" w:color="auto" w:fill="auto"/>
            <w:vAlign w:val="bottom"/>
          </w:tcPr>
          <w:p w:rsidR="008B1DAE" w:rsidRPr="00454A61" w:rsidRDefault="008B1DAE" w:rsidP="00553DCB">
            <w:pPr>
              <w:suppressAutoHyphens/>
              <w:spacing w:after="120" w:line="280" w:lineRule="exact"/>
              <w:ind w:right="57"/>
            </w:pPr>
          </w:p>
        </w:tc>
        <w:tc>
          <w:tcPr>
            <w:tcW w:w="3682" w:type="dxa"/>
            <w:tcBorders>
              <w:top w:val="single" w:sz="12" w:space="0" w:color="auto"/>
            </w:tcBorders>
            <w:shd w:val="clear" w:color="auto" w:fill="auto"/>
            <w:vAlign w:val="bottom"/>
          </w:tcPr>
          <w:p w:rsidR="008B1DAE" w:rsidRPr="00454A61" w:rsidRDefault="008B1DAE" w:rsidP="00553DCB">
            <w:pPr>
              <w:suppressAutoHyphens/>
              <w:spacing w:after="120" w:line="280" w:lineRule="exact"/>
              <w:ind w:right="57"/>
            </w:pPr>
          </w:p>
        </w:tc>
      </w:tr>
      <w:tr w:rsidR="008B1DAE" w:rsidRPr="00454A61" w:rsidTr="001B11D8">
        <w:tc>
          <w:tcPr>
            <w:tcW w:w="3683" w:type="dxa"/>
            <w:tcBorders>
              <w:bottom w:val="single" w:sz="12" w:space="0" w:color="auto"/>
            </w:tcBorders>
            <w:shd w:val="clear" w:color="auto" w:fill="auto"/>
            <w:hideMark/>
          </w:tcPr>
          <w:p w:rsidR="008B1DAE" w:rsidRPr="00454A61" w:rsidRDefault="008B1DAE" w:rsidP="00553DCB">
            <w:pPr>
              <w:tabs>
                <w:tab w:val="left" w:pos="334"/>
                <w:tab w:val="left" w:pos="669"/>
                <w:tab w:val="left" w:pos="1003"/>
                <w:tab w:val="left" w:pos="1338"/>
              </w:tabs>
              <w:suppressAutoHyphens/>
              <w:spacing w:after="120" w:line="280" w:lineRule="exact"/>
              <w:ind w:right="57"/>
              <w:rPr>
                <w:lang w:val="en-GB" w:eastAsia="en-US"/>
              </w:rPr>
            </w:pPr>
            <w:r w:rsidRPr="00454A61">
              <w:rPr>
                <w:rFonts w:hint="eastAsia"/>
              </w:rPr>
              <w:t>埃塞俄比亚</w:t>
            </w:r>
          </w:p>
        </w:tc>
        <w:tc>
          <w:tcPr>
            <w:tcW w:w="3682" w:type="dxa"/>
            <w:tcBorders>
              <w:bottom w:val="single" w:sz="12" w:space="0" w:color="auto"/>
            </w:tcBorders>
            <w:shd w:val="clear" w:color="auto" w:fill="auto"/>
            <w:hideMark/>
          </w:tcPr>
          <w:p w:rsidR="008B1DAE" w:rsidRPr="00454A61" w:rsidRDefault="008B1DAE" w:rsidP="00553DCB">
            <w:pPr>
              <w:tabs>
                <w:tab w:val="left" w:pos="334"/>
                <w:tab w:val="left" w:pos="669"/>
                <w:tab w:val="left" w:pos="1003"/>
                <w:tab w:val="left" w:pos="1338"/>
              </w:tabs>
              <w:suppressAutoHyphens/>
              <w:spacing w:after="120" w:line="280" w:lineRule="exact"/>
              <w:ind w:right="57"/>
              <w:rPr>
                <w:lang w:val="en-GB" w:eastAsia="en-US"/>
              </w:rPr>
            </w:pPr>
            <w:r w:rsidRPr="00454A61">
              <w:t>Imeru Tamrat Yigezu</w:t>
            </w:r>
          </w:p>
        </w:tc>
      </w:tr>
    </w:tbl>
    <w:p w:rsidR="001B11D8" w:rsidRPr="008B1DAE" w:rsidRDefault="001B11D8" w:rsidP="001B11D8">
      <w:pPr>
        <w:pStyle w:val="SingleTxt"/>
        <w:spacing w:after="0" w:line="120" w:lineRule="exact"/>
        <w:rPr>
          <w:sz w:val="10"/>
        </w:rPr>
      </w:pPr>
    </w:p>
    <w:p w:rsidR="001B11D8" w:rsidRPr="008B1DAE" w:rsidRDefault="001B11D8" w:rsidP="001B11D8">
      <w:pPr>
        <w:pStyle w:val="SingleTxt"/>
        <w:spacing w:after="0" w:line="120" w:lineRule="exact"/>
        <w:rPr>
          <w:sz w:val="10"/>
        </w:rPr>
      </w:pPr>
    </w:p>
    <w:p w:rsidR="008B1DAE" w:rsidRDefault="008B1DAE" w:rsidP="008B1DA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tab/>
      </w:r>
      <w:r>
        <w:tab/>
      </w:r>
      <w:r>
        <w:rPr>
          <w:rFonts w:hint="eastAsia"/>
        </w:rPr>
        <w:t>亚太国家</w:t>
      </w:r>
    </w:p>
    <w:p w:rsidR="001B11D8" w:rsidRPr="008B1DAE" w:rsidRDefault="001B11D8" w:rsidP="001B11D8">
      <w:pPr>
        <w:pStyle w:val="SingleTxt"/>
        <w:spacing w:after="0" w:line="120" w:lineRule="exact"/>
        <w:rPr>
          <w:sz w:val="10"/>
        </w:rPr>
      </w:pPr>
    </w:p>
    <w:p w:rsidR="001B11D8" w:rsidRPr="008B1DAE" w:rsidRDefault="001B11D8" w:rsidP="001B11D8">
      <w:pPr>
        <w:pStyle w:val="SingleTxt"/>
        <w:spacing w:after="0" w:line="120" w:lineRule="exact"/>
        <w:rPr>
          <w:sz w:val="10"/>
        </w:rPr>
      </w:pPr>
    </w:p>
    <w:tbl>
      <w:tblPr>
        <w:tblW w:w="7365" w:type="dxa"/>
        <w:tblInd w:w="1264" w:type="dxa"/>
        <w:tblLayout w:type="fixed"/>
        <w:tblCellMar>
          <w:left w:w="0" w:type="dxa"/>
          <w:right w:w="0" w:type="dxa"/>
        </w:tblCellMar>
        <w:tblLook w:val="01E0" w:firstRow="1" w:lastRow="1" w:firstColumn="1" w:lastColumn="1" w:noHBand="0" w:noVBand="0"/>
      </w:tblPr>
      <w:tblGrid>
        <w:gridCol w:w="3683"/>
        <w:gridCol w:w="3682"/>
      </w:tblGrid>
      <w:tr w:rsidR="008B1DAE" w:rsidRPr="00454A61" w:rsidTr="001B11D8">
        <w:trPr>
          <w:tblHeader/>
        </w:trPr>
        <w:tc>
          <w:tcPr>
            <w:tcW w:w="3683" w:type="dxa"/>
            <w:tcBorders>
              <w:top w:val="single" w:sz="4" w:space="0" w:color="auto"/>
              <w:bottom w:val="single" w:sz="12" w:space="0" w:color="auto"/>
            </w:tcBorders>
            <w:shd w:val="clear" w:color="auto" w:fill="auto"/>
            <w:vAlign w:val="bottom"/>
            <w:hideMark/>
          </w:tcPr>
          <w:p w:rsidR="008B1DAE" w:rsidRPr="00454A61" w:rsidRDefault="008B1DAE" w:rsidP="00553DCB">
            <w:pPr>
              <w:tabs>
                <w:tab w:val="num" w:pos="1701"/>
              </w:tabs>
              <w:suppressAutoHyphens/>
              <w:spacing w:before="60" w:after="60" w:line="200" w:lineRule="exact"/>
              <w:ind w:right="57"/>
              <w:rPr>
                <w:rFonts w:eastAsia="楷体"/>
                <w:sz w:val="15"/>
                <w:lang w:val="en-GB" w:eastAsia="en-US"/>
              </w:rPr>
            </w:pPr>
            <w:r w:rsidRPr="00454A61">
              <w:rPr>
                <w:rFonts w:eastAsia="楷体" w:hint="eastAsia"/>
                <w:bCs/>
                <w:sz w:val="15"/>
                <w:szCs w:val="16"/>
              </w:rPr>
              <w:t>提名国</w:t>
            </w:r>
          </w:p>
        </w:tc>
        <w:tc>
          <w:tcPr>
            <w:tcW w:w="3682" w:type="dxa"/>
            <w:tcBorders>
              <w:top w:val="single" w:sz="4" w:space="0" w:color="auto"/>
              <w:bottom w:val="single" w:sz="12" w:space="0" w:color="auto"/>
            </w:tcBorders>
            <w:shd w:val="clear" w:color="auto" w:fill="auto"/>
            <w:vAlign w:val="bottom"/>
            <w:hideMark/>
          </w:tcPr>
          <w:p w:rsidR="008B1DAE" w:rsidRPr="00454A61" w:rsidRDefault="008B1DAE" w:rsidP="00553DCB">
            <w:pPr>
              <w:tabs>
                <w:tab w:val="num" w:pos="1701"/>
              </w:tabs>
              <w:suppressAutoHyphens/>
              <w:spacing w:before="60" w:after="60" w:line="200" w:lineRule="exact"/>
              <w:ind w:right="57"/>
              <w:rPr>
                <w:rFonts w:eastAsia="楷体"/>
                <w:sz w:val="15"/>
                <w:lang w:val="en-GB" w:eastAsia="en-US"/>
              </w:rPr>
            </w:pPr>
            <w:r w:rsidRPr="00454A61">
              <w:rPr>
                <w:rFonts w:eastAsia="楷体" w:hint="eastAsia"/>
                <w:bCs/>
                <w:sz w:val="15"/>
                <w:szCs w:val="16"/>
              </w:rPr>
              <w:t>获提名专家</w:t>
            </w:r>
          </w:p>
        </w:tc>
      </w:tr>
      <w:tr w:rsidR="008B1DAE" w:rsidRPr="00454A61" w:rsidTr="001B11D8">
        <w:trPr>
          <w:trHeight w:hRule="exact" w:val="115"/>
          <w:tblHeader/>
        </w:trPr>
        <w:tc>
          <w:tcPr>
            <w:tcW w:w="3683" w:type="dxa"/>
            <w:tcBorders>
              <w:top w:val="single" w:sz="12" w:space="0" w:color="auto"/>
            </w:tcBorders>
            <w:shd w:val="clear" w:color="auto" w:fill="auto"/>
            <w:vAlign w:val="bottom"/>
          </w:tcPr>
          <w:p w:rsidR="008B1DAE" w:rsidRPr="00454A61" w:rsidRDefault="008B1DAE" w:rsidP="00553DCB">
            <w:pPr>
              <w:tabs>
                <w:tab w:val="num" w:pos="1701"/>
              </w:tabs>
              <w:suppressAutoHyphens/>
              <w:spacing w:after="120" w:line="280" w:lineRule="exact"/>
              <w:ind w:right="57"/>
            </w:pPr>
          </w:p>
        </w:tc>
        <w:tc>
          <w:tcPr>
            <w:tcW w:w="3682" w:type="dxa"/>
            <w:tcBorders>
              <w:top w:val="single" w:sz="12" w:space="0" w:color="auto"/>
            </w:tcBorders>
            <w:shd w:val="clear" w:color="auto" w:fill="auto"/>
            <w:vAlign w:val="bottom"/>
          </w:tcPr>
          <w:p w:rsidR="008B1DAE" w:rsidRPr="00454A61" w:rsidRDefault="008B1DAE" w:rsidP="00553DCB">
            <w:pPr>
              <w:tabs>
                <w:tab w:val="num" w:pos="1701"/>
              </w:tabs>
              <w:suppressAutoHyphens/>
              <w:spacing w:after="120" w:line="280" w:lineRule="exact"/>
              <w:ind w:right="57"/>
            </w:pPr>
          </w:p>
        </w:tc>
      </w:tr>
      <w:tr w:rsidR="008B1DAE" w:rsidRPr="00454A61" w:rsidTr="001B11D8">
        <w:tc>
          <w:tcPr>
            <w:tcW w:w="3683" w:type="dxa"/>
            <w:tcBorders>
              <w:bottom w:val="single" w:sz="12" w:space="0" w:color="auto"/>
            </w:tcBorders>
            <w:shd w:val="clear" w:color="auto" w:fill="auto"/>
            <w:hideMark/>
          </w:tcPr>
          <w:p w:rsidR="008B1DAE" w:rsidRPr="00454A61" w:rsidRDefault="008B1DAE" w:rsidP="00553DCB">
            <w:pPr>
              <w:tabs>
                <w:tab w:val="left" w:pos="334"/>
                <w:tab w:val="left" w:pos="669"/>
                <w:tab w:val="left" w:pos="1003"/>
                <w:tab w:val="left" w:pos="1338"/>
              </w:tabs>
              <w:suppressAutoHyphens/>
              <w:spacing w:after="120" w:line="280" w:lineRule="exact"/>
              <w:ind w:right="57"/>
              <w:rPr>
                <w:lang w:val="en-GB" w:eastAsia="en-US"/>
              </w:rPr>
            </w:pPr>
            <w:r w:rsidRPr="00454A61">
              <w:rPr>
                <w:rFonts w:hint="eastAsia"/>
              </w:rPr>
              <w:t>沙特阿拉伯</w:t>
            </w:r>
          </w:p>
        </w:tc>
        <w:tc>
          <w:tcPr>
            <w:tcW w:w="3682" w:type="dxa"/>
            <w:tcBorders>
              <w:bottom w:val="single" w:sz="12" w:space="0" w:color="auto"/>
            </w:tcBorders>
            <w:shd w:val="clear" w:color="auto" w:fill="auto"/>
            <w:hideMark/>
          </w:tcPr>
          <w:p w:rsidR="008B1DAE" w:rsidRPr="00454A61" w:rsidRDefault="008B1DAE" w:rsidP="00553DCB">
            <w:pPr>
              <w:tabs>
                <w:tab w:val="left" w:pos="334"/>
                <w:tab w:val="left" w:pos="669"/>
                <w:tab w:val="left" w:pos="1003"/>
                <w:tab w:val="left" w:pos="1338"/>
              </w:tabs>
              <w:suppressAutoHyphens/>
              <w:spacing w:after="120" w:line="280" w:lineRule="exact"/>
              <w:ind w:right="57"/>
              <w:rPr>
                <w:lang w:val="en-GB" w:eastAsia="en-US"/>
              </w:rPr>
            </w:pPr>
            <w:r w:rsidRPr="00454A61">
              <w:t>Ibrahim Abdul Aziz Al Sheddi</w:t>
            </w:r>
          </w:p>
        </w:tc>
      </w:tr>
    </w:tbl>
    <w:p w:rsidR="001B11D8" w:rsidRPr="008B1DAE" w:rsidRDefault="001B11D8" w:rsidP="001B11D8">
      <w:pPr>
        <w:pStyle w:val="SingleTxt"/>
        <w:spacing w:after="0" w:line="120" w:lineRule="exact"/>
        <w:rPr>
          <w:sz w:val="10"/>
        </w:rPr>
      </w:pPr>
    </w:p>
    <w:p w:rsidR="001B11D8" w:rsidRPr="008B1DAE" w:rsidRDefault="001B11D8" w:rsidP="001B11D8">
      <w:pPr>
        <w:pStyle w:val="SingleTxt"/>
        <w:spacing w:after="0" w:line="120" w:lineRule="exact"/>
        <w:rPr>
          <w:sz w:val="10"/>
        </w:rPr>
      </w:pPr>
    </w:p>
    <w:p w:rsidR="008B1DAE" w:rsidRDefault="008B1DAE" w:rsidP="008B1DA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tab/>
      </w:r>
      <w:r>
        <w:rPr>
          <w:rFonts w:hint="eastAsia"/>
        </w:rPr>
        <w:t>拉丁美洲和加勒比国家</w:t>
      </w:r>
    </w:p>
    <w:p w:rsidR="001B11D8" w:rsidRPr="008B1DAE" w:rsidRDefault="001B11D8" w:rsidP="001B11D8">
      <w:pPr>
        <w:pStyle w:val="SingleTxt"/>
        <w:spacing w:after="0" w:line="120" w:lineRule="exact"/>
        <w:rPr>
          <w:sz w:val="10"/>
        </w:rPr>
      </w:pPr>
    </w:p>
    <w:p w:rsidR="001B11D8" w:rsidRPr="008B1DAE" w:rsidRDefault="001B11D8" w:rsidP="001B11D8">
      <w:pPr>
        <w:pStyle w:val="SingleTxt"/>
        <w:spacing w:after="0" w:line="120" w:lineRule="exact"/>
        <w:rPr>
          <w:sz w:val="10"/>
        </w:rPr>
      </w:pPr>
    </w:p>
    <w:tbl>
      <w:tblPr>
        <w:tblW w:w="7365" w:type="dxa"/>
        <w:tblInd w:w="1264" w:type="dxa"/>
        <w:tblLayout w:type="fixed"/>
        <w:tblCellMar>
          <w:left w:w="0" w:type="dxa"/>
          <w:right w:w="0" w:type="dxa"/>
        </w:tblCellMar>
        <w:tblLook w:val="01E0" w:firstRow="1" w:lastRow="1" w:firstColumn="1" w:lastColumn="1" w:noHBand="0" w:noVBand="0"/>
      </w:tblPr>
      <w:tblGrid>
        <w:gridCol w:w="3683"/>
        <w:gridCol w:w="3682"/>
      </w:tblGrid>
      <w:tr w:rsidR="008B1DAE" w:rsidRPr="00454A61" w:rsidTr="001B11D8">
        <w:trPr>
          <w:tblHeader/>
        </w:trPr>
        <w:tc>
          <w:tcPr>
            <w:tcW w:w="3683" w:type="dxa"/>
            <w:tcBorders>
              <w:top w:val="single" w:sz="4" w:space="0" w:color="auto"/>
              <w:bottom w:val="single" w:sz="12" w:space="0" w:color="auto"/>
            </w:tcBorders>
            <w:shd w:val="clear" w:color="auto" w:fill="auto"/>
            <w:vAlign w:val="bottom"/>
            <w:hideMark/>
          </w:tcPr>
          <w:p w:rsidR="008B1DAE" w:rsidRPr="00454A61" w:rsidRDefault="008B1DAE" w:rsidP="00553DCB">
            <w:pPr>
              <w:tabs>
                <w:tab w:val="num" w:pos="1701"/>
              </w:tabs>
              <w:suppressAutoHyphens/>
              <w:spacing w:before="60" w:after="60" w:line="200" w:lineRule="exact"/>
              <w:ind w:right="57"/>
              <w:rPr>
                <w:rFonts w:eastAsia="楷体"/>
                <w:bCs/>
                <w:sz w:val="15"/>
                <w:szCs w:val="16"/>
                <w:lang w:val="en-GB" w:eastAsia="en-US"/>
              </w:rPr>
            </w:pPr>
            <w:r w:rsidRPr="00454A61">
              <w:rPr>
                <w:rFonts w:eastAsia="楷体" w:hint="eastAsia"/>
                <w:bCs/>
                <w:sz w:val="15"/>
                <w:szCs w:val="16"/>
              </w:rPr>
              <w:t>提名国</w:t>
            </w:r>
          </w:p>
        </w:tc>
        <w:tc>
          <w:tcPr>
            <w:tcW w:w="3682" w:type="dxa"/>
            <w:tcBorders>
              <w:top w:val="single" w:sz="4" w:space="0" w:color="auto"/>
              <w:bottom w:val="single" w:sz="12" w:space="0" w:color="auto"/>
            </w:tcBorders>
            <w:shd w:val="clear" w:color="auto" w:fill="auto"/>
            <w:vAlign w:val="bottom"/>
            <w:hideMark/>
          </w:tcPr>
          <w:p w:rsidR="008B1DAE" w:rsidRPr="00454A61" w:rsidRDefault="008B1DAE" w:rsidP="00553DCB">
            <w:pPr>
              <w:tabs>
                <w:tab w:val="num" w:pos="1701"/>
              </w:tabs>
              <w:suppressAutoHyphens/>
              <w:spacing w:before="60" w:after="60" w:line="200" w:lineRule="exact"/>
              <w:ind w:right="57"/>
              <w:rPr>
                <w:rFonts w:eastAsia="楷体"/>
                <w:bCs/>
                <w:sz w:val="15"/>
                <w:szCs w:val="16"/>
                <w:lang w:val="en-GB" w:eastAsia="en-US"/>
              </w:rPr>
            </w:pPr>
            <w:r w:rsidRPr="00454A61">
              <w:rPr>
                <w:rFonts w:eastAsia="楷体" w:hint="eastAsia"/>
                <w:bCs/>
                <w:sz w:val="15"/>
                <w:szCs w:val="16"/>
              </w:rPr>
              <w:t>获提名专家</w:t>
            </w:r>
          </w:p>
        </w:tc>
      </w:tr>
      <w:tr w:rsidR="008B1DAE" w:rsidRPr="00454A61" w:rsidTr="001B11D8">
        <w:trPr>
          <w:trHeight w:hRule="exact" w:val="115"/>
          <w:tblHeader/>
        </w:trPr>
        <w:tc>
          <w:tcPr>
            <w:tcW w:w="3683" w:type="dxa"/>
            <w:tcBorders>
              <w:top w:val="single" w:sz="12" w:space="0" w:color="auto"/>
            </w:tcBorders>
            <w:shd w:val="clear" w:color="auto" w:fill="auto"/>
            <w:vAlign w:val="bottom"/>
          </w:tcPr>
          <w:p w:rsidR="008B1DAE" w:rsidRPr="00454A61" w:rsidRDefault="008B1DAE" w:rsidP="00553DCB">
            <w:pPr>
              <w:tabs>
                <w:tab w:val="num" w:pos="1701"/>
              </w:tabs>
              <w:suppressAutoHyphens/>
              <w:spacing w:after="120" w:line="280" w:lineRule="exact"/>
              <w:ind w:right="57"/>
            </w:pPr>
          </w:p>
        </w:tc>
        <w:tc>
          <w:tcPr>
            <w:tcW w:w="3682" w:type="dxa"/>
            <w:tcBorders>
              <w:top w:val="single" w:sz="12" w:space="0" w:color="auto"/>
            </w:tcBorders>
            <w:shd w:val="clear" w:color="auto" w:fill="auto"/>
            <w:vAlign w:val="bottom"/>
          </w:tcPr>
          <w:p w:rsidR="008B1DAE" w:rsidRPr="00454A61" w:rsidRDefault="008B1DAE" w:rsidP="00553DCB">
            <w:pPr>
              <w:tabs>
                <w:tab w:val="num" w:pos="1701"/>
              </w:tabs>
              <w:suppressAutoHyphens/>
              <w:spacing w:after="120" w:line="280" w:lineRule="exact"/>
              <w:ind w:right="57"/>
            </w:pPr>
          </w:p>
        </w:tc>
      </w:tr>
      <w:tr w:rsidR="008B1DAE" w:rsidRPr="00454A61" w:rsidTr="001B11D8">
        <w:tc>
          <w:tcPr>
            <w:tcW w:w="3683" w:type="dxa"/>
            <w:tcBorders>
              <w:bottom w:val="single" w:sz="12" w:space="0" w:color="auto"/>
            </w:tcBorders>
            <w:shd w:val="clear" w:color="auto" w:fill="auto"/>
            <w:hideMark/>
          </w:tcPr>
          <w:p w:rsidR="008B1DAE" w:rsidRPr="00454A61" w:rsidRDefault="008B1DAE" w:rsidP="00553DCB">
            <w:pPr>
              <w:tabs>
                <w:tab w:val="left" w:pos="334"/>
                <w:tab w:val="left" w:pos="669"/>
                <w:tab w:val="left" w:pos="1003"/>
                <w:tab w:val="left" w:pos="1338"/>
              </w:tabs>
              <w:suppressAutoHyphens/>
              <w:spacing w:after="120" w:line="280" w:lineRule="exact"/>
              <w:ind w:right="57"/>
              <w:rPr>
                <w:lang w:val="en-GB" w:eastAsia="en-US"/>
              </w:rPr>
            </w:pPr>
            <w:r w:rsidRPr="00454A61">
              <w:rPr>
                <w:rFonts w:hint="eastAsia"/>
              </w:rPr>
              <w:t>阿根廷</w:t>
            </w:r>
          </w:p>
        </w:tc>
        <w:tc>
          <w:tcPr>
            <w:tcW w:w="3682" w:type="dxa"/>
            <w:tcBorders>
              <w:bottom w:val="single" w:sz="12" w:space="0" w:color="auto"/>
            </w:tcBorders>
            <w:shd w:val="clear" w:color="auto" w:fill="auto"/>
            <w:hideMark/>
          </w:tcPr>
          <w:p w:rsidR="008B1DAE" w:rsidRPr="00454A61" w:rsidRDefault="008B1DAE" w:rsidP="00553DCB">
            <w:pPr>
              <w:tabs>
                <w:tab w:val="left" w:pos="334"/>
                <w:tab w:val="left" w:pos="669"/>
                <w:tab w:val="left" w:pos="1003"/>
                <w:tab w:val="left" w:pos="1338"/>
              </w:tabs>
              <w:suppressAutoHyphens/>
              <w:spacing w:after="120" w:line="280" w:lineRule="exact"/>
              <w:ind w:right="57"/>
              <w:rPr>
                <w:lang w:val="en-GB" w:eastAsia="en-US"/>
              </w:rPr>
            </w:pPr>
            <w:r w:rsidRPr="00454A61">
              <w:t>Mario Luis Coriolano</w:t>
            </w:r>
          </w:p>
        </w:tc>
      </w:tr>
    </w:tbl>
    <w:p w:rsidR="001B11D8" w:rsidRPr="008B1DAE" w:rsidRDefault="001B11D8" w:rsidP="001B11D8">
      <w:pPr>
        <w:pStyle w:val="SingleTxt"/>
        <w:spacing w:after="0" w:line="120" w:lineRule="exact"/>
        <w:rPr>
          <w:sz w:val="10"/>
        </w:rPr>
      </w:pPr>
    </w:p>
    <w:p w:rsidR="001B11D8" w:rsidRPr="008B1DAE" w:rsidRDefault="001B11D8" w:rsidP="001B11D8">
      <w:pPr>
        <w:pStyle w:val="SingleTxt"/>
        <w:spacing w:after="0" w:line="120" w:lineRule="exact"/>
        <w:rPr>
          <w:sz w:val="10"/>
        </w:rPr>
      </w:pPr>
    </w:p>
    <w:p w:rsidR="008B1DAE" w:rsidRDefault="008B1DAE" w:rsidP="008B1DA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西欧和其他国家</w:t>
      </w:r>
    </w:p>
    <w:p w:rsidR="001B11D8" w:rsidRPr="008B1DAE" w:rsidRDefault="001B11D8" w:rsidP="001B11D8">
      <w:pPr>
        <w:pStyle w:val="SingleTxt"/>
        <w:spacing w:after="0" w:line="120" w:lineRule="exact"/>
        <w:rPr>
          <w:sz w:val="10"/>
        </w:rPr>
      </w:pPr>
    </w:p>
    <w:p w:rsidR="001B11D8" w:rsidRPr="008B1DAE" w:rsidRDefault="001B11D8" w:rsidP="001B11D8">
      <w:pPr>
        <w:pStyle w:val="SingleTxt"/>
        <w:spacing w:after="0" w:line="120" w:lineRule="exact"/>
        <w:rPr>
          <w:sz w:val="10"/>
        </w:rPr>
      </w:pPr>
    </w:p>
    <w:tbl>
      <w:tblPr>
        <w:tblW w:w="7365" w:type="dxa"/>
        <w:tblInd w:w="1264" w:type="dxa"/>
        <w:tblLayout w:type="fixed"/>
        <w:tblCellMar>
          <w:left w:w="0" w:type="dxa"/>
          <w:right w:w="0" w:type="dxa"/>
        </w:tblCellMar>
        <w:tblLook w:val="01E0" w:firstRow="1" w:lastRow="1" w:firstColumn="1" w:lastColumn="1" w:noHBand="0" w:noVBand="0"/>
      </w:tblPr>
      <w:tblGrid>
        <w:gridCol w:w="3683"/>
        <w:gridCol w:w="3682"/>
      </w:tblGrid>
      <w:tr w:rsidR="008B1DAE" w:rsidRPr="00454A61" w:rsidTr="008B1DAE">
        <w:trPr>
          <w:tblHeader/>
        </w:trPr>
        <w:tc>
          <w:tcPr>
            <w:tcW w:w="3683" w:type="dxa"/>
            <w:tcBorders>
              <w:top w:val="single" w:sz="4" w:space="0" w:color="auto"/>
              <w:bottom w:val="single" w:sz="12" w:space="0" w:color="auto"/>
            </w:tcBorders>
            <w:shd w:val="clear" w:color="auto" w:fill="auto"/>
            <w:vAlign w:val="bottom"/>
            <w:hideMark/>
          </w:tcPr>
          <w:p w:rsidR="008B1DAE" w:rsidRPr="00454A61" w:rsidRDefault="008B1DAE" w:rsidP="00553DCB">
            <w:pPr>
              <w:tabs>
                <w:tab w:val="num" w:pos="1701"/>
              </w:tabs>
              <w:suppressAutoHyphens/>
              <w:spacing w:before="60" w:after="60" w:line="200" w:lineRule="exact"/>
              <w:ind w:right="57"/>
              <w:rPr>
                <w:rFonts w:eastAsia="楷体"/>
                <w:bCs/>
                <w:sz w:val="15"/>
                <w:szCs w:val="16"/>
                <w:lang w:val="en-GB" w:eastAsia="en-US"/>
              </w:rPr>
            </w:pPr>
            <w:r w:rsidRPr="00454A61">
              <w:rPr>
                <w:rFonts w:eastAsia="楷体" w:hint="eastAsia"/>
                <w:bCs/>
                <w:sz w:val="15"/>
                <w:szCs w:val="16"/>
              </w:rPr>
              <w:t>提名国</w:t>
            </w:r>
          </w:p>
        </w:tc>
        <w:tc>
          <w:tcPr>
            <w:tcW w:w="3682" w:type="dxa"/>
            <w:tcBorders>
              <w:top w:val="single" w:sz="4" w:space="0" w:color="auto"/>
              <w:bottom w:val="single" w:sz="12" w:space="0" w:color="auto"/>
            </w:tcBorders>
            <w:shd w:val="clear" w:color="auto" w:fill="auto"/>
            <w:vAlign w:val="bottom"/>
            <w:hideMark/>
          </w:tcPr>
          <w:p w:rsidR="008B1DAE" w:rsidRPr="00454A61" w:rsidRDefault="008B1DAE" w:rsidP="00553DCB">
            <w:pPr>
              <w:tabs>
                <w:tab w:val="num" w:pos="1701"/>
              </w:tabs>
              <w:suppressAutoHyphens/>
              <w:spacing w:before="60" w:after="60" w:line="200" w:lineRule="exact"/>
              <w:ind w:right="57"/>
              <w:rPr>
                <w:rFonts w:eastAsia="楷体"/>
                <w:bCs/>
                <w:sz w:val="15"/>
                <w:szCs w:val="16"/>
                <w:lang w:val="en-GB" w:eastAsia="en-US"/>
              </w:rPr>
            </w:pPr>
            <w:r w:rsidRPr="00454A61">
              <w:rPr>
                <w:rFonts w:eastAsia="楷体" w:hint="eastAsia"/>
                <w:bCs/>
                <w:sz w:val="15"/>
                <w:szCs w:val="16"/>
              </w:rPr>
              <w:t>获提名专家</w:t>
            </w:r>
          </w:p>
        </w:tc>
      </w:tr>
      <w:tr w:rsidR="008B1DAE" w:rsidRPr="00454A61" w:rsidTr="008B1DAE">
        <w:trPr>
          <w:trHeight w:hRule="exact" w:val="115"/>
          <w:tblHeader/>
        </w:trPr>
        <w:tc>
          <w:tcPr>
            <w:tcW w:w="3683" w:type="dxa"/>
            <w:tcBorders>
              <w:top w:val="single" w:sz="12" w:space="0" w:color="auto"/>
            </w:tcBorders>
            <w:shd w:val="clear" w:color="auto" w:fill="auto"/>
            <w:vAlign w:val="bottom"/>
          </w:tcPr>
          <w:p w:rsidR="008B1DAE" w:rsidRPr="00454A61" w:rsidRDefault="008B1DAE" w:rsidP="00553DCB">
            <w:pPr>
              <w:tabs>
                <w:tab w:val="num" w:pos="1701"/>
              </w:tabs>
              <w:suppressAutoHyphens/>
              <w:spacing w:after="120" w:line="280" w:lineRule="exact"/>
              <w:ind w:right="57"/>
            </w:pPr>
          </w:p>
        </w:tc>
        <w:tc>
          <w:tcPr>
            <w:tcW w:w="3682" w:type="dxa"/>
            <w:tcBorders>
              <w:top w:val="single" w:sz="12" w:space="0" w:color="auto"/>
            </w:tcBorders>
            <w:shd w:val="clear" w:color="auto" w:fill="auto"/>
            <w:vAlign w:val="bottom"/>
          </w:tcPr>
          <w:p w:rsidR="008B1DAE" w:rsidRPr="00454A61" w:rsidRDefault="008B1DAE" w:rsidP="00553DCB">
            <w:pPr>
              <w:tabs>
                <w:tab w:val="num" w:pos="1701"/>
              </w:tabs>
              <w:suppressAutoHyphens/>
              <w:spacing w:after="120" w:line="280" w:lineRule="exact"/>
              <w:ind w:right="57"/>
            </w:pPr>
          </w:p>
        </w:tc>
      </w:tr>
      <w:tr w:rsidR="008B1DAE" w:rsidRPr="00454A61" w:rsidTr="008B1DAE">
        <w:tc>
          <w:tcPr>
            <w:tcW w:w="3683" w:type="dxa"/>
            <w:tcBorders>
              <w:bottom w:val="single" w:sz="12" w:space="0" w:color="auto"/>
            </w:tcBorders>
            <w:shd w:val="clear" w:color="auto" w:fill="auto"/>
            <w:hideMark/>
          </w:tcPr>
          <w:p w:rsidR="008B1DAE" w:rsidRPr="00454A61" w:rsidRDefault="008B1DAE" w:rsidP="00553DCB">
            <w:pPr>
              <w:tabs>
                <w:tab w:val="left" w:pos="334"/>
                <w:tab w:val="left" w:pos="669"/>
                <w:tab w:val="left" w:pos="1003"/>
                <w:tab w:val="left" w:pos="1338"/>
              </w:tabs>
              <w:suppressAutoHyphens/>
              <w:spacing w:after="120" w:line="280" w:lineRule="exact"/>
              <w:ind w:right="57"/>
              <w:rPr>
                <w:highlight w:val="yellow"/>
                <w:lang w:val="en-GB" w:eastAsia="en-US"/>
              </w:rPr>
            </w:pPr>
            <w:r w:rsidRPr="00454A61">
              <w:rPr>
                <w:rFonts w:hint="eastAsia"/>
              </w:rPr>
              <w:t>奥地利</w:t>
            </w:r>
          </w:p>
        </w:tc>
        <w:tc>
          <w:tcPr>
            <w:tcW w:w="3682" w:type="dxa"/>
            <w:tcBorders>
              <w:bottom w:val="single" w:sz="12" w:space="0" w:color="auto"/>
            </w:tcBorders>
            <w:shd w:val="clear" w:color="auto" w:fill="auto"/>
            <w:hideMark/>
          </w:tcPr>
          <w:p w:rsidR="008B1DAE" w:rsidRPr="00454A61" w:rsidRDefault="008B1DAE" w:rsidP="00553DCB">
            <w:pPr>
              <w:tabs>
                <w:tab w:val="left" w:pos="334"/>
                <w:tab w:val="left" w:pos="669"/>
                <w:tab w:val="left" w:pos="1003"/>
                <w:tab w:val="left" w:pos="1338"/>
              </w:tabs>
              <w:suppressAutoHyphens/>
              <w:spacing w:after="120" w:line="280" w:lineRule="exact"/>
              <w:ind w:right="57"/>
              <w:rPr>
                <w:lang w:val="en-GB" w:eastAsia="en-US"/>
              </w:rPr>
            </w:pPr>
            <w:r w:rsidRPr="00454A61">
              <w:t>Katharina Pabel</w:t>
            </w:r>
          </w:p>
        </w:tc>
      </w:tr>
    </w:tbl>
    <w:p w:rsidR="001B11D8" w:rsidRDefault="001B11D8" w:rsidP="009E376C">
      <w:pPr>
        <w:pStyle w:val="SingleTxt"/>
      </w:pPr>
    </w:p>
    <w:p w:rsidR="001B11D8" w:rsidRDefault="001B11D8">
      <w:pPr>
        <w:spacing w:line="240" w:lineRule="auto"/>
        <w:jc w:val="left"/>
      </w:pPr>
      <w:r>
        <w:br w:type="page"/>
      </w:r>
    </w:p>
    <w:p w:rsidR="006914C6" w:rsidRDefault="006914C6" w:rsidP="006914C6">
      <w:pPr>
        <w:pStyle w:val="SingleTxt"/>
        <w:spacing w:after="0" w:line="240" w:lineRule="auto"/>
        <w:rPr>
          <w:lang w:val="en-GB"/>
        </w:rPr>
      </w:pPr>
    </w:p>
    <w:p w:rsidR="001B11D8" w:rsidRPr="001B11D8" w:rsidRDefault="001B11D8" w:rsidP="006914C6">
      <w:pPr>
        <w:keepNext/>
        <w:keepLines/>
        <w:tabs>
          <w:tab w:val="right" w:pos="851"/>
        </w:tabs>
        <w:suppressAutoHyphens/>
        <w:adjustRightInd w:val="0"/>
        <w:snapToGrid w:val="0"/>
        <w:spacing w:before="240" w:after="240" w:line="300" w:lineRule="exact"/>
        <w:ind w:left="1134" w:right="1134" w:hanging="1134"/>
        <w:jc w:val="left"/>
        <w:rPr>
          <w:rFonts w:eastAsiaTheme="minorEastAsia"/>
          <w:b/>
          <w:kern w:val="0"/>
          <w:sz w:val="28"/>
          <w:lang w:val="en-GB" w:eastAsia="en-US"/>
        </w:rPr>
      </w:pPr>
      <w:r w:rsidRPr="001B11D8">
        <w:rPr>
          <w:rFonts w:eastAsiaTheme="minorEastAsia"/>
          <w:b/>
          <w:kern w:val="0"/>
          <w:sz w:val="28"/>
          <w:lang w:val="en-GB" w:eastAsia="en-US"/>
        </w:rPr>
        <w:t>Annex</w:t>
      </w:r>
      <w:r w:rsidRPr="001B11D8">
        <w:rPr>
          <w:rFonts w:eastAsiaTheme="minorEastAsia"/>
          <w:b/>
          <w:kern w:val="0"/>
          <w:sz w:val="20"/>
          <w:vertAlign w:val="superscript"/>
          <w:lang w:val="en-GB" w:eastAsia="en-US"/>
        </w:rPr>
        <w:footnoteReference w:customMarkFollows="1" w:id="2"/>
        <w:t>*</w:t>
      </w:r>
    </w:p>
    <w:p w:rsidR="001B11D8" w:rsidRPr="001B11D8" w:rsidRDefault="001B11D8" w:rsidP="001B11D8">
      <w:pPr>
        <w:keepNext/>
        <w:keepLines/>
        <w:tabs>
          <w:tab w:val="right" w:pos="851"/>
        </w:tabs>
        <w:suppressAutoHyphens/>
        <w:adjustRightInd w:val="0"/>
        <w:snapToGrid w:val="0"/>
        <w:spacing w:before="360" w:line="240" w:lineRule="atLeast"/>
        <w:ind w:left="1134" w:right="1134" w:hanging="1134"/>
        <w:jc w:val="left"/>
        <w:rPr>
          <w:rFonts w:eastAsiaTheme="minorEastAsia"/>
          <w:b/>
          <w:kern w:val="0"/>
          <w:sz w:val="24"/>
          <w:lang w:val="en-GB" w:eastAsia="en-US"/>
        </w:rPr>
      </w:pPr>
      <w:r w:rsidRPr="001B11D8">
        <w:rPr>
          <w:rFonts w:eastAsiaTheme="minorEastAsia"/>
          <w:b/>
          <w:kern w:val="0"/>
          <w:sz w:val="24"/>
          <w:lang w:val="en-GB" w:eastAsia="en-US"/>
        </w:rPr>
        <w:tab/>
      </w:r>
      <w:r w:rsidRPr="001B11D8">
        <w:rPr>
          <w:rFonts w:eastAsiaTheme="minorEastAsia"/>
          <w:b/>
          <w:kern w:val="0"/>
          <w:sz w:val="24"/>
          <w:lang w:val="en-GB" w:eastAsia="en-US"/>
        </w:rPr>
        <w:tab/>
        <w:t>Imeru Tamrat Yigezu (Ethiopia)</w:t>
      </w:r>
    </w:p>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Education</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US"/>
              </w:rPr>
              <w:t>1991–1992</w:t>
            </w:r>
          </w:p>
        </w:tc>
        <w:tc>
          <w:tcPr>
            <w:tcW w:w="5669" w:type="dxa"/>
            <w:shd w:val="clear" w:color="auto" w:fill="auto"/>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US"/>
              </w:rPr>
              <w:t>LLM: International Environmental Law and Natural Resources; School of Oriental and African Studies, University of London (with Merit)</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1983–1987</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LLB: Faculty of Law, Addis Ababa University (Chancellor’s Medal)</w:t>
            </w:r>
          </w:p>
        </w:tc>
      </w:tr>
    </w:tbl>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Employment history</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2006–present</w:t>
            </w:r>
          </w:p>
        </w:tc>
        <w:tc>
          <w:tcPr>
            <w:tcW w:w="5669" w:type="dxa"/>
            <w:shd w:val="clear" w:color="auto" w:fill="auto"/>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US"/>
              </w:rPr>
              <w:t>Managing Director, Multi-Talent Consultancy Plc</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2002–2006</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Freelance Consultant</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1999–2002</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Food Rights Campaign Coordinator, ActionAid Ethiopia</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1997–1999</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Head, Policy Analysis Division, Environmental Protection Authority of Ethiopia</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1996–1997</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Senior International Law Expert, Ministry of Water Resources</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1994–1996</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Head, Transboundary Water Resources Department, Ministry of Natural Resources Development and Environmental Protection (MoNRDEP)</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1993–1994</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International Water Law Expert, (MoNRDEP)</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1988–1991</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Legal Officer, Ethiopian Valleys Development Studies Authority</w:t>
            </w:r>
          </w:p>
        </w:tc>
      </w:tr>
    </w:tbl>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Key qualifications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More than 20 years professional experience as consultant in the area of natural resources and environmental management, land administration and land rights, civil society and international trade, as lecturer in water law, water rights and governance and environmental law and policy in the graduate program of the Law Faculty and College of Development Studies of the Addis Ababa University.</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Long standing experience in evaluation of national, intergovernmental, civil society programs and projects.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Significant experience in working in a multicultural environment in several countries in Africa, Europe and the United States.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Significant experience as a team leader and manager of multi-country and national level consultancy projects.</w:t>
      </w:r>
    </w:p>
    <w:p w:rsidR="006914C6" w:rsidRDefault="001B11D8" w:rsidP="006914C6">
      <w:pPr>
        <w:suppressAutoHyphens/>
        <w:adjustRightInd w:val="0"/>
        <w:snapToGrid w:val="0"/>
        <w:spacing w:after="120" w:line="240" w:lineRule="atLeast"/>
        <w:ind w:left="1134" w:right="1134"/>
        <w:rPr>
          <w:rFonts w:eastAsiaTheme="minorEastAsia"/>
          <w:kern w:val="0"/>
          <w:sz w:val="20"/>
          <w:lang w:val="en-GB"/>
        </w:rPr>
      </w:pPr>
      <w:r w:rsidRPr="001B11D8">
        <w:rPr>
          <w:rFonts w:eastAsiaTheme="minorEastAsia"/>
          <w:kern w:val="0"/>
          <w:sz w:val="20"/>
          <w:lang w:val="en-GB" w:eastAsia="en-US"/>
        </w:rPr>
        <w:t>Experience in providing training, capacity building and institutional development.</w:t>
      </w:r>
    </w:p>
    <w:p w:rsidR="006914C6" w:rsidRDefault="006914C6">
      <w:pPr>
        <w:spacing w:line="240" w:lineRule="auto"/>
        <w:jc w:val="left"/>
        <w:rPr>
          <w:rFonts w:eastAsiaTheme="minorEastAsia"/>
          <w:kern w:val="0"/>
          <w:sz w:val="20"/>
          <w:lang w:val="en-GB" w:eastAsia="en-US"/>
        </w:rPr>
      </w:pPr>
      <w:r>
        <w:rPr>
          <w:rFonts w:eastAsiaTheme="minorEastAsia"/>
          <w:kern w:val="0"/>
          <w:sz w:val="20"/>
          <w:lang w:val="en-GB" w:eastAsia="en-US"/>
        </w:rPr>
        <w:br w:type="page"/>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lastRenderedPageBreak/>
        <w:t>More than 8 years academic experience as a teacher in international water law, international environmental law and water rights and governance at the graduate level and supervising master’s thesis.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Long standing experience as negotiator in the Nile Basin and in international environmental negotiations.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Significant experience in moderating, facilitating and conducting interactive discussions at both the national and international levels on issues of development, environment, human rights, land rights and international trade issues.</w:t>
      </w:r>
    </w:p>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Professional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US"/>
              </w:rPr>
              <w:t>2012–date</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Consultant, Regional and National Water Policy and Legal Framework, and Water Resources Management Project, Inter-Governmental Authority for Development (IGAD)</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January–April 2012</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National Land Administration and Land Rights Experts: Socio-Economic Baseline Study and Assessment of the Villagization Program in two Regional States in Ethiopia, Conducted for the Ministry of Foreign Affairs of Finland</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November 2011–May 2012</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Consultant, National Coordination Strategy for Multi-Stakeholder Cooperation and Collaboration on Multilateral Environmental Agreements for Ethiopia, African Union</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2009–2010</w:t>
            </w:r>
          </w:p>
        </w:tc>
        <w:tc>
          <w:tcPr>
            <w:tcW w:w="5669" w:type="dxa"/>
            <w:shd w:val="clear" w:color="auto" w:fill="auto"/>
          </w:tcPr>
          <w:p w:rsidR="001B11D8" w:rsidRPr="001B11D8" w:rsidRDefault="001B11D8" w:rsidP="001B11D8">
            <w:pPr>
              <w:suppressAutoHyphens/>
              <w:adjustRightInd w:val="0"/>
              <w:snapToGrid w:val="0"/>
              <w:spacing w:after="120" w:line="240" w:lineRule="atLeast"/>
              <w:ind w:right="1134"/>
              <w:jc w:val="left"/>
              <w:rPr>
                <w:rFonts w:eastAsiaTheme="minorEastAsia"/>
                <w:kern w:val="0"/>
                <w:sz w:val="20"/>
                <w:lang w:val="en-GB" w:eastAsia="en-US"/>
              </w:rPr>
            </w:pPr>
            <w:r w:rsidRPr="001B11D8">
              <w:rPr>
                <w:rFonts w:eastAsiaTheme="minorEastAsia"/>
                <w:kern w:val="0"/>
                <w:sz w:val="20"/>
                <w:lang w:val="en-GB" w:eastAsia="en-US"/>
              </w:rPr>
              <w:t>Country Coordinator, Assessment of the Policy, Legal and Institutional Framework for Large-Scale Agricultural Investments in Ethiopia, World Bank</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2010</w:t>
            </w:r>
          </w:p>
        </w:tc>
        <w:tc>
          <w:tcPr>
            <w:tcW w:w="5669" w:type="dxa"/>
            <w:shd w:val="clear" w:color="auto" w:fill="auto"/>
          </w:tcPr>
          <w:p w:rsidR="001B11D8" w:rsidRPr="001B11D8" w:rsidRDefault="001B11D8" w:rsidP="001B11D8">
            <w:pPr>
              <w:suppressAutoHyphens/>
              <w:adjustRightInd w:val="0"/>
              <w:snapToGrid w:val="0"/>
              <w:spacing w:after="120" w:line="240" w:lineRule="atLeast"/>
              <w:ind w:right="1134"/>
              <w:rPr>
                <w:rFonts w:eastAsiaTheme="minorEastAsia"/>
                <w:kern w:val="0"/>
                <w:sz w:val="20"/>
                <w:lang w:val="en-GB" w:eastAsia="en-US"/>
              </w:rPr>
            </w:pPr>
            <w:r w:rsidRPr="001B11D8">
              <w:rPr>
                <w:rFonts w:eastAsiaTheme="minorEastAsia"/>
                <w:kern w:val="0"/>
                <w:sz w:val="20"/>
                <w:lang w:val="en-GB" w:eastAsia="en-US"/>
              </w:rPr>
              <w:t>Country Coordinator, Inventory of Large-Scale Agricultural Investments in Ethiopia, World Bank</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2009</w:t>
            </w:r>
          </w:p>
        </w:tc>
        <w:tc>
          <w:tcPr>
            <w:tcW w:w="5669" w:type="dxa"/>
            <w:shd w:val="clear" w:color="auto" w:fill="auto"/>
          </w:tcPr>
          <w:p w:rsidR="001B11D8" w:rsidRPr="001B11D8" w:rsidRDefault="001B11D8" w:rsidP="001B11D8">
            <w:pPr>
              <w:suppressAutoHyphens/>
              <w:adjustRightInd w:val="0"/>
              <w:snapToGrid w:val="0"/>
              <w:spacing w:after="120" w:line="240" w:lineRule="atLeast"/>
              <w:ind w:right="1134"/>
              <w:rPr>
                <w:rFonts w:eastAsiaTheme="minorEastAsia"/>
                <w:kern w:val="0"/>
                <w:sz w:val="20"/>
                <w:lang w:val="en-GB" w:eastAsia="en-US"/>
              </w:rPr>
            </w:pPr>
            <w:r w:rsidRPr="001B11D8">
              <w:rPr>
                <w:rFonts w:eastAsiaTheme="minorEastAsia"/>
                <w:kern w:val="0"/>
                <w:sz w:val="20"/>
                <w:lang w:val="en-GB" w:eastAsia="en-US"/>
              </w:rPr>
              <w:t>Country Coordinator, Land Governance Assessment Framework, World Bank</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2008–2009</w:t>
            </w:r>
          </w:p>
        </w:tc>
        <w:tc>
          <w:tcPr>
            <w:tcW w:w="5669" w:type="dxa"/>
            <w:shd w:val="clear" w:color="auto" w:fill="auto"/>
          </w:tcPr>
          <w:p w:rsidR="001B11D8" w:rsidRPr="001B11D8" w:rsidRDefault="001B11D8" w:rsidP="001B11D8">
            <w:pPr>
              <w:suppressAutoHyphens/>
              <w:adjustRightInd w:val="0"/>
              <w:snapToGrid w:val="0"/>
              <w:spacing w:after="120" w:line="240" w:lineRule="atLeast"/>
              <w:ind w:right="1134"/>
              <w:rPr>
                <w:rFonts w:eastAsiaTheme="minorEastAsia"/>
                <w:kern w:val="0"/>
                <w:sz w:val="20"/>
                <w:lang w:val="en-GB" w:eastAsia="en-US"/>
              </w:rPr>
            </w:pPr>
            <w:r w:rsidRPr="001B11D8">
              <w:rPr>
                <w:rFonts w:eastAsiaTheme="minorEastAsia"/>
                <w:kern w:val="0"/>
                <w:sz w:val="20"/>
                <w:lang w:val="en-GB" w:eastAsia="en-US"/>
              </w:rPr>
              <w:t xml:space="preserve">Coordinator, Legal and Institutional Framework for Market Competition </w:t>
            </w:r>
            <w:r w:rsidRPr="001B11D8">
              <w:rPr>
                <w:rFonts w:eastAsiaTheme="minorEastAsia"/>
                <w:kern w:val="0"/>
                <w:sz w:val="20"/>
                <w:lang w:val="en-GB" w:eastAsia="en-US"/>
              </w:rPr>
              <w:tab/>
              <w:t xml:space="preserve">in Ethiopia, Addis Ababa Chamber of Commerce and Sectoral </w:t>
            </w:r>
            <w:r w:rsidRPr="001B11D8">
              <w:rPr>
                <w:rFonts w:eastAsiaTheme="minorEastAsia"/>
                <w:kern w:val="0"/>
                <w:sz w:val="20"/>
                <w:lang w:val="en-GB" w:eastAsia="en-US"/>
              </w:rPr>
              <w:tab/>
              <w:t>Association</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2008</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Consultant, Regional Program for Water Education in East Africa, Austrian Development Cooperation</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2007</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 xml:space="preserve">Consultant, Country Case Study (Ethiopia): Mainstreaming Environment </w:t>
            </w:r>
            <w:r w:rsidRPr="001B11D8">
              <w:rPr>
                <w:rFonts w:eastAsiaTheme="minorEastAsia"/>
                <w:kern w:val="0"/>
                <w:sz w:val="20"/>
                <w:lang w:val="en-GB" w:eastAsia="en-US"/>
              </w:rPr>
              <w:tab/>
              <w:t>with a particular focus on dry-land issues, UNDP</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2006</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 xml:space="preserve">Consultant, Preparation of Social Mitigation Plan for the Humbo-Soddo </w:t>
            </w:r>
            <w:r w:rsidRPr="001B11D8">
              <w:rPr>
                <w:rFonts w:eastAsiaTheme="minorEastAsia"/>
                <w:kern w:val="0"/>
                <w:sz w:val="20"/>
                <w:lang w:val="en-GB" w:eastAsia="en-US"/>
              </w:rPr>
              <w:tab/>
              <w:t>Community Based Forest Regeneration Project, World Bank</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2006</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Legal and Institutional Specialist, Humbo-Soddo Community Based Forest Regeneration Project, World Bank</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2005–2006</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Team Leader, Preparation of a National Implementation Plan for Persistent Organic Pollutants, UNIDO</w:t>
            </w:r>
          </w:p>
        </w:tc>
      </w:tr>
      <w:tr w:rsidR="001B11D8" w:rsidRPr="001B11D8" w:rsidTr="00553DCB">
        <w:tc>
          <w:tcPr>
            <w:tcW w:w="1701" w:type="dxa"/>
            <w:shd w:val="clear" w:color="auto" w:fill="auto"/>
          </w:tcPr>
          <w:p w:rsidR="001B11D8" w:rsidRPr="001B11D8" w:rsidRDefault="001B11D8" w:rsidP="001B11D8">
            <w:pPr>
              <w:keepNext/>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lastRenderedPageBreak/>
              <w:t>2004–2005</w:t>
            </w:r>
          </w:p>
        </w:tc>
        <w:tc>
          <w:tcPr>
            <w:tcW w:w="5669" w:type="dxa"/>
            <w:shd w:val="clear" w:color="auto" w:fill="auto"/>
          </w:tcPr>
          <w:p w:rsidR="001B11D8" w:rsidRPr="001B11D8" w:rsidRDefault="001B11D8" w:rsidP="001B11D8">
            <w:pPr>
              <w:keepNext/>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Legal and Institutional Consultant, Assessment of Enforcement, Monitoring and R&amp;D Capacity to Manage Persistent Organic Pollutants in Ethiopia, UNIDO</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2004</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Intellectual Property Rights Protection of Traditional Medicinal Knowledge in Ethiopia, Ethiopian Science and Technology Commission</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2003</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Legal Consultant, Evaluation of the Land Administration Project of the Amhara National Regional State of Ethiopia, SIDA</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2003</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Member, Project Evaluation Mission: Capacity Building for Nile Basin Water Resources Management Project, FAO</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2000</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Member of the Ethiopian Delegation to the Resumed Session of the Extraordinary Meeting of the Conference of Parties to the Biosafety Protocol</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1996–1997</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Member of the Ethiopian Panel of Experts during negotiations of Nile Basin Countries to develop “Framework for Cooperation in the Nile Basin”</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1995–1996</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Member of the Ethiopian Delegation to the United Nations General Assembly (Sixth Committee) for the Elaboration of the “Draft Convention on the Non-Navigational Uses of International Watercourses”</w:t>
            </w:r>
          </w:p>
        </w:tc>
      </w:tr>
    </w:tbl>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Academic positions</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2011</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Associate Professor (part-time), Water Rights and Governance, College of Development Studies, Addis Ababa University</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2007–2011</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Associate Professor, Law of International Watercourses, Graduate Program, Law Faculty, Addis Ababa University</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2007–2011</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Associate Professor, International Environmental Law, Graduate Program, Law Faculty, Addis Ababa University</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2003–2005</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Associate Professor, Natural Resources and Environmental law, Graduate Program, Law Faculty, Addis Ababa University</w:t>
            </w:r>
          </w:p>
        </w:tc>
      </w:tr>
    </w:tbl>
    <w:p w:rsidR="001B11D8" w:rsidRPr="001B11D8" w:rsidRDefault="001B11D8" w:rsidP="001B11D8">
      <w:pPr>
        <w:keepNext/>
        <w:keepLines/>
        <w:tabs>
          <w:tab w:val="right" w:pos="851"/>
        </w:tabs>
        <w:suppressAutoHyphens/>
        <w:adjustRightInd w:val="0"/>
        <w:snapToGrid w:val="0"/>
        <w:spacing w:before="360" w:after="240" w:line="270" w:lineRule="exact"/>
        <w:ind w:left="1134" w:right="1134" w:hanging="1134"/>
        <w:jc w:val="left"/>
        <w:rPr>
          <w:rFonts w:eastAsiaTheme="minorEastAsia"/>
          <w:bCs/>
          <w:kern w:val="0"/>
          <w:sz w:val="20"/>
          <w:lang w:val="en-GB" w:eastAsia="en-US"/>
        </w:rPr>
      </w:pPr>
      <w:r w:rsidRPr="001B11D8">
        <w:rPr>
          <w:rFonts w:eastAsiaTheme="minorEastAsia"/>
          <w:b/>
          <w:kern w:val="0"/>
          <w:sz w:val="24"/>
          <w:lang w:val="en-GB" w:eastAsia="en-US"/>
        </w:rPr>
        <w:br w:type="page"/>
      </w:r>
      <w:r w:rsidRPr="001B11D8">
        <w:rPr>
          <w:rFonts w:eastAsiaTheme="minorEastAsia"/>
          <w:b/>
          <w:kern w:val="0"/>
          <w:sz w:val="24"/>
          <w:lang w:val="en-GB" w:eastAsia="en-US"/>
        </w:rPr>
        <w:lastRenderedPageBreak/>
        <w:tab/>
      </w:r>
      <w:r w:rsidRPr="001B11D8">
        <w:rPr>
          <w:rFonts w:eastAsiaTheme="minorEastAsia"/>
          <w:b/>
          <w:kern w:val="0"/>
          <w:sz w:val="24"/>
          <w:lang w:val="en-GB" w:eastAsia="en-US"/>
        </w:rPr>
        <w:tab/>
        <w:t>Ibrahim Abdul Aziz Al Sheddi (Saudi Arabia)</w:t>
      </w:r>
    </w:p>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Education</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B.A., College of Arabic language, Riyadh, K.S.A., 1971</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Diploma in Edu. Administration, Oklahoma University, USA, 1979</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M.A in Edu. Administration, Oklahoma University, USA, 1980</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Training in International Organizations, UNESCO Paris, 1983</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Ph.D. in International and Regional Organizations, Mohammed Bin Saud University, K.S.A., 1995</w:t>
      </w:r>
    </w:p>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Professional experience</w:t>
      </w:r>
    </w:p>
    <w:tbl>
      <w:tblPr>
        <w:tblW w:w="7370" w:type="dxa"/>
        <w:tblInd w:w="1134" w:type="dxa"/>
        <w:tblLayout w:type="fixed"/>
        <w:tblCellMar>
          <w:left w:w="0" w:type="dxa"/>
          <w:right w:w="0" w:type="dxa"/>
        </w:tblCellMar>
        <w:tblLook w:val="04A0" w:firstRow="1" w:lastRow="0" w:firstColumn="1" w:lastColumn="0" w:noHBand="0" w:noVBand="1"/>
      </w:tblPr>
      <w:tblGrid>
        <w:gridCol w:w="1701"/>
        <w:gridCol w:w="5669"/>
      </w:tblGrid>
      <w:tr w:rsidR="001B11D8" w:rsidRPr="001B11D8" w:rsidTr="00553DCB">
        <w:tc>
          <w:tcPr>
            <w:tcW w:w="1701" w:type="dxa"/>
            <w:shd w:val="clear" w:color="auto" w:fill="auto"/>
            <w:vAlign w:val="bottom"/>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US"/>
              </w:rPr>
              <w:t>1971–1979</w:t>
            </w:r>
          </w:p>
        </w:tc>
        <w:tc>
          <w:tcPr>
            <w:tcW w:w="5669" w:type="dxa"/>
            <w:shd w:val="clear" w:color="auto" w:fill="auto"/>
            <w:vAlign w:val="bottom"/>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US"/>
              </w:rPr>
              <w:t>Teacher and principal in High school</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1984–2009</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Secretary-General of Saudi National Commission for Education, Science and Culture (UNESCO)</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1984–2009</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Secretary-General of Saudi National Commission for Childhood</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1989</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Permanent Delegate of Saudi Arabia to UNESCO, Paris</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1990–1997</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Assistant Deputy Minister of Education for Cultural &amp; International Relations</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1997–2009</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Deputy Minister of Education for International Affairs</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2009–2013</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Member of Shoura council</w:t>
            </w:r>
          </w:p>
        </w:tc>
      </w:tr>
      <w:tr w:rsidR="001B11D8" w:rsidRPr="001B11D8" w:rsidTr="00553DCB">
        <w:tc>
          <w:tcPr>
            <w:tcW w:w="1701"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2008–till now</w:t>
            </w:r>
          </w:p>
        </w:tc>
        <w:tc>
          <w:tcPr>
            <w:tcW w:w="5669"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Member of Human Rights Commission</w:t>
            </w:r>
          </w:p>
        </w:tc>
      </w:tr>
    </w:tbl>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Participation in national committees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Vice-president of Saudi National Commission for (UNESCO)</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Vice-president of Saudi National Commission for Childhood</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Higher Committee on “Riyadh, the Capital of Arab Culture, 2000”</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Chairman of Committee for the Report of Saudi Arabia on the Implementation of the Convention on the Rights of the Child</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Scientific Committee of Jeresy Chair for Human Rights</w:t>
      </w:r>
    </w:p>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Participation in regional and international committees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the Executive Board of Arab League Educational, Cultural and Scientific Organization (ALECSO), 1992–1998, Tunis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President of the Executive Board of ALECS, 1998–2002, Tunis</w:t>
      </w:r>
    </w:p>
    <w:p w:rsidR="001B11D8" w:rsidRPr="001B11D8" w:rsidRDefault="001B11D8" w:rsidP="001B11D8">
      <w:pPr>
        <w:suppressAutoHyphens/>
        <w:adjustRightInd w:val="0"/>
        <w:snapToGrid w:val="0"/>
        <w:spacing w:after="120" w:line="240" w:lineRule="atLeast"/>
        <w:ind w:left="1134" w:right="1134"/>
        <w:rPr>
          <w:rFonts w:eastAsiaTheme="minorEastAsia"/>
          <w:spacing w:val="-2"/>
          <w:kern w:val="0"/>
          <w:sz w:val="20"/>
          <w:lang w:val="en-GB" w:eastAsia="en-US"/>
        </w:rPr>
      </w:pPr>
      <w:r w:rsidRPr="001B11D8">
        <w:rPr>
          <w:rFonts w:eastAsiaTheme="minorEastAsia"/>
          <w:spacing w:val="-2"/>
          <w:kern w:val="0"/>
          <w:sz w:val="20"/>
          <w:lang w:val="en-GB" w:eastAsia="en-US"/>
        </w:rPr>
        <w:t>Vice-Representative of Saudi Arabia to the Executive Board of UNESCO, 1996–1999, Paris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the International Committee on the Rights of the Child, 2001–2005</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President of Arab Permanente Committee for Human Rights 2006–2012</w:t>
      </w:r>
    </w:p>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lastRenderedPageBreak/>
        <w:tab/>
      </w:r>
      <w:r w:rsidRPr="001B11D8">
        <w:rPr>
          <w:rFonts w:eastAsiaTheme="minorEastAsia"/>
          <w:b/>
          <w:kern w:val="0"/>
          <w:sz w:val="20"/>
          <w:lang w:val="en-GB" w:eastAsia="en-US"/>
        </w:rPr>
        <w:tab/>
        <w:t>Participation in international conferences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Chairman of Saudi Delegation to the General Conference of UNESCO, 26th session, November 1992, Paris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Chairman of Saudi Delegation to International Education Conference, 43rd session, September 1993, Geneva</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Chairman of Saudi Delegation to Regional Conferences of Arab National Commissions for UNESCO</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the General Conferences of UNESCO 1983–2009 (held every two years)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the General Conferences of ALECSO 1982–2009 (held every two years)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the General Conferences of Ministers of Education in the Gulf States, 1982–2009 (held every two years)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the International Education Conference, 1984–2009, Geneva</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Conference of Ministers of Culture in Islamic States, 1998, Rabat</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Intergovernmental Conference on Cultural Policies for Development (Stockholm, 1998)</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Conference of Ministers of Culture in the Gulf States, 1999, Sharja</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Conference of Arab Ministers of Culture, 2000, Riyadh</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the 2nd World Congress against Commercial Sexual Exploitation of Children 2001, Yokohama, Japan</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Member of Saudi Delegation to the Second World Summit for Children, 2002, New York</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In addition to participation in several regional and international seminars and meetings</w:t>
      </w:r>
    </w:p>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US"/>
        </w:rPr>
      </w:pPr>
      <w:r w:rsidRPr="001B11D8">
        <w:rPr>
          <w:rFonts w:eastAsiaTheme="minorEastAsia"/>
          <w:b/>
          <w:kern w:val="0"/>
          <w:sz w:val="20"/>
          <w:lang w:val="en-GB" w:eastAsia="en-US"/>
        </w:rPr>
        <w:tab/>
      </w:r>
      <w:r w:rsidRPr="001B11D8">
        <w:rPr>
          <w:rFonts w:eastAsiaTheme="minorEastAsia"/>
          <w:b/>
          <w:kern w:val="0"/>
          <w:sz w:val="20"/>
          <w:lang w:val="en-GB" w:eastAsia="en-US"/>
        </w:rPr>
        <w:tab/>
        <w:t>Publications and studies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“Educational Plans of Regional and International Educational Organizations”, a book, 1999</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“Rights of the Child”, a book, 2005</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A number of researches and studies, such as:</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“Child Welfare in Saudi Arabia”</w:t>
      </w:r>
    </w:p>
    <w:p w:rsidR="001B11D8" w:rsidRPr="001B11D8" w:rsidRDefault="001B11D8" w:rsidP="001B11D8">
      <w:pPr>
        <w:suppressAutoHyphens/>
        <w:adjustRightInd w:val="0"/>
        <w:snapToGrid w:val="0"/>
        <w:spacing w:after="120" w:line="240" w:lineRule="atLeast"/>
        <w:ind w:left="1701" w:right="1134"/>
        <w:rPr>
          <w:rFonts w:eastAsiaTheme="minorEastAsia"/>
          <w:kern w:val="0"/>
          <w:sz w:val="20"/>
          <w:lang w:val="en-GB" w:eastAsia="en-US"/>
        </w:rPr>
      </w:pPr>
      <w:r w:rsidRPr="001B11D8">
        <w:rPr>
          <w:rFonts w:eastAsiaTheme="minorEastAsia"/>
          <w:kern w:val="0"/>
          <w:sz w:val="20"/>
          <w:lang w:val="en-GB" w:eastAsia="en-US"/>
        </w:rPr>
        <w:t>“Rights of the Child in Saudi Arabia”</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“Children Literature in Saudi Arabia”</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“Child Culture”</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“Computer Programs for Children”</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“The Need for Supreme Council for Childhood in Saudi Arabia”</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“International Convention on the Rights of the Child”</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“Human Rights: International Protection Mechanisms”</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“Childhood in Islam”</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“Introducing Educational International and Regional Organizations”</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lastRenderedPageBreak/>
        <w:t>“Saudi Arabia and Educational International and Regional Organizations”</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n-GB" w:eastAsia="en-US"/>
        </w:rPr>
      </w:pPr>
      <w:r w:rsidRPr="001B11D8">
        <w:rPr>
          <w:rFonts w:eastAsiaTheme="minorEastAsia"/>
          <w:kern w:val="0"/>
          <w:sz w:val="20"/>
          <w:lang w:val="en-GB" w:eastAsia="en-US"/>
        </w:rPr>
        <w:t>“Educational Supervision: Concept, Mechanism”</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n-GB" w:eastAsia="en-US"/>
        </w:rPr>
      </w:pPr>
      <w:r w:rsidRPr="001B11D8">
        <w:rPr>
          <w:rFonts w:eastAsiaTheme="minorEastAsia"/>
          <w:kern w:val="0"/>
          <w:sz w:val="20"/>
          <w:lang w:val="en-GB" w:eastAsia="en-US"/>
        </w:rPr>
        <w:t>A number of articles published in Saudi newspapers and magazines</w:t>
      </w:r>
    </w:p>
    <w:p w:rsidR="001B11D8" w:rsidRPr="001B11D8" w:rsidRDefault="001B11D8" w:rsidP="001B11D8">
      <w:pPr>
        <w:keepNext/>
        <w:keepLines/>
        <w:tabs>
          <w:tab w:val="right" w:pos="851"/>
        </w:tabs>
        <w:suppressAutoHyphens/>
        <w:adjustRightInd w:val="0"/>
        <w:snapToGrid w:val="0"/>
        <w:spacing w:before="360" w:line="270" w:lineRule="exact"/>
        <w:ind w:left="1134" w:right="1134" w:hanging="1134"/>
        <w:jc w:val="left"/>
        <w:rPr>
          <w:rFonts w:eastAsiaTheme="minorEastAsia"/>
          <w:b/>
          <w:kern w:val="0"/>
          <w:sz w:val="24"/>
          <w:lang w:val="es-ES_tradnl" w:eastAsia="en-US"/>
        </w:rPr>
      </w:pPr>
      <w:r w:rsidRPr="00682CB2">
        <w:rPr>
          <w:rFonts w:eastAsiaTheme="minorEastAsia"/>
          <w:b/>
          <w:kern w:val="0"/>
          <w:sz w:val="24"/>
          <w:u w:val="single"/>
          <w:lang w:val="es-ES" w:eastAsia="en-US"/>
        </w:rPr>
        <w:br w:type="page"/>
      </w:r>
      <w:r w:rsidRPr="00682CB2">
        <w:rPr>
          <w:rFonts w:eastAsiaTheme="minorEastAsia"/>
          <w:b/>
          <w:kern w:val="0"/>
          <w:sz w:val="24"/>
          <w:lang w:val="es-ES" w:eastAsia="en-US"/>
        </w:rPr>
        <w:lastRenderedPageBreak/>
        <w:tab/>
      </w:r>
      <w:r w:rsidRPr="00682CB2">
        <w:rPr>
          <w:rFonts w:eastAsiaTheme="minorEastAsia"/>
          <w:b/>
          <w:kern w:val="0"/>
          <w:sz w:val="24"/>
          <w:lang w:val="es-ES" w:eastAsia="en-US"/>
        </w:rPr>
        <w:tab/>
      </w:r>
      <w:r w:rsidRPr="001B11D8">
        <w:rPr>
          <w:rFonts w:eastAsiaTheme="minorEastAsia"/>
          <w:b/>
          <w:kern w:val="0"/>
          <w:sz w:val="24"/>
          <w:lang w:val="es-ES_tradnl" w:eastAsia="en-US"/>
        </w:rPr>
        <w:t>Mario Luis Coriolano (Argentina)</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r w:rsidRPr="001B11D8">
        <w:rPr>
          <w:rFonts w:eastAsiaTheme="minorEastAsia"/>
          <w:kern w:val="0"/>
          <w:sz w:val="20"/>
          <w:lang w:val="es-ES_tradnl" w:eastAsia="en-US"/>
        </w:rPr>
        <w:t>Mario Luis Coriolano, argentino, es abogado, egresado de la Universidad Nacional de L</w:t>
      </w:r>
      <w:r w:rsidRPr="001B11D8">
        <w:rPr>
          <w:rFonts w:eastAsiaTheme="minorEastAsia"/>
          <w:kern w:val="0"/>
          <w:sz w:val="20"/>
          <w:lang w:val="es-ES" w:eastAsia="en-US"/>
        </w:rPr>
        <w:t xml:space="preserve">a Plata (UNLP), Argentina, donde obtuvo el título de Especialista en Derecho Penal y Criminología. </w:t>
      </w:r>
      <w:r w:rsidRPr="001B11D8">
        <w:rPr>
          <w:rFonts w:eastAsiaTheme="minorEastAsia"/>
          <w:kern w:val="0"/>
          <w:sz w:val="20"/>
          <w:lang w:val="es-ES_tradnl" w:eastAsia="en-US"/>
        </w:rPr>
        <w:t>Es profesor adjunto ordinario por concurso de oposición y antecedentes en la Cátedra de Derecho Procesal I en la Facultad de Ciencias Jurídicas y Sociales de la UNLP. Desde el año 1998, es el Titular de la Defensoría ante el Tribunal de Casación Penal de la Provincia de Buenos Aires, Argentina, cargo obtenido por concurso a través del Consejo de la Magistratura.</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r w:rsidRPr="001B11D8">
        <w:rPr>
          <w:rFonts w:eastAsiaTheme="minorEastAsia"/>
          <w:kern w:val="0"/>
          <w:sz w:val="20"/>
          <w:lang w:val="es-ES" w:eastAsia="en-US"/>
        </w:rPr>
        <w:t xml:space="preserve">El candidato posee una extensa experiencia judicial, académica y cultural que ha volcado enérgicamente en la lucha contra la tortura y las condiciones degradantes de detención en el ámbito local, nacional, regional y universal. </w:t>
      </w:r>
      <w:r w:rsidRPr="001B11D8">
        <w:rPr>
          <w:rFonts w:eastAsiaTheme="minorEastAsia"/>
          <w:kern w:val="0"/>
          <w:sz w:val="20"/>
          <w:lang w:val="es-ES_tradnl" w:eastAsia="en-US"/>
        </w:rPr>
        <w:t>Posee una vasta experiencia en el diseño y ejecución de políticas públicas vinculadas a temas carcelarios, como así en visitas y supervisión a cárceles. Esto caracteriza su larga práctica en las relaciones con el personal policial y penitenciario, siempre con el objetivo de promover el mejoramiento de las instituciones respectivas.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 w:eastAsia="en-US"/>
        </w:rPr>
      </w:pPr>
      <w:r w:rsidRPr="001B11D8">
        <w:rPr>
          <w:rFonts w:eastAsiaTheme="minorEastAsia"/>
          <w:kern w:val="0"/>
          <w:sz w:val="20"/>
          <w:lang w:val="es-ES" w:eastAsia="en-US"/>
        </w:rPr>
        <w:t>En el año 2012, fue designado para integrar el Comité Asesor del Consejo de Derechos Humanos de Naciones Unidas, como experto independiente por su experiencia profesional. Los miembros son nominados por los gobiernos y elegidos por el Consejo.</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r w:rsidRPr="001B11D8">
        <w:rPr>
          <w:rFonts w:eastAsiaTheme="minorEastAsia"/>
          <w:kern w:val="0"/>
          <w:sz w:val="20"/>
          <w:lang w:val="es-ES_tradnl" w:eastAsia="en-US"/>
        </w:rPr>
        <w:t>El Comité suele formar grupos de trabajo, entre los cuales el Dr. Coriolano integra:</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s-ES_tradnl" w:eastAsia="en-US"/>
        </w:rPr>
      </w:pPr>
      <w:r w:rsidRPr="001B11D8">
        <w:rPr>
          <w:rFonts w:eastAsiaTheme="minorEastAsia"/>
          <w:kern w:val="0"/>
          <w:sz w:val="20"/>
          <w:lang w:val="es-ES_tradnl" w:eastAsia="en-US"/>
        </w:rPr>
        <w:t>a)</w:t>
      </w:r>
      <w:r w:rsidRPr="001B11D8">
        <w:rPr>
          <w:rFonts w:eastAsiaTheme="minorEastAsia"/>
          <w:kern w:val="0"/>
          <w:sz w:val="20"/>
          <w:lang w:val="es-ES_tradnl" w:eastAsia="en-US"/>
        </w:rPr>
        <w:tab/>
        <w:t>Grupo de redacción del estudio sobre las posibilidades de utilizar el deporte y el ideal olímpico para promover los derechos humanos, desde febrero de 2014;</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s-ES_tradnl" w:eastAsia="en-US"/>
        </w:rPr>
      </w:pPr>
      <w:r w:rsidRPr="001B11D8">
        <w:rPr>
          <w:rFonts w:eastAsiaTheme="minorEastAsia"/>
          <w:kern w:val="0"/>
          <w:sz w:val="20"/>
          <w:lang w:val="es-ES_tradnl" w:eastAsia="en-US"/>
        </w:rPr>
        <w:t>b)</w:t>
      </w:r>
      <w:r w:rsidRPr="001B11D8">
        <w:rPr>
          <w:rFonts w:eastAsiaTheme="minorEastAsia"/>
          <w:kern w:val="0"/>
          <w:sz w:val="20"/>
          <w:lang w:val="es-ES_tradnl" w:eastAsia="en-US"/>
        </w:rPr>
        <w:tab/>
        <w:t>Grupo de redacción del informe de investigación sobre el papel de los gobiernos locales en la promoción y protección de los derechos humanos, desde febrero de 2014;</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s-ES_tradnl" w:eastAsia="en-US"/>
        </w:rPr>
      </w:pPr>
      <w:r w:rsidRPr="001B11D8">
        <w:rPr>
          <w:rFonts w:eastAsiaTheme="minorEastAsia"/>
          <w:kern w:val="0"/>
          <w:sz w:val="20"/>
          <w:lang w:val="es-ES_tradnl" w:eastAsia="en-US"/>
        </w:rPr>
        <w:t>c)</w:t>
      </w:r>
      <w:r w:rsidRPr="001B11D8">
        <w:rPr>
          <w:rFonts w:eastAsiaTheme="minorEastAsia"/>
          <w:kern w:val="0"/>
          <w:sz w:val="20"/>
          <w:lang w:val="es-ES_tradnl" w:eastAsia="en-US"/>
        </w:rPr>
        <w:tab/>
        <w:t>Grupo de estudio sobre la situación de los derechos humanos de las personas con albinismo, desde febrero de 2014;</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s-ES_tradnl" w:eastAsia="en-US"/>
        </w:rPr>
      </w:pPr>
      <w:r w:rsidRPr="001B11D8">
        <w:rPr>
          <w:rFonts w:eastAsiaTheme="minorEastAsia"/>
          <w:kern w:val="0"/>
          <w:sz w:val="20"/>
          <w:lang w:val="es-ES_tradnl" w:eastAsia="en-US"/>
        </w:rPr>
        <w:t>d)</w:t>
      </w:r>
      <w:r w:rsidRPr="001B11D8">
        <w:rPr>
          <w:rFonts w:eastAsiaTheme="minorEastAsia"/>
          <w:kern w:val="0"/>
          <w:sz w:val="20"/>
          <w:lang w:val="es-ES_tradnl" w:eastAsia="en-US"/>
        </w:rPr>
        <w:tab/>
        <w:t xml:space="preserve">En septiembre de 2014, el Consejo mediante la resolución 27/30 pide al Comité Asesor que preparare un informe basado en la investigación sobre las actividades de los fondos buitres y el impacto en los derechos humanos. </w:t>
      </w:r>
      <w:r w:rsidRPr="001B11D8">
        <w:rPr>
          <w:rFonts w:eastAsiaTheme="minorEastAsia"/>
          <w:kern w:val="0"/>
          <w:sz w:val="20"/>
          <w:lang w:val="es-ES" w:eastAsia="en-US"/>
        </w:rPr>
        <w:t xml:space="preserve">El mismo será presentado en marzo de 2016. </w:t>
      </w:r>
      <w:r w:rsidRPr="001B11D8">
        <w:rPr>
          <w:rFonts w:eastAsiaTheme="minorEastAsia"/>
          <w:kern w:val="0"/>
          <w:sz w:val="20"/>
          <w:lang w:val="es-ES_tradnl" w:eastAsia="en-US"/>
        </w:rPr>
        <w:t>El Comité Asesor estableció el Grupo de redacción sobre dicho informe, en febrero de 2015, entre los que se encuentra formando parte del mismo el Dr. Coriolano;</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s-ES_tradnl" w:eastAsia="en-US"/>
        </w:rPr>
      </w:pPr>
      <w:r w:rsidRPr="001B11D8">
        <w:rPr>
          <w:rFonts w:eastAsiaTheme="minorEastAsia"/>
          <w:kern w:val="0"/>
          <w:sz w:val="20"/>
          <w:lang w:val="es-ES_tradnl" w:eastAsia="en-US"/>
        </w:rPr>
        <w:t>e)</w:t>
      </w:r>
      <w:r w:rsidRPr="001B11D8">
        <w:rPr>
          <w:rFonts w:eastAsiaTheme="minorEastAsia"/>
          <w:kern w:val="0"/>
          <w:sz w:val="20"/>
          <w:lang w:val="es-ES_tradnl" w:eastAsia="en-US"/>
        </w:rPr>
        <w:tab/>
        <w:t>Grupo de redacción del informe de investigación sobre el Impacto negativo de la corrupción sobre los derechos humanos, desde agosto del 2013;</w:t>
      </w:r>
    </w:p>
    <w:p w:rsidR="001B11D8" w:rsidRPr="001B11D8" w:rsidRDefault="001B11D8" w:rsidP="001B11D8">
      <w:pPr>
        <w:suppressAutoHyphens/>
        <w:adjustRightInd w:val="0"/>
        <w:snapToGrid w:val="0"/>
        <w:spacing w:after="120" w:line="240" w:lineRule="atLeast"/>
        <w:ind w:left="1134" w:right="1134" w:firstLine="567"/>
        <w:rPr>
          <w:rFonts w:eastAsiaTheme="minorEastAsia"/>
          <w:kern w:val="0"/>
          <w:sz w:val="20"/>
          <w:lang w:val="es-ES_tradnl" w:eastAsia="en-US"/>
        </w:rPr>
      </w:pPr>
      <w:r w:rsidRPr="001B11D8">
        <w:rPr>
          <w:rFonts w:eastAsiaTheme="minorEastAsia"/>
          <w:kern w:val="0"/>
          <w:sz w:val="20"/>
          <w:lang w:val="es-ES_tradnl" w:eastAsia="en-US"/>
        </w:rPr>
        <w:t>f)</w:t>
      </w:r>
      <w:r w:rsidRPr="001B11D8">
        <w:rPr>
          <w:rFonts w:eastAsiaTheme="minorEastAsia"/>
          <w:kern w:val="0"/>
          <w:sz w:val="20"/>
          <w:lang w:val="es-ES_tradnl" w:eastAsia="en-US"/>
        </w:rPr>
        <w:tab/>
        <w:t>Desde el 2013 forma parte del Grupo de Trabajo sobre las Comunicaciones, que consta de cinco expertos independientes y altamente calificados y es geográficamente representativo de los cinco grupos regionales. La designación es por un período de tres años, y renovable una vez. En ese contexto, durante la primera sesión en el Comité Asesor en febrero de 2013, propuso solicitar al Consejo de Derechos Humanos para realizar una investigación sobre “Seguridad ciudadana” con un enfoque de Derechos Humanos, que fue aprobado por unanimidad.</w:t>
      </w:r>
    </w:p>
    <w:p w:rsidR="001B11D8" w:rsidRPr="001B11D8" w:rsidRDefault="001B11D8" w:rsidP="001B11D8">
      <w:pPr>
        <w:suppressAutoHyphens/>
        <w:adjustRightInd w:val="0"/>
        <w:snapToGrid w:val="0"/>
        <w:spacing w:after="120" w:line="240" w:lineRule="atLeast"/>
        <w:ind w:left="1134" w:right="1134"/>
        <w:rPr>
          <w:rFonts w:eastAsiaTheme="minorEastAsia"/>
          <w:spacing w:val="-4"/>
          <w:kern w:val="0"/>
          <w:sz w:val="20"/>
          <w:lang w:val="es-ES_tradnl" w:eastAsia="en-US"/>
        </w:rPr>
      </w:pPr>
      <w:r w:rsidRPr="001B11D8">
        <w:rPr>
          <w:rFonts w:eastAsiaTheme="minorEastAsia"/>
          <w:spacing w:val="-4"/>
          <w:kern w:val="0"/>
          <w:sz w:val="20"/>
          <w:lang w:val="es-ES_tradnl" w:eastAsia="en-US"/>
        </w:rPr>
        <w:t xml:space="preserve">En el año 2006, en reconocimiento de sus aptitudes personales y profesionales, fue elegido miembro del Subcomité para la Prevención de la Tortura, órgano creado ese mismo año a la luz del Protocolo Facultativo de la Convención contra la Tortura de Naciones Unidas (OPCAT). En el año 2008, fue reelegido, siendo vicepresidente de este órgano hasta el año 2012. En la etapa fundacional, el Dr. Coriolano se ha dedicado plenamente a contribuir a la construcción de un sólido sistema preventivo universal. Su visión estratégica considera el OPCAT la pieza catalizadora faltante para complementar y reforzar a instituciones y actores existentes que han de combatir la tortura desde sus distintos ámbitos, evitando superposiciones, llenando vacíos y corrigiendo debilidades. En lo referido a la edificación de estas relaciones interinstitucionales, sus gestiones fueron decisivas para lograr el </w:t>
      </w:r>
      <w:r w:rsidRPr="001B11D8">
        <w:rPr>
          <w:rFonts w:eastAsiaTheme="minorEastAsia"/>
          <w:spacing w:val="-4"/>
          <w:kern w:val="0"/>
          <w:sz w:val="20"/>
          <w:lang w:val="es-ES_tradnl" w:eastAsia="en-US"/>
        </w:rPr>
        <w:lastRenderedPageBreak/>
        <w:t>acercamiento entre el Subcomité y el Comité contra la Tortura y fue por ello designado por sus colegas para integrar el Grupo de Trabajo creado a fin de facilitar la comunicación, intercambio de información y actuación coordinada entre ambos órganos. Asimismo, se ha preocupado por establecer pautas de trabajo coordinadas entre el Subcomité y la Comisión Interamericana de Derechos Humanos (CIDH). Para ello, entre otros, impulsó una invitación al Secretario Ejecutivo de este órgano regional a una reunión de trabajo con el pleno del Subcomité en Ginebra y participó, en representación del Subcomité, en una audiencia pública y sesión plenaria convocada por la CIDH en Washington DC.</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r w:rsidRPr="001B11D8">
        <w:rPr>
          <w:rFonts w:eastAsiaTheme="minorEastAsia"/>
          <w:kern w:val="0"/>
          <w:sz w:val="20"/>
          <w:lang w:val="es-ES_tradnl" w:eastAsia="en-US"/>
        </w:rPr>
        <w:t>Además, el Dr. Coriolano ha priorizado el desarrollo del aspecto del mandato del SPT referido a los mecanismos nacionales de prevención (MNP) previstos bajo el Protocolo Facultativo. En este sentido, fue designado por el Subcomité para redactar pautas preliminares que orientaron las gestiones del SPT durante sus primeras visitas al terreno y sus respectivos informes y sirvieron de base para la elaboración de directrices sobre los MNP consagradas en el primer informe anual público del SPT. Igualmente, le fue encargado un documento de análisis sobre el estado de situación de los MNP en cada Estado Parte del Protocolo Facultativo para así estudiar las medidas que el SPT ha de adoptar para ayudar a los Estados a aplicar estas directrices. En contextos nacionales específicos, fue designado Punto Focal del Subcomité con el MNP de México (único Punto Focal hasta la fecha), habiendo establecido en esta calidad contacto directo y estrecho con los integrantes del MNP, además de las autoridades del Estado Parte y otros actores nacionales relevantes.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r w:rsidRPr="001B11D8">
        <w:rPr>
          <w:rFonts w:eastAsiaTheme="minorEastAsia"/>
          <w:kern w:val="0"/>
          <w:sz w:val="20"/>
          <w:lang w:val="es-ES_tradnl" w:eastAsia="en-US"/>
        </w:rPr>
        <w:t>Igualmente, participó como disertante en diferentes eventos para impulsar la implantación de los MNP en Chile, Brasil, Paraguay, Bolivia, Perú, Uruguay, Honduras y Guatemala orientando y apoyando a los actores nacionales de estos procesos.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 w:eastAsia="en-US"/>
        </w:rPr>
      </w:pPr>
      <w:r w:rsidRPr="001B11D8">
        <w:rPr>
          <w:rFonts w:eastAsiaTheme="minorEastAsia"/>
          <w:kern w:val="0"/>
          <w:sz w:val="20"/>
          <w:lang w:val="es-ES" w:eastAsia="en-US"/>
        </w:rPr>
        <w:t>Además formó parte de las Misiones Internacionales del Subcomité a África, México, Paraguay, Honduras, Brasil donde se desempeñó como jefe de misión. Participó en el Primer Seminario Mundial sobre el OPCAT convocado por la Universidad de Bristol, Inglaterra.</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 w:eastAsia="en-US"/>
        </w:rPr>
      </w:pPr>
      <w:r w:rsidRPr="001B11D8">
        <w:rPr>
          <w:rFonts w:eastAsiaTheme="minorEastAsia"/>
          <w:kern w:val="0"/>
          <w:sz w:val="20"/>
          <w:lang w:val="es-ES_tradnl" w:eastAsia="en-US"/>
        </w:rPr>
        <w:t xml:space="preserve">En su calidad de Defensor de Casación de la Provincia de Buenos Aires, Argentina, llevó a cabo la creación y puesta en marcha de áreas de ejecución de la defensa, conformadas por un equipo de abogados especializados que atienden detenidos y visitan cárceles con el objeto de garantizar los derechos humanos de las personas privadas de su libertad. Asimismo, creó la base de datos sobre casos de torturas y otros tratos o penas crueles, inhumanos o degradantes, en el cual se registran las denuncias sobre casos de torturas en la provincia de Buenos Aires. La primera base de datos de esta naturaleza, ha sido decisiva para hacer visible la grave problemática de la tortura en la provincia de Buenos Aires y ha sido replicada en otras provincias. Así, sigue siendo utilizada por diferentes organismos de derechos humanos a nivel provincial, nacional e internacional (Centro de Estudios Legales y Sociales – CELS; Amnistía Internacional, Centro por la Justicia y el Derecho Internacional – CEJIL; Comisión Interamericana de Derechos Humanos – CIDH; entre otros). </w:t>
      </w:r>
      <w:r w:rsidRPr="001B11D8">
        <w:rPr>
          <w:rFonts w:eastAsiaTheme="minorEastAsia"/>
          <w:kern w:val="0"/>
          <w:sz w:val="20"/>
          <w:lang w:val="es-ES" w:eastAsia="en-US"/>
        </w:rPr>
        <w:t>Además creó el programa integral de sistematización de información, el cual releva, el hostigamiento a defensores y casos de pruebas adulteradas.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r w:rsidRPr="001B11D8">
        <w:rPr>
          <w:rFonts w:eastAsiaTheme="minorEastAsia"/>
          <w:kern w:val="0"/>
          <w:sz w:val="20"/>
          <w:lang w:val="es-ES" w:eastAsia="en-US"/>
        </w:rPr>
        <w:t xml:space="preserve">A su vez, el Dr. Coriolano diseñó e implementó el Programa de Capacitación “Entrenamiento interdisciplinario en visitas a Unidades Carcelarias” para llevar a cabo en todo el territorio argentino. El mismo está destinado a capacitar personas de distintos sectores estatales y de la sociedad civil, a fin de perfeccionar los mecanismos de visitas que deben realizar regularmente y de manera sorpresiva para examinar las condiciones en que se encuentran las personas privadas de libertad. </w:t>
      </w:r>
      <w:r w:rsidRPr="001B11D8">
        <w:rPr>
          <w:rFonts w:eastAsiaTheme="minorEastAsia"/>
          <w:kern w:val="0"/>
          <w:sz w:val="20"/>
          <w:lang w:val="es-ES_tradnl" w:eastAsia="en-US"/>
        </w:rPr>
        <w:t>Su eje central es la Convención contra la Tortura de las Naciones Unidas y su Protocolo Facultativo. El proyecto contó con la financiación de la Embajada Suiza en Argentina y el apoyo de la Asociación para la Prevención de la Tortura (APT).</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 w:eastAsia="en-US"/>
        </w:rPr>
      </w:pPr>
      <w:r w:rsidRPr="001B11D8">
        <w:rPr>
          <w:rFonts w:eastAsiaTheme="minorEastAsia"/>
          <w:kern w:val="0"/>
          <w:sz w:val="20"/>
          <w:lang w:val="es-ES" w:eastAsia="en-US"/>
        </w:rPr>
        <w:t>En el ámbito académico, es el Director de la Cátedra Libre “Salud Pública Penitenciaria” de la Universidad Nacional de La Plata. Desde año 2.010 hasta la actualidad.</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 w:eastAsia="en-US"/>
        </w:rPr>
      </w:pPr>
      <w:r w:rsidRPr="001B11D8">
        <w:rPr>
          <w:rFonts w:eastAsiaTheme="minorEastAsia"/>
          <w:kern w:val="0"/>
          <w:sz w:val="20"/>
          <w:lang w:val="es-ES_tradnl" w:eastAsia="en-US"/>
        </w:rPr>
        <w:t xml:space="preserve">Su experiencia, que abarca las sólidas iniciativas que desarrolló y continúa desarrollando en el ámbito de sus funciones, le ha servido de la misma manera para elaborar teóricamente la </w:t>
      </w:r>
      <w:r w:rsidRPr="001B11D8">
        <w:rPr>
          <w:rFonts w:eastAsiaTheme="minorEastAsia"/>
          <w:kern w:val="0"/>
          <w:sz w:val="20"/>
          <w:lang w:val="es-ES_tradnl" w:eastAsia="en-US"/>
        </w:rPr>
        <w:lastRenderedPageBreak/>
        <w:t xml:space="preserve">dolorosa materia de su labor y volcar su pensamiento en innumerables disertaciones sobre temas de tortura y otros tratos o penas crueles, inhumanos o degradantes llevadas a cabo en eventos nacionales e internacionales, entre ellos: en Estados Unidos (2015-2014-2011-2009-2008); Brasil (2014-2012-2011-2010-2008-2007-2006-2005-2001); Honduras (2014-2012-2009); Bolivia (2007); Perú (2012-2007); Colombia (2011-2006); México (2008-2006-2005); Argentina (2005); Paraguay (2015-2012-2011-2010-2009-2008-2007-2005-2002); Uruguay (2010-2008-2004); Ecuador (2003); Canadá (2003); Costa Rica (2012-2002-1999-1998); Chile (2013-2012-2001); Guatemala (2012-2010-2009-2001); Francia (2009); España (2010-2008). </w:t>
      </w:r>
      <w:r w:rsidRPr="001B11D8">
        <w:rPr>
          <w:rFonts w:eastAsiaTheme="minorEastAsia"/>
          <w:kern w:val="0"/>
          <w:sz w:val="20"/>
          <w:lang w:val="es-ES" w:eastAsia="en-US"/>
        </w:rPr>
        <w:t>Por otra parte, es autor de numerosas publicaciones de su especialidad, entre ellas “Red para la lucha contra la tortura. Implementación del Protocolo Facultativo a la Convención contra la tortura y otros tratos o penas crueles, inhumanos o degradantes”. Libro, auspiciado por el Ministerio de Justicia y Derechos Humanos, Presidencia de la Nación Argentina. (año 2013).</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r w:rsidRPr="001B11D8">
        <w:rPr>
          <w:rFonts w:eastAsiaTheme="minorEastAsia"/>
          <w:kern w:val="0"/>
          <w:sz w:val="20"/>
          <w:lang w:val="es-ES_tradnl" w:eastAsia="en-US"/>
        </w:rPr>
        <w:t>Ha creado y dirige desde el año 2000 el Centro de Estudios para la Defensa Pública, espacio destinado a la capacitación y debate público acerca de temas vinculados a la justicia y los derechos Humanos en Argentina y América Latina y es socio fundador de la Asociación de Defensores por los Derechos Humanos.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r w:rsidRPr="001B11D8">
        <w:rPr>
          <w:rFonts w:eastAsiaTheme="minorEastAsia"/>
          <w:kern w:val="0"/>
          <w:sz w:val="20"/>
          <w:lang w:val="es-ES_tradnl" w:eastAsia="en-US"/>
        </w:rPr>
        <w:t>También participó de la fundación del Foro para la Justicia Democrática, asociación civil sin fines de lucro, integrada por jueces, fiscales y defensores, con el objeto de desarrollar un espacio pluralista de constante debate y reflexión que permita consolidar – desde el ámbito judicial – el Estado de Derecho democrático y los derechos humanos. Esto a través del análisis de situación con base en información que provean distintos actores locales pertinentes y la formulación de propuestas en pos del mejoramiento de la justicia penal en la Provincia de Buenos Aires.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_tradnl" w:eastAsia="en-US"/>
        </w:rPr>
      </w:pPr>
      <w:r w:rsidRPr="001B11D8">
        <w:rPr>
          <w:rFonts w:eastAsiaTheme="minorEastAsia"/>
          <w:kern w:val="0"/>
          <w:sz w:val="20"/>
          <w:lang w:val="es-ES_tradnl" w:eastAsia="en-US"/>
        </w:rPr>
        <w:t>Actualmente es el funcionario designado como nexo entre la provincia de Buenos Aires y el Programa Nacional Anti-impunidad, que tiende a aunar esfuerzos en el ámbito nacional, provincial o municipal con reparticiones oficiales, organismos no gubernamentales y estamentos de la sociedad civil en la lucha contra flagrantes violaciones a los derechos humanos.</w:t>
      </w:r>
    </w:p>
    <w:p w:rsidR="001B11D8" w:rsidRPr="001B11D8" w:rsidRDefault="001B11D8" w:rsidP="001B11D8">
      <w:pPr>
        <w:suppressAutoHyphens/>
        <w:adjustRightInd w:val="0"/>
        <w:snapToGrid w:val="0"/>
        <w:spacing w:after="120" w:line="240" w:lineRule="atLeast"/>
        <w:ind w:left="1134" w:right="1134"/>
        <w:rPr>
          <w:rFonts w:eastAsiaTheme="minorEastAsia"/>
          <w:kern w:val="0"/>
          <w:sz w:val="20"/>
          <w:lang w:val="es-ES" w:eastAsia="en-US"/>
        </w:rPr>
      </w:pPr>
      <w:r w:rsidRPr="001B11D8">
        <w:rPr>
          <w:rFonts w:eastAsiaTheme="minorEastAsia"/>
          <w:kern w:val="0"/>
          <w:sz w:val="20"/>
          <w:lang w:val="es-ES" w:eastAsia="en-US"/>
        </w:rPr>
        <w:t>Además es Becario del Programa de Investigación del Gobierno de Canadá desde el año 2002. Asimismo ha sido Consultor del Instituto Interamericano de Derechos Humanos (IIDH) con sede en San José, Costa Rica.</w:t>
      </w:r>
    </w:p>
    <w:p w:rsidR="001B11D8" w:rsidRPr="001B11D8" w:rsidRDefault="001B11D8" w:rsidP="001B11D8">
      <w:pPr>
        <w:keepNext/>
        <w:keepLines/>
        <w:tabs>
          <w:tab w:val="right" w:pos="851"/>
        </w:tabs>
        <w:suppressAutoHyphens/>
        <w:adjustRightInd w:val="0"/>
        <w:snapToGrid w:val="0"/>
        <w:spacing w:before="360" w:after="240" w:line="270" w:lineRule="exact"/>
        <w:ind w:left="1134" w:right="1134" w:hanging="1134"/>
        <w:jc w:val="left"/>
        <w:rPr>
          <w:rFonts w:eastAsiaTheme="minorEastAsia"/>
          <w:b/>
          <w:kern w:val="0"/>
          <w:sz w:val="24"/>
          <w:lang w:val="en-GB" w:eastAsia="en-US"/>
        </w:rPr>
      </w:pPr>
      <w:r w:rsidRPr="001B11D8">
        <w:rPr>
          <w:rFonts w:eastAsiaTheme="minorEastAsia"/>
          <w:b/>
          <w:kern w:val="0"/>
          <w:sz w:val="24"/>
          <w:u w:val="single"/>
          <w:lang w:val="es-ES_tradnl" w:eastAsia="en-US"/>
        </w:rPr>
        <w:br w:type="page"/>
      </w:r>
      <w:r w:rsidRPr="001B11D8">
        <w:rPr>
          <w:rFonts w:eastAsiaTheme="minorEastAsia"/>
          <w:b/>
          <w:kern w:val="0"/>
          <w:sz w:val="24"/>
          <w:lang w:val="es-ES" w:eastAsia="en-US"/>
        </w:rPr>
        <w:lastRenderedPageBreak/>
        <w:tab/>
      </w:r>
      <w:r w:rsidRPr="001B11D8">
        <w:rPr>
          <w:rFonts w:eastAsiaTheme="minorEastAsia"/>
          <w:b/>
          <w:kern w:val="0"/>
          <w:sz w:val="24"/>
          <w:lang w:val="es-ES" w:eastAsia="en-US"/>
        </w:rPr>
        <w:tab/>
      </w:r>
      <w:r w:rsidRPr="001B11D8">
        <w:rPr>
          <w:rFonts w:eastAsiaTheme="minorEastAsia"/>
          <w:b/>
          <w:kern w:val="0"/>
          <w:sz w:val="24"/>
          <w:lang w:val="en-GB" w:eastAsia="en-US"/>
        </w:rPr>
        <w:t>Katharina Pabel (Austria)</w:t>
      </w:r>
    </w:p>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GB"/>
        </w:rPr>
      </w:pPr>
      <w:r w:rsidRPr="001B11D8">
        <w:rPr>
          <w:rFonts w:eastAsiaTheme="minorEastAsia"/>
          <w:b/>
          <w:kern w:val="0"/>
          <w:sz w:val="20"/>
          <w:lang w:val="en-GB" w:eastAsia="en-GB"/>
        </w:rPr>
        <w:tab/>
      </w:r>
      <w:r w:rsidRPr="001B11D8">
        <w:rPr>
          <w:rFonts w:eastAsiaTheme="minorEastAsia"/>
          <w:b/>
          <w:kern w:val="0"/>
          <w:sz w:val="20"/>
          <w:lang w:val="en-GB" w:eastAsia="en-GB"/>
        </w:rPr>
        <w:tab/>
        <w:t>Academic education</w:t>
      </w:r>
    </w:p>
    <w:tbl>
      <w:tblPr>
        <w:tblW w:w="7371" w:type="dxa"/>
        <w:tblInd w:w="1134" w:type="dxa"/>
        <w:tblLayout w:type="fixed"/>
        <w:tblCellMar>
          <w:left w:w="0" w:type="dxa"/>
          <w:right w:w="0" w:type="dxa"/>
        </w:tblCellMar>
        <w:tblLook w:val="04A0" w:firstRow="1" w:lastRow="0" w:firstColumn="1" w:lastColumn="0" w:noHBand="0" w:noVBand="1"/>
      </w:tblPr>
      <w:tblGrid>
        <w:gridCol w:w="1276"/>
        <w:gridCol w:w="6095"/>
      </w:tblGrid>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GB"/>
              </w:rPr>
              <w:t>1988–1993</w:t>
            </w:r>
          </w:p>
        </w:tc>
        <w:tc>
          <w:tcPr>
            <w:tcW w:w="6095" w:type="dxa"/>
            <w:shd w:val="clear" w:color="auto" w:fill="auto"/>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GB"/>
              </w:rPr>
              <w:t>Studies of Law at Bonn University (Germany)</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1993</w:t>
            </w:r>
          </w:p>
        </w:tc>
        <w:tc>
          <w:tcPr>
            <w:tcW w:w="6095"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First Law Degree (appeals court Cologne, Germany)</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1994–1997</w:t>
            </w:r>
          </w:p>
        </w:tc>
        <w:tc>
          <w:tcPr>
            <w:tcW w:w="6095"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Trainee clerk (appeals court Cologne, Germany)</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1997</w:t>
            </w:r>
          </w:p>
        </w:tc>
        <w:tc>
          <w:tcPr>
            <w:tcW w:w="6095"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Second Law Degree (appeals court Cologne, Germany)</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2001</w:t>
            </w:r>
          </w:p>
        </w:tc>
        <w:tc>
          <w:tcPr>
            <w:tcW w:w="6095"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Doctor of Law at the Rheinische Friedrich Wilhelms University of Bonn (Germany); Title of Doctoral Thesis “Grundfragen der Kompetenzordnung im Bereich der Kunst”</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2009</w:t>
            </w:r>
          </w:p>
        </w:tc>
        <w:tc>
          <w:tcPr>
            <w:tcW w:w="6095"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Habilitation with venia legendi “Öffentliches Recht, Rechtsvergleichung, Staatskirchenrecht” at Wirtschaftsuniversität Wien (Austria); Title of Habilitation Thesis “Die Kontrollfunktion des Parlaments”</w:t>
            </w:r>
          </w:p>
        </w:tc>
      </w:tr>
    </w:tbl>
    <w:p w:rsidR="001B11D8" w:rsidRPr="001B11D8" w:rsidRDefault="001B11D8" w:rsidP="001B11D8">
      <w:pPr>
        <w:keepNext/>
        <w:keepLines/>
        <w:tabs>
          <w:tab w:val="right" w:pos="851"/>
        </w:tabs>
        <w:suppressAutoHyphens/>
        <w:adjustRightInd w:val="0"/>
        <w:snapToGrid w:val="0"/>
        <w:spacing w:before="240" w:after="120" w:line="240" w:lineRule="exact"/>
        <w:ind w:left="1134" w:right="1134" w:hanging="1134"/>
        <w:jc w:val="left"/>
        <w:rPr>
          <w:rFonts w:eastAsiaTheme="minorEastAsia"/>
          <w:b/>
          <w:kern w:val="0"/>
          <w:sz w:val="20"/>
          <w:lang w:val="en-GB" w:eastAsia="en-GB"/>
        </w:rPr>
      </w:pPr>
      <w:r w:rsidRPr="001B11D8">
        <w:rPr>
          <w:rFonts w:eastAsiaTheme="minorEastAsia"/>
          <w:b/>
          <w:kern w:val="0"/>
          <w:sz w:val="20"/>
          <w:lang w:val="en-GB" w:eastAsia="en-GB"/>
        </w:rPr>
        <w:tab/>
      </w:r>
      <w:r w:rsidRPr="001B11D8">
        <w:rPr>
          <w:rFonts w:eastAsiaTheme="minorEastAsia"/>
          <w:b/>
          <w:kern w:val="0"/>
          <w:sz w:val="20"/>
          <w:lang w:val="en-GB" w:eastAsia="en-GB"/>
        </w:rPr>
        <w:tab/>
        <w:t>Professional career</w:t>
      </w:r>
    </w:p>
    <w:tbl>
      <w:tblPr>
        <w:tblW w:w="7370" w:type="dxa"/>
        <w:tblInd w:w="1134" w:type="dxa"/>
        <w:tblLayout w:type="fixed"/>
        <w:tblCellMar>
          <w:left w:w="0" w:type="dxa"/>
          <w:right w:w="0" w:type="dxa"/>
        </w:tblCellMar>
        <w:tblLook w:val="04A0" w:firstRow="1" w:lastRow="0" w:firstColumn="1" w:lastColumn="0" w:noHBand="0" w:noVBand="1"/>
      </w:tblPr>
      <w:tblGrid>
        <w:gridCol w:w="1276"/>
        <w:gridCol w:w="6094"/>
      </w:tblGrid>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GB"/>
              </w:rPr>
              <w:t>1997–2002</w:t>
            </w:r>
          </w:p>
        </w:tc>
        <w:tc>
          <w:tcPr>
            <w:tcW w:w="6094" w:type="dxa"/>
            <w:shd w:val="clear" w:color="auto" w:fill="auto"/>
          </w:tcPr>
          <w:p w:rsidR="001B11D8" w:rsidRPr="001B11D8" w:rsidRDefault="001B11D8" w:rsidP="001B11D8">
            <w:pPr>
              <w:suppressAutoHyphens/>
              <w:adjustRightInd w:val="0"/>
              <w:snapToGrid w:val="0"/>
              <w:spacing w:before="80" w:after="80" w:line="200" w:lineRule="exact"/>
              <w:ind w:right="113"/>
              <w:jc w:val="left"/>
              <w:rPr>
                <w:rFonts w:eastAsiaTheme="minorEastAsia"/>
                <w:i/>
                <w:kern w:val="0"/>
                <w:sz w:val="16"/>
                <w:lang w:val="en-GB" w:eastAsia="en-US"/>
              </w:rPr>
            </w:pPr>
            <w:r w:rsidRPr="001B11D8">
              <w:rPr>
                <w:rFonts w:eastAsiaTheme="minorEastAsia"/>
                <w:kern w:val="0"/>
                <w:sz w:val="20"/>
                <w:lang w:val="en-GB" w:eastAsia="en-GB"/>
              </w:rPr>
              <w:t>Undergraduate and graduate research assistant at Bonn University (Germany)</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2002–2006</w:t>
            </w:r>
          </w:p>
        </w:tc>
        <w:tc>
          <w:tcPr>
            <w:tcW w:w="6094"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Graduate research assistant at Graz University (Austria)</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2006–2009</w:t>
            </w:r>
          </w:p>
        </w:tc>
        <w:tc>
          <w:tcPr>
            <w:tcW w:w="6094"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Graduate research assistant at Wirtschaftsuniversität Wien (Austria)</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2009–</w:t>
            </w:r>
          </w:p>
        </w:tc>
        <w:tc>
          <w:tcPr>
            <w:tcW w:w="6094"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Teaching at the University of Bonn (Germany)</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2009–2010</w:t>
            </w:r>
          </w:p>
        </w:tc>
        <w:tc>
          <w:tcPr>
            <w:tcW w:w="6094"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GB"/>
              </w:rPr>
              <w:t>Filling in of a vacant chair at the University of Cologne (Germany)</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2010–</w:t>
            </w:r>
          </w:p>
        </w:tc>
        <w:tc>
          <w:tcPr>
            <w:tcW w:w="6094"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Professor of Public Law at the University of Linz (Austria); since October 2011 Head of department for administrative law and administrative studies</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2010–</w:t>
            </w:r>
          </w:p>
        </w:tc>
        <w:tc>
          <w:tcPr>
            <w:tcW w:w="6094"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Nomination as ad-hoc judge at the European Court of Human Rights</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2012–</w:t>
            </w:r>
          </w:p>
        </w:tc>
        <w:tc>
          <w:tcPr>
            <w:tcW w:w="6094"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Alternate member of the Management Board of the EU Fundamental Rights Agency</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2012–</w:t>
            </w:r>
          </w:p>
        </w:tc>
        <w:tc>
          <w:tcPr>
            <w:tcW w:w="6094"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Member of the Human Rights Council Advisory Committee; since 2014 member of the Working Group on Communications (part of the Human Rights Council Complaint Procedure)</w:t>
            </w:r>
          </w:p>
        </w:tc>
      </w:tr>
      <w:tr w:rsidR="001B11D8" w:rsidRPr="001B11D8" w:rsidTr="00553DCB">
        <w:tc>
          <w:tcPr>
            <w:tcW w:w="1276"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2015–</w:t>
            </w:r>
          </w:p>
        </w:tc>
        <w:tc>
          <w:tcPr>
            <w:tcW w:w="6094" w:type="dxa"/>
            <w:shd w:val="clear" w:color="auto" w:fill="auto"/>
          </w:tcPr>
          <w:p w:rsidR="001B11D8" w:rsidRPr="001B11D8" w:rsidRDefault="001B11D8" w:rsidP="001B11D8">
            <w:pPr>
              <w:suppressAutoHyphens/>
              <w:adjustRightInd w:val="0"/>
              <w:snapToGrid w:val="0"/>
              <w:spacing w:before="40" w:after="120" w:line="240" w:lineRule="atLeast"/>
              <w:ind w:right="113"/>
              <w:jc w:val="left"/>
              <w:rPr>
                <w:rFonts w:eastAsiaTheme="minorEastAsia"/>
                <w:kern w:val="0"/>
                <w:sz w:val="20"/>
                <w:lang w:val="en-GB" w:eastAsia="en-US"/>
              </w:rPr>
            </w:pPr>
            <w:r w:rsidRPr="001B11D8">
              <w:rPr>
                <w:rFonts w:eastAsiaTheme="minorEastAsia"/>
                <w:kern w:val="0"/>
                <w:sz w:val="20"/>
                <w:lang w:val="en-GB" w:eastAsia="en-US"/>
              </w:rPr>
              <w:t>Alternate member of the Venice Commission (Council of Europe)</w:t>
            </w:r>
          </w:p>
        </w:tc>
      </w:tr>
    </w:tbl>
    <w:p w:rsidR="009E376C" w:rsidRPr="00176731" w:rsidRDefault="00176731" w:rsidP="00176731">
      <w:pPr>
        <w:pStyle w:val="SingleTxt"/>
        <w:adjustRightInd w:val="0"/>
        <w:snapToGrid w:val="0"/>
        <w:spacing w:after="0" w:line="240" w:lineRule="auto"/>
        <w:rPr>
          <w:sz w:val="20"/>
          <w:lang w:val="en-GB"/>
        </w:rPr>
      </w:pPr>
      <w:r>
        <w:rPr>
          <w:rFonts w:hint="eastAsia"/>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9E376C" w:rsidRPr="00176731" w:rsidSect="009E376C">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6T16:57:00Z" w:initials="Start">
    <w:p w:rsidR="009E376C" w:rsidRDefault="009E376C">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NO&gt;&gt;N1516400C&lt;&lt;ODS JOB NO&gt;&gt;</w:t>
      </w:r>
    </w:p>
    <w:p w:rsidR="009E376C" w:rsidRDefault="009E376C">
      <w:pPr>
        <w:pStyle w:val="a7"/>
      </w:pPr>
      <w:r>
        <w:t>&lt;&lt;ODS DOC SYMBOL1&gt;&gt;A/HRC/30/17&lt;&lt;ODS DOC SYMBOL1&gt;&gt;</w:t>
      </w:r>
    </w:p>
    <w:p w:rsidR="009E376C" w:rsidRDefault="009E376C">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D7" w:rsidRDefault="00CE12D7">
      <w:r>
        <w:separator/>
      </w:r>
    </w:p>
  </w:endnote>
  <w:endnote w:type="continuationSeparator" w:id="0">
    <w:p w:rsidR="00CE12D7" w:rsidRDefault="00CE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E376C" w:rsidTr="009E376C">
      <w:trPr>
        <w:jc w:val="center"/>
      </w:trPr>
      <w:tc>
        <w:tcPr>
          <w:tcW w:w="5126" w:type="dxa"/>
          <w:shd w:val="clear" w:color="auto" w:fill="auto"/>
        </w:tcPr>
        <w:p w:rsidR="009E376C" w:rsidRPr="009E376C" w:rsidRDefault="009E376C" w:rsidP="009E376C">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A0272">
            <w:rPr>
              <w:b w:val="0"/>
              <w:w w:val="103"/>
              <w:sz w:val="14"/>
            </w:rPr>
            <w:t>GE.15-12428 (C)</w:t>
          </w:r>
          <w:r>
            <w:rPr>
              <w:b w:val="0"/>
              <w:w w:val="103"/>
              <w:sz w:val="14"/>
            </w:rPr>
            <w:fldChar w:fldCharType="end"/>
          </w:r>
        </w:p>
      </w:tc>
      <w:tc>
        <w:tcPr>
          <w:tcW w:w="5127" w:type="dxa"/>
          <w:shd w:val="clear" w:color="auto" w:fill="auto"/>
        </w:tcPr>
        <w:p w:rsidR="009E376C" w:rsidRPr="009E376C" w:rsidRDefault="009E376C" w:rsidP="009E376C">
          <w:pPr>
            <w:pStyle w:val="ac"/>
            <w:jc w:val="left"/>
            <w:rPr>
              <w:w w:val="103"/>
            </w:rPr>
          </w:pPr>
          <w:r>
            <w:rPr>
              <w:w w:val="103"/>
            </w:rPr>
            <w:fldChar w:fldCharType="begin"/>
          </w:r>
          <w:r>
            <w:rPr>
              <w:w w:val="103"/>
            </w:rPr>
            <w:instrText xml:space="preserve"> PAGE  \* Arabic  \* MERGEFORMAT </w:instrText>
          </w:r>
          <w:r>
            <w:rPr>
              <w:w w:val="103"/>
            </w:rPr>
            <w:fldChar w:fldCharType="separate"/>
          </w:r>
          <w:r w:rsidR="00AA0272">
            <w:rPr>
              <w:w w:val="103"/>
            </w:rPr>
            <w:t>12</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AA0272">
            <w:rPr>
              <w:w w:val="103"/>
            </w:rPr>
            <w:t>13</w:t>
          </w:r>
          <w:r>
            <w:rPr>
              <w:w w:val="103"/>
            </w:rPr>
            <w:fldChar w:fldCharType="end"/>
          </w:r>
        </w:p>
      </w:tc>
    </w:tr>
  </w:tbl>
  <w:p w:rsidR="009E376C" w:rsidRPr="009E376C" w:rsidRDefault="009E376C" w:rsidP="009E376C">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9E376C" w:rsidTr="009E376C">
      <w:trPr>
        <w:jc w:val="center"/>
      </w:trPr>
      <w:tc>
        <w:tcPr>
          <w:tcW w:w="5126" w:type="dxa"/>
          <w:shd w:val="clear" w:color="auto" w:fill="auto"/>
        </w:tcPr>
        <w:p w:rsidR="009E376C" w:rsidRPr="009E376C" w:rsidRDefault="009E376C" w:rsidP="009E376C">
          <w:pPr>
            <w:pStyle w:val="ac"/>
            <w:jc w:val="right"/>
          </w:pPr>
          <w:r>
            <w:fldChar w:fldCharType="begin"/>
          </w:r>
          <w:r>
            <w:instrText xml:space="preserve"> PAGE  \* Arabic  \* MERGEFORMAT </w:instrText>
          </w:r>
          <w:r>
            <w:fldChar w:fldCharType="separate"/>
          </w:r>
          <w:r w:rsidR="00AA0272">
            <w:t>13</w:t>
          </w:r>
          <w:r>
            <w:fldChar w:fldCharType="end"/>
          </w:r>
          <w:r>
            <w:t>/</w:t>
          </w:r>
          <w:fldSimple w:instr=" NUMPAGES  \* Arabic  \* MERGEFORMAT ">
            <w:r w:rsidR="00AA0272">
              <w:t>13</w:t>
            </w:r>
          </w:fldSimple>
        </w:p>
      </w:tc>
      <w:tc>
        <w:tcPr>
          <w:tcW w:w="5127" w:type="dxa"/>
          <w:shd w:val="clear" w:color="auto" w:fill="auto"/>
        </w:tcPr>
        <w:p w:rsidR="009E376C" w:rsidRPr="009E376C" w:rsidRDefault="009E376C" w:rsidP="009E376C">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AA0272">
            <w:rPr>
              <w:b w:val="0"/>
              <w:w w:val="103"/>
              <w:sz w:val="14"/>
            </w:rPr>
            <w:t>GE.15-12428 (C)</w:t>
          </w:r>
          <w:r>
            <w:rPr>
              <w:b w:val="0"/>
              <w:w w:val="103"/>
              <w:sz w:val="14"/>
            </w:rPr>
            <w:fldChar w:fldCharType="end"/>
          </w:r>
        </w:p>
      </w:tc>
    </w:tr>
  </w:tbl>
  <w:p w:rsidR="009E376C" w:rsidRPr="009E376C" w:rsidRDefault="009E376C" w:rsidP="009E376C">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9E376C" w:rsidTr="009E376C">
      <w:tc>
        <w:tcPr>
          <w:tcW w:w="3873" w:type="dxa"/>
        </w:tcPr>
        <w:p w:rsidR="009E376C" w:rsidRDefault="009E376C" w:rsidP="008B1DAE">
          <w:pPr>
            <w:pStyle w:val="Release"/>
          </w:pPr>
          <w:r>
            <w:rPr>
              <w:noProof/>
            </w:rPr>
            <w:drawing>
              <wp:anchor distT="0" distB="0" distL="114300" distR="114300" simplePos="0" relativeHeight="251658240" behindDoc="0" locked="0" layoutInCell="1" allowOverlap="1" wp14:anchorId="0B1548A0" wp14:editId="4A8FDD18">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17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7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AA0272">
              <w:t>GE.15-12428 (C)</w:t>
            </w:r>
          </w:fldSimple>
          <w:r>
            <w:t xml:space="preserve">    060815    0</w:t>
          </w:r>
          <w:r w:rsidR="008B1DAE">
            <w:rPr>
              <w:rFonts w:hint="eastAsia"/>
            </w:rPr>
            <w:t>7</w:t>
          </w:r>
          <w:r>
            <w:t>0815</w:t>
          </w:r>
        </w:p>
        <w:p w:rsidR="009E376C" w:rsidRPr="009E376C" w:rsidRDefault="009E376C" w:rsidP="009E376C">
          <w:pPr>
            <w:spacing w:before="80" w:line="210" w:lineRule="exact"/>
            <w:rPr>
              <w:rFonts w:ascii="Barcode 3 of 9 by request" w:hAnsi="Barcode 3 of 9 by request"/>
              <w:sz w:val="24"/>
            </w:rPr>
          </w:pPr>
          <w:r>
            <w:rPr>
              <w:rFonts w:ascii="Barcode 3 of 9 by request" w:hAnsi="Barcode 3 of 9 by request" w:hint="eastAsia"/>
              <w:sz w:val="24"/>
            </w:rPr>
            <w:t>*1512428*</w:t>
          </w:r>
        </w:p>
      </w:tc>
      <w:tc>
        <w:tcPr>
          <w:tcW w:w="5127" w:type="dxa"/>
        </w:tcPr>
        <w:p w:rsidR="009E376C" w:rsidRDefault="009E376C" w:rsidP="009E376C">
          <w:pPr>
            <w:pStyle w:val="ac"/>
            <w:jc w:val="right"/>
            <w:rPr>
              <w:b w:val="0"/>
              <w:sz w:val="21"/>
            </w:rPr>
          </w:pPr>
          <w:r>
            <w:rPr>
              <w:b w:val="0"/>
              <w:sz w:val="21"/>
            </w:rPr>
            <w:drawing>
              <wp:inline distT="0" distB="0" distL="0" distR="0" wp14:anchorId="20D5BB6D" wp14:editId="4283F6BA">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9E376C" w:rsidRPr="009E376C" w:rsidRDefault="009E376C" w:rsidP="009E376C">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D7" w:rsidRPr="001B11D8" w:rsidRDefault="001B11D8" w:rsidP="001B11D8">
      <w:pPr>
        <w:pStyle w:val="ac"/>
        <w:spacing w:after="80"/>
        <w:ind w:left="792"/>
        <w:rPr>
          <w:sz w:val="16"/>
        </w:rPr>
      </w:pPr>
      <w:r w:rsidRPr="001B11D8">
        <w:rPr>
          <w:sz w:val="16"/>
        </w:rPr>
        <w:t>__________________</w:t>
      </w:r>
    </w:p>
  </w:footnote>
  <w:footnote w:type="continuationSeparator" w:id="0">
    <w:p w:rsidR="00CE12D7" w:rsidRPr="001B11D8" w:rsidRDefault="001B11D8" w:rsidP="001B11D8">
      <w:pPr>
        <w:pStyle w:val="ac"/>
        <w:spacing w:after="80"/>
        <w:ind w:left="792"/>
        <w:rPr>
          <w:sz w:val="16"/>
        </w:rPr>
      </w:pPr>
      <w:r w:rsidRPr="001B11D8">
        <w:rPr>
          <w:sz w:val="16"/>
        </w:rPr>
        <w:t>__________________</w:t>
      </w:r>
    </w:p>
  </w:footnote>
  <w:footnote w:id="1">
    <w:p w:rsidR="001B11D8" w:rsidRDefault="001B11D8" w:rsidP="001B11D8">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rPr>
          <w:rFonts w:hint="eastAsia"/>
        </w:rPr>
        <w:tab/>
      </w:r>
      <w:r w:rsidRPr="001B11D8">
        <w:rPr>
          <w:rStyle w:val="a3"/>
          <w:vertAlign w:val="baseline"/>
        </w:rPr>
        <w:t>*</w:t>
      </w:r>
      <w:r>
        <w:rPr>
          <w:rFonts w:hint="eastAsia"/>
        </w:rPr>
        <w:tab/>
      </w:r>
      <w:r w:rsidRPr="001B11D8">
        <w:rPr>
          <w:rFonts w:hint="eastAsia"/>
        </w:rPr>
        <w:t>本文件附件照发，原文不译。</w:t>
      </w:r>
    </w:p>
  </w:footnote>
  <w:footnote w:id="2">
    <w:p w:rsidR="001B11D8" w:rsidRPr="005551AE" w:rsidRDefault="001B11D8" w:rsidP="001B11D8">
      <w:pPr>
        <w:pStyle w:val="a5"/>
        <w:tabs>
          <w:tab w:val="clear" w:pos="418"/>
          <w:tab w:val="right" w:pos="1021"/>
        </w:tabs>
        <w:suppressAutoHyphens/>
        <w:spacing w:after="0" w:line="220" w:lineRule="exact"/>
        <w:ind w:left="1134" w:right="1134" w:hanging="1134"/>
        <w:jc w:val="left"/>
      </w:pPr>
      <w:r w:rsidRPr="0095137C">
        <w:rPr>
          <w:rStyle w:val="a3"/>
        </w:rPr>
        <w:tab/>
      </w:r>
      <w:r w:rsidRPr="0095137C">
        <w:rPr>
          <w:rStyle w:val="a3"/>
          <w:sz w:val="20"/>
        </w:rPr>
        <w:t>*</w:t>
      </w:r>
      <w:r>
        <w:rPr>
          <w:rStyle w:val="a3"/>
          <w:sz w:val="20"/>
        </w:rPr>
        <w:tab/>
      </w:r>
      <w:r>
        <w:rPr>
          <w:szCs w:val="18"/>
        </w:rPr>
        <w:t xml:space="preserve">Curricula </w:t>
      </w:r>
      <w:r w:rsidRPr="001B11D8">
        <w:rPr>
          <w:rFonts w:eastAsiaTheme="minorEastAsia"/>
          <w:noProof w:val="0"/>
          <w:kern w:val="0"/>
          <w:szCs w:val="18"/>
          <w:lang w:val="en-GB" w:eastAsia="en-US"/>
        </w:rPr>
        <w:t>vitae</w:t>
      </w:r>
      <w:r>
        <w:rPr>
          <w:szCs w:val="18"/>
        </w:rPr>
        <w:t xml:space="preserve"> are issued without formal editing</w:t>
      </w:r>
      <w:r w:rsidRPr="005551A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E376C" w:rsidTr="009E376C">
      <w:trPr>
        <w:trHeight w:hRule="exact" w:val="864"/>
        <w:jc w:val="center"/>
      </w:trPr>
      <w:tc>
        <w:tcPr>
          <w:tcW w:w="4882" w:type="dxa"/>
          <w:shd w:val="clear" w:color="auto" w:fill="auto"/>
          <w:vAlign w:val="bottom"/>
        </w:tcPr>
        <w:p w:rsidR="009E376C" w:rsidRPr="009E376C" w:rsidRDefault="009E376C" w:rsidP="009E376C">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AA0272">
            <w:rPr>
              <w:b/>
              <w:sz w:val="17"/>
            </w:rPr>
            <w:t>A/HRC/30/17</w:t>
          </w:r>
          <w:r>
            <w:rPr>
              <w:b/>
              <w:sz w:val="17"/>
            </w:rPr>
            <w:fldChar w:fldCharType="end"/>
          </w:r>
        </w:p>
      </w:tc>
      <w:tc>
        <w:tcPr>
          <w:tcW w:w="5127" w:type="dxa"/>
          <w:shd w:val="clear" w:color="auto" w:fill="auto"/>
          <w:vAlign w:val="bottom"/>
        </w:tcPr>
        <w:p w:rsidR="009E376C" w:rsidRDefault="009E376C" w:rsidP="009E376C">
          <w:pPr>
            <w:pStyle w:val="ab"/>
          </w:pPr>
        </w:p>
      </w:tc>
    </w:tr>
  </w:tbl>
  <w:p w:rsidR="009E376C" w:rsidRPr="009E376C" w:rsidRDefault="009E376C" w:rsidP="009E376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9E376C" w:rsidTr="009E376C">
      <w:trPr>
        <w:trHeight w:hRule="exact" w:val="864"/>
        <w:jc w:val="center"/>
      </w:trPr>
      <w:tc>
        <w:tcPr>
          <w:tcW w:w="4882" w:type="dxa"/>
          <w:shd w:val="clear" w:color="auto" w:fill="auto"/>
          <w:vAlign w:val="bottom"/>
        </w:tcPr>
        <w:p w:rsidR="009E376C" w:rsidRDefault="009E376C" w:rsidP="009E376C">
          <w:pPr>
            <w:pStyle w:val="ab"/>
          </w:pPr>
        </w:p>
      </w:tc>
      <w:tc>
        <w:tcPr>
          <w:tcW w:w="5127" w:type="dxa"/>
          <w:shd w:val="clear" w:color="auto" w:fill="auto"/>
          <w:vAlign w:val="bottom"/>
        </w:tcPr>
        <w:p w:rsidR="009E376C" w:rsidRPr="009E376C" w:rsidRDefault="009E376C" w:rsidP="009E376C">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AA0272">
            <w:rPr>
              <w:b/>
              <w:sz w:val="17"/>
            </w:rPr>
            <w:t>A/HRC/30/17</w:t>
          </w:r>
          <w:r>
            <w:rPr>
              <w:b/>
              <w:sz w:val="17"/>
            </w:rPr>
            <w:fldChar w:fldCharType="end"/>
          </w:r>
        </w:p>
      </w:tc>
    </w:tr>
  </w:tbl>
  <w:p w:rsidR="009E376C" w:rsidRPr="009E376C" w:rsidRDefault="009E376C" w:rsidP="009E376C">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9E376C" w:rsidTr="009E376C">
      <w:trPr>
        <w:trHeight w:hRule="exact" w:val="864"/>
      </w:trPr>
      <w:tc>
        <w:tcPr>
          <w:tcW w:w="1267" w:type="dxa"/>
          <w:tcBorders>
            <w:bottom w:val="single" w:sz="4" w:space="0" w:color="auto"/>
          </w:tcBorders>
          <w:shd w:val="clear" w:color="auto" w:fill="auto"/>
          <w:vAlign w:val="bottom"/>
        </w:tcPr>
        <w:p w:rsidR="009E376C" w:rsidRDefault="009E376C" w:rsidP="009E376C">
          <w:pPr>
            <w:pStyle w:val="ab"/>
            <w:spacing w:after="120"/>
          </w:pPr>
        </w:p>
      </w:tc>
      <w:tc>
        <w:tcPr>
          <w:tcW w:w="1872" w:type="dxa"/>
          <w:tcBorders>
            <w:bottom w:val="single" w:sz="4" w:space="0" w:color="auto"/>
          </w:tcBorders>
          <w:shd w:val="clear" w:color="auto" w:fill="auto"/>
          <w:vAlign w:val="bottom"/>
        </w:tcPr>
        <w:p w:rsidR="009E376C" w:rsidRPr="009E376C" w:rsidRDefault="009E376C" w:rsidP="009E376C">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9E376C" w:rsidRDefault="009E376C" w:rsidP="009E376C">
          <w:pPr>
            <w:pStyle w:val="ab"/>
            <w:spacing w:after="120"/>
          </w:pPr>
        </w:p>
      </w:tc>
      <w:tc>
        <w:tcPr>
          <w:tcW w:w="6653" w:type="dxa"/>
          <w:gridSpan w:val="4"/>
          <w:tcBorders>
            <w:bottom w:val="single" w:sz="4" w:space="0" w:color="auto"/>
          </w:tcBorders>
          <w:shd w:val="clear" w:color="auto" w:fill="auto"/>
          <w:vAlign w:val="bottom"/>
        </w:tcPr>
        <w:p w:rsidR="009E376C" w:rsidRPr="009E376C" w:rsidRDefault="009E376C" w:rsidP="009E376C">
          <w:pPr>
            <w:spacing w:after="80" w:line="240" w:lineRule="auto"/>
            <w:jc w:val="right"/>
            <w:rPr>
              <w:position w:val="-4"/>
            </w:rPr>
          </w:pPr>
          <w:r>
            <w:rPr>
              <w:position w:val="-4"/>
              <w:sz w:val="40"/>
            </w:rPr>
            <w:t>A</w:t>
          </w:r>
          <w:r>
            <w:rPr>
              <w:position w:val="-4"/>
            </w:rPr>
            <w:t>/HRC/30/17</w:t>
          </w:r>
        </w:p>
      </w:tc>
    </w:tr>
    <w:tr w:rsidR="009E376C" w:rsidRPr="009E376C" w:rsidTr="009E376C">
      <w:trPr>
        <w:gridAfter w:val="1"/>
        <w:wAfter w:w="18" w:type="dxa"/>
        <w:trHeight w:hRule="exact" w:val="2880"/>
      </w:trPr>
      <w:tc>
        <w:tcPr>
          <w:tcW w:w="1267" w:type="dxa"/>
          <w:tcBorders>
            <w:top w:val="single" w:sz="4" w:space="0" w:color="auto"/>
            <w:bottom w:val="single" w:sz="12" w:space="0" w:color="auto"/>
          </w:tcBorders>
          <w:shd w:val="clear" w:color="auto" w:fill="auto"/>
        </w:tcPr>
        <w:p w:rsidR="009E376C" w:rsidRPr="009E376C" w:rsidRDefault="009E376C" w:rsidP="009E376C">
          <w:pPr>
            <w:pStyle w:val="ab"/>
            <w:spacing w:before="109"/>
            <w:ind w:left="-72"/>
          </w:pPr>
          <w:r>
            <w:t xml:space="preserve"> </w:t>
          </w:r>
          <w:r>
            <w:drawing>
              <wp:inline distT="0" distB="0" distL="0" distR="0" wp14:anchorId="532BED64" wp14:editId="573EF982">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9E376C" w:rsidRPr="009E376C" w:rsidRDefault="009E376C" w:rsidP="009E376C">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9E376C" w:rsidRPr="009E376C" w:rsidRDefault="009E376C" w:rsidP="009E376C">
          <w:pPr>
            <w:pStyle w:val="ab"/>
            <w:spacing w:before="109"/>
          </w:pPr>
        </w:p>
      </w:tc>
      <w:tc>
        <w:tcPr>
          <w:tcW w:w="3280" w:type="dxa"/>
          <w:tcBorders>
            <w:top w:val="single" w:sz="4" w:space="0" w:color="auto"/>
            <w:bottom w:val="single" w:sz="12" w:space="0" w:color="auto"/>
          </w:tcBorders>
          <w:shd w:val="clear" w:color="auto" w:fill="auto"/>
        </w:tcPr>
        <w:p w:rsidR="009E376C" w:rsidRDefault="009E376C" w:rsidP="009E376C">
          <w:pPr>
            <w:pStyle w:val="Distr"/>
          </w:pPr>
          <w:r>
            <w:t>Distr.: General</w:t>
          </w:r>
        </w:p>
        <w:p w:rsidR="009E376C" w:rsidRDefault="009E376C" w:rsidP="009E376C">
          <w:pPr>
            <w:pStyle w:val="Publication"/>
          </w:pPr>
          <w:r>
            <w:t>23 July 2015</w:t>
          </w:r>
        </w:p>
        <w:p w:rsidR="009E376C" w:rsidRDefault="009E376C" w:rsidP="009E376C">
          <w:pPr>
            <w:spacing w:line="240" w:lineRule="exact"/>
          </w:pPr>
          <w:r>
            <w:t>Chinese</w:t>
          </w:r>
        </w:p>
        <w:p w:rsidR="009E376C" w:rsidRDefault="009E376C" w:rsidP="009E376C">
          <w:pPr>
            <w:pStyle w:val="Original"/>
          </w:pPr>
          <w:r>
            <w:t>Original: English</w:t>
          </w:r>
        </w:p>
        <w:p w:rsidR="009E376C" w:rsidRPr="009E376C" w:rsidRDefault="009E376C" w:rsidP="009E376C"/>
      </w:tc>
    </w:tr>
  </w:tbl>
  <w:p w:rsidR="009E376C" w:rsidRPr="009E376C" w:rsidRDefault="009E376C" w:rsidP="009E376C">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428*"/>
    <w:docVar w:name="CreationDt" w:val="06/08/2015 16:57:03"/>
    <w:docVar w:name="DocCategory" w:val="Doc"/>
    <w:docVar w:name="DocType" w:val="Final"/>
    <w:docVar w:name="DutyStation" w:val="Geneva"/>
    <w:docVar w:name="FooterJN" w:val="GE.15-12428 (C)"/>
    <w:docVar w:name="jobn" w:val="GE.15-12428 (C)"/>
    <w:docVar w:name="jobnDT" w:val="15-12428 (C)   060815"/>
    <w:docVar w:name="jobnDTDT" w:val="15-12428 (C)   060815   060815"/>
    <w:docVar w:name="JobNo" w:val="GE.1512428C"/>
    <w:docVar w:name="LocalDrive" w:val="0"/>
    <w:docVar w:name="OandT" w:val="JI"/>
    <w:docVar w:name="PaperSize" w:val="A4"/>
    <w:docVar w:name="sss1" w:val="A/HRC/30/17"/>
    <w:docVar w:name="sss2" w:val="-"/>
    <w:docVar w:name="Symbol1" w:val="A/HRC/30/17"/>
    <w:docVar w:name="Symbol2" w:val="-"/>
  </w:docVars>
  <w:rsids>
    <w:rsidRoot w:val="00CE12D7"/>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02C0"/>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76731"/>
    <w:rsid w:val="001845DB"/>
    <w:rsid w:val="001873A2"/>
    <w:rsid w:val="001944A4"/>
    <w:rsid w:val="001A4A37"/>
    <w:rsid w:val="001B0DFD"/>
    <w:rsid w:val="001B11D8"/>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E37A5"/>
    <w:rsid w:val="005F12F0"/>
    <w:rsid w:val="005F1AAD"/>
    <w:rsid w:val="005F3273"/>
    <w:rsid w:val="005F34A3"/>
    <w:rsid w:val="00601DF9"/>
    <w:rsid w:val="00602C6C"/>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82CB2"/>
    <w:rsid w:val="006914C6"/>
    <w:rsid w:val="00691524"/>
    <w:rsid w:val="006926DF"/>
    <w:rsid w:val="006A2730"/>
    <w:rsid w:val="006A5CFB"/>
    <w:rsid w:val="006A654B"/>
    <w:rsid w:val="006B769C"/>
    <w:rsid w:val="006C4BB3"/>
    <w:rsid w:val="006D4068"/>
    <w:rsid w:val="006E2924"/>
    <w:rsid w:val="006E7A26"/>
    <w:rsid w:val="006F04EF"/>
    <w:rsid w:val="006F1446"/>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1DAE"/>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6787"/>
    <w:rsid w:val="009C600E"/>
    <w:rsid w:val="009C7B18"/>
    <w:rsid w:val="009D00AA"/>
    <w:rsid w:val="009D0B10"/>
    <w:rsid w:val="009D2AC2"/>
    <w:rsid w:val="009E1774"/>
    <w:rsid w:val="009E2668"/>
    <w:rsid w:val="009E376C"/>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0272"/>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2D7"/>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62AE"/>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Char">
    <w:name w:val="脚注文本 Char"/>
    <w:aliases w:val="5_G Char"/>
    <w:link w:val="a5"/>
    <w:rsid w:val="001B11D8"/>
    <w:rPr>
      <w:rFonts w:eastAsia="宋体"/>
      <w:noProof/>
      <w:kern w:val="14"/>
      <w:sz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aliases w:val="5_G"/>
    <w:basedOn w:val="a"/>
    <w:link w:val="Char"/>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character" w:customStyle="1" w:styleId="Char">
    <w:name w:val="脚注文本 Char"/>
    <w:aliases w:val="5_G Char"/>
    <w:link w:val="a5"/>
    <w:rsid w:val="001B11D8"/>
    <w:rPr>
      <w:rFonts w:eastAsia="宋体"/>
      <w:noProof/>
      <w:kern w:val="14"/>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A4815-B947-468A-991B-E64F03D5B263}"/>
</file>

<file path=customXml/itemProps2.xml><?xml version="1.0" encoding="utf-8"?>
<ds:datastoreItem xmlns:ds="http://schemas.openxmlformats.org/officeDocument/2006/customXml" ds:itemID="{1C67CB98-77E5-4951-B634-E3E06F580558}"/>
</file>

<file path=customXml/itemProps3.xml><?xml version="1.0" encoding="utf-8"?>
<ds:datastoreItem xmlns:ds="http://schemas.openxmlformats.org/officeDocument/2006/customXml" ds:itemID="{84EE2BE7-C5FF-4155-9197-1264CC6E80F9}"/>
</file>

<file path=customXml/itemProps4.xml><?xml version="1.0" encoding="utf-8"?>
<ds:datastoreItem xmlns:ds="http://schemas.openxmlformats.org/officeDocument/2006/customXml" ds:itemID="{C665F60A-9C94-4BF4-9212-6D3AE8433C86}"/>
</file>

<file path=docProps/app.xml><?xml version="1.0" encoding="utf-8"?>
<Properties xmlns="http://schemas.openxmlformats.org/officeDocument/2006/extended-properties" xmlns:vt="http://schemas.openxmlformats.org/officeDocument/2006/docPropsVTypes">
  <Template>Normal.dotm</Template>
  <TotalTime>0</TotalTime>
  <Pages>13</Pages>
  <Words>3518</Words>
  <Characters>20054</Characters>
  <Application>Microsoft Office Word</Application>
  <DocSecurity>0</DocSecurity>
  <Lines>167</Lines>
  <Paragraphs>47</Paragraphs>
  <ScaleCrop>false</ScaleCrop>
  <Company>DCM</Company>
  <LinksUpToDate>false</LinksUpToDate>
  <CharactersWithSpaces>23525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of members of the Human Rights Council Advisory Committee in Chinese</dc:title>
  <dc:subject/>
  <dc:creator>Ji</dc:creator>
  <cp:keywords/>
  <dc:description/>
  <cp:lastModifiedBy>Kong L.</cp:lastModifiedBy>
  <cp:revision>3</cp:revision>
  <cp:lastPrinted>2015-08-07T09:19:00Z</cp:lastPrinted>
  <dcterms:created xsi:type="dcterms:W3CDTF">2015-08-07T09:19:00Z</dcterms:created>
  <dcterms:modified xsi:type="dcterms:W3CDTF">2015-08-07T09:19:00Z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1512428</vt:lpwstr>
  </property>
  <property fmtid="{D5CDD505-2E9C-101B-9397-08002B2CF9AE}" pid="3" name="ODSRefJobNo">
    <vt:lpwstr>1516400C</vt:lpwstr>
  </property>
  <property fmtid="{D5CDD505-2E9C-101B-9397-08002B2CF9AE}" pid="4" name="Symbol1">
    <vt:lpwstr>A/HRC/30/17</vt:lpwstr>
  </property>
  <property fmtid="{D5CDD505-2E9C-101B-9397-08002B2CF9AE}" pid="5" name="Symbol2">
    <vt:lpwstr/>
  </property>
  <property fmtid="{D5CDD505-2E9C-101B-9397-08002B2CF9AE}" pid="6" name="Translator">
    <vt:lpwstr/>
  </property>
  <property fmtid="{D5CDD505-2E9C-101B-9397-08002B2CF9AE}" pid="7" name="Operator">
    <vt:lpwstr>JI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23 July 2015</vt:lpwstr>
  </property>
  <property fmtid="{D5CDD505-2E9C-101B-9397-08002B2CF9AE}" pid="12" name="Original">
    <vt:lpwstr>English</vt:lpwstr>
  </property>
  <property fmtid="{D5CDD505-2E9C-101B-9397-08002B2CF9AE}" pid="13" name="Release Date">
    <vt:lpwstr>060815</vt:lpwstr>
  </property>
  <property fmtid="{D5CDD505-2E9C-101B-9397-08002B2CF9AE}" pid="14" name="ContentTypeId">
    <vt:lpwstr>0x010100EF670F518423CB4F888C4265EEC2C475</vt:lpwstr>
  </property>
  <property fmtid="{D5CDD505-2E9C-101B-9397-08002B2CF9AE}" pid="15" name="Order">
    <vt:r8>13300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