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40" w:rsidRPr="00082408" w:rsidRDefault="00645A40" w:rsidP="00645A40">
      <w:pPr>
        <w:spacing w:line="240" w:lineRule="auto"/>
        <w:jc w:val="left"/>
        <w:rPr>
          <w:szCs w:val="6"/>
        </w:rPr>
        <w:sectPr w:rsidR="00645A40" w:rsidRPr="00082408" w:rsidSect="00645A4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082408">
        <w:rPr>
          <w:rStyle w:val="CommentReference"/>
        </w:rPr>
        <w:commentReference w:id="0"/>
      </w:r>
    </w:p>
    <w:p w:rsidR="00645A40" w:rsidRPr="005A1EB0" w:rsidRDefault="00645A40" w:rsidP="00645A40">
      <w:pPr>
        <w:pStyle w:val="H1"/>
        <w:rPr>
          <w:w w:val="100"/>
          <w:kern w:val="0"/>
          <w:rtl/>
        </w:rPr>
      </w:pPr>
      <w:bookmarkStart w:id="1" w:name="_Toc430010359"/>
      <w:r w:rsidRPr="005A1EB0">
        <w:rPr>
          <w:w w:val="100"/>
          <w:kern w:val="0"/>
          <w:rtl/>
        </w:rPr>
        <w:lastRenderedPageBreak/>
        <w:t>مجلس حقوق الإنسان</w:t>
      </w:r>
      <w:bookmarkEnd w:id="1"/>
    </w:p>
    <w:p w:rsidR="00CE0006" w:rsidRPr="005A1EB0" w:rsidRDefault="00CE0006" w:rsidP="00CE000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3" w:hanging="663"/>
        <w:rPr>
          <w:w w:val="100"/>
          <w:kern w:val="0"/>
          <w:rtl/>
        </w:rPr>
      </w:pPr>
      <w:bookmarkStart w:id="2" w:name="_Toc430010360"/>
      <w:r w:rsidRPr="005A1EB0">
        <w:rPr>
          <w:w w:val="100"/>
          <w:kern w:val="0"/>
          <w:rtl/>
        </w:rPr>
        <w:t xml:space="preserve">الدورة </w:t>
      </w:r>
      <w:r w:rsidRPr="005A1EB0">
        <w:rPr>
          <w:rFonts w:hint="cs"/>
          <w:w w:val="100"/>
          <w:kern w:val="0"/>
          <w:rtl/>
        </w:rPr>
        <w:t>الثلاثون</w:t>
      </w:r>
      <w:bookmarkEnd w:id="2"/>
    </w:p>
    <w:p w:rsidR="00CE0006" w:rsidRPr="005A1EB0" w:rsidRDefault="00CE0006" w:rsidP="00CE0006">
      <w:pPr>
        <w:tabs>
          <w:tab w:val="left" w:pos="662"/>
          <w:tab w:val="left" w:pos="1267"/>
          <w:tab w:val="left" w:pos="1987"/>
          <w:tab w:val="left" w:pos="2650"/>
        </w:tabs>
        <w:rPr>
          <w:w w:val="100"/>
          <w:kern w:val="0"/>
          <w:rtl/>
        </w:rPr>
      </w:pPr>
      <w:r w:rsidRPr="005A1EB0">
        <w:rPr>
          <w:w w:val="100"/>
          <w:kern w:val="0"/>
          <w:rtl/>
        </w:rPr>
        <w:t>البند</w:t>
      </w:r>
      <w:r w:rsidRPr="005A1EB0">
        <w:rPr>
          <w:rFonts w:hint="cs"/>
          <w:w w:val="100"/>
          <w:kern w:val="0"/>
          <w:rtl/>
        </w:rPr>
        <w:t>ان</w:t>
      </w:r>
      <w:r w:rsidRPr="005A1EB0">
        <w:rPr>
          <w:w w:val="100"/>
          <w:kern w:val="0"/>
          <w:rtl/>
        </w:rPr>
        <w:t xml:space="preserve"> 2 </w:t>
      </w:r>
      <w:r w:rsidRPr="005A1EB0">
        <w:rPr>
          <w:rFonts w:hint="cs"/>
          <w:w w:val="100"/>
          <w:kern w:val="0"/>
          <w:rtl/>
        </w:rPr>
        <w:t xml:space="preserve">و3 </w:t>
      </w:r>
      <w:r w:rsidRPr="005A1EB0">
        <w:rPr>
          <w:w w:val="100"/>
          <w:kern w:val="0"/>
          <w:rtl/>
        </w:rPr>
        <w:t xml:space="preserve">من جدول الأعمال </w:t>
      </w:r>
    </w:p>
    <w:p w:rsidR="00CE0006" w:rsidRPr="005A1EB0" w:rsidRDefault="00CE0006" w:rsidP="009D7D69">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right="4144" w:hanging="662"/>
        <w:rPr>
          <w:spacing w:val="-2"/>
          <w:w w:val="100"/>
          <w:kern w:val="0"/>
          <w:rtl/>
        </w:rPr>
      </w:pPr>
      <w:bookmarkStart w:id="3" w:name="_Toc430010361"/>
      <w:r w:rsidRPr="005A1EB0">
        <w:rPr>
          <w:spacing w:val="-2"/>
          <w:w w:val="100"/>
          <w:kern w:val="0"/>
          <w:rtl/>
        </w:rPr>
        <w:t>التقرير السنوي لمفوض الأمم المتحدة السامي لحقوق الإنسان،</w:t>
      </w:r>
      <w:r w:rsidR="005823F9" w:rsidRPr="005A1EB0">
        <w:rPr>
          <w:rFonts w:hint="cs"/>
          <w:spacing w:val="-2"/>
          <w:w w:val="100"/>
          <w:kern w:val="0"/>
          <w:rtl/>
        </w:rPr>
        <w:t xml:space="preserve"> وتقارير</w:t>
      </w:r>
      <w:bookmarkEnd w:id="3"/>
    </w:p>
    <w:p w:rsidR="00CE0006" w:rsidRPr="005A1EB0" w:rsidRDefault="00CE0006" w:rsidP="00CE000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w w:val="100"/>
          <w:kern w:val="0"/>
          <w:rtl/>
        </w:rPr>
      </w:pPr>
      <w:bookmarkStart w:id="4" w:name="_Toc430010362"/>
      <w:r w:rsidRPr="005A1EB0">
        <w:rPr>
          <w:rFonts w:hint="cs"/>
          <w:w w:val="100"/>
          <w:kern w:val="0"/>
          <w:rtl/>
        </w:rPr>
        <w:t>ال</w:t>
      </w:r>
      <w:r w:rsidRPr="005A1EB0">
        <w:rPr>
          <w:w w:val="100"/>
          <w:kern w:val="0"/>
          <w:rtl/>
        </w:rPr>
        <w:t>مفوضية السامية والأمين العام</w:t>
      </w:r>
      <w:bookmarkEnd w:id="4"/>
    </w:p>
    <w:p w:rsidR="00CE0006" w:rsidRPr="005A1EB0" w:rsidRDefault="00CE0006" w:rsidP="00CE000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w w:val="100"/>
          <w:kern w:val="0"/>
          <w:rtl/>
        </w:rPr>
      </w:pPr>
      <w:bookmarkStart w:id="5" w:name="_Toc430010363"/>
      <w:r w:rsidRPr="005A1EB0">
        <w:rPr>
          <w:w w:val="100"/>
          <w:kern w:val="0"/>
          <w:rtl/>
        </w:rPr>
        <w:t>تعزيز وحماية جميع حقوق الإنسان، المدنية والسياسية والاقتص</w:t>
      </w:r>
      <w:r w:rsidR="005823F9" w:rsidRPr="005A1EB0">
        <w:rPr>
          <w:rFonts w:hint="cs"/>
          <w:w w:val="100"/>
          <w:kern w:val="0"/>
          <w:rtl/>
        </w:rPr>
        <w:t>ـ</w:t>
      </w:r>
      <w:r w:rsidRPr="005A1EB0">
        <w:rPr>
          <w:w w:val="100"/>
          <w:kern w:val="0"/>
          <w:rtl/>
        </w:rPr>
        <w:t>ادي</w:t>
      </w:r>
      <w:r w:rsidR="005823F9" w:rsidRPr="005A1EB0">
        <w:rPr>
          <w:rFonts w:hint="cs"/>
          <w:w w:val="100"/>
          <w:kern w:val="0"/>
          <w:rtl/>
        </w:rPr>
        <w:t>ـ</w:t>
      </w:r>
      <w:r w:rsidRPr="005A1EB0">
        <w:rPr>
          <w:w w:val="100"/>
          <w:kern w:val="0"/>
          <w:rtl/>
        </w:rPr>
        <w:t>ة</w:t>
      </w:r>
      <w:bookmarkEnd w:id="5"/>
    </w:p>
    <w:p w:rsidR="00CE0006" w:rsidRPr="005A1EB0" w:rsidRDefault="00CE0006" w:rsidP="00CE000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w w:val="100"/>
          <w:kern w:val="0"/>
          <w:rtl/>
        </w:rPr>
      </w:pPr>
      <w:bookmarkStart w:id="6" w:name="_Toc430010364"/>
      <w:r w:rsidRPr="005A1EB0">
        <w:rPr>
          <w:w w:val="100"/>
          <w:kern w:val="0"/>
          <w:rtl/>
        </w:rPr>
        <w:t>والاجتماعية والثقافية، بما في ذلك الحق في التنمية</w:t>
      </w:r>
      <w:bookmarkEnd w:id="6"/>
    </w:p>
    <w:p w:rsidR="00CE0006" w:rsidRPr="005A1EB0" w:rsidRDefault="00CE0006" w:rsidP="00CE0006">
      <w:pPr>
        <w:pStyle w:val="HMGA"/>
        <w:spacing w:before="0" w:after="0" w:line="120" w:lineRule="exact"/>
        <w:rPr>
          <w:sz w:val="10"/>
          <w:rtl/>
        </w:rPr>
      </w:pPr>
    </w:p>
    <w:p w:rsidR="00CE0006" w:rsidRPr="005A1EB0" w:rsidRDefault="00CE0006" w:rsidP="00CE0006">
      <w:pPr>
        <w:pStyle w:val="HMGA"/>
        <w:spacing w:before="0" w:after="0" w:line="120" w:lineRule="exact"/>
        <w:rPr>
          <w:sz w:val="10"/>
          <w:rtl/>
        </w:rPr>
      </w:pPr>
    </w:p>
    <w:p w:rsidR="00CE0006" w:rsidRPr="005A1EB0" w:rsidRDefault="00CE0006" w:rsidP="00CE0006">
      <w:pPr>
        <w:pStyle w:val="HMGA"/>
        <w:spacing w:before="0" w:after="0" w:line="120" w:lineRule="exact"/>
        <w:rPr>
          <w:sz w:val="10"/>
          <w:rtl/>
        </w:rPr>
      </w:pPr>
    </w:p>
    <w:p w:rsidR="00CE0006" w:rsidRPr="005A1EB0" w:rsidRDefault="00CE0006" w:rsidP="00CE000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Style w:val="FootnoteReference"/>
          <w:color w:val="auto"/>
          <w:w w:val="100"/>
          <w:kern w:val="0"/>
          <w:szCs w:val="36"/>
          <w:rtl/>
        </w:rPr>
      </w:pPr>
      <w:r w:rsidRPr="005A1EB0">
        <w:rPr>
          <w:rFonts w:hint="cs"/>
          <w:w w:val="100"/>
          <w:kern w:val="0"/>
          <w:rtl/>
        </w:rPr>
        <w:tab/>
      </w:r>
      <w:r w:rsidRPr="005A1EB0">
        <w:rPr>
          <w:rFonts w:hint="cs"/>
          <w:w w:val="100"/>
          <w:kern w:val="0"/>
          <w:rtl/>
        </w:rPr>
        <w:tab/>
      </w:r>
      <w:bookmarkStart w:id="7" w:name="_Toc430010365"/>
      <w:r w:rsidRPr="005A1EB0">
        <w:rPr>
          <w:rFonts w:hint="cs"/>
          <w:w w:val="100"/>
          <w:kern w:val="0"/>
          <w:rtl/>
        </w:rPr>
        <w:t>الآثار المترتبة ع</w:t>
      </w:r>
      <w:r w:rsidRPr="005A1EB0">
        <w:rPr>
          <w:w w:val="100"/>
          <w:kern w:val="0"/>
          <w:rtl/>
        </w:rPr>
        <w:t>لى حقوق الإنسان من جراء اللجوء المفرط إلى الإيداع في الحبس واكتظاظ السجون</w:t>
      </w:r>
      <w:bookmarkEnd w:id="7"/>
    </w:p>
    <w:p w:rsidR="00CE0006" w:rsidRPr="005A1EB0" w:rsidRDefault="00CE0006" w:rsidP="00CE0006">
      <w:pPr>
        <w:spacing w:line="120" w:lineRule="exact"/>
        <w:ind w:left="1268"/>
        <w:rPr>
          <w:b/>
          <w:bCs/>
          <w:w w:val="100"/>
          <w:kern w:val="0"/>
          <w:sz w:val="10"/>
          <w:rtl/>
        </w:rPr>
      </w:pPr>
    </w:p>
    <w:p w:rsidR="00CE0006" w:rsidRPr="005A1EB0" w:rsidRDefault="00CE0006" w:rsidP="00CE000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tab/>
      </w:r>
      <w:r w:rsidRPr="005A1EB0">
        <w:rPr>
          <w:rFonts w:hint="cs"/>
          <w:w w:val="100"/>
          <w:kern w:val="0"/>
          <w:rtl/>
        </w:rPr>
        <w:tab/>
      </w:r>
      <w:bookmarkStart w:id="8" w:name="_Toc430010366"/>
      <w:r w:rsidRPr="005A1EB0">
        <w:rPr>
          <w:w w:val="100"/>
          <w:kern w:val="0"/>
          <w:rtl/>
        </w:rPr>
        <w:t>تقرير مفوض الأمم المتحدة السامي لحقوق الإنسان</w:t>
      </w:r>
      <w:bookmarkEnd w:id="8"/>
    </w:p>
    <w:p w:rsidR="00CE0006" w:rsidRPr="005A1EB0" w:rsidRDefault="00CE0006" w:rsidP="00CE0006">
      <w:pPr>
        <w:pStyle w:val="SingleTxt"/>
        <w:spacing w:after="0" w:line="120" w:lineRule="exact"/>
        <w:rPr>
          <w:w w:val="100"/>
          <w:kern w:val="0"/>
          <w:sz w:val="10"/>
          <w:rtl/>
        </w:rPr>
      </w:pPr>
    </w:p>
    <w:p w:rsidR="00CE0006" w:rsidRPr="005A1EB0" w:rsidRDefault="00CE0006" w:rsidP="00CE0006">
      <w:pPr>
        <w:pStyle w:val="SingleTxt"/>
        <w:spacing w:after="0" w:line="120" w:lineRule="exact"/>
        <w:rPr>
          <w:w w:val="100"/>
          <w:kern w:val="0"/>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E0006" w:rsidRPr="005A1EB0" w:rsidTr="00CE0006">
        <w:trPr>
          <w:jc w:val="center"/>
        </w:trPr>
        <w:tc>
          <w:tcPr>
            <w:tcW w:w="10051" w:type="dxa"/>
            <w:tcBorders>
              <w:top w:val="single" w:sz="2" w:space="0" w:color="auto"/>
            </w:tcBorders>
            <w:shd w:val="clear" w:color="auto" w:fill="auto"/>
          </w:tcPr>
          <w:p w:rsidR="00CE0006" w:rsidRPr="005A1EB0" w:rsidRDefault="00CE0006" w:rsidP="00CE0006">
            <w:pPr>
              <w:tabs>
                <w:tab w:val="left" w:pos="240"/>
              </w:tabs>
              <w:spacing w:before="240" w:after="120"/>
              <w:jc w:val="left"/>
              <w:rPr>
                <w:iCs/>
                <w:w w:val="100"/>
                <w:kern w:val="0"/>
                <w:rtl/>
              </w:rPr>
            </w:pPr>
            <w:r w:rsidRPr="005A1EB0">
              <w:rPr>
                <w:iCs/>
                <w:w w:val="100"/>
                <w:kern w:val="0"/>
                <w:rtl/>
              </w:rPr>
              <w:tab/>
              <w:t>موجز</w:t>
            </w:r>
          </w:p>
        </w:tc>
      </w:tr>
      <w:tr w:rsidR="00CE0006" w:rsidRPr="005A1EB0" w:rsidTr="00CE0006">
        <w:trPr>
          <w:jc w:val="center"/>
        </w:trPr>
        <w:tc>
          <w:tcPr>
            <w:tcW w:w="10051" w:type="dxa"/>
            <w:shd w:val="clear" w:color="auto" w:fill="auto"/>
          </w:tcPr>
          <w:p w:rsidR="00CE0006" w:rsidRPr="005A1EB0" w:rsidRDefault="00CE0006" w:rsidP="00DC2B02">
            <w:pPr>
              <w:pStyle w:val="SingleTxt"/>
              <w:rPr>
                <w:w w:val="100"/>
                <w:kern w:val="0"/>
                <w:rtl/>
              </w:rPr>
            </w:pPr>
            <w:r w:rsidRPr="005A1EB0">
              <w:rPr>
                <w:w w:val="100"/>
                <w:kern w:val="0"/>
                <w:rtl/>
              </w:rPr>
              <w:tab/>
            </w:r>
            <w:r w:rsidRPr="005A1EB0">
              <w:rPr>
                <w:rFonts w:hint="cs"/>
                <w:w w:val="100"/>
                <w:kern w:val="0"/>
                <w:rtl/>
              </w:rPr>
              <w:t xml:space="preserve">يقدَّم هذا التقرير عملاً بقرار مجلس حقوق الإنسان 24/12. وهو يتضمّن تحليلاً للآثار المترتبة </w:t>
            </w:r>
            <w:r w:rsidRPr="005A1EB0">
              <w:rPr>
                <w:w w:val="100"/>
                <w:kern w:val="0"/>
                <w:rtl/>
              </w:rPr>
              <w:t>على حقوق الإنسان من جراء اللجوء المفرط إلى الإيداع في الحبس واكتظاظ السجون،</w:t>
            </w:r>
            <w:r w:rsidRPr="005A1EB0">
              <w:rPr>
                <w:rFonts w:hint="cs"/>
                <w:w w:val="100"/>
                <w:kern w:val="0"/>
                <w:rtl/>
              </w:rPr>
              <w:t xml:space="preserve"> مستنداً</w:t>
            </w:r>
            <w:r w:rsidRPr="005A1EB0">
              <w:rPr>
                <w:w w:val="100"/>
                <w:kern w:val="0"/>
                <w:rtl/>
              </w:rPr>
              <w:t xml:space="preserve"> في ذلك إلى تجربة آليات </w:t>
            </w:r>
            <w:r w:rsidRPr="005A1EB0">
              <w:rPr>
                <w:rFonts w:hint="cs"/>
                <w:w w:val="100"/>
                <w:kern w:val="0"/>
                <w:rtl/>
              </w:rPr>
              <w:t>ا</w:t>
            </w:r>
            <w:r w:rsidRPr="005A1EB0">
              <w:rPr>
                <w:w w:val="100"/>
                <w:kern w:val="0"/>
                <w:rtl/>
              </w:rPr>
              <w:t>لأمم المتحدة و</w:t>
            </w:r>
            <w:r w:rsidRPr="005A1EB0">
              <w:rPr>
                <w:rFonts w:hint="cs"/>
                <w:w w:val="100"/>
                <w:kern w:val="0"/>
                <w:rtl/>
              </w:rPr>
              <w:t xml:space="preserve">الآليات </w:t>
            </w:r>
            <w:r w:rsidRPr="005A1EB0">
              <w:rPr>
                <w:w w:val="100"/>
                <w:kern w:val="0"/>
                <w:rtl/>
              </w:rPr>
              <w:t>الإقليمية</w:t>
            </w:r>
            <w:r w:rsidRPr="005A1EB0">
              <w:rPr>
                <w:rFonts w:hint="cs"/>
                <w:w w:val="100"/>
                <w:kern w:val="0"/>
                <w:rtl/>
              </w:rPr>
              <w:t xml:space="preserve"> لحقوق الإنسان</w:t>
            </w:r>
            <w:r w:rsidRPr="005A1EB0">
              <w:rPr>
                <w:w w:val="100"/>
                <w:kern w:val="0"/>
                <w:rtl/>
              </w:rPr>
              <w:t xml:space="preserve">، </w:t>
            </w:r>
            <w:r w:rsidRPr="005A1EB0">
              <w:rPr>
                <w:rFonts w:hint="cs"/>
                <w:w w:val="100"/>
                <w:kern w:val="0"/>
                <w:rtl/>
              </w:rPr>
              <w:t>ومراعياً ال</w:t>
            </w:r>
            <w:r w:rsidRPr="005A1EB0">
              <w:rPr>
                <w:w w:val="100"/>
                <w:kern w:val="0"/>
                <w:rtl/>
              </w:rPr>
              <w:t xml:space="preserve">آراء </w:t>
            </w:r>
            <w:r w:rsidRPr="005A1EB0">
              <w:rPr>
                <w:rFonts w:hint="cs"/>
                <w:w w:val="100"/>
                <w:kern w:val="0"/>
                <w:rtl/>
              </w:rPr>
              <w:t>التي أعربت عنها الدول، بما في ذلك الممارسة التي تتبعها فيما يخص</w:t>
            </w:r>
            <w:r w:rsidRPr="005A1EB0">
              <w:rPr>
                <w:w w:val="100"/>
                <w:kern w:val="0"/>
                <w:rtl/>
              </w:rPr>
              <w:t xml:space="preserve"> بدائل الاحتجاز، و</w:t>
            </w:r>
            <w:r w:rsidRPr="005A1EB0">
              <w:rPr>
                <w:rFonts w:hint="cs"/>
                <w:w w:val="100"/>
                <w:kern w:val="0"/>
                <w:rtl/>
              </w:rPr>
              <w:t xml:space="preserve">آراء </w:t>
            </w:r>
            <w:r w:rsidRPr="005A1EB0">
              <w:rPr>
                <w:w w:val="100"/>
                <w:kern w:val="0"/>
                <w:rtl/>
              </w:rPr>
              <w:t xml:space="preserve">سائر الجهات </w:t>
            </w:r>
            <w:r w:rsidRPr="005A1EB0">
              <w:rPr>
                <w:rFonts w:hint="cs"/>
                <w:w w:val="100"/>
                <w:kern w:val="0"/>
                <w:rtl/>
              </w:rPr>
              <w:t xml:space="preserve">المعنية </w:t>
            </w:r>
            <w:r w:rsidRPr="005A1EB0">
              <w:rPr>
                <w:w w:val="100"/>
                <w:kern w:val="0"/>
                <w:rtl/>
              </w:rPr>
              <w:t>صاحبة المصلحة</w:t>
            </w:r>
            <w:r w:rsidRPr="005A1EB0">
              <w:rPr>
                <w:rFonts w:hint="cs"/>
                <w:w w:val="100"/>
                <w:kern w:val="0"/>
                <w:rtl/>
              </w:rPr>
              <w:t>.</w:t>
            </w:r>
          </w:p>
        </w:tc>
      </w:tr>
      <w:tr w:rsidR="00CE0006" w:rsidRPr="005A1EB0" w:rsidTr="00CE0006">
        <w:trPr>
          <w:jc w:val="center"/>
        </w:trPr>
        <w:tc>
          <w:tcPr>
            <w:tcW w:w="10051" w:type="dxa"/>
            <w:tcBorders>
              <w:bottom w:val="single" w:sz="2" w:space="0" w:color="auto"/>
            </w:tcBorders>
            <w:shd w:val="clear" w:color="auto" w:fill="auto"/>
          </w:tcPr>
          <w:p w:rsidR="00CE0006" w:rsidRPr="005A1EB0" w:rsidRDefault="00CE0006" w:rsidP="00CE0006">
            <w:pPr>
              <w:pStyle w:val="SingleTxt"/>
              <w:rPr>
                <w:w w:val="100"/>
                <w:kern w:val="0"/>
                <w:rtl/>
              </w:rPr>
            </w:pPr>
          </w:p>
        </w:tc>
      </w:tr>
    </w:tbl>
    <w:p w:rsidR="00CE0006" w:rsidRPr="005A1EB0" w:rsidRDefault="00CE0006" w:rsidP="00CE0006">
      <w:pPr>
        <w:pStyle w:val="SingleTxt"/>
        <w:spacing w:after="0" w:line="120" w:lineRule="exact"/>
        <w:rPr>
          <w:w w:val="100"/>
          <w:kern w:val="0"/>
          <w:sz w:val="10"/>
          <w:rtl/>
        </w:rPr>
      </w:pPr>
    </w:p>
    <w:p w:rsidR="00CE0006" w:rsidRPr="005A1EB0" w:rsidRDefault="00CE0006" w:rsidP="00CE0006">
      <w:pPr>
        <w:pStyle w:val="SingleTxt"/>
        <w:spacing w:after="0" w:line="120" w:lineRule="exact"/>
        <w:rPr>
          <w:w w:val="100"/>
          <w:kern w:val="0"/>
          <w:sz w:val="10"/>
          <w:rtl/>
        </w:rPr>
      </w:pPr>
    </w:p>
    <w:p w:rsidR="00CE0006" w:rsidRPr="005A1EB0" w:rsidRDefault="00CE0006" w:rsidP="00CE0006">
      <w:pPr>
        <w:spacing w:line="360" w:lineRule="exact"/>
        <w:rPr>
          <w:w w:val="100"/>
          <w:kern w:val="0"/>
          <w:sz w:val="36"/>
          <w:szCs w:val="36"/>
          <w:rtl/>
        </w:rPr>
      </w:pPr>
      <w:r w:rsidRPr="005A1EB0">
        <w:rPr>
          <w:w w:val="100"/>
          <w:kern w:val="0"/>
          <w:sz w:val="36"/>
          <w:szCs w:val="36"/>
          <w:rtl/>
        </w:rPr>
        <w:br w:type="page"/>
      </w:r>
    </w:p>
    <w:p w:rsidR="00F907B4" w:rsidRPr="00F907B4" w:rsidRDefault="00F907B4" w:rsidP="00F907B4">
      <w:pPr>
        <w:pStyle w:val="HCh"/>
        <w:spacing w:after="120"/>
        <w:rPr>
          <w:w w:val="100"/>
        </w:rPr>
      </w:pPr>
      <w:r>
        <w:rPr>
          <w:w w:val="100"/>
          <w:rtl/>
        </w:rPr>
        <w:lastRenderedPageBreak/>
        <w:t>المحتويات</w:t>
      </w:r>
    </w:p>
    <w:p w:rsidR="00F907B4" w:rsidRDefault="00F907B4" w:rsidP="00F907B4">
      <w:pPr>
        <w:bidi w:val="0"/>
        <w:spacing w:line="240" w:lineRule="auto"/>
        <w:jc w:val="left"/>
        <w:rPr>
          <w:w w:val="100"/>
        </w:rPr>
      </w:pP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F907B4" w:rsidRPr="005A1EB0" w:rsidTr="00076B9E">
        <w:tc>
          <w:tcPr>
            <w:tcW w:w="1296" w:type="dxa"/>
            <w:shd w:val="clear" w:color="auto" w:fill="auto"/>
          </w:tcPr>
          <w:p w:rsidR="00F907B4" w:rsidRPr="005A1EB0" w:rsidRDefault="00F907B4" w:rsidP="00076B9E">
            <w:pPr>
              <w:spacing w:after="120"/>
              <w:jc w:val="right"/>
              <w:rPr>
                <w:iCs/>
                <w:w w:val="100"/>
                <w:kern w:val="0"/>
                <w:sz w:val="14"/>
                <w:rtl/>
              </w:rPr>
            </w:pPr>
          </w:p>
        </w:tc>
        <w:tc>
          <w:tcPr>
            <w:tcW w:w="6566" w:type="dxa"/>
            <w:shd w:val="clear" w:color="auto" w:fill="auto"/>
          </w:tcPr>
          <w:p w:rsidR="00F907B4" w:rsidRPr="005A1EB0" w:rsidRDefault="00F907B4" w:rsidP="00076B9E">
            <w:pPr>
              <w:spacing w:after="120"/>
              <w:rPr>
                <w:iCs/>
                <w:w w:val="100"/>
                <w:kern w:val="0"/>
                <w:sz w:val="14"/>
                <w:rtl/>
              </w:rPr>
            </w:pPr>
          </w:p>
        </w:tc>
        <w:tc>
          <w:tcPr>
            <w:tcW w:w="1167" w:type="dxa"/>
            <w:shd w:val="clear" w:color="auto" w:fill="auto"/>
          </w:tcPr>
          <w:p w:rsidR="00F907B4" w:rsidRPr="005A1EB0" w:rsidRDefault="00F907B4" w:rsidP="00076B9E">
            <w:pPr>
              <w:spacing w:after="120"/>
              <w:jc w:val="right"/>
              <w:rPr>
                <w:iCs/>
                <w:w w:val="100"/>
                <w:kern w:val="0"/>
                <w:sz w:val="14"/>
                <w:rtl/>
              </w:rPr>
            </w:pPr>
          </w:p>
        </w:tc>
        <w:tc>
          <w:tcPr>
            <w:tcW w:w="806" w:type="dxa"/>
            <w:shd w:val="clear" w:color="auto" w:fill="auto"/>
          </w:tcPr>
          <w:p w:rsidR="00F907B4" w:rsidRPr="005A1EB0" w:rsidRDefault="00F907B4" w:rsidP="00076B9E">
            <w:pPr>
              <w:spacing w:after="120"/>
              <w:jc w:val="right"/>
              <w:rPr>
                <w:iCs/>
                <w:w w:val="100"/>
                <w:kern w:val="0"/>
                <w:sz w:val="14"/>
                <w:rtl/>
              </w:rPr>
            </w:pPr>
            <w:r w:rsidRPr="005A1EB0">
              <w:rPr>
                <w:rFonts w:hint="cs"/>
                <w:iCs/>
                <w:w w:val="100"/>
                <w:kern w:val="0"/>
                <w:sz w:val="14"/>
                <w:rtl/>
              </w:rPr>
              <w:t>الصفحة</w:t>
            </w:r>
          </w:p>
        </w:tc>
      </w:tr>
      <w:tr w:rsidR="00F907B4" w:rsidRPr="005A1EB0" w:rsidTr="00076B9E">
        <w:tc>
          <w:tcPr>
            <w:tcW w:w="9029" w:type="dxa"/>
            <w:gridSpan w:val="3"/>
            <w:shd w:val="clear" w:color="auto" w:fill="auto"/>
          </w:tcPr>
          <w:p w:rsidR="00F907B4" w:rsidRPr="005A1EB0" w:rsidRDefault="00F907B4" w:rsidP="00076B9E">
            <w:pPr>
              <w:tabs>
                <w:tab w:val="right" w:pos="1080"/>
                <w:tab w:val="left" w:pos="1296"/>
                <w:tab w:val="left" w:pos="1728"/>
                <w:tab w:val="right" w:leader="dot" w:pos="9029"/>
              </w:tabs>
              <w:spacing w:after="80"/>
              <w:jc w:val="left"/>
              <w:rPr>
                <w:spacing w:val="60"/>
                <w:w w:val="100"/>
                <w:kern w:val="0"/>
                <w:sz w:val="17"/>
                <w:rtl/>
              </w:rPr>
            </w:pPr>
            <w:r w:rsidRPr="005A1EB0">
              <w:rPr>
                <w:w w:val="100"/>
                <w:kern w:val="0"/>
                <w:rtl/>
              </w:rPr>
              <w:tab/>
            </w:r>
            <w:r w:rsidRPr="005A1EB0">
              <w:rPr>
                <w:rFonts w:hint="cs"/>
                <w:w w:val="100"/>
                <w:kern w:val="0"/>
                <w:rtl/>
              </w:rPr>
              <w:t>أولاً-</w:t>
            </w:r>
            <w:r w:rsidRPr="005A1EB0">
              <w:rPr>
                <w:w w:val="100"/>
                <w:kern w:val="0"/>
                <w:rtl/>
              </w:rPr>
              <w:tab/>
            </w:r>
            <w:r w:rsidRPr="005A1EB0">
              <w:rPr>
                <w:rFonts w:hint="cs"/>
                <w:w w:val="100"/>
                <w:kern w:val="0"/>
                <w:rtl/>
              </w:rPr>
              <w:t>مقدمة</w:t>
            </w:r>
            <w:bookmarkStart w:id="9" w:name="_GoBack"/>
            <w:bookmarkEnd w:id="9"/>
            <w:r w:rsidRPr="005A1EB0">
              <w:rPr>
                <w:spacing w:val="60"/>
                <w:w w:val="100"/>
                <w:kern w:val="0"/>
                <w:sz w:val="17"/>
                <w:rtl/>
              </w:rPr>
              <w:tab/>
            </w:r>
          </w:p>
        </w:tc>
        <w:tc>
          <w:tcPr>
            <w:tcW w:w="806" w:type="dxa"/>
            <w:shd w:val="clear" w:color="auto" w:fill="auto"/>
            <w:vAlign w:val="bottom"/>
          </w:tcPr>
          <w:p w:rsidR="00F907B4" w:rsidRPr="005A1EB0" w:rsidRDefault="00F907B4" w:rsidP="00076B9E">
            <w:pPr>
              <w:jc w:val="right"/>
              <w:rPr>
                <w:w w:val="100"/>
                <w:kern w:val="0"/>
                <w:sz w:val="30"/>
                <w:rtl/>
              </w:rPr>
            </w:pPr>
            <w:r w:rsidRPr="005A1EB0">
              <w:rPr>
                <w:rFonts w:hint="cs"/>
                <w:w w:val="100"/>
                <w:kern w:val="0"/>
                <w:sz w:val="30"/>
                <w:rtl/>
              </w:rPr>
              <w:t>3</w:t>
            </w:r>
          </w:p>
        </w:tc>
      </w:tr>
      <w:tr w:rsidR="00F907B4" w:rsidRPr="005A1EB0" w:rsidTr="00076B9E">
        <w:tc>
          <w:tcPr>
            <w:tcW w:w="9029" w:type="dxa"/>
            <w:gridSpan w:val="3"/>
            <w:shd w:val="clear" w:color="auto" w:fill="auto"/>
          </w:tcPr>
          <w:p w:rsidR="00F907B4" w:rsidRPr="005A1EB0"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jc w:val="left"/>
              <w:rPr>
                <w:spacing w:val="60"/>
                <w:w w:val="100"/>
                <w:kern w:val="0"/>
                <w:sz w:val="17"/>
                <w:rtl/>
              </w:rPr>
            </w:pPr>
            <w:r w:rsidRPr="005A1EB0">
              <w:rPr>
                <w:rFonts w:hint="cs"/>
                <w:w w:val="100"/>
                <w:kern w:val="0"/>
                <w:rtl/>
              </w:rPr>
              <w:tab/>
              <w:t>ثانياً-</w:t>
            </w:r>
            <w:r w:rsidRPr="005A1EB0">
              <w:rPr>
                <w:rFonts w:hint="cs"/>
                <w:w w:val="100"/>
                <w:kern w:val="0"/>
                <w:rtl/>
              </w:rPr>
              <w:tab/>
              <w:t>وطأة اللجوء المفرط إلى الإيداع في الحبس واكتظاظ السجون على حقوق الإنسان</w:t>
            </w:r>
            <w:r w:rsidRPr="005A1EB0">
              <w:rPr>
                <w:spacing w:val="60"/>
                <w:w w:val="100"/>
                <w:kern w:val="0"/>
                <w:sz w:val="17"/>
                <w:rtl/>
              </w:rPr>
              <w:tab/>
            </w:r>
          </w:p>
        </w:tc>
        <w:tc>
          <w:tcPr>
            <w:tcW w:w="806" w:type="dxa"/>
            <w:shd w:val="clear" w:color="auto" w:fill="auto"/>
            <w:vAlign w:val="bottom"/>
          </w:tcPr>
          <w:p w:rsidR="00F907B4" w:rsidRPr="005A1EB0" w:rsidRDefault="00F907B4" w:rsidP="00076B9E">
            <w:pPr>
              <w:jc w:val="right"/>
              <w:rPr>
                <w:w w:val="100"/>
                <w:kern w:val="0"/>
                <w:sz w:val="30"/>
                <w:rtl/>
              </w:rPr>
            </w:pPr>
            <w:r w:rsidRPr="005A1EB0">
              <w:rPr>
                <w:rFonts w:hint="cs"/>
                <w:w w:val="100"/>
                <w:kern w:val="0"/>
                <w:sz w:val="30"/>
                <w:rtl/>
              </w:rPr>
              <w:t>5</w:t>
            </w:r>
          </w:p>
        </w:tc>
      </w:tr>
      <w:tr w:rsidR="00F907B4" w:rsidRPr="005A1EB0" w:rsidTr="00076B9E">
        <w:tc>
          <w:tcPr>
            <w:tcW w:w="9029" w:type="dxa"/>
            <w:gridSpan w:val="3"/>
            <w:shd w:val="clear" w:color="auto" w:fill="auto"/>
          </w:tcPr>
          <w:p w:rsidR="00F907B4" w:rsidRPr="005A1EB0" w:rsidRDefault="00F907B4" w:rsidP="00076B9E">
            <w:pPr>
              <w:tabs>
                <w:tab w:val="right" w:pos="1080"/>
                <w:tab w:val="left" w:pos="1296"/>
                <w:tab w:val="left" w:pos="1728"/>
                <w:tab w:val="left" w:pos="2160"/>
                <w:tab w:val="left" w:pos="2592"/>
                <w:tab w:val="left" w:pos="3024"/>
                <w:tab w:val="left" w:pos="3456"/>
                <w:tab w:val="right" w:leader="dot" w:pos="9029"/>
              </w:tabs>
              <w:jc w:val="both"/>
              <w:rPr>
                <w:spacing w:val="60"/>
                <w:w w:val="100"/>
                <w:kern w:val="0"/>
                <w:sz w:val="17"/>
                <w:rtl/>
              </w:rPr>
            </w:pPr>
            <w:r w:rsidRPr="005A1EB0">
              <w:rPr>
                <w:w w:val="100"/>
                <w:kern w:val="0"/>
                <w:rtl/>
              </w:rPr>
              <w:tab/>
            </w:r>
            <w:r w:rsidRPr="005A1EB0">
              <w:rPr>
                <w:rFonts w:hint="cs"/>
                <w:w w:val="100"/>
                <w:kern w:val="0"/>
                <w:rtl/>
              </w:rPr>
              <w:tab/>
              <w:t>ألف</w:t>
            </w:r>
            <w:r w:rsidRPr="005A1EB0">
              <w:rPr>
                <w:rFonts w:hint="cs"/>
                <w:w w:val="100"/>
                <w:kern w:val="0"/>
                <w:rtl/>
              </w:rPr>
              <w:tab/>
              <w:t>-</w:t>
            </w:r>
            <w:r w:rsidRPr="005A1EB0">
              <w:rPr>
                <w:rFonts w:hint="cs"/>
                <w:w w:val="100"/>
                <w:kern w:val="0"/>
                <w:rtl/>
              </w:rPr>
              <w:tab/>
              <w:t>الحق في الحرية والأمن</w:t>
            </w:r>
            <w:r w:rsidRPr="005A1EB0">
              <w:rPr>
                <w:spacing w:val="60"/>
                <w:w w:val="100"/>
                <w:kern w:val="0"/>
                <w:sz w:val="17"/>
                <w:rtl/>
              </w:rPr>
              <w:tab/>
            </w:r>
          </w:p>
        </w:tc>
        <w:tc>
          <w:tcPr>
            <w:tcW w:w="806" w:type="dxa"/>
            <w:shd w:val="clear" w:color="auto" w:fill="auto"/>
            <w:vAlign w:val="bottom"/>
          </w:tcPr>
          <w:p w:rsidR="00F907B4" w:rsidRPr="005A1EB0" w:rsidRDefault="00F907B4" w:rsidP="00076B9E">
            <w:pPr>
              <w:jc w:val="right"/>
              <w:rPr>
                <w:w w:val="100"/>
                <w:kern w:val="0"/>
                <w:sz w:val="30"/>
                <w:rtl/>
              </w:rPr>
            </w:pPr>
            <w:r w:rsidRPr="005A1EB0">
              <w:rPr>
                <w:rFonts w:hint="cs"/>
                <w:w w:val="100"/>
                <w:kern w:val="0"/>
                <w:sz w:val="30"/>
                <w:rtl/>
              </w:rPr>
              <w:t>6</w:t>
            </w:r>
          </w:p>
        </w:tc>
      </w:tr>
      <w:tr w:rsidR="00F907B4" w:rsidRPr="005A1EB0" w:rsidTr="00076B9E">
        <w:tc>
          <w:tcPr>
            <w:tcW w:w="9029" w:type="dxa"/>
            <w:gridSpan w:val="3"/>
            <w:shd w:val="clear" w:color="auto" w:fill="auto"/>
          </w:tcPr>
          <w:p w:rsidR="00F907B4" w:rsidRPr="00F907B4" w:rsidRDefault="00F907B4" w:rsidP="00F907B4">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jc w:val="left"/>
              <w:rPr>
                <w:spacing w:val="60"/>
                <w:w w:val="100"/>
                <w:kern w:val="0"/>
                <w:sz w:val="17"/>
                <w:rtl/>
              </w:rPr>
            </w:pPr>
            <w:r w:rsidRPr="00F907B4">
              <w:rPr>
                <w:spacing w:val="-4"/>
                <w:w w:val="100"/>
                <w:kern w:val="0"/>
                <w:rtl/>
              </w:rPr>
              <w:tab/>
            </w:r>
            <w:r w:rsidRPr="00F907B4">
              <w:rPr>
                <w:rFonts w:hint="cs"/>
                <w:spacing w:val="-4"/>
                <w:w w:val="100"/>
                <w:kern w:val="0"/>
                <w:rtl/>
              </w:rPr>
              <w:tab/>
              <w:t>باء</w:t>
            </w:r>
            <w:r w:rsidRPr="00F907B4">
              <w:rPr>
                <w:rFonts w:hint="cs"/>
                <w:spacing w:val="-4"/>
                <w:w w:val="100"/>
                <w:kern w:val="0"/>
                <w:rtl/>
              </w:rPr>
              <w:tab/>
              <w:t>-</w:t>
            </w:r>
            <w:r w:rsidRPr="00F907B4">
              <w:rPr>
                <w:rFonts w:hint="cs"/>
                <w:spacing w:val="-4"/>
                <w:w w:val="100"/>
                <w:kern w:val="0"/>
                <w:rtl/>
              </w:rPr>
              <w:tab/>
              <w:t>الحق في عدم التعرض للتعذيب وغيره من ضروب المعاملة أو العقوبة اللاإنسانية أو المهينة</w:t>
            </w:r>
            <w:r>
              <w:rPr>
                <w:spacing w:val="60"/>
                <w:w w:val="100"/>
                <w:kern w:val="0"/>
                <w:sz w:val="17"/>
                <w:rtl/>
              </w:rPr>
              <w:tab/>
            </w:r>
          </w:p>
        </w:tc>
        <w:tc>
          <w:tcPr>
            <w:tcW w:w="806" w:type="dxa"/>
            <w:shd w:val="clear" w:color="auto" w:fill="auto"/>
            <w:vAlign w:val="bottom"/>
          </w:tcPr>
          <w:p w:rsidR="00F907B4" w:rsidRPr="005A1EB0" w:rsidRDefault="00F907B4" w:rsidP="00076B9E">
            <w:pPr>
              <w:jc w:val="right"/>
              <w:rPr>
                <w:w w:val="100"/>
                <w:kern w:val="0"/>
                <w:sz w:val="30"/>
                <w:rtl/>
              </w:rPr>
            </w:pPr>
            <w:r w:rsidRPr="005A1EB0">
              <w:rPr>
                <w:rFonts w:hint="cs"/>
                <w:w w:val="100"/>
                <w:kern w:val="0"/>
                <w:sz w:val="30"/>
                <w:rtl/>
              </w:rPr>
              <w:t>8</w:t>
            </w:r>
          </w:p>
        </w:tc>
      </w:tr>
      <w:tr w:rsidR="00F907B4" w:rsidRPr="005A1EB0" w:rsidTr="00076B9E">
        <w:tc>
          <w:tcPr>
            <w:tcW w:w="9029" w:type="dxa"/>
            <w:gridSpan w:val="3"/>
            <w:shd w:val="clear" w:color="auto" w:fill="auto"/>
          </w:tcPr>
          <w:p w:rsidR="00F907B4" w:rsidRPr="005A1EB0" w:rsidRDefault="00F907B4" w:rsidP="00076B9E">
            <w:pPr>
              <w:tabs>
                <w:tab w:val="right" w:pos="1080"/>
                <w:tab w:val="left" w:pos="1296"/>
                <w:tab w:val="left" w:pos="1728"/>
                <w:tab w:val="left" w:pos="2160"/>
                <w:tab w:val="left" w:pos="2592"/>
                <w:tab w:val="left" w:pos="3024"/>
                <w:tab w:val="right" w:leader="dot" w:pos="9029"/>
              </w:tabs>
              <w:jc w:val="left"/>
              <w:rPr>
                <w:spacing w:val="60"/>
                <w:w w:val="100"/>
                <w:kern w:val="0"/>
                <w:sz w:val="17"/>
                <w:rtl/>
              </w:rPr>
            </w:pPr>
            <w:r w:rsidRPr="005A1EB0">
              <w:rPr>
                <w:w w:val="100"/>
                <w:kern w:val="0"/>
                <w:rtl/>
              </w:rPr>
              <w:tab/>
            </w:r>
            <w:r w:rsidRPr="005A1EB0">
              <w:rPr>
                <w:rFonts w:hint="cs"/>
                <w:w w:val="100"/>
                <w:kern w:val="0"/>
                <w:rtl/>
              </w:rPr>
              <w:tab/>
              <w:t>جيم</w:t>
            </w:r>
            <w:r w:rsidRPr="005A1EB0">
              <w:rPr>
                <w:rFonts w:hint="cs"/>
                <w:w w:val="100"/>
                <w:kern w:val="0"/>
                <w:rtl/>
              </w:rPr>
              <w:tab/>
              <w:t>-</w:t>
            </w:r>
            <w:r w:rsidRPr="005A1EB0">
              <w:rPr>
                <w:rFonts w:hint="cs"/>
                <w:w w:val="100"/>
                <w:kern w:val="0"/>
                <w:rtl/>
              </w:rPr>
              <w:tab/>
              <w:t>الحق في الصحة</w:t>
            </w:r>
            <w:r w:rsidRPr="005A1EB0">
              <w:rPr>
                <w:spacing w:val="60"/>
                <w:w w:val="100"/>
                <w:kern w:val="0"/>
                <w:sz w:val="17"/>
                <w:rtl/>
              </w:rPr>
              <w:tab/>
            </w:r>
          </w:p>
        </w:tc>
        <w:tc>
          <w:tcPr>
            <w:tcW w:w="806" w:type="dxa"/>
            <w:shd w:val="clear" w:color="auto" w:fill="auto"/>
            <w:vAlign w:val="bottom"/>
          </w:tcPr>
          <w:p w:rsidR="00F907B4" w:rsidRPr="005A1EB0" w:rsidRDefault="00F907B4" w:rsidP="00076B9E">
            <w:pPr>
              <w:jc w:val="right"/>
              <w:rPr>
                <w:w w:val="100"/>
                <w:kern w:val="0"/>
                <w:sz w:val="30"/>
                <w:rtl/>
              </w:rPr>
            </w:pPr>
            <w:r w:rsidRPr="005A1EB0">
              <w:rPr>
                <w:rFonts w:hint="cs"/>
                <w:w w:val="100"/>
                <w:kern w:val="0"/>
                <w:sz w:val="30"/>
                <w:rtl/>
              </w:rPr>
              <w:t>9</w:t>
            </w:r>
          </w:p>
        </w:tc>
      </w:tr>
      <w:tr w:rsidR="00F907B4" w:rsidRPr="005A1EB0" w:rsidTr="00076B9E">
        <w:tc>
          <w:tcPr>
            <w:tcW w:w="9029" w:type="dxa"/>
            <w:gridSpan w:val="3"/>
            <w:shd w:val="clear" w:color="auto" w:fill="auto"/>
          </w:tcPr>
          <w:p w:rsidR="00F907B4" w:rsidRPr="005A1EB0" w:rsidRDefault="00F907B4" w:rsidP="00F907B4">
            <w:pPr>
              <w:tabs>
                <w:tab w:val="right" w:pos="1080"/>
                <w:tab w:val="left" w:pos="1296"/>
                <w:tab w:val="right" w:pos="1843"/>
                <w:tab w:val="left" w:pos="2232"/>
                <w:tab w:val="left" w:pos="2592"/>
                <w:tab w:val="left" w:pos="3024"/>
                <w:tab w:val="left" w:pos="3456"/>
                <w:tab w:val="right" w:leader="dot" w:pos="9360"/>
              </w:tabs>
              <w:ind w:right="126"/>
              <w:jc w:val="left"/>
              <w:rPr>
                <w:w w:val="100"/>
                <w:kern w:val="0"/>
                <w:rtl/>
              </w:rPr>
            </w:pPr>
            <w:r w:rsidRPr="005A1EB0">
              <w:rPr>
                <w:w w:val="100"/>
                <w:kern w:val="0"/>
                <w:rtl/>
              </w:rPr>
              <w:tab/>
            </w:r>
            <w:r w:rsidRPr="005A1EB0">
              <w:rPr>
                <w:rFonts w:hint="cs"/>
                <w:w w:val="100"/>
                <w:kern w:val="0"/>
                <w:rtl/>
              </w:rPr>
              <w:tab/>
              <w:t>دال</w:t>
            </w:r>
            <w:r w:rsidRPr="005A1EB0">
              <w:rPr>
                <w:w w:val="100"/>
                <w:kern w:val="0"/>
                <w:rtl/>
              </w:rPr>
              <w:tab/>
            </w:r>
            <w:r w:rsidRPr="005A1EB0">
              <w:rPr>
                <w:rFonts w:hint="cs"/>
                <w:w w:val="100"/>
                <w:kern w:val="0"/>
                <w:rtl/>
              </w:rPr>
              <w:t>-</w:t>
            </w:r>
            <w:r w:rsidRPr="005A1EB0">
              <w:rPr>
                <w:w w:val="100"/>
                <w:kern w:val="0"/>
                <w:rtl/>
              </w:rPr>
              <w:tab/>
            </w:r>
            <w:r w:rsidRPr="005A1EB0">
              <w:rPr>
                <w:rFonts w:hint="cs"/>
                <w:w w:val="100"/>
                <w:kern w:val="0"/>
                <w:rtl/>
              </w:rPr>
              <w:t>الحق في الغذاء والمياه وخدمات الصرف الصحي</w:t>
            </w:r>
            <w:r w:rsidRPr="005A1EB0">
              <w:rPr>
                <w:spacing w:val="60"/>
                <w:w w:val="100"/>
                <w:kern w:val="0"/>
                <w:sz w:val="17"/>
                <w:rtl/>
              </w:rPr>
              <w:tab/>
            </w:r>
          </w:p>
        </w:tc>
        <w:tc>
          <w:tcPr>
            <w:tcW w:w="806" w:type="dxa"/>
            <w:shd w:val="clear" w:color="auto" w:fill="auto"/>
            <w:vAlign w:val="bottom"/>
          </w:tcPr>
          <w:p w:rsidR="00F907B4" w:rsidRPr="005A1EB0" w:rsidRDefault="0066578E" w:rsidP="00076B9E">
            <w:pPr>
              <w:jc w:val="right"/>
              <w:rPr>
                <w:w w:val="100"/>
                <w:kern w:val="0"/>
                <w:sz w:val="30"/>
                <w:rtl/>
              </w:rPr>
            </w:pPr>
            <w:r>
              <w:rPr>
                <w:rFonts w:hint="cs"/>
                <w:w w:val="100"/>
                <w:kern w:val="0"/>
                <w:sz w:val="30"/>
                <w:rtl/>
              </w:rPr>
              <w:t>10</w:t>
            </w:r>
          </w:p>
        </w:tc>
      </w:tr>
      <w:tr w:rsidR="00F907B4" w:rsidRPr="005A1EB0" w:rsidTr="00076B9E">
        <w:tc>
          <w:tcPr>
            <w:tcW w:w="9029" w:type="dxa"/>
            <w:gridSpan w:val="3"/>
            <w:shd w:val="clear" w:color="auto" w:fill="auto"/>
          </w:tcPr>
          <w:p w:rsidR="00F907B4" w:rsidRPr="00F907B4" w:rsidRDefault="00F907B4" w:rsidP="00F907B4">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هاء</w:t>
            </w:r>
            <w:r>
              <w:rPr>
                <w:rFonts w:hint="cs"/>
                <w:w w:val="100"/>
                <w:kern w:val="0"/>
                <w:rtl/>
              </w:rPr>
              <w:tab/>
            </w:r>
            <w:r>
              <w:rPr>
                <w:w w:val="100"/>
                <w:kern w:val="0"/>
                <w:rtl/>
              </w:rPr>
              <w:t>-</w:t>
            </w:r>
            <w:r>
              <w:rPr>
                <w:rFonts w:hint="cs"/>
                <w:w w:val="100"/>
                <w:kern w:val="0"/>
                <w:rtl/>
              </w:rPr>
              <w:tab/>
            </w:r>
            <w:r w:rsidRPr="000116C7">
              <w:rPr>
                <w:w w:val="100"/>
                <w:kern w:val="0"/>
                <w:rtl/>
              </w:rPr>
              <w:t>الحق في التعليم وإعادة التأهيل</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12</w:t>
            </w:r>
          </w:p>
        </w:tc>
      </w:tr>
      <w:tr w:rsidR="00F907B4" w:rsidRPr="005A1EB0" w:rsidTr="00076B9E">
        <w:tc>
          <w:tcPr>
            <w:tcW w:w="9029" w:type="dxa"/>
            <w:gridSpan w:val="3"/>
            <w:shd w:val="clear" w:color="auto" w:fill="auto"/>
          </w:tcPr>
          <w:p w:rsidR="00F907B4" w:rsidRPr="000116C7" w:rsidRDefault="00F907B4" w:rsidP="00F907B4">
            <w:pPr>
              <w:tabs>
                <w:tab w:val="right" w:pos="1080"/>
                <w:tab w:val="left" w:pos="1296"/>
                <w:tab w:val="left" w:pos="1728"/>
                <w:tab w:val="left" w:pos="2160"/>
                <w:tab w:val="left" w:pos="2592"/>
                <w:tab w:val="left" w:pos="3024"/>
                <w:tab w:val="left" w:pos="3456"/>
                <w:tab w:val="right" w:leader="dot" w:pos="9029"/>
              </w:tabs>
              <w:jc w:val="left"/>
              <w:rPr>
                <w:w w:val="100"/>
                <w:kern w:val="0"/>
              </w:rPr>
            </w:pPr>
            <w:r>
              <w:rPr>
                <w:rFonts w:hint="cs"/>
                <w:w w:val="100"/>
                <w:kern w:val="0"/>
                <w:rtl/>
              </w:rPr>
              <w:tab/>
            </w:r>
            <w:r>
              <w:rPr>
                <w:w w:val="100"/>
                <w:kern w:val="0"/>
                <w:rtl/>
              </w:rPr>
              <w:tab/>
            </w:r>
            <w:r w:rsidRPr="000116C7">
              <w:rPr>
                <w:w w:val="100"/>
                <w:kern w:val="0"/>
                <w:rtl/>
              </w:rPr>
              <w:t>واو</w:t>
            </w:r>
            <w:r>
              <w:rPr>
                <w:rFonts w:hint="cs"/>
                <w:w w:val="100"/>
                <w:kern w:val="0"/>
                <w:rtl/>
              </w:rPr>
              <w:tab/>
            </w:r>
            <w:r>
              <w:rPr>
                <w:w w:val="100"/>
                <w:kern w:val="0"/>
                <w:rtl/>
              </w:rPr>
              <w:t>-</w:t>
            </w:r>
            <w:r>
              <w:rPr>
                <w:rFonts w:hint="cs"/>
                <w:w w:val="100"/>
                <w:kern w:val="0"/>
                <w:rtl/>
              </w:rPr>
              <w:tab/>
            </w:r>
            <w:r w:rsidRPr="000116C7">
              <w:rPr>
                <w:w w:val="100"/>
                <w:kern w:val="0"/>
                <w:rtl/>
              </w:rPr>
              <w:t>حرية الدين أو المعتقد</w:t>
            </w:r>
            <w:r>
              <w:rPr>
                <w:spacing w:val="60"/>
                <w:w w:val="100"/>
                <w:kern w:val="0"/>
                <w:sz w:val="17"/>
                <w:rtl/>
              </w:rPr>
              <w:tab/>
            </w:r>
            <w:r w:rsidRPr="00F907B4">
              <w:rPr>
                <w:w w:val="100"/>
                <w:kern w:val="0"/>
                <w:rtl/>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13</w:t>
            </w:r>
          </w:p>
        </w:tc>
      </w:tr>
      <w:tr w:rsidR="00F907B4" w:rsidRPr="005A1EB0" w:rsidTr="00076B9E">
        <w:tc>
          <w:tcPr>
            <w:tcW w:w="9029" w:type="dxa"/>
            <w:gridSpan w:val="3"/>
            <w:shd w:val="clear" w:color="auto" w:fill="auto"/>
          </w:tcPr>
          <w:p w:rsidR="00F907B4" w:rsidRPr="00F907B4" w:rsidRDefault="00F907B4" w:rsidP="00F907B4">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زاي</w:t>
            </w:r>
            <w:r>
              <w:rPr>
                <w:rFonts w:hint="cs"/>
                <w:w w:val="100"/>
                <w:kern w:val="0"/>
                <w:rtl/>
              </w:rPr>
              <w:tab/>
            </w:r>
            <w:r>
              <w:rPr>
                <w:w w:val="100"/>
                <w:kern w:val="0"/>
                <w:rtl/>
              </w:rPr>
              <w:t>-</w:t>
            </w:r>
            <w:r>
              <w:rPr>
                <w:rFonts w:hint="cs"/>
                <w:w w:val="100"/>
                <w:kern w:val="0"/>
                <w:rtl/>
              </w:rPr>
              <w:tab/>
            </w:r>
            <w:r w:rsidRPr="000116C7">
              <w:rPr>
                <w:w w:val="100"/>
                <w:kern w:val="0"/>
                <w:rtl/>
              </w:rPr>
              <w:t>الحق في الخصوصية والحياة الأسرية وحقوق أفراد الأسرة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13</w:t>
            </w:r>
          </w:p>
        </w:tc>
      </w:tr>
      <w:tr w:rsidR="00F907B4" w:rsidRPr="005A1EB0" w:rsidTr="00076B9E">
        <w:tc>
          <w:tcPr>
            <w:tcW w:w="9029" w:type="dxa"/>
            <w:gridSpan w:val="3"/>
            <w:shd w:val="clear" w:color="auto" w:fill="auto"/>
          </w:tcPr>
          <w:p w:rsidR="00F907B4" w:rsidRPr="002061DC" w:rsidRDefault="00F907B4" w:rsidP="00F907B4">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spacing w:val="60"/>
                <w:w w:val="100"/>
                <w:kern w:val="0"/>
                <w:sz w:val="17"/>
              </w:rPr>
            </w:pPr>
            <w:r>
              <w:rPr>
                <w:rFonts w:hint="cs"/>
                <w:w w:val="100"/>
                <w:kern w:val="0"/>
                <w:rtl/>
              </w:rPr>
              <w:tab/>
            </w:r>
            <w:r>
              <w:rPr>
                <w:w w:val="100"/>
                <w:kern w:val="0"/>
                <w:rtl/>
              </w:rPr>
              <w:tab/>
            </w:r>
            <w:r w:rsidRPr="000116C7">
              <w:rPr>
                <w:w w:val="100"/>
                <w:kern w:val="0"/>
                <w:rtl/>
              </w:rPr>
              <w:t>حاء</w:t>
            </w:r>
            <w:r>
              <w:rPr>
                <w:rFonts w:hint="cs"/>
                <w:w w:val="100"/>
                <w:kern w:val="0"/>
                <w:rtl/>
              </w:rPr>
              <w:tab/>
            </w:r>
            <w:r>
              <w:rPr>
                <w:w w:val="100"/>
                <w:kern w:val="0"/>
                <w:rtl/>
              </w:rPr>
              <w:t>-</w:t>
            </w:r>
            <w:r>
              <w:rPr>
                <w:rFonts w:hint="cs"/>
                <w:w w:val="100"/>
                <w:kern w:val="0"/>
                <w:rtl/>
              </w:rPr>
              <w:tab/>
            </w:r>
            <w:r w:rsidRPr="000116C7">
              <w:rPr>
                <w:w w:val="100"/>
                <w:kern w:val="0"/>
                <w:rtl/>
              </w:rPr>
              <w:t>الحق في المساواة وعدم التمييز</w:t>
            </w:r>
            <w:r>
              <w:rPr>
                <w:spacing w:val="60"/>
                <w:w w:val="100"/>
                <w:kern w:val="0"/>
                <w:sz w:val="17"/>
                <w:rtl/>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14</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jc w:val="left"/>
              <w:rPr>
                <w:spacing w:val="60"/>
                <w:w w:val="100"/>
                <w:kern w:val="0"/>
                <w:sz w:val="17"/>
              </w:rPr>
            </w:pPr>
            <w:r>
              <w:rPr>
                <w:rFonts w:hint="cs"/>
                <w:w w:val="100"/>
                <w:kern w:val="0"/>
                <w:rtl/>
              </w:rPr>
              <w:tab/>
            </w:r>
            <w:r w:rsidRPr="000116C7">
              <w:rPr>
                <w:w w:val="100"/>
                <w:kern w:val="0"/>
                <w:rtl/>
              </w:rPr>
              <w:t>ثالثاً</w:t>
            </w:r>
            <w:r>
              <w:rPr>
                <w:w w:val="100"/>
                <w:kern w:val="0"/>
                <w:rtl/>
              </w:rPr>
              <w:t>-</w:t>
            </w:r>
            <w:r>
              <w:rPr>
                <w:w w:val="100"/>
                <w:kern w:val="0"/>
                <w:rtl/>
              </w:rPr>
              <w:tab/>
            </w:r>
            <w:r w:rsidRPr="000116C7">
              <w:rPr>
                <w:w w:val="100"/>
                <w:kern w:val="0"/>
                <w:rtl/>
              </w:rPr>
              <w:t>الأسباب الرئيسية للجوء المفرط إلى الإيداع في الحبس واكتظاظ السجون</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16</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ألف</w:t>
            </w:r>
            <w:r>
              <w:rPr>
                <w:w w:val="100"/>
                <w:kern w:val="0"/>
                <w:rtl/>
              </w:rPr>
              <w:tab/>
              <w:t>-</w:t>
            </w:r>
            <w:r>
              <w:rPr>
                <w:w w:val="100"/>
                <w:kern w:val="0"/>
                <w:rtl/>
              </w:rPr>
              <w:tab/>
            </w:r>
            <w:r w:rsidRPr="000116C7">
              <w:rPr>
                <w:w w:val="100"/>
                <w:kern w:val="0"/>
                <w:rtl/>
              </w:rPr>
              <w:t>أوجه القصور في نظام العدالة الجنائية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16</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باء</w:t>
            </w:r>
            <w:r>
              <w:rPr>
                <w:w w:val="100"/>
                <w:kern w:val="0"/>
                <w:rtl/>
              </w:rPr>
              <w:tab/>
              <w:t>-</w:t>
            </w:r>
            <w:r>
              <w:rPr>
                <w:w w:val="100"/>
                <w:kern w:val="0"/>
                <w:rtl/>
              </w:rPr>
              <w:tab/>
            </w:r>
            <w:r w:rsidRPr="000116C7">
              <w:rPr>
                <w:w w:val="100"/>
                <w:kern w:val="0"/>
                <w:rtl/>
              </w:rPr>
              <w:t>اللجوء المفرط إلى الاحتجاز السابق للمحاكمة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18</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جيم</w:t>
            </w:r>
            <w:r>
              <w:rPr>
                <w:w w:val="100"/>
                <w:kern w:val="0"/>
                <w:rtl/>
              </w:rPr>
              <w:tab/>
              <w:t>-</w:t>
            </w:r>
            <w:r>
              <w:rPr>
                <w:w w:val="100"/>
                <w:kern w:val="0"/>
                <w:rtl/>
              </w:rPr>
              <w:tab/>
            </w:r>
            <w:r w:rsidRPr="000116C7">
              <w:rPr>
                <w:w w:val="100"/>
                <w:kern w:val="0"/>
                <w:rtl/>
              </w:rPr>
              <w:t>عدم توفر بدائل الاحتجاز و/أو سوء إدارة هذه البدائل</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18</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دال</w:t>
            </w:r>
            <w:r>
              <w:rPr>
                <w:w w:val="100"/>
                <w:kern w:val="0"/>
                <w:rtl/>
              </w:rPr>
              <w:tab/>
              <w:t>-</w:t>
            </w:r>
            <w:r>
              <w:rPr>
                <w:w w:val="100"/>
                <w:kern w:val="0"/>
                <w:rtl/>
              </w:rPr>
              <w:tab/>
            </w:r>
            <w:r w:rsidRPr="000116C7">
              <w:rPr>
                <w:w w:val="100"/>
                <w:kern w:val="0"/>
                <w:rtl/>
              </w:rPr>
              <w:t>السياسات المتبعة في إصدار الأحكام</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19</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spacing w:val="60"/>
                <w:w w:val="100"/>
                <w:kern w:val="0"/>
                <w:sz w:val="17"/>
              </w:rPr>
            </w:pPr>
            <w:r>
              <w:rPr>
                <w:rFonts w:hint="cs"/>
                <w:w w:val="100"/>
                <w:kern w:val="0"/>
                <w:rtl/>
              </w:rPr>
              <w:tab/>
            </w:r>
            <w:r>
              <w:rPr>
                <w:w w:val="100"/>
                <w:kern w:val="0"/>
                <w:rtl/>
              </w:rPr>
              <w:tab/>
            </w:r>
            <w:r w:rsidRPr="000116C7">
              <w:rPr>
                <w:w w:val="100"/>
                <w:kern w:val="0"/>
                <w:rtl/>
              </w:rPr>
              <w:t>هاء</w:t>
            </w:r>
            <w:r>
              <w:rPr>
                <w:w w:val="100"/>
                <w:kern w:val="0"/>
                <w:rtl/>
              </w:rPr>
              <w:tab/>
              <w:t>-</w:t>
            </w:r>
            <w:r>
              <w:rPr>
                <w:w w:val="100"/>
                <w:kern w:val="0"/>
                <w:rtl/>
              </w:rPr>
              <w:tab/>
            </w:r>
            <w:r w:rsidRPr="000116C7">
              <w:rPr>
                <w:w w:val="100"/>
                <w:kern w:val="0"/>
                <w:rtl/>
              </w:rPr>
              <w:t>نقص الرقابة على أماكن الاحتجاز</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20</w:t>
            </w:r>
          </w:p>
        </w:tc>
      </w:tr>
      <w:tr w:rsidR="00F907B4" w:rsidRPr="005A1EB0" w:rsidTr="00076B9E">
        <w:trPr>
          <w:trHeight w:val="411"/>
        </w:trPr>
        <w:tc>
          <w:tcPr>
            <w:tcW w:w="9029" w:type="dxa"/>
            <w:gridSpan w:val="3"/>
            <w:shd w:val="clear" w:color="auto" w:fill="auto"/>
          </w:tcPr>
          <w:p w:rsidR="00F907B4" w:rsidRPr="00F907B4" w:rsidRDefault="00F907B4" w:rsidP="00F907B4">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jc w:val="left"/>
              <w:rPr>
                <w:spacing w:val="-4"/>
                <w:w w:val="100"/>
                <w:kern w:val="0"/>
                <w:sz w:val="17"/>
              </w:rPr>
            </w:pPr>
            <w:r w:rsidRPr="00F907B4">
              <w:rPr>
                <w:rFonts w:hint="cs"/>
                <w:spacing w:val="-4"/>
                <w:w w:val="100"/>
                <w:kern w:val="0"/>
                <w:rtl/>
              </w:rPr>
              <w:tab/>
            </w:r>
            <w:r w:rsidRPr="00F907B4">
              <w:rPr>
                <w:spacing w:val="-4"/>
                <w:w w:val="100"/>
                <w:kern w:val="0"/>
                <w:rtl/>
              </w:rPr>
              <w:t>رابعاً-</w:t>
            </w:r>
            <w:r w:rsidRPr="00F907B4">
              <w:rPr>
                <w:spacing w:val="-4"/>
                <w:w w:val="100"/>
                <w:kern w:val="0"/>
                <w:rtl/>
              </w:rPr>
              <w:tab/>
              <w:t>معالجة مشكلة اللجوء المفرط إلى الإيداع في الحبس واكتظاظ السجون وآثارها على حقوق الإنسان</w:t>
            </w:r>
            <w:r>
              <w:rPr>
                <w:spacing w:val="60"/>
                <w:w w:val="100"/>
                <w:kern w:val="0"/>
                <w:sz w:val="17"/>
                <w:rtl/>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21</w:t>
            </w:r>
          </w:p>
        </w:tc>
      </w:tr>
      <w:tr w:rsidR="00F907B4" w:rsidRPr="005A1EB0" w:rsidTr="00076B9E">
        <w:trPr>
          <w:trHeight w:val="424"/>
        </w:trPr>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spacing w:val="60"/>
                <w:w w:val="100"/>
                <w:kern w:val="0"/>
                <w:sz w:val="17"/>
              </w:rPr>
            </w:pPr>
            <w:r>
              <w:rPr>
                <w:w w:val="100"/>
                <w:kern w:val="0"/>
                <w:rtl/>
              </w:rPr>
              <w:tab/>
            </w:r>
            <w:r>
              <w:rPr>
                <w:rFonts w:hint="cs"/>
                <w:w w:val="100"/>
                <w:kern w:val="0"/>
                <w:rtl/>
              </w:rPr>
              <w:tab/>
            </w:r>
            <w:r w:rsidRPr="000116C7">
              <w:rPr>
                <w:w w:val="100"/>
                <w:kern w:val="0"/>
                <w:rtl/>
              </w:rPr>
              <w:t>ألف</w:t>
            </w:r>
            <w:r>
              <w:rPr>
                <w:w w:val="100"/>
                <w:kern w:val="0"/>
                <w:rtl/>
              </w:rPr>
              <w:tab/>
              <w:t>-</w:t>
            </w:r>
            <w:r>
              <w:rPr>
                <w:w w:val="100"/>
                <w:kern w:val="0"/>
                <w:rtl/>
              </w:rPr>
              <w:tab/>
            </w:r>
            <w:r w:rsidRPr="000116C7">
              <w:rPr>
                <w:w w:val="100"/>
                <w:kern w:val="0"/>
                <w:rtl/>
              </w:rPr>
              <w:t>الحاجة إلى نهج استباقي وشامل</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21</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jc w:val="left"/>
              <w:rPr>
                <w:spacing w:val="60"/>
                <w:w w:val="100"/>
                <w:kern w:val="0"/>
                <w:sz w:val="17"/>
              </w:rPr>
            </w:pPr>
            <w:r>
              <w:rPr>
                <w:w w:val="100"/>
                <w:kern w:val="0"/>
                <w:rtl/>
              </w:rPr>
              <w:tab/>
            </w:r>
            <w:r>
              <w:rPr>
                <w:rFonts w:hint="cs"/>
                <w:w w:val="100"/>
                <w:kern w:val="0"/>
                <w:rtl/>
              </w:rPr>
              <w:tab/>
            </w:r>
            <w:r w:rsidRPr="000116C7">
              <w:rPr>
                <w:w w:val="100"/>
                <w:kern w:val="0"/>
                <w:rtl/>
              </w:rPr>
              <w:t>باء</w:t>
            </w:r>
            <w:r>
              <w:rPr>
                <w:w w:val="100"/>
                <w:kern w:val="0"/>
                <w:rtl/>
              </w:rPr>
              <w:tab/>
              <w:t>-</w:t>
            </w:r>
            <w:r>
              <w:rPr>
                <w:w w:val="100"/>
                <w:kern w:val="0"/>
                <w:rtl/>
              </w:rPr>
              <w:tab/>
            </w:r>
            <w:r w:rsidRPr="000116C7">
              <w:rPr>
                <w:w w:val="100"/>
                <w:kern w:val="0"/>
                <w:rtl/>
              </w:rPr>
              <w:t>الحق في الطعن في إجراء الاحتجاز والاستعانة بمحامٍ وتلقي المساعدة القانونية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22</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jc w:val="left"/>
              <w:rPr>
                <w:spacing w:val="60"/>
                <w:w w:val="100"/>
                <w:kern w:val="0"/>
                <w:sz w:val="17"/>
              </w:rPr>
            </w:pPr>
            <w:r>
              <w:rPr>
                <w:w w:val="100"/>
                <w:kern w:val="0"/>
                <w:rtl/>
              </w:rPr>
              <w:tab/>
            </w:r>
            <w:r>
              <w:rPr>
                <w:rFonts w:hint="cs"/>
                <w:w w:val="100"/>
                <w:kern w:val="0"/>
                <w:rtl/>
              </w:rPr>
              <w:tab/>
            </w:r>
            <w:r w:rsidRPr="000116C7">
              <w:rPr>
                <w:w w:val="100"/>
                <w:kern w:val="0"/>
                <w:rtl/>
              </w:rPr>
              <w:t>جيم</w:t>
            </w:r>
            <w:r>
              <w:rPr>
                <w:w w:val="100"/>
                <w:kern w:val="0"/>
                <w:rtl/>
              </w:rPr>
              <w:tab/>
              <w:t>-</w:t>
            </w:r>
            <w:r>
              <w:rPr>
                <w:w w:val="100"/>
                <w:kern w:val="0"/>
                <w:rtl/>
              </w:rPr>
              <w:tab/>
            </w:r>
            <w:r w:rsidRPr="000116C7">
              <w:rPr>
                <w:w w:val="100"/>
                <w:kern w:val="0"/>
                <w:rtl/>
              </w:rPr>
              <w:t>الاستخدام الملائم لأماكن الاحتجاز</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23</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w w:val="100"/>
                <w:kern w:val="0"/>
                <w:sz w:val="17"/>
              </w:rPr>
            </w:pPr>
            <w:r>
              <w:rPr>
                <w:w w:val="100"/>
                <w:kern w:val="0"/>
                <w:rtl/>
              </w:rPr>
              <w:tab/>
            </w:r>
            <w:r>
              <w:rPr>
                <w:rFonts w:hint="cs"/>
                <w:w w:val="100"/>
                <w:kern w:val="0"/>
                <w:rtl/>
              </w:rPr>
              <w:tab/>
            </w:r>
            <w:r w:rsidRPr="000116C7">
              <w:rPr>
                <w:w w:val="100"/>
                <w:kern w:val="0"/>
                <w:rtl/>
              </w:rPr>
              <w:t>دال</w:t>
            </w:r>
            <w:r>
              <w:rPr>
                <w:w w:val="100"/>
                <w:kern w:val="0"/>
                <w:rtl/>
              </w:rPr>
              <w:tab/>
              <w:t>-</w:t>
            </w:r>
            <w:r>
              <w:rPr>
                <w:w w:val="100"/>
                <w:kern w:val="0"/>
                <w:rtl/>
              </w:rPr>
              <w:tab/>
            </w:r>
            <w:r w:rsidRPr="000116C7">
              <w:rPr>
                <w:w w:val="100"/>
                <w:kern w:val="0"/>
                <w:rtl/>
              </w:rPr>
              <w:t>اللجوء إلى الاحتجاز السابق للمحاكمة كملاذ أخير</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24</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هاء</w:t>
            </w:r>
            <w:r>
              <w:rPr>
                <w:w w:val="100"/>
                <w:kern w:val="0"/>
                <w:rtl/>
              </w:rPr>
              <w:tab/>
              <w:t>-</w:t>
            </w:r>
            <w:r>
              <w:rPr>
                <w:w w:val="100"/>
                <w:kern w:val="0"/>
                <w:rtl/>
              </w:rPr>
              <w:tab/>
            </w:r>
            <w:r w:rsidRPr="000116C7">
              <w:rPr>
                <w:w w:val="100"/>
                <w:kern w:val="0"/>
                <w:rtl/>
              </w:rPr>
              <w:t>بدائل التدابير الاحتجازية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25</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واو</w:t>
            </w:r>
            <w:r>
              <w:rPr>
                <w:w w:val="100"/>
                <w:kern w:val="0"/>
                <w:rtl/>
              </w:rPr>
              <w:tab/>
              <w:t>-</w:t>
            </w:r>
            <w:r>
              <w:rPr>
                <w:w w:val="100"/>
                <w:kern w:val="0"/>
                <w:rtl/>
              </w:rPr>
              <w:tab/>
            </w:r>
            <w:r w:rsidRPr="000116C7">
              <w:rPr>
                <w:w w:val="100"/>
                <w:kern w:val="0"/>
                <w:rtl/>
              </w:rPr>
              <w:t>فرض عقوبة متناسبة مع الجرم</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26</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jc w:val="left"/>
              <w:rPr>
                <w:spacing w:val="60"/>
                <w:w w:val="100"/>
                <w:kern w:val="0"/>
                <w:sz w:val="17"/>
              </w:rPr>
            </w:pPr>
            <w:r>
              <w:rPr>
                <w:rFonts w:hint="cs"/>
                <w:w w:val="100"/>
                <w:kern w:val="0"/>
                <w:rtl/>
              </w:rPr>
              <w:tab/>
            </w:r>
            <w:r>
              <w:rPr>
                <w:w w:val="100"/>
                <w:kern w:val="0"/>
                <w:rtl/>
              </w:rPr>
              <w:tab/>
            </w:r>
            <w:r w:rsidRPr="000116C7">
              <w:rPr>
                <w:w w:val="100"/>
                <w:kern w:val="0"/>
                <w:rtl/>
              </w:rPr>
              <w:t>زاي</w:t>
            </w:r>
            <w:r>
              <w:rPr>
                <w:w w:val="100"/>
                <w:kern w:val="0"/>
                <w:rtl/>
              </w:rPr>
              <w:tab/>
              <w:t>-</w:t>
            </w:r>
            <w:r>
              <w:rPr>
                <w:w w:val="100"/>
                <w:kern w:val="0"/>
                <w:rtl/>
              </w:rPr>
              <w:tab/>
            </w:r>
            <w:r w:rsidRPr="000116C7">
              <w:rPr>
                <w:w w:val="100"/>
                <w:kern w:val="0"/>
                <w:rtl/>
              </w:rPr>
              <w:t>إعادة التأهيل وخفض معدلات العودة إلى ارتكاب الجريمة</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27</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jc w:val="left"/>
              <w:rPr>
                <w:spacing w:val="60"/>
                <w:w w:val="100"/>
                <w:kern w:val="0"/>
                <w:sz w:val="17"/>
              </w:rPr>
            </w:pPr>
            <w:r>
              <w:rPr>
                <w:rFonts w:hint="cs"/>
                <w:w w:val="100"/>
                <w:kern w:val="0"/>
                <w:rtl/>
              </w:rPr>
              <w:tab/>
            </w:r>
            <w:r>
              <w:rPr>
                <w:w w:val="100"/>
                <w:kern w:val="0"/>
                <w:rtl/>
              </w:rPr>
              <w:tab/>
            </w:r>
            <w:r w:rsidRPr="000116C7">
              <w:rPr>
                <w:w w:val="100"/>
                <w:kern w:val="0"/>
                <w:rtl/>
              </w:rPr>
              <w:t>حاء</w:t>
            </w:r>
            <w:r>
              <w:rPr>
                <w:w w:val="100"/>
                <w:kern w:val="0"/>
                <w:rtl/>
              </w:rPr>
              <w:tab/>
              <w:t>-</w:t>
            </w:r>
            <w:r>
              <w:rPr>
                <w:w w:val="100"/>
                <w:kern w:val="0"/>
                <w:rtl/>
              </w:rPr>
              <w:tab/>
            </w:r>
            <w:r w:rsidRPr="000116C7">
              <w:rPr>
                <w:w w:val="100"/>
                <w:kern w:val="0"/>
                <w:rtl/>
              </w:rPr>
              <w:t>آليات الرقابة وتقديم الشكاوى</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27</w:t>
            </w:r>
          </w:p>
        </w:tc>
      </w:tr>
      <w:tr w:rsidR="00F907B4" w:rsidRPr="005A1EB0" w:rsidTr="00076B9E">
        <w:tc>
          <w:tcPr>
            <w:tcW w:w="9029" w:type="dxa"/>
            <w:gridSpan w:val="3"/>
            <w:shd w:val="clear" w:color="auto" w:fill="auto"/>
          </w:tcPr>
          <w:p w:rsidR="00F907B4" w:rsidRPr="002061DC" w:rsidRDefault="00F907B4" w:rsidP="00076B9E">
            <w:pPr>
              <w:tabs>
                <w:tab w:val="right" w:pos="1080"/>
                <w:tab w:val="left" w:pos="1296"/>
                <w:tab w:val="left" w:pos="1728"/>
                <w:tab w:val="left" w:pos="2160"/>
                <w:tab w:val="right" w:leader="dot" w:pos="9029"/>
              </w:tabs>
              <w:jc w:val="left"/>
              <w:rPr>
                <w:spacing w:val="60"/>
                <w:w w:val="100"/>
                <w:kern w:val="0"/>
                <w:sz w:val="17"/>
              </w:rPr>
            </w:pPr>
            <w:r>
              <w:rPr>
                <w:rFonts w:hint="cs"/>
                <w:w w:val="100"/>
                <w:kern w:val="0"/>
                <w:rtl/>
              </w:rPr>
              <w:tab/>
            </w:r>
            <w:r w:rsidRPr="000116C7">
              <w:rPr>
                <w:w w:val="100"/>
                <w:kern w:val="0"/>
                <w:rtl/>
              </w:rPr>
              <w:t>خامساً</w:t>
            </w:r>
            <w:r>
              <w:rPr>
                <w:w w:val="100"/>
                <w:kern w:val="0"/>
                <w:rtl/>
              </w:rPr>
              <w:t>-</w:t>
            </w:r>
            <w:r>
              <w:rPr>
                <w:w w:val="100"/>
                <w:kern w:val="0"/>
                <w:rtl/>
              </w:rPr>
              <w:tab/>
            </w:r>
            <w:r w:rsidRPr="000116C7">
              <w:rPr>
                <w:w w:val="100"/>
                <w:kern w:val="0"/>
                <w:rtl/>
              </w:rPr>
              <w:t>الاستنتاجات</w:t>
            </w:r>
            <w:r>
              <w:rPr>
                <w:spacing w:val="60"/>
                <w:w w:val="100"/>
                <w:kern w:val="0"/>
                <w:sz w:val="17"/>
              </w:rPr>
              <w:tab/>
            </w:r>
          </w:p>
        </w:tc>
        <w:tc>
          <w:tcPr>
            <w:tcW w:w="806" w:type="dxa"/>
            <w:shd w:val="clear" w:color="auto" w:fill="auto"/>
          </w:tcPr>
          <w:p w:rsidR="00F907B4" w:rsidRPr="000116C7" w:rsidRDefault="00F907B4" w:rsidP="00076B9E">
            <w:pPr>
              <w:jc w:val="right"/>
              <w:rPr>
                <w:w w:val="100"/>
                <w:kern w:val="0"/>
                <w:sz w:val="30"/>
                <w:rtl/>
              </w:rPr>
            </w:pPr>
            <w:r w:rsidRPr="000116C7">
              <w:rPr>
                <w:w w:val="100"/>
                <w:kern w:val="0"/>
                <w:sz w:val="30"/>
                <w:rtl/>
              </w:rPr>
              <w:t>28</w:t>
            </w:r>
          </w:p>
        </w:tc>
      </w:tr>
    </w:tbl>
    <w:p w:rsidR="00F907B4" w:rsidRPr="000116C7" w:rsidRDefault="00F907B4" w:rsidP="00F907B4">
      <w:pPr>
        <w:bidi w:val="0"/>
        <w:spacing w:line="240" w:lineRule="auto"/>
        <w:jc w:val="left"/>
        <w:rPr>
          <w:w w:val="100"/>
          <w:rtl/>
        </w:rPr>
      </w:pPr>
    </w:p>
    <w:p w:rsidR="00E632BD" w:rsidRPr="005A1EB0" w:rsidRDefault="00E632BD" w:rsidP="000116C7">
      <w:pPr>
        <w:bidi w:val="0"/>
        <w:spacing w:line="240" w:lineRule="auto"/>
        <w:jc w:val="left"/>
        <w:rPr>
          <w:b/>
          <w:bCs/>
          <w:spacing w:val="-2"/>
          <w:w w:val="100"/>
          <w:kern w:val="0"/>
          <w:sz w:val="28"/>
          <w:szCs w:val="38"/>
        </w:rPr>
      </w:pPr>
      <w:r w:rsidRPr="005A1EB0">
        <w:rPr>
          <w:w w:val="100"/>
          <w:kern w:val="0"/>
          <w:rtl/>
        </w:rPr>
        <w:br w:type="page"/>
      </w:r>
    </w:p>
    <w:p w:rsidR="00CE0006" w:rsidRPr="005A1EB0" w:rsidRDefault="00082408" w:rsidP="0008240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lastRenderedPageBreak/>
        <w:tab/>
      </w:r>
      <w:bookmarkStart w:id="10" w:name="_Toc430010367"/>
      <w:r w:rsidR="00CE0006" w:rsidRPr="005A1EB0">
        <w:rPr>
          <w:rFonts w:hint="cs"/>
          <w:w w:val="100"/>
          <w:kern w:val="0"/>
          <w:rtl/>
        </w:rPr>
        <w:t>أولاً-</w:t>
      </w:r>
      <w:r w:rsidR="00CE0006" w:rsidRPr="005A1EB0">
        <w:rPr>
          <w:rFonts w:hint="cs"/>
          <w:w w:val="100"/>
          <w:kern w:val="0"/>
          <w:rtl/>
        </w:rPr>
        <w:tab/>
        <w:t>مقدمة</w:t>
      </w:r>
      <w:bookmarkEnd w:id="10"/>
    </w:p>
    <w:p w:rsidR="00082408" w:rsidRPr="005A1EB0" w:rsidRDefault="00082408" w:rsidP="00082408">
      <w:pPr>
        <w:pStyle w:val="SingleTxt"/>
        <w:spacing w:after="0" w:line="120" w:lineRule="exact"/>
        <w:rPr>
          <w:w w:val="100"/>
          <w:kern w:val="0"/>
          <w:sz w:val="10"/>
          <w:rtl/>
        </w:rPr>
      </w:pPr>
    </w:p>
    <w:p w:rsidR="00CE0006" w:rsidRPr="005A1EB0" w:rsidRDefault="00CE0006" w:rsidP="00F907B4">
      <w:pPr>
        <w:pStyle w:val="SingleTxt"/>
        <w:spacing w:line="380" w:lineRule="exact"/>
        <w:rPr>
          <w:w w:val="100"/>
          <w:kern w:val="0"/>
          <w:sz w:val="30"/>
          <w:rtl/>
        </w:rPr>
      </w:pPr>
      <w:r w:rsidRPr="005A1EB0">
        <w:rPr>
          <w:rFonts w:hint="cs"/>
          <w:w w:val="100"/>
          <w:kern w:val="0"/>
          <w:sz w:val="30"/>
          <w:rtl/>
        </w:rPr>
        <w:t>1-</w:t>
      </w:r>
      <w:r w:rsidRPr="005A1EB0">
        <w:rPr>
          <w:rFonts w:hint="cs"/>
          <w:w w:val="100"/>
          <w:kern w:val="0"/>
          <w:sz w:val="30"/>
          <w:rtl/>
        </w:rPr>
        <w:tab/>
        <w:t>إنّ أوّل الحقوق الأساسية التي نصّ عليها الإعلان العالمي لحقوق الإنسان</w:t>
      </w:r>
      <w:r w:rsidR="00082408" w:rsidRPr="005A1EB0">
        <w:rPr>
          <w:rFonts w:hint="cs"/>
          <w:w w:val="100"/>
          <w:kern w:val="0"/>
          <w:sz w:val="30"/>
          <w:rtl/>
        </w:rPr>
        <w:t>،</w:t>
      </w:r>
      <w:r w:rsidRPr="005A1EB0">
        <w:rPr>
          <w:rFonts w:hint="cs"/>
          <w:w w:val="100"/>
          <w:kern w:val="0"/>
          <w:sz w:val="30"/>
          <w:rtl/>
        </w:rPr>
        <w:t xml:space="preserve"> في </w:t>
      </w:r>
      <w:r w:rsidR="00082408" w:rsidRPr="005A1EB0">
        <w:rPr>
          <w:rFonts w:hint="cs"/>
          <w:w w:val="100"/>
          <w:kern w:val="0"/>
          <w:sz w:val="30"/>
          <w:rtl/>
        </w:rPr>
        <w:t xml:space="preserve">المادة 3 منه، </w:t>
      </w:r>
      <w:r w:rsidRPr="005A1EB0">
        <w:rPr>
          <w:rFonts w:hint="cs"/>
          <w:w w:val="100"/>
          <w:kern w:val="0"/>
          <w:sz w:val="30"/>
          <w:rtl/>
        </w:rPr>
        <w:t xml:space="preserve">هو </w:t>
      </w:r>
      <w:r w:rsidRPr="005A1EB0">
        <w:rPr>
          <w:w w:val="100"/>
          <w:kern w:val="0"/>
          <w:sz w:val="30"/>
          <w:rtl/>
        </w:rPr>
        <w:t xml:space="preserve">حق </w:t>
      </w:r>
      <w:r w:rsidRPr="005A1EB0">
        <w:rPr>
          <w:rFonts w:hint="cs"/>
          <w:w w:val="100"/>
          <w:kern w:val="0"/>
          <w:sz w:val="30"/>
          <w:rtl/>
        </w:rPr>
        <w:t xml:space="preserve">الفرد </w:t>
      </w:r>
      <w:r w:rsidRPr="005A1EB0">
        <w:rPr>
          <w:w w:val="100"/>
          <w:kern w:val="0"/>
          <w:sz w:val="30"/>
          <w:rtl/>
        </w:rPr>
        <w:t>في الحياة والحرية وفى الأمان على شخصه</w:t>
      </w:r>
      <w:r w:rsidRPr="005A1EB0">
        <w:rPr>
          <w:rFonts w:hint="cs"/>
          <w:w w:val="100"/>
          <w:kern w:val="0"/>
          <w:sz w:val="30"/>
          <w:rtl/>
        </w:rPr>
        <w:t>.</w:t>
      </w:r>
      <w:r w:rsidRPr="005A1EB0">
        <w:rPr>
          <w:w w:val="100"/>
          <w:kern w:val="0"/>
          <w:sz w:val="30"/>
          <w:rtl/>
        </w:rPr>
        <w:t xml:space="preserve"> </w:t>
      </w:r>
      <w:r w:rsidRPr="005A1EB0">
        <w:rPr>
          <w:rFonts w:hint="cs"/>
          <w:w w:val="100"/>
          <w:kern w:val="0"/>
          <w:sz w:val="30"/>
          <w:rtl/>
        </w:rPr>
        <w:t>وعلى نحو ما أكّدته اللجنة المعنية بحقوق الإنسان</w:t>
      </w:r>
      <w:r w:rsidR="00082408" w:rsidRPr="005A1EB0">
        <w:rPr>
          <w:rFonts w:hint="cs"/>
          <w:w w:val="100"/>
          <w:kern w:val="0"/>
          <w:sz w:val="30"/>
          <w:rtl/>
        </w:rPr>
        <w:t>،</w:t>
      </w:r>
      <w:r w:rsidRPr="005A1EB0">
        <w:rPr>
          <w:rFonts w:hint="cs"/>
          <w:w w:val="100"/>
          <w:kern w:val="0"/>
          <w:sz w:val="30"/>
          <w:rtl/>
        </w:rPr>
        <w:t xml:space="preserve"> في الفقرة 2 من تعليقها العام رقم 35 على المادة 9 من العهد الدولي الخاص بالحقوق المدنية والسياسية، فإن </w:t>
      </w:r>
      <w:r w:rsidR="00082408" w:rsidRPr="005A1EB0">
        <w:rPr>
          <w:rFonts w:hint="cs"/>
          <w:w w:val="100"/>
          <w:kern w:val="0"/>
          <w:sz w:val="30"/>
          <w:rtl/>
        </w:rPr>
        <w:t xml:space="preserve">الحق في الحرية وفي الأمن </w:t>
      </w:r>
      <w:r w:rsidRPr="005A1EB0">
        <w:rPr>
          <w:w w:val="100"/>
          <w:kern w:val="0"/>
          <w:sz w:val="30"/>
          <w:rtl/>
        </w:rPr>
        <w:t xml:space="preserve">الشخصي </w:t>
      </w:r>
      <w:r w:rsidR="00082408" w:rsidRPr="005A1EB0">
        <w:rPr>
          <w:rFonts w:hint="cs"/>
          <w:w w:val="100"/>
          <w:kern w:val="0"/>
          <w:sz w:val="30"/>
          <w:rtl/>
        </w:rPr>
        <w:t xml:space="preserve">حق ذو </w:t>
      </w:r>
      <w:r w:rsidRPr="005A1EB0">
        <w:rPr>
          <w:w w:val="100"/>
          <w:kern w:val="0"/>
          <w:sz w:val="30"/>
          <w:rtl/>
        </w:rPr>
        <w:t xml:space="preserve">قيمة عالية في حد </w:t>
      </w:r>
      <w:r w:rsidR="00082408" w:rsidRPr="005A1EB0">
        <w:rPr>
          <w:rFonts w:hint="cs"/>
          <w:w w:val="100"/>
          <w:kern w:val="0"/>
          <w:sz w:val="30"/>
          <w:rtl/>
        </w:rPr>
        <w:t xml:space="preserve">ذاته، وكذلك لأن </w:t>
      </w:r>
      <w:r w:rsidRPr="005A1EB0">
        <w:rPr>
          <w:w w:val="100"/>
          <w:kern w:val="0"/>
          <w:sz w:val="30"/>
          <w:rtl/>
        </w:rPr>
        <w:t>سلب الحرية وانعدام الأمن الشخصي يشكلان وسيلتين أساسيتين است</w:t>
      </w:r>
      <w:r w:rsidRPr="005A1EB0">
        <w:rPr>
          <w:rFonts w:hint="cs"/>
          <w:w w:val="100"/>
          <w:kern w:val="0"/>
          <w:sz w:val="30"/>
          <w:rtl/>
        </w:rPr>
        <w:t>ُ</w:t>
      </w:r>
      <w:r w:rsidRPr="005A1EB0">
        <w:rPr>
          <w:w w:val="100"/>
          <w:kern w:val="0"/>
          <w:sz w:val="30"/>
          <w:rtl/>
        </w:rPr>
        <w:t>خدمتا على مر العصور لإعاقة التمتع بالحقوق الأخرى</w:t>
      </w:r>
      <w:r w:rsidRPr="005A1EB0">
        <w:rPr>
          <w:rStyle w:val="FootnoteReference"/>
          <w:color w:val="auto"/>
          <w:w w:val="100"/>
          <w:kern w:val="0"/>
          <w:sz w:val="30"/>
          <w:szCs w:val="30"/>
          <w:rtl/>
        </w:rPr>
        <w:footnoteReference w:customMarkFollows="1" w:id="1"/>
        <w:t>(1)</w:t>
      </w:r>
      <w:r w:rsidR="00082408" w:rsidRPr="005A1EB0">
        <w:rPr>
          <w:rStyle w:val="FootnoteReference"/>
          <w:rFonts w:hint="cs"/>
          <w:color w:val="auto"/>
          <w:w w:val="100"/>
          <w:kern w:val="0"/>
          <w:sz w:val="30"/>
          <w:szCs w:val="30"/>
          <w:vertAlign w:val="baseline"/>
          <w:rtl/>
        </w:rPr>
        <w:t>.</w:t>
      </w:r>
    </w:p>
    <w:p w:rsidR="00CE0006" w:rsidRPr="005A1EB0" w:rsidRDefault="00CE0006" w:rsidP="00F907B4">
      <w:pPr>
        <w:pStyle w:val="SingleTxt"/>
        <w:spacing w:line="380" w:lineRule="exact"/>
        <w:rPr>
          <w:w w:val="100"/>
          <w:kern w:val="0"/>
          <w:sz w:val="30"/>
          <w:lang w:val="en-CA"/>
        </w:rPr>
      </w:pPr>
      <w:r w:rsidRPr="005A1EB0">
        <w:rPr>
          <w:rFonts w:hint="cs"/>
          <w:w w:val="100"/>
          <w:kern w:val="0"/>
          <w:sz w:val="30"/>
          <w:rtl/>
          <w:lang w:val="en-CA"/>
        </w:rPr>
        <w:t>2-</w:t>
      </w:r>
      <w:r w:rsidRPr="005A1EB0">
        <w:rPr>
          <w:rFonts w:hint="cs"/>
          <w:w w:val="100"/>
          <w:kern w:val="0"/>
          <w:sz w:val="30"/>
          <w:rtl/>
          <w:lang w:val="en-CA"/>
        </w:rPr>
        <w:tab/>
        <w:t xml:space="preserve">ومع أنّ حق الفرد في الحرية ليس حقاً مطلقاً، </w:t>
      </w:r>
      <w:r w:rsidRPr="005A1EB0">
        <w:rPr>
          <w:w w:val="100"/>
          <w:kern w:val="0"/>
          <w:sz w:val="30"/>
          <w:rtl/>
        </w:rPr>
        <w:t>لا يجوز سلب الحرية تعسفاً، ويجب أن يراعى في تنفيذه احترام سيادة القانون</w:t>
      </w:r>
      <w:r w:rsidRPr="005A1EB0">
        <w:rPr>
          <w:rStyle w:val="FootnoteReference"/>
          <w:color w:val="auto"/>
          <w:w w:val="100"/>
          <w:kern w:val="0"/>
          <w:sz w:val="30"/>
          <w:szCs w:val="30"/>
          <w:rtl/>
        </w:rPr>
        <w:footnoteReference w:customMarkFollows="1" w:id="2"/>
        <w:t>(2)</w:t>
      </w:r>
      <w:r w:rsidR="00082408" w:rsidRPr="005A1EB0">
        <w:rPr>
          <w:rFonts w:hint="cs"/>
          <w:w w:val="100"/>
          <w:kern w:val="0"/>
          <w:sz w:val="30"/>
          <w:rtl/>
        </w:rPr>
        <w:t>.</w:t>
      </w:r>
      <w:r w:rsidRPr="005A1EB0">
        <w:rPr>
          <w:rFonts w:hint="cs"/>
          <w:w w:val="100"/>
          <w:kern w:val="0"/>
          <w:sz w:val="30"/>
          <w:rtl/>
        </w:rPr>
        <w:t xml:space="preserve"> وكما أكّده مجلس حقوق الإنسان في قراره 24/12، يحتفظ المحتجزون بجميع حقوق الإنسان والحريات الأساسية، </w:t>
      </w:r>
      <w:r w:rsidRPr="005A1EB0">
        <w:rPr>
          <w:w w:val="100"/>
          <w:kern w:val="0"/>
          <w:sz w:val="30"/>
          <w:rtl/>
        </w:rPr>
        <w:t>باستثناء القيود القانونية التي يقتضيها بشكل بيّن تطبيق إجراءات الحبس</w:t>
      </w:r>
      <w:r w:rsidRPr="005A1EB0">
        <w:rPr>
          <w:rFonts w:hint="cs"/>
          <w:w w:val="100"/>
          <w:kern w:val="0"/>
          <w:sz w:val="30"/>
          <w:rtl/>
        </w:rPr>
        <w:t>.</w:t>
      </w:r>
    </w:p>
    <w:p w:rsidR="00CE0006" w:rsidRPr="005A1EB0" w:rsidRDefault="00CE0006" w:rsidP="00F907B4">
      <w:pPr>
        <w:pStyle w:val="SingleTxt"/>
        <w:spacing w:line="380" w:lineRule="exact"/>
        <w:rPr>
          <w:w w:val="100"/>
          <w:kern w:val="0"/>
          <w:sz w:val="30"/>
        </w:rPr>
      </w:pPr>
      <w:r w:rsidRPr="005A1EB0">
        <w:rPr>
          <w:rFonts w:hint="cs"/>
          <w:w w:val="100"/>
          <w:kern w:val="0"/>
          <w:sz w:val="30"/>
          <w:rtl/>
        </w:rPr>
        <w:t>3-</w:t>
      </w:r>
      <w:r w:rsidRPr="005A1EB0">
        <w:rPr>
          <w:rFonts w:hint="cs"/>
          <w:w w:val="100"/>
          <w:kern w:val="0"/>
          <w:sz w:val="30"/>
          <w:rtl/>
        </w:rPr>
        <w:tab/>
        <w:t>و</w:t>
      </w:r>
      <w:r w:rsidR="00082408" w:rsidRPr="005A1EB0">
        <w:rPr>
          <w:rFonts w:hint="cs"/>
          <w:w w:val="100"/>
          <w:kern w:val="0"/>
          <w:sz w:val="30"/>
          <w:rtl/>
        </w:rPr>
        <w:t xml:space="preserve">تشير إحصاءات حديثة إلى أن هناك </w:t>
      </w:r>
      <w:r w:rsidRPr="005A1EB0">
        <w:rPr>
          <w:rFonts w:hint="cs"/>
          <w:w w:val="100"/>
          <w:kern w:val="0"/>
          <w:sz w:val="30"/>
          <w:rtl/>
        </w:rPr>
        <w:t>أكثر من 10</w:t>
      </w:r>
      <w:r w:rsidR="001409A1" w:rsidRPr="005A1EB0">
        <w:rPr>
          <w:rFonts w:hint="cs"/>
          <w:w w:val="100"/>
          <w:kern w:val="0"/>
          <w:sz w:val="30"/>
          <w:rtl/>
        </w:rPr>
        <w:t>.</w:t>
      </w:r>
      <w:r w:rsidRPr="005A1EB0">
        <w:rPr>
          <w:rFonts w:hint="cs"/>
          <w:w w:val="100"/>
          <w:kern w:val="0"/>
          <w:sz w:val="30"/>
          <w:rtl/>
        </w:rPr>
        <w:t xml:space="preserve">2 مليون شخص </w:t>
      </w:r>
      <w:r w:rsidR="00082408" w:rsidRPr="005A1EB0">
        <w:rPr>
          <w:rFonts w:hint="cs"/>
          <w:w w:val="100"/>
          <w:kern w:val="0"/>
          <w:sz w:val="30"/>
          <w:rtl/>
        </w:rPr>
        <w:t>في مختلف أنحاء العالم مسلوبو الحرية</w:t>
      </w:r>
      <w:r w:rsidRPr="005A1EB0">
        <w:rPr>
          <w:rStyle w:val="FootnoteReference"/>
          <w:color w:val="auto"/>
          <w:w w:val="100"/>
          <w:kern w:val="0"/>
          <w:sz w:val="30"/>
          <w:szCs w:val="30"/>
          <w:rtl/>
        </w:rPr>
        <w:footnoteReference w:customMarkFollows="1" w:id="3"/>
        <w:t>(3)</w:t>
      </w:r>
      <w:r w:rsidR="00082408" w:rsidRPr="005A1EB0">
        <w:rPr>
          <w:rFonts w:hint="cs"/>
          <w:w w:val="100"/>
          <w:kern w:val="0"/>
          <w:sz w:val="30"/>
          <w:rtl/>
        </w:rPr>
        <w:t>،</w:t>
      </w:r>
      <w:r w:rsidRPr="005A1EB0">
        <w:rPr>
          <w:rFonts w:hint="cs"/>
          <w:w w:val="100"/>
          <w:kern w:val="0"/>
          <w:sz w:val="30"/>
          <w:rtl/>
        </w:rPr>
        <w:t xml:space="preserve"> ومن بينهم نحو 3 ملايين شخص ينتظرون محاكمتهم</w:t>
      </w:r>
      <w:r w:rsidRPr="005A1EB0">
        <w:rPr>
          <w:rStyle w:val="FootnoteReference"/>
          <w:color w:val="auto"/>
          <w:w w:val="100"/>
          <w:kern w:val="0"/>
          <w:sz w:val="30"/>
          <w:szCs w:val="30"/>
          <w:rtl/>
        </w:rPr>
        <w:footnoteReference w:customMarkFollows="1" w:id="4"/>
        <w:t>(4)</w:t>
      </w:r>
      <w:r w:rsidR="00082408" w:rsidRPr="005A1EB0">
        <w:rPr>
          <w:rFonts w:hint="cs"/>
          <w:w w:val="100"/>
          <w:kern w:val="0"/>
          <w:sz w:val="30"/>
          <w:rtl/>
        </w:rPr>
        <w:t>.</w:t>
      </w:r>
      <w:r w:rsidRPr="005A1EB0">
        <w:rPr>
          <w:rFonts w:hint="cs"/>
          <w:w w:val="100"/>
          <w:kern w:val="0"/>
          <w:sz w:val="30"/>
          <w:rtl/>
        </w:rPr>
        <w:t xml:space="preserve"> وتُظهِر البيانات أيضاً أن عدد السجناء يتجاوز ما يمكن أن تستوعبه السجون رسمياً في ما لا يقل عن 114 بلداً، وأن </w:t>
      </w:r>
      <w:r w:rsidR="00082408" w:rsidRPr="005A1EB0">
        <w:rPr>
          <w:rFonts w:hint="cs"/>
          <w:w w:val="100"/>
          <w:kern w:val="0"/>
          <w:sz w:val="30"/>
          <w:rtl/>
        </w:rPr>
        <w:t xml:space="preserve">ما تستوعبه السجون في 92 بلداً منها يبلغ </w:t>
      </w:r>
      <w:r w:rsidRPr="005A1EB0">
        <w:rPr>
          <w:rFonts w:hint="cs"/>
          <w:w w:val="100"/>
          <w:kern w:val="0"/>
          <w:sz w:val="30"/>
          <w:rtl/>
        </w:rPr>
        <w:t xml:space="preserve">ما بين 100 و200 في المائة من قدرتها الاستيعابية بينما </w:t>
      </w:r>
      <w:r w:rsidR="00082408" w:rsidRPr="005A1EB0">
        <w:rPr>
          <w:rFonts w:hint="cs"/>
          <w:w w:val="100"/>
          <w:kern w:val="0"/>
          <w:sz w:val="30"/>
          <w:rtl/>
        </w:rPr>
        <w:t xml:space="preserve">تستوعب السجون </w:t>
      </w:r>
      <w:r w:rsidRPr="005A1EB0">
        <w:rPr>
          <w:rFonts w:hint="cs"/>
          <w:w w:val="100"/>
          <w:kern w:val="0"/>
          <w:sz w:val="30"/>
          <w:rtl/>
        </w:rPr>
        <w:t xml:space="preserve">في 22 بلداً أكثر من </w:t>
      </w:r>
      <w:r w:rsidR="00082408" w:rsidRPr="005A1EB0">
        <w:rPr>
          <w:rFonts w:hint="cs"/>
          <w:w w:val="100"/>
          <w:kern w:val="0"/>
          <w:sz w:val="30"/>
          <w:rtl/>
        </w:rPr>
        <w:t>ضعفي أو ثلاثة أضعاف بل حتى أربعة أضعاف قدرتها الاستيعابية</w:t>
      </w:r>
      <w:r w:rsidRPr="005A1EB0">
        <w:rPr>
          <w:rStyle w:val="FootnoteReference"/>
          <w:color w:val="auto"/>
          <w:w w:val="100"/>
          <w:kern w:val="0"/>
          <w:sz w:val="30"/>
          <w:szCs w:val="30"/>
          <w:rtl/>
        </w:rPr>
        <w:footnoteReference w:customMarkFollows="1" w:id="5"/>
        <w:t>(5)</w:t>
      </w:r>
      <w:r w:rsidR="00082408" w:rsidRPr="005A1EB0">
        <w:rPr>
          <w:rFonts w:hint="cs"/>
          <w:w w:val="100"/>
          <w:kern w:val="0"/>
          <w:sz w:val="30"/>
          <w:rtl/>
        </w:rPr>
        <w:t>.</w:t>
      </w:r>
      <w:r w:rsidRPr="005A1EB0">
        <w:rPr>
          <w:rFonts w:hint="cs"/>
          <w:w w:val="100"/>
          <w:kern w:val="0"/>
          <w:sz w:val="30"/>
          <w:rtl/>
        </w:rPr>
        <w:t xml:space="preserve"> و</w:t>
      </w:r>
      <w:r w:rsidR="00082408" w:rsidRPr="005A1EB0">
        <w:rPr>
          <w:rFonts w:hint="cs"/>
          <w:w w:val="100"/>
          <w:kern w:val="0"/>
          <w:sz w:val="30"/>
          <w:rtl/>
        </w:rPr>
        <w:t xml:space="preserve">توصف مستويات </w:t>
      </w:r>
      <w:r w:rsidRPr="005A1EB0">
        <w:rPr>
          <w:rFonts w:hint="cs"/>
          <w:w w:val="100"/>
          <w:kern w:val="0"/>
          <w:sz w:val="30"/>
          <w:rtl/>
        </w:rPr>
        <w:t xml:space="preserve">الاكتظاظ في أماكن سلب الحرية في العالم </w:t>
      </w:r>
      <w:r w:rsidR="00082408" w:rsidRPr="005A1EB0">
        <w:rPr>
          <w:rFonts w:hint="cs"/>
          <w:w w:val="100"/>
          <w:kern w:val="0"/>
          <w:sz w:val="30"/>
          <w:rtl/>
        </w:rPr>
        <w:t xml:space="preserve">بأنها </w:t>
      </w:r>
      <w:r w:rsidRPr="005A1EB0">
        <w:rPr>
          <w:rFonts w:hint="cs"/>
          <w:w w:val="100"/>
          <w:kern w:val="0"/>
          <w:sz w:val="30"/>
          <w:rtl/>
        </w:rPr>
        <w:t>متجذّرة</w:t>
      </w:r>
      <w:r w:rsidRPr="005A1EB0">
        <w:rPr>
          <w:rStyle w:val="FootnoteReference"/>
          <w:color w:val="auto"/>
          <w:w w:val="100"/>
          <w:kern w:val="0"/>
          <w:sz w:val="30"/>
          <w:szCs w:val="30"/>
          <w:rtl/>
        </w:rPr>
        <w:footnoteReference w:customMarkFollows="1" w:id="6"/>
        <w:t>(6)</w:t>
      </w:r>
      <w:r w:rsidRPr="005A1EB0">
        <w:rPr>
          <w:rFonts w:hint="cs"/>
          <w:w w:val="100"/>
          <w:kern w:val="0"/>
          <w:sz w:val="30"/>
          <w:rtl/>
        </w:rPr>
        <w:t xml:space="preserve"> وم</w:t>
      </w:r>
      <w:r w:rsidR="00082408" w:rsidRPr="005A1EB0">
        <w:rPr>
          <w:rFonts w:hint="cs"/>
          <w:w w:val="100"/>
          <w:kern w:val="0"/>
          <w:sz w:val="30"/>
          <w:rtl/>
        </w:rPr>
        <w:t>فزعة</w:t>
      </w:r>
      <w:r w:rsidRPr="005A1EB0">
        <w:rPr>
          <w:rStyle w:val="FootnoteReference"/>
          <w:color w:val="auto"/>
          <w:w w:val="100"/>
          <w:kern w:val="0"/>
          <w:sz w:val="30"/>
          <w:szCs w:val="30"/>
          <w:rtl/>
        </w:rPr>
        <w:footnoteReference w:customMarkFollows="1" w:id="7"/>
        <w:t>(7)</w:t>
      </w:r>
      <w:r w:rsidRPr="005A1EB0">
        <w:rPr>
          <w:rFonts w:hint="cs"/>
          <w:w w:val="100"/>
          <w:kern w:val="0"/>
          <w:sz w:val="30"/>
          <w:rtl/>
        </w:rPr>
        <w:t xml:space="preserve"> وعالية جداً</w:t>
      </w:r>
      <w:r w:rsidRPr="005A1EB0">
        <w:rPr>
          <w:rStyle w:val="FootnoteReference"/>
          <w:color w:val="auto"/>
          <w:w w:val="100"/>
          <w:kern w:val="0"/>
          <w:sz w:val="30"/>
          <w:szCs w:val="30"/>
          <w:rtl/>
        </w:rPr>
        <w:footnoteReference w:customMarkFollows="1" w:id="8"/>
        <w:t>(8)</w:t>
      </w:r>
      <w:r w:rsidRPr="005A1EB0">
        <w:rPr>
          <w:rFonts w:hint="cs"/>
          <w:w w:val="100"/>
          <w:kern w:val="0"/>
          <w:sz w:val="30"/>
          <w:rtl/>
        </w:rPr>
        <w:t xml:space="preserve"> ومزمنة</w:t>
      </w:r>
      <w:r w:rsidRPr="005A1EB0">
        <w:rPr>
          <w:rStyle w:val="FootnoteReference"/>
          <w:color w:val="auto"/>
          <w:w w:val="100"/>
          <w:kern w:val="0"/>
          <w:sz w:val="30"/>
          <w:szCs w:val="30"/>
          <w:rtl/>
        </w:rPr>
        <w:footnoteReference w:customMarkFollows="1" w:id="9"/>
        <w:t>(9)</w:t>
      </w:r>
      <w:r w:rsidRPr="005A1EB0">
        <w:rPr>
          <w:rFonts w:hint="cs"/>
          <w:w w:val="100"/>
          <w:kern w:val="0"/>
          <w:sz w:val="30"/>
          <w:rtl/>
        </w:rPr>
        <w:t xml:space="preserve"> ومشينة</w:t>
      </w:r>
      <w:r w:rsidRPr="005A1EB0">
        <w:rPr>
          <w:rStyle w:val="FootnoteReference"/>
          <w:color w:val="auto"/>
          <w:w w:val="100"/>
          <w:kern w:val="0"/>
          <w:sz w:val="30"/>
          <w:szCs w:val="30"/>
          <w:rtl/>
        </w:rPr>
        <w:footnoteReference w:customMarkFollows="1" w:id="10"/>
        <w:t>(10)</w:t>
      </w:r>
      <w:r w:rsidRPr="005A1EB0">
        <w:rPr>
          <w:rFonts w:hint="cs"/>
          <w:w w:val="100"/>
          <w:kern w:val="0"/>
          <w:sz w:val="30"/>
          <w:rtl/>
        </w:rPr>
        <w:t>، ويقال إنها مؤشر على أزمة السجون في العالم وعامل مساهم فيها</w:t>
      </w:r>
      <w:r w:rsidRPr="005A1EB0">
        <w:rPr>
          <w:rStyle w:val="FootnoteReference"/>
          <w:color w:val="auto"/>
          <w:w w:val="100"/>
          <w:kern w:val="0"/>
          <w:sz w:val="30"/>
          <w:szCs w:val="30"/>
          <w:rtl/>
        </w:rPr>
        <w:footnoteReference w:customMarkFollows="1" w:id="11"/>
        <w:t>(11)</w:t>
      </w:r>
      <w:r w:rsidRPr="005A1EB0">
        <w:rPr>
          <w:rFonts w:hint="cs"/>
          <w:w w:val="100"/>
          <w:kern w:val="0"/>
          <w:sz w:val="30"/>
          <w:rtl/>
        </w:rPr>
        <w:t>.</w:t>
      </w:r>
    </w:p>
    <w:p w:rsidR="00CE0006" w:rsidRPr="005A1EB0" w:rsidRDefault="00CE0006" w:rsidP="005A1EB0">
      <w:pPr>
        <w:pStyle w:val="SingleTxt"/>
        <w:tabs>
          <w:tab w:val="clear" w:pos="3254"/>
          <w:tab w:val="left" w:pos="3374"/>
        </w:tabs>
        <w:rPr>
          <w:w w:val="100"/>
          <w:kern w:val="0"/>
          <w:sz w:val="30"/>
          <w:rtl/>
        </w:rPr>
      </w:pPr>
      <w:r w:rsidRPr="005A1EB0">
        <w:rPr>
          <w:rFonts w:hint="cs"/>
          <w:w w:val="100"/>
          <w:kern w:val="0"/>
          <w:sz w:val="30"/>
          <w:rtl/>
        </w:rPr>
        <w:lastRenderedPageBreak/>
        <w:t>4-</w:t>
      </w:r>
      <w:r w:rsidRPr="005A1EB0">
        <w:rPr>
          <w:rFonts w:hint="cs"/>
          <w:w w:val="100"/>
          <w:kern w:val="0"/>
          <w:sz w:val="30"/>
          <w:rtl/>
        </w:rPr>
        <w:tab/>
        <w:t xml:space="preserve">وظاهرتا اكتظاظ السجون واللجوء المفرط إلى الإيداع في الحبس </w:t>
      </w:r>
      <w:r w:rsidR="00082408" w:rsidRPr="005A1EB0">
        <w:rPr>
          <w:rFonts w:hint="cs"/>
          <w:w w:val="100"/>
          <w:kern w:val="0"/>
          <w:sz w:val="30"/>
          <w:rtl/>
        </w:rPr>
        <w:t xml:space="preserve">ظاهرتان </w:t>
      </w:r>
      <w:r w:rsidRPr="005A1EB0">
        <w:rPr>
          <w:rFonts w:hint="cs"/>
          <w:w w:val="100"/>
          <w:kern w:val="0"/>
          <w:sz w:val="30"/>
          <w:rtl/>
        </w:rPr>
        <w:t xml:space="preserve">متداخلتان </w:t>
      </w:r>
      <w:r w:rsidR="00082408" w:rsidRPr="005A1EB0">
        <w:rPr>
          <w:rFonts w:hint="cs"/>
          <w:w w:val="100"/>
          <w:kern w:val="0"/>
          <w:sz w:val="30"/>
          <w:rtl/>
        </w:rPr>
        <w:t>دائماً</w:t>
      </w:r>
      <w:r w:rsidRPr="005A1EB0">
        <w:rPr>
          <w:rFonts w:hint="cs"/>
          <w:w w:val="100"/>
          <w:kern w:val="0"/>
          <w:sz w:val="30"/>
          <w:rtl/>
        </w:rPr>
        <w:t xml:space="preserve">. </w:t>
      </w:r>
      <w:r w:rsidR="00082408" w:rsidRPr="005A1EB0">
        <w:rPr>
          <w:rFonts w:hint="cs"/>
          <w:w w:val="100"/>
          <w:kern w:val="0"/>
          <w:sz w:val="30"/>
          <w:rtl/>
        </w:rPr>
        <w:t xml:space="preserve">وقد قال </w:t>
      </w:r>
      <w:r w:rsidRPr="005A1EB0">
        <w:rPr>
          <w:rFonts w:hint="cs"/>
          <w:w w:val="100"/>
          <w:kern w:val="0"/>
          <w:sz w:val="30"/>
          <w:rtl/>
        </w:rPr>
        <w:t>المقرر الخاص المعني بالتعذيب وغيره من ضروب المعاملة أو العقوبة الق</w:t>
      </w:r>
      <w:r w:rsidR="00082408" w:rsidRPr="005A1EB0">
        <w:rPr>
          <w:rFonts w:hint="cs"/>
          <w:w w:val="100"/>
          <w:kern w:val="0"/>
          <w:sz w:val="30"/>
          <w:rtl/>
        </w:rPr>
        <w:t>اسية أو اللاإنسانية أو</w:t>
      </w:r>
      <w:r w:rsidR="005A1EB0">
        <w:rPr>
          <w:rFonts w:hint="eastAsia"/>
          <w:w w:val="100"/>
          <w:kern w:val="0"/>
          <w:sz w:val="30"/>
        </w:rPr>
        <w:t> </w:t>
      </w:r>
      <w:r w:rsidR="00082408" w:rsidRPr="005A1EB0">
        <w:rPr>
          <w:rFonts w:hint="cs"/>
          <w:w w:val="100"/>
          <w:kern w:val="0"/>
          <w:sz w:val="30"/>
          <w:rtl/>
        </w:rPr>
        <w:t>المهينة إن</w:t>
      </w:r>
      <w:r w:rsidRPr="005A1EB0">
        <w:rPr>
          <w:rFonts w:hint="cs"/>
          <w:w w:val="100"/>
          <w:kern w:val="0"/>
          <w:sz w:val="30"/>
          <w:rtl/>
        </w:rPr>
        <w:t xml:space="preserve"> "لل</w:t>
      </w:r>
      <w:r w:rsidRPr="005A1EB0">
        <w:rPr>
          <w:w w:val="100"/>
          <w:kern w:val="0"/>
          <w:sz w:val="30"/>
          <w:rtl/>
        </w:rPr>
        <w:t>إفراط في اللجوء إلى حبس الأشخاص أثر سلبي متعدد الجوانب على حقوق الإنسان. فالإفراط في إلقاء الناس في السجون واحد من الأسباب الرئيسية لاكتظاظ السجون، الأمر الذي تنجم عنه أحوال تشكل سوء معاملة، بل تعذيباً أيضاً</w:t>
      </w:r>
      <w:r w:rsidRPr="005A1EB0">
        <w:rPr>
          <w:rFonts w:hint="cs"/>
          <w:w w:val="100"/>
          <w:kern w:val="0"/>
          <w:sz w:val="30"/>
          <w:rtl/>
        </w:rPr>
        <w:t>"</w:t>
      </w:r>
      <w:r w:rsidRPr="005A1EB0">
        <w:rPr>
          <w:rStyle w:val="FootnoteReference"/>
          <w:color w:val="auto"/>
          <w:w w:val="100"/>
          <w:kern w:val="0"/>
          <w:sz w:val="30"/>
          <w:szCs w:val="30"/>
          <w:rtl/>
        </w:rPr>
        <w:footnoteReference w:customMarkFollows="1" w:id="12"/>
        <w:t>(12)</w:t>
      </w:r>
      <w:r w:rsidR="00082408" w:rsidRPr="005A1EB0">
        <w:rPr>
          <w:rFonts w:hint="cs"/>
          <w:w w:val="100"/>
          <w:kern w:val="0"/>
          <w:sz w:val="30"/>
          <w:rtl/>
        </w:rPr>
        <w:t xml:space="preserve">. ثم إن العديد من هيئات وآليات الأمم المتحدة، بما فيها </w:t>
      </w:r>
      <w:r w:rsidRPr="005A1EB0">
        <w:rPr>
          <w:rFonts w:hint="cs"/>
          <w:w w:val="100"/>
          <w:kern w:val="0"/>
          <w:sz w:val="30"/>
          <w:rtl/>
        </w:rPr>
        <w:t>مجلس الأمن</w:t>
      </w:r>
      <w:r w:rsidRPr="005A1EB0">
        <w:rPr>
          <w:rStyle w:val="FootnoteReference"/>
          <w:color w:val="auto"/>
          <w:w w:val="100"/>
          <w:kern w:val="0"/>
          <w:sz w:val="30"/>
          <w:szCs w:val="30"/>
          <w:rtl/>
        </w:rPr>
        <w:footnoteReference w:customMarkFollows="1" w:id="13"/>
        <w:t>(13)</w:t>
      </w:r>
      <w:r w:rsidRPr="005A1EB0">
        <w:rPr>
          <w:rFonts w:hint="cs"/>
          <w:w w:val="100"/>
          <w:kern w:val="0"/>
          <w:sz w:val="30"/>
          <w:rtl/>
        </w:rPr>
        <w:t>، واللجنة المعنية بحقوق الإنسان</w:t>
      </w:r>
      <w:r w:rsidRPr="005A1EB0">
        <w:rPr>
          <w:rStyle w:val="FootnoteReference"/>
          <w:color w:val="auto"/>
          <w:w w:val="100"/>
          <w:kern w:val="0"/>
          <w:sz w:val="30"/>
          <w:szCs w:val="30"/>
          <w:rtl/>
        </w:rPr>
        <w:footnoteReference w:customMarkFollows="1" w:id="14"/>
        <w:t>(14)</w:t>
      </w:r>
      <w:r w:rsidRPr="005A1EB0">
        <w:rPr>
          <w:rFonts w:hint="cs"/>
          <w:w w:val="100"/>
          <w:kern w:val="0"/>
          <w:sz w:val="30"/>
          <w:rtl/>
        </w:rPr>
        <w:t>، ولجنة مناهضة التعذيب</w:t>
      </w:r>
      <w:r w:rsidRPr="005A1EB0">
        <w:rPr>
          <w:rStyle w:val="FootnoteReference"/>
          <w:color w:val="auto"/>
          <w:w w:val="100"/>
          <w:kern w:val="0"/>
          <w:sz w:val="30"/>
          <w:szCs w:val="30"/>
          <w:rtl/>
        </w:rPr>
        <w:footnoteReference w:customMarkFollows="1" w:id="15"/>
        <w:t>(15)</w:t>
      </w:r>
      <w:r w:rsidRPr="005A1EB0">
        <w:rPr>
          <w:rFonts w:hint="cs"/>
          <w:w w:val="100"/>
          <w:kern w:val="0"/>
          <w:sz w:val="30"/>
          <w:rtl/>
        </w:rPr>
        <w:t>، واللجنة الفرعية لمنع التعذيب</w:t>
      </w:r>
      <w:r w:rsidRPr="005A1EB0">
        <w:rPr>
          <w:rStyle w:val="FootnoteReference"/>
          <w:color w:val="auto"/>
          <w:w w:val="100"/>
          <w:kern w:val="0"/>
          <w:sz w:val="30"/>
          <w:szCs w:val="30"/>
          <w:rtl/>
        </w:rPr>
        <w:footnoteReference w:customMarkFollows="1" w:id="16"/>
        <w:t>(16)</w:t>
      </w:r>
      <w:r w:rsidRPr="005A1EB0">
        <w:rPr>
          <w:rFonts w:hint="cs"/>
          <w:w w:val="100"/>
          <w:kern w:val="0"/>
          <w:sz w:val="30"/>
          <w:rtl/>
        </w:rPr>
        <w:t>، والفريق العامل المعني بالاحتجاز التعسفي</w:t>
      </w:r>
      <w:r w:rsidRPr="005A1EB0">
        <w:rPr>
          <w:rStyle w:val="FootnoteReference"/>
          <w:color w:val="auto"/>
          <w:w w:val="100"/>
          <w:kern w:val="0"/>
          <w:sz w:val="30"/>
          <w:szCs w:val="30"/>
          <w:rtl/>
        </w:rPr>
        <w:footnoteReference w:customMarkFollows="1" w:id="17"/>
        <w:t>(17)</w:t>
      </w:r>
      <w:r w:rsidRPr="005A1EB0">
        <w:rPr>
          <w:rStyle w:val="FootnoteReference"/>
          <w:rFonts w:hint="cs"/>
          <w:color w:val="auto"/>
          <w:w w:val="100"/>
          <w:kern w:val="0"/>
          <w:sz w:val="30"/>
          <w:szCs w:val="30"/>
          <w:vertAlign w:val="baseline"/>
          <w:rtl/>
        </w:rPr>
        <w:t>،</w:t>
      </w:r>
      <w:r w:rsidRPr="005A1EB0">
        <w:rPr>
          <w:rFonts w:hint="cs"/>
          <w:w w:val="100"/>
          <w:kern w:val="0"/>
          <w:sz w:val="30"/>
          <w:rtl/>
        </w:rPr>
        <w:t xml:space="preserve"> والهيئات الإقليمية لحقوق الإنسان</w:t>
      </w:r>
      <w:r w:rsidRPr="005A1EB0">
        <w:rPr>
          <w:rStyle w:val="FootnoteReference"/>
          <w:color w:val="auto"/>
          <w:w w:val="100"/>
          <w:kern w:val="0"/>
          <w:sz w:val="30"/>
          <w:szCs w:val="30"/>
          <w:rtl/>
        </w:rPr>
        <w:footnoteReference w:customMarkFollows="1" w:id="18"/>
        <w:t>(18)</w:t>
      </w:r>
      <w:r w:rsidR="001409A1" w:rsidRPr="005A1EB0">
        <w:rPr>
          <w:rFonts w:hint="cs"/>
          <w:w w:val="100"/>
          <w:kern w:val="0"/>
          <w:sz w:val="30"/>
          <w:rtl/>
        </w:rPr>
        <w:t>،</w:t>
      </w:r>
      <w:r w:rsidRPr="005A1EB0">
        <w:rPr>
          <w:rFonts w:hint="cs"/>
          <w:w w:val="100"/>
          <w:kern w:val="0"/>
          <w:sz w:val="30"/>
          <w:rtl/>
        </w:rPr>
        <w:t xml:space="preserve"> </w:t>
      </w:r>
      <w:r w:rsidR="00082408" w:rsidRPr="005A1EB0">
        <w:rPr>
          <w:rFonts w:hint="cs"/>
          <w:w w:val="100"/>
          <w:kern w:val="0"/>
          <w:sz w:val="30"/>
          <w:rtl/>
        </w:rPr>
        <w:t xml:space="preserve">قد أعربت جميعها </w:t>
      </w:r>
      <w:r w:rsidRPr="005A1EB0">
        <w:rPr>
          <w:rFonts w:hint="cs"/>
          <w:w w:val="100"/>
          <w:kern w:val="0"/>
          <w:sz w:val="30"/>
          <w:rtl/>
        </w:rPr>
        <w:t xml:space="preserve">عن قلقها البالغ إزاء اكتظاظ أماكن سلب الحرية </w:t>
      </w:r>
      <w:r w:rsidR="00082408" w:rsidRPr="005A1EB0">
        <w:rPr>
          <w:rFonts w:hint="cs"/>
          <w:w w:val="100"/>
          <w:kern w:val="0"/>
          <w:sz w:val="30"/>
          <w:rtl/>
        </w:rPr>
        <w:t xml:space="preserve">وتأثيره </w:t>
      </w:r>
      <w:r w:rsidRPr="005A1EB0">
        <w:rPr>
          <w:rFonts w:hint="cs"/>
          <w:w w:val="100"/>
          <w:kern w:val="0"/>
          <w:sz w:val="30"/>
          <w:rtl/>
        </w:rPr>
        <w:t>السلبي على حقوق الإنسان المكفولة للمحتجزين.</w:t>
      </w:r>
    </w:p>
    <w:p w:rsidR="00CE0006" w:rsidRPr="005A1EB0" w:rsidRDefault="00CE0006" w:rsidP="00F907B4">
      <w:pPr>
        <w:pStyle w:val="SingleTxt"/>
        <w:rPr>
          <w:w w:val="100"/>
          <w:kern w:val="0"/>
          <w:sz w:val="30"/>
          <w:rtl/>
        </w:rPr>
      </w:pPr>
      <w:r w:rsidRPr="005A1EB0">
        <w:rPr>
          <w:rFonts w:hint="cs"/>
          <w:w w:val="100"/>
          <w:kern w:val="0"/>
          <w:sz w:val="30"/>
          <w:rtl/>
        </w:rPr>
        <w:t>5-</w:t>
      </w:r>
      <w:r w:rsidRPr="005A1EB0">
        <w:rPr>
          <w:rFonts w:hint="cs"/>
          <w:w w:val="100"/>
          <w:kern w:val="0"/>
          <w:sz w:val="30"/>
          <w:rtl/>
        </w:rPr>
        <w:tab/>
        <w:t xml:space="preserve">ولا يطرح الاكتظاظ مشكلة في السجون فحسب وإنما أيضاً في أماكن أخرى </w:t>
      </w:r>
      <w:r w:rsidR="00082408" w:rsidRPr="005A1EB0">
        <w:rPr>
          <w:rFonts w:hint="cs"/>
          <w:w w:val="100"/>
          <w:kern w:val="0"/>
          <w:sz w:val="30"/>
          <w:rtl/>
        </w:rPr>
        <w:t xml:space="preserve">يُسلب </w:t>
      </w:r>
      <w:r w:rsidRPr="005A1EB0">
        <w:rPr>
          <w:rFonts w:hint="cs"/>
          <w:w w:val="100"/>
          <w:kern w:val="0"/>
          <w:sz w:val="30"/>
          <w:rtl/>
        </w:rPr>
        <w:t>فيها الأشخاص حريتهم. وت</w:t>
      </w:r>
      <w:r w:rsidR="00082408" w:rsidRPr="005A1EB0">
        <w:rPr>
          <w:rFonts w:hint="cs"/>
          <w:w w:val="100"/>
          <w:kern w:val="0"/>
          <w:sz w:val="30"/>
          <w:rtl/>
        </w:rPr>
        <w:t>ُعرّف ا</w:t>
      </w:r>
      <w:r w:rsidRPr="005A1EB0">
        <w:rPr>
          <w:rFonts w:hint="cs"/>
          <w:w w:val="100"/>
          <w:kern w:val="0"/>
          <w:sz w:val="30"/>
          <w:rtl/>
        </w:rPr>
        <w:t>لمادة 4 من البروتوكول الاختياري لاتفاقية مناهضة التعذيب وغيره من</w:t>
      </w:r>
      <w:r w:rsidR="005A1EB0">
        <w:rPr>
          <w:rFonts w:hint="eastAsia"/>
          <w:w w:val="100"/>
          <w:kern w:val="0"/>
          <w:sz w:val="30"/>
          <w:rtl/>
        </w:rPr>
        <w:t> </w:t>
      </w:r>
      <w:r w:rsidRPr="005A1EB0">
        <w:rPr>
          <w:rFonts w:hint="cs"/>
          <w:w w:val="100"/>
          <w:kern w:val="0"/>
          <w:sz w:val="30"/>
          <w:rtl/>
        </w:rPr>
        <w:t xml:space="preserve">ضروب المعاملة أو العقوبة القاسية أو اللاإنسانية أو المهينة </w:t>
      </w:r>
      <w:r w:rsidR="004377B5" w:rsidRPr="005A1EB0">
        <w:rPr>
          <w:rFonts w:hint="cs"/>
          <w:w w:val="100"/>
          <w:kern w:val="0"/>
          <w:sz w:val="30"/>
          <w:rtl/>
        </w:rPr>
        <w:t xml:space="preserve">مصطلح </w:t>
      </w:r>
      <w:r w:rsidRPr="005A1EB0">
        <w:rPr>
          <w:rFonts w:hint="cs"/>
          <w:w w:val="100"/>
          <w:kern w:val="0"/>
          <w:sz w:val="30"/>
          <w:rtl/>
        </w:rPr>
        <w:t xml:space="preserve">"سلب الحرية" باعتباره </w:t>
      </w:r>
      <w:r w:rsidR="004377B5" w:rsidRPr="005A1EB0">
        <w:rPr>
          <w:rFonts w:hint="cs"/>
          <w:w w:val="100"/>
          <w:kern w:val="0"/>
          <w:sz w:val="30"/>
          <w:rtl/>
        </w:rPr>
        <w:t xml:space="preserve">يشمل </w:t>
      </w:r>
      <w:r w:rsidRPr="005A1EB0">
        <w:rPr>
          <w:rFonts w:hint="cs"/>
          <w:w w:val="100"/>
          <w:kern w:val="0"/>
          <w:sz w:val="30"/>
          <w:rtl/>
        </w:rPr>
        <w:t>أي مكان خاضع لولاية الدولة أو سيطرتها يوجد فيه أشخاص محرومون أو يمكن أن يكونوا</w:t>
      </w:r>
      <w:r w:rsidR="005A1EB0">
        <w:rPr>
          <w:rFonts w:hint="eastAsia"/>
          <w:w w:val="100"/>
          <w:kern w:val="0"/>
          <w:sz w:val="30"/>
          <w:rtl/>
        </w:rPr>
        <w:t> </w:t>
      </w:r>
      <w:r w:rsidRPr="005A1EB0">
        <w:rPr>
          <w:rFonts w:hint="cs"/>
          <w:w w:val="100"/>
          <w:kern w:val="0"/>
          <w:sz w:val="30"/>
          <w:rtl/>
        </w:rPr>
        <w:t>محرومين من حريتهم، إما بموجب أمر صادر عن سلطة عامة أو بناء على إيعاز منها أو</w:t>
      </w:r>
      <w:r w:rsidR="00F907B4">
        <w:rPr>
          <w:rFonts w:hint="eastAsia"/>
          <w:w w:val="100"/>
          <w:kern w:val="0"/>
          <w:sz w:val="30"/>
          <w:rtl/>
        </w:rPr>
        <w:t> </w:t>
      </w:r>
      <w:r w:rsidRPr="005A1EB0">
        <w:rPr>
          <w:rFonts w:hint="cs"/>
          <w:w w:val="100"/>
          <w:kern w:val="0"/>
          <w:sz w:val="30"/>
          <w:rtl/>
        </w:rPr>
        <w:t xml:space="preserve">بموافقتها أو سكوتها. وينطبق هذا التعريف على الممارسة التي تتعبها </w:t>
      </w:r>
      <w:r w:rsidR="001409A1" w:rsidRPr="005A1EB0">
        <w:rPr>
          <w:rFonts w:hint="cs"/>
          <w:w w:val="100"/>
          <w:kern w:val="0"/>
          <w:sz w:val="30"/>
          <w:rtl/>
        </w:rPr>
        <w:t xml:space="preserve">منذ </w:t>
      </w:r>
      <w:r w:rsidR="004377B5" w:rsidRPr="005A1EB0">
        <w:rPr>
          <w:rFonts w:hint="cs"/>
          <w:w w:val="100"/>
          <w:kern w:val="0"/>
          <w:sz w:val="30"/>
          <w:rtl/>
        </w:rPr>
        <w:t xml:space="preserve">أمد بعيد </w:t>
      </w:r>
      <w:r w:rsidRPr="005A1EB0">
        <w:rPr>
          <w:rFonts w:hint="cs"/>
          <w:w w:val="100"/>
          <w:kern w:val="0"/>
          <w:sz w:val="30"/>
          <w:rtl/>
        </w:rPr>
        <w:t>الآليات الدولية والإقليمية لحقوق الإنسان التي فسّرت مصطلح "سلب الحرية" على نحو يشمل حالات لا تدخل في نطاق العدالة الجنائية</w:t>
      </w:r>
      <w:r w:rsidRPr="005A1EB0">
        <w:rPr>
          <w:rStyle w:val="FootnoteReference"/>
          <w:color w:val="auto"/>
          <w:w w:val="100"/>
          <w:kern w:val="0"/>
          <w:sz w:val="30"/>
          <w:szCs w:val="30"/>
          <w:rtl/>
        </w:rPr>
        <w:footnoteReference w:customMarkFollows="1" w:id="19"/>
        <w:t>(19)</w:t>
      </w:r>
      <w:r w:rsidR="004377B5" w:rsidRPr="005A1EB0">
        <w:rPr>
          <w:rFonts w:hint="cs"/>
          <w:w w:val="100"/>
          <w:kern w:val="0"/>
          <w:sz w:val="30"/>
          <w:rtl/>
        </w:rPr>
        <w:t xml:space="preserve">. كما أن </w:t>
      </w:r>
      <w:r w:rsidRPr="005A1EB0">
        <w:rPr>
          <w:rFonts w:hint="cs"/>
          <w:w w:val="100"/>
          <w:kern w:val="0"/>
          <w:sz w:val="30"/>
          <w:rtl/>
        </w:rPr>
        <w:t xml:space="preserve">مشكلة الاكتظاظ هذه </w:t>
      </w:r>
      <w:r w:rsidR="004377B5" w:rsidRPr="005A1EB0">
        <w:rPr>
          <w:rFonts w:hint="cs"/>
          <w:w w:val="100"/>
          <w:kern w:val="0"/>
          <w:sz w:val="30"/>
          <w:rtl/>
        </w:rPr>
        <w:t xml:space="preserve">تشمل أيضاً </w:t>
      </w:r>
      <w:r w:rsidRPr="005A1EB0">
        <w:rPr>
          <w:rFonts w:hint="cs"/>
          <w:w w:val="100"/>
          <w:kern w:val="0"/>
          <w:sz w:val="30"/>
          <w:rtl/>
        </w:rPr>
        <w:t xml:space="preserve">أماكن </w:t>
      </w:r>
      <w:r w:rsidR="004377B5" w:rsidRPr="005A1EB0">
        <w:rPr>
          <w:rFonts w:hint="cs"/>
          <w:w w:val="100"/>
          <w:kern w:val="0"/>
          <w:sz w:val="30"/>
          <w:rtl/>
        </w:rPr>
        <w:t xml:space="preserve">أخرى </w:t>
      </w:r>
      <w:r w:rsidRPr="005A1EB0">
        <w:rPr>
          <w:rFonts w:hint="cs"/>
          <w:w w:val="100"/>
          <w:kern w:val="0"/>
          <w:sz w:val="30"/>
          <w:rtl/>
        </w:rPr>
        <w:t xml:space="preserve">من بينها مستشفيات الأمراض </w:t>
      </w:r>
      <w:r w:rsidR="004377B5" w:rsidRPr="005A1EB0">
        <w:rPr>
          <w:rFonts w:hint="cs"/>
          <w:w w:val="100"/>
          <w:kern w:val="0"/>
          <w:sz w:val="30"/>
          <w:rtl/>
        </w:rPr>
        <w:t>النفسية</w:t>
      </w:r>
      <w:r w:rsidRPr="005A1EB0">
        <w:rPr>
          <w:rStyle w:val="FootnoteReference"/>
          <w:color w:val="auto"/>
          <w:w w:val="100"/>
          <w:kern w:val="0"/>
          <w:sz w:val="30"/>
          <w:szCs w:val="30"/>
          <w:rtl/>
        </w:rPr>
        <w:footnoteReference w:customMarkFollows="1" w:id="20"/>
        <w:t>(20)</w:t>
      </w:r>
      <w:r w:rsidR="004377B5" w:rsidRPr="005A1EB0">
        <w:rPr>
          <w:rFonts w:hint="cs"/>
          <w:w w:val="100"/>
          <w:kern w:val="0"/>
          <w:sz w:val="30"/>
          <w:rtl/>
        </w:rPr>
        <w:t>،</w:t>
      </w:r>
      <w:r w:rsidRPr="005A1EB0">
        <w:rPr>
          <w:rFonts w:hint="cs"/>
          <w:w w:val="100"/>
          <w:kern w:val="0"/>
          <w:sz w:val="30"/>
          <w:rtl/>
        </w:rPr>
        <w:t xml:space="preserve"> ومختلف مراكز احتجاز المهاجرين غير القانونيين و</w:t>
      </w:r>
      <w:r w:rsidR="004377B5" w:rsidRPr="005A1EB0">
        <w:rPr>
          <w:rFonts w:hint="cs"/>
          <w:w w:val="100"/>
          <w:kern w:val="0"/>
          <w:sz w:val="30"/>
          <w:rtl/>
        </w:rPr>
        <w:t xml:space="preserve">ملتمسي </w:t>
      </w:r>
      <w:r w:rsidRPr="005A1EB0">
        <w:rPr>
          <w:rFonts w:hint="cs"/>
          <w:w w:val="100"/>
          <w:kern w:val="0"/>
          <w:sz w:val="30"/>
          <w:rtl/>
        </w:rPr>
        <w:lastRenderedPageBreak/>
        <w:t>اللجوء</w:t>
      </w:r>
      <w:r w:rsidRPr="005A1EB0">
        <w:rPr>
          <w:rStyle w:val="FootnoteReference"/>
          <w:color w:val="auto"/>
          <w:w w:val="100"/>
          <w:kern w:val="0"/>
          <w:sz w:val="30"/>
          <w:szCs w:val="30"/>
          <w:rtl/>
        </w:rPr>
        <w:footnoteReference w:customMarkFollows="1" w:id="21"/>
        <w:t>(21)</w:t>
      </w:r>
      <w:r w:rsidR="004377B5" w:rsidRPr="005A1EB0">
        <w:rPr>
          <w:rFonts w:hint="cs"/>
          <w:w w:val="100"/>
          <w:kern w:val="0"/>
          <w:sz w:val="30"/>
          <w:rtl/>
        </w:rPr>
        <w:t>.</w:t>
      </w:r>
      <w:r w:rsidRPr="005A1EB0">
        <w:rPr>
          <w:rFonts w:hint="cs"/>
          <w:w w:val="100"/>
          <w:kern w:val="0"/>
          <w:sz w:val="30"/>
          <w:rtl/>
        </w:rPr>
        <w:t xml:space="preserve"> بما فيها المراكز الموجودة خارج حدود الدولة والمعنية بمعالجة طلبات اللجوء</w:t>
      </w:r>
      <w:r w:rsidRPr="005A1EB0">
        <w:rPr>
          <w:rStyle w:val="FootnoteReference"/>
          <w:color w:val="auto"/>
          <w:w w:val="100"/>
          <w:kern w:val="0"/>
          <w:sz w:val="30"/>
          <w:szCs w:val="30"/>
          <w:rtl/>
        </w:rPr>
        <w:footnoteReference w:customMarkFollows="1" w:id="22"/>
        <w:t>(22)</w:t>
      </w:r>
      <w:r w:rsidR="001409A1" w:rsidRPr="005A1EB0">
        <w:rPr>
          <w:rFonts w:hint="cs"/>
          <w:w w:val="100"/>
          <w:kern w:val="0"/>
          <w:sz w:val="30"/>
          <w:rtl/>
        </w:rPr>
        <w:t>،</w:t>
      </w:r>
      <w:r w:rsidRPr="005A1EB0">
        <w:rPr>
          <w:rFonts w:hint="cs"/>
          <w:w w:val="100"/>
          <w:kern w:val="0"/>
          <w:sz w:val="30"/>
          <w:rtl/>
        </w:rPr>
        <w:t xml:space="preserve"> ومرافق الاحتجاز المؤقتة داخل المطارات</w:t>
      </w:r>
      <w:r w:rsidRPr="005A1EB0">
        <w:rPr>
          <w:rStyle w:val="FootnoteReference"/>
          <w:color w:val="auto"/>
          <w:w w:val="100"/>
          <w:kern w:val="0"/>
          <w:sz w:val="30"/>
          <w:szCs w:val="30"/>
          <w:rtl/>
        </w:rPr>
        <w:footnoteReference w:customMarkFollows="1" w:id="23"/>
        <w:t>(23)</w:t>
      </w:r>
      <w:r w:rsidR="00FC0CA9" w:rsidRPr="005A1EB0">
        <w:rPr>
          <w:rStyle w:val="FootnoteReference"/>
          <w:rFonts w:hint="cs"/>
          <w:color w:val="auto"/>
          <w:w w:val="100"/>
          <w:kern w:val="0"/>
          <w:sz w:val="30"/>
          <w:szCs w:val="30"/>
          <w:vertAlign w:val="baseline"/>
          <w:rtl/>
        </w:rPr>
        <w:t>.</w:t>
      </w:r>
    </w:p>
    <w:p w:rsidR="00CE0006" w:rsidRPr="005A1EB0" w:rsidRDefault="004377B5" w:rsidP="00FC0CA9">
      <w:pPr>
        <w:pStyle w:val="SingleTxt"/>
        <w:spacing w:line="380" w:lineRule="exact"/>
        <w:rPr>
          <w:w w:val="100"/>
          <w:kern w:val="0"/>
          <w:sz w:val="30"/>
        </w:rPr>
      </w:pPr>
      <w:r w:rsidRPr="005A1EB0">
        <w:rPr>
          <w:rFonts w:hint="cs"/>
          <w:w w:val="100"/>
          <w:kern w:val="0"/>
          <w:sz w:val="30"/>
          <w:rtl/>
        </w:rPr>
        <w:t>6-</w:t>
      </w:r>
      <w:r w:rsidRPr="005A1EB0">
        <w:rPr>
          <w:rFonts w:hint="cs"/>
          <w:w w:val="100"/>
          <w:kern w:val="0"/>
          <w:sz w:val="30"/>
          <w:rtl/>
        </w:rPr>
        <w:tab/>
        <w:t xml:space="preserve">وقد </w:t>
      </w:r>
      <w:r w:rsidR="00CE0006" w:rsidRPr="005A1EB0">
        <w:rPr>
          <w:rFonts w:hint="cs"/>
          <w:w w:val="100"/>
          <w:kern w:val="0"/>
          <w:sz w:val="30"/>
          <w:rtl/>
        </w:rPr>
        <w:t xml:space="preserve">شجّع مجلس حقوق الإنسان، في قراره 24/12، الدول على معالجة مشكلة اكتظاظ مرافق الاحتجاز عن طريق اتخاذ تدابير فعالة. وفي القرار نفسه، طلب </w:t>
      </w:r>
      <w:r w:rsidRPr="005A1EB0">
        <w:rPr>
          <w:rFonts w:hint="cs"/>
          <w:w w:val="100"/>
          <w:kern w:val="0"/>
          <w:sz w:val="30"/>
          <w:rtl/>
        </w:rPr>
        <w:t xml:space="preserve">المجلس </w:t>
      </w:r>
      <w:r w:rsidR="00CE0006" w:rsidRPr="005A1EB0">
        <w:rPr>
          <w:rFonts w:hint="cs"/>
          <w:w w:val="100"/>
          <w:kern w:val="0"/>
          <w:sz w:val="30"/>
          <w:rtl/>
        </w:rPr>
        <w:t xml:space="preserve">إلى مفوض الأمم المتحدة السامي لحقوق الإنسان أن يقدّم إليه تقريراً تحليلياً </w:t>
      </w:r>
      <w:r w:rsidR="00CE0006" w:rsidRPr="005A1EB0">
        <w:rPr>
          <w:w w:val="100"/>
          <w:kern w:val="0"/>
          <w:sz w:val="30"/>
          <w:rtl/>
        </w:rPr>
        <w:t xml:space="preserve">عن الآثار </w:t>
      </w:r>
      <w:r w:rsidR="00CE0006" w:rsidRPr="005A1EB0">
        <w:rPr>
          <w:rFonts w:hint="cs"/>
          <w:w w:val="100"/>
          <w:kern w:val="0"/>
          <w:sz w:val="30"/>
          <w:rtl/>
        </w:rPr>
        <w:t>ا</w:t>
      </w:r>
      <w:r w:rsidRPr="005A1EB0">
        <w:rPr>
          <w:rFonts w:hint="cs"/>
          <w:w w:val="100"/>
          <w:kern w:val="0"/>
          <w:sz w:val="30"/>
          <w:rtl/>
        </w:rPr>
        <w:t xml:space="preserve">لمترتبة </w:t>
      </w:r>
      <w:r w:rsidR="00CE0006" w:rsidRPr="005A1EB0">
        <w:rPr>
          <w:w w:val="100"/>
          <w:kern w:val="0"/>
          <w:sz w:val="30"/>
          <w:rtl/>
        </w:rPr>
        <w:t>على حقوق الإنسان من جراء اللجوء المفرط إلى الإيداع في الحبس واكتظاظ السجون،</w:t>
      </w:r>
      <w:r w:rsidR="00CE0006" w:rsidRPr="005A1EB0">
        <w:rPr>
          <w:rFonts w:hint="cs"/>
          <w:w w:val="100"/>
          <w:kern w:val="0"/>
          <w:sz w:val="30"/>
          <w:rtl/>
        </w:rPr>
        <w:t xml:space="preserve"> مستنداً</w:t>
      </w:r>
      <w:r w:rsidR="00CE0006" w:rsidRPr="005A1EB0">
        <w:rPr>
          <w:w w:val="100"/>
          <w:kern w:val="0"/>
          <w:sz w:val="30"/>
          <w:rtl/>
        </w:rPr>
        <w:t xml:space="preserve"> في ذلك إلى تجربة آليات </w:t>
      </w:r>
      <w:r w:rsidRPr="005A1EB0">
        <w:rPr>
          <w:rFonts w:hint="cs"/>
          <w:w w:val="100"/>
          <w:kern w:val="0"/>
          <w:sz w:val="30"/>
          <w:rtl/>
        </w:rPr>
        <w:t xml:space="preserve">الأمم المتحدة والآليات </w:t>
      </w:r>
      <w:r w:rsidR="00CE0006" w:rsidRPr="005A1EB0">
        <w:rPr>
          <w:w w:val="100"/>
          <w:kern w:val="0"/>
          <w:sz w:val="30"/>
          <w:rtl/>
        </w:rPr>
        <w:t>الإقليمية</w:t>
      </w:r>
      <w:r w:rsidRPr="005A1EB0">
        <w:rPr>
          <w:rFonts w:hint="cs"/>
          <w:w w:val="100"/>
          <w:kern w:val="0"/>
          <w:sz w:val="30"/>
          <w:rtl/>
        </w:rPr>
        <w:t xml:space="preserve"> لحقوق الإنسان</w:t>
      </w:r>
      <w:r w:rsidR="00CE0006" w:rsidRPr="005A1EB0">
        <w:rPr>
          <w:w w:val="100"/>
          <w:kern w:val="0"/>
          <w:sz w:val="30"/>
          <w:rtl/>
        </w:rPr>
        <w:t xml:space="preserve">، </w:t>
      </w:r>
      <w:r w:rsidR="00CE0006" w:rsidRPr="005A1EB0">
        <w:rPr>
          <w:rFonts w:hint="cs"/>
          <w:w w:val="100"/>
          <w:kern w:val="0"/>
          <w:sz w:val="30"/>
          <w:rtl/>
        </w:rPr>
        <w:t>ومراعياً ال</w:t>
      </w:r>
      <w:r w:rsidR="00CE0006" w:rsidRPr="005A1EB0">
        <w:rPr>
          <w:w w:val="100"/>
          <w:kern w:val="0"/>
          <w:sz w:val="30"/>
          <w:rtl/>
        </w:rPr>
        <w:t xml:space="preserve">آراء </w:t>
      </w:r>
      <w:r w:rsidR="00CE0006" w:rsidRPr="005A1EB0">
        <w:rPr>
          <w:rFonts w:hint="cs"/>
          <w:w w:val="100"/>
          <w:kern w:val="0"/>
          <w:sz w:val="30"/>
          <w:rtl/>
        </w:rPr>
        <w:t>التي</w:t>
      </w:r>
      <w:r w:rsidRPr="005A1EB0">
        <w:rPr>
          <w:rFonts w:hint="cs"/>
          <w:w w:val="100"/>
          <w:kern w:val="0"/>
          <w:sz w:val="30"/>
          <w:rtl/>
        </w:rPr>
        <w:t xml:space="preserve"> أعربت عنها </w:t>
      </w:r>
      <w:r w:rsidR="00CE0006" w:rsidRPr="005A1EB0">
        <w:rPr>
          <w:w w:val="100"/>
          <w:kern w:val="0"/>
          <w:sz w:val="30"/>
          <w:rtl/>
        </w:rPr>
        <w:t xml:space="preserve">الدول حول أمور من بينها </w:t>
      </w:r>
      <w:r w:rsidR="00CE0006" w:rsidRPr="005A1EB0">
        <w:rPr>
          <w:rFonts w:hint="cs"/>
          <w:w w:val="100"/>
          <w:kern w:val="0"/>
          <w:sz w:val="30"/>
          <w:rtl/>
        </w:rPr>
        <w:t>الممارسة التي تتبعها</w:t>
      </w:r>
      <w:r w:rsidR="00CE0006" w:rsidRPr="005A1EB0">
        <w:rPr>
          <w:w w:val="100"/>
          <w:kern w:val="0"/>
          <w:sz w:val="30"/>
          <w:rtl/>
        </w:rPr>
        <w:t xml:space="preserve"> فيما </w:t>
      </w:r>
      <w:r w:rsidR="00CE0006" w:rsidRPr="005A1EB0">
        <w:rPr>
          <w:rFonts w:hint="cs"/>
          <w:w w:val="100"/>
          <w:kern w:val="0"/>
          <w:sz w:val="30"/>
          <w:rtl/>
        </w:rPr>
        <w:t>يخص</w:t>
      </w:r>
      <w:r w:rsidR="00CE0006" w:rsidRPr="005A1EB0">
        <w:rPr>
          <w:w w:val="100"/>
          <w:kern w:val="0"/>
          <w:sz w:val="30"/>
          <w:rtl/>
        </w:rPr>
        <w:t xml:space="preserve"> بدائل الاحتجاز، و</w:t>
      </w:r>
      <w:r w:rsidRPr="005A1EB0">
        <w:rPr>
          <w:rFonts w:hint="cs"/>
          <w:w w:val="100"/>
          <w:kern w:val="0"/>
          <w:sz w:val="30"/>
          <w:rtl/>
        </w:rPr>
        <w:t xml:space="preserve">آراء </w:t>
      </w:r>
      <w:r w:rsidR="00CE0006" w:rsidRPr="005A1EB0">
        <w:rPr>
          <w:w w:val="100"/>
          <w:kern w:val="0"/>
          <w:sz w:val="30"/>
          <w:rtl/>
        </w:rPr>
        <w:t xml:space="preserve">سائر الجهات </w:t>
      </w:r>
      <w:r w:rsidRPr="005A1EB0">
        <w:rPr>
          <w:rFonts w:hint="cs"/>
          <w:w w:val="100"/>
          <w:kern w:val="0"/>
          <w:sz w:val="30"/>
          <w:rtl/>
        </w:rPr>
        <w:t xml:space="preserve">المعنية </w:t>
      </w:r>
      <w:r w:rsidR="00CE0006" w:rsidRPr="005A1EB0">
        <w:rPr>
          <w:w w:val="100"/>
          <w:kern w:val="0"/>
          <w:sz w:val="30"/>
          <w:rtl/>
        </w:rPr>
        <w:t>صاحبة المصلحة</w:t>
      </w:r>
      <w:r w:rsidR="00CE0006" w:rsidRPr="005A1EB0">
        <w:rPr>
          <w:rFonts w:hint="cs"/>
          <w:w w:val="100"/>
          <w:kern w:val="0"/>
          <w:sz w:val="30"/>
          <w:rtl/>
        </w:rPr>
        <w:t>. و</w:t>
      </w:r>
      <w:r w:rsidR="00CE0006" w:rsidRPr="005A1EB0">
        <w:rPr>
          <w:w w:val="100"/>
          <w:kern w:val="0"/>
          <w:sz w:val="30"/>
          <w:rtl/>
        </w:rPr>
        <w:t>رداً على مذكرة شفوية أرسلتها مفوضية الأمم المتحدة السامية لحقوق الإنسان</w:t>
      </w:r>
      <w:r w:rsidR="00CE0006" w:rsidRPr="005A1EB0">
        <w:rPr>
          <w:rFonts w:hint="cs"/>
          <w:w w:val="100"/>
          <w:kern w:val="0"/>
          <w:sz w:val="30"/>
          <w:rtl/>
        </w:rPr>
        <w:t>، أبدت 23 دولة و22 جهة صاحبة مصلحة آراءها</w:t>
      </w:r>
      <w:r w:rsidRPr="005A1EB0">
        <w:rPr>
          <w:rFonts w:hint="cs"/>
          <w:w w:val="100"/>
          <w:kern w:val="0"/>
          <w:sz w:val="30"/>
          <w:rtl/>
        </w:rPr>
        <w:t xml:space="preserve">، وهي متاحة على شبكة </w:t>
      </w:r>
      <w:r w:rsidR="00CE0006" w:rsidRPr="005A1EB0">
        <w:rPr>
          <w:rFonts w:hint="cs"/>
          <w:w w:val="100"/>
          <w:kern w:val="0"/>
          <w:sz w:val="30"/>
          <w:rtl/>
        </w:rPr>
        <w:t>الإنترنت</w:t>
      </w:r>
      <w:r w:rsidR="00CE0006" w:rsidRPr="005A1EB0">
        <w:rPr>
          <w:rStyle w:val="FootnoteReference"/>
          <w:color w:val="auto"/>
          <w:w w:val="100"/>
          <w:kern w:val="0"/>
          <w:sz w:val="30"/>
          <w:szCs w:val="30"/>
          <w:rtl/>
        </w:rPr>
        <w:footnoteReference w:customMarkFollows="1" w:id="24"/>
        <w:t>(24)</w:t>
      </w:r>
      <w:r w:rsidRPr="005A1EB0">
        <w:rPr>
          <w:rStyle w:val="FootnoteReference"/>
          <w:rFonts w:hint="cs"/>
          <w:color w:val="auto"/>
          <w:w w:val="100"/>
          <w:kern w:val="0"/>
          <w:sz w:val="30"/>
          <w:szCs w:val="30"/>
          <w:vertAlign w:val="baseline"/>
          <w:rtl/>
        </w:rPr>
        <w:t>.</w:t>
      </w:r>
    </w:p>
    <w:p w:rsidR="00CE0006" w:rsidRPr="005A1EB0" w:rsidRDefault="004377B5" w:rsidP="00FC0CA9">
      <w:pPr>
        <w:pStyle w:val="SingleTxt"/>
        <w:spacing w:line="380" w:lineRule="exact"/>
        <w:rPr>
          <w:w w:val="100"/>
          <w:kern w:val="0"/>
          <w:sz w:val="30"/>
          <w:rtl/>
        </w:rPr>
      </w:pPr>
      <w:r w:rsidRPr="005A1EB0">
        <w:rPr>
          <w:rFonts w:hint="cs"/>
          <w:w w:val="100"/>
          <w:kern w:val="0"/>
          <w:sz w:val="30"/>
          <w:rtl/>
        </w:rPr>
        <w:t>7-</w:t>
      </w:r>
      <w:r w:rsidRPr="005A1EB0">
        <w:rPr>
          <w:rFonts w:hint="cs"/>
          <w:w w:val="100"/>
          <w:kern w:val="0"/>
          <w:sz w:val="30"/>
          <w:rtl/>
        </w:rPr>
        <w:tab/>
        <w:t xml:space="preserve">ويتضمن هذا التقرير تحليلاً يتناول الآثار المترتبة </w:t>
      </w:r>
      <w:r w:rsidR="00CE0006" w:rsidRPr="005A1EB0">
        <w:rPr>
          <w:w w:val="100"/>
          <w:kern w:val="0"/>
          <w:sz w:val="30"/>
          <w:rtl/>
        </w:rPr>
        <w:t>على حقوق الإنسان من جراء اللجوء المفرط إلى الإيداع في الحبس واكتظاظ السجون</w:t>
      </w:r>
      <w:r w:rsidR="00CE0006" w:rsidRPr="005A1EB0">
        <w:rPr>
          <w:rFonts w:hint="cs"/>
          <w:w w:val="100"/>
          <w:kern w:val="0"/>
          <w:sz w:val="30"/>
          <w:rtl/>
        </w:rPr>
        <w:t xml:space="preserve"> بما في ذلك وطأة اللجوء المفرط إلى الإيداع في الحبس واكتظاظ السجون على حقوق الإنسان، والأسباب الرئيسية للجوء المفرط إلى الإيداع في الحبس واكتظاظ السجون، وتوصيات بشأن سبل ا</w:t>
      </w:r>
      <w:r w:rsidR="00FC0CA9" w:rsidRPr="005A1EB0">
        <w:rPr>
          <w:rFonts w:hint="cs"/>
          <w:w w:val="100"/>
          <w:kern w:val="0"/>
          <w:sz w:val="30"/>
          <w:rtl/>
        </w:rPr>
        <w:t>لتصدي لهذه القضايا، واستنتاجات.</w:t>
      </w:r>
    </w:p>
    <w:p w:rsidR="004377B5" w:rsidRPr="005A1EB0" w:rsidRDefault="004377B5" w:rsidP="004377B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377B5" w:rsidRPr="005A1EB0" w:rsidRDefault="004377B5" w:rsidP="004377B5">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E0006" w:rsidRPr="005A1EB0" w:rsidRDefault="004377B5" w:rsidP="004377B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1" w:name="_Toc430010368"/>
      <w:r w:rsidR="00CE0006" w:rsidRPr="005A1EB0">
        <w:rPr>
          <w:rFonts w:hint="cs"/>
          <w:w w:val="100"/>
          <w:kern w:val="0"/>
          <w:rtl/>
        </w:rPr>
        <w:t>ثانياً-</w:t>
      </w:r>
      <w:r w:rsidR="00CE0006" w:rsidRPr="005A1EB0">
        <w:rPr>
          <w:rFonts w:hint="cs"/>
          <w:w w:val="100"/>
          <w:kern w:val="0"/>
          <w:rtl/>
        </w:rPr>
        <w:tab/>
        <w:t>وطأة</w:t>
      </w:r>
      <w:r w:rsidR="00CE0006" w:rsidRPr="005A1EB0">
        <w:rPr>
          <w:w w:val="100"/>
          <w:kern w:val="0"/>
          <w:rtl/>
        </w:rPr>
        <w:t xml:space="preserve"> اللجوء المفرط إلى الإيداع في الحبس واكتظاظ السجون </w:t>
      </w:r>
      <w:r w:rsidR="00CE0006" w:rsidRPr="005A1EB0">
        <w:rPr>
          <w:rFonts w:hint="cs"/>
          <w:w w:val="100"/>
          <w:kern w:val="0"/>
          <w:rtl/>
        </w:rPr>
        <w:t>على حقوق الإنسان</w:t>
      </w:r>
      <w:bookmarkEnd w:id="11"/>
    </w:p>
    <w:p w:rsidR="004377B5" w:rsidRPr="005A1EB0" w:rsidRDefault="004377B5" w:rsidP="004377B5">
      <w:pPr>
        <w:pStyle w:val="SingleTxt"/>
        <w:spacing w:after="0" w:line="120" w:lineRule="exact"/>
        <w:rPr>
          <w:w w:val="100"/>
          <w:kern w:val="0"/>
          <w:sz w:val="10"/>
          <w:rtl/>
        </w:rPr>
      </w:pPr>
    </w:p>
    <w:p w:rsidR="00CE0006" w:rsidRPr="005A1EB0" w:rsidRDefault="00CE0006" w:rsidP="005A1EB0">
      <w:pPr>
        <w:pStyle w:val="SingleTxt"/>
        <w:rPr>
          <w:spacing w:val="-2"/>
          <w:w w:val="100"/>
          <w:kern w:val="0"/>
          <w:sz w:val="30"/>
          <w:rtl/>
        </w:rPr>
      </w:pPr>
      <w:r w:rsidRPr="005A1EB0">
        <w:rPr>
          <w:rFonts w:hint="cs"/>
          <w:spacing w:val="-2"/>
          <w:w w:val="100"/>
          <w:kern w:val="0"/>
          <w:sz w:val="30"/>
          <w:rtl/>
        </w:rPr>
        <w:t>8-</w:t>
      </w:r>
      <w:r w:rsidRPr="005A1EB0">
        <w:rPr>
          <w:rFonts w:hint="cs"/>
          <w:spacing w:val="-2"/>
          <w:w w:val="100"/>
          <w:kern w:val="0"/>
          <w:sz w:val="30"/>
          <w:rtl/>
        </w:rPr>
        <w:tab/>
        <w:t xml:space="preserve">يتمثل </w:t>
      </w:r>
      <w:r w:rsidRPr="005A1EB0">
        <w:rPr>
          <w:spacing w:val="-2"/>
          <w:w w:val="100"/>
          <w:kern w:val="0"/>
          <w:sz w:val="30"/>
          <w:rtl/>
        </w:rPr>
        <w:t xml:space="preserve">العنصر الرئيسي </w:t>
      </w:r>
      <w:r w:rsidR="004377B5" w:rsidRPr="005A1EB0">
        <w:rPr>
          <w:rFonts w:hint="cs"/>
          <w:spacing w:val="-2"/>
          <w:w w:val="100"/>
          <w:kern w:val="0"/>
          <w:sz w:val="30"/>
          <w:rtl/>
        </w:rPr>
        <w:t xml:space="preserve">لتعريف سلب </w:t>
      </w:r>
      <w:r w:rsidRPr="005A1EB0">
        <w:rPr>
          <w:spacing w:val="-2"/>
          <w:w w:val="100"/>
          <w:kern w:val="0"/>
          <w:sz w:val="30"/>
          <w:rtl/>
        </w:rPr>
        <w:t>الحرية في ع</w:t>
      </w:r>
      <w:r w:rsidRPr="005A1EB0">
        <w:rPr>
          <w:rFonts w:hint="cs"/>
          <w:spacing w:val="-2"/>
          <w:w w:val="100"/>
          <w:kern w:val="0"/>
          <w:sz w:val="30"/>
          <w:rtl/>
        </w:rPr>
        <w:t xml:space="preserve">جز الأشخاص </w:t>
      </w:r>
      <w:r w:rsidR="004377B5" w:rsidRPr="005A1EB0">
        <w:rPr>
          <w:rFonts w:hint="cs"/>
          <w:spacing w:val="-2"/>
          <w:w w:val="100"/>
          <w:kern w:val="0"/>
          <w:sz w:val="30"/>
          <w:rtl/>
        </w:rPr>
        <w:t xml:space="preserve">المحتجزين عن حماية </w:t>
      </w:r>
      <w:r w:rsidRPr="005A1EB0">
        <w:rPr>
          <w:spacing w:val="-2"/>
          <w:w w:val="100"/>
          <w:kern w:val="0"/>
          <w:sz w:val="30"/>
          <w:rtl/>
        </w:rPr>
        <w:t>أنفسهم</w:t>
      </w:r>
      <w:r w:rsidR="004377B5" w:rsidRPr="005A1EB0">
        <w:rPr>
          <w:rFonts w:hint="cs"/>
          <w:spacing w:val="-2"/>
          <w:w w:val="100"/>
          <w:kern w:val="0"/>
          <w:sz w:val="30"/>
          <w:rtl/>
        </w:rPr>
        <w:t xml:space="preserve">، وذلك لأن </w:t>
      </w:r>
      <w:r w:rsidRPr="005A1EB0">
        <w:rPr>
          <w:spacing w:val="-2"/>
          <w:w w:val="100"/>
          <w:kern w:val="0"/>
          <w:sz w:val="30"/>
          <w:rtl/>
        </w:rPr>
        <w:t>حياتهم اليومية</w:t>
      </w:r>
      <w:r w:rsidR="004377B5" w:rsidRPr="005A1EB0">
        <w:rPr>
          <w:rFonts w:hint="cs"/>
          <w:spacing w:val="-2"/>
          <w:w w:val="100"/>
          <w:kern w:val="0"/>
          <w:sz w:val="30"/>
          <w:rtl/>
        </w:rPr>
        <w:t xml:space="preserve"> تتوقف </w:t>
      </w:r>
      <w:r w:rsidRPr="005A1EB0">
        <w:rPr>
          <w:spacing w:val="-2"/>
          <w:w w:val="100"/>
          <w:kern w:val="0"/>
          <w:sz w:val="30"/>
          <w:rtl/>
        </w:rPr>
        <w:t xml:space="preserve">إلى حد كبير على القرارات التي يتخذها الموظفون العاملون في </w:t>
      </w:r>
      <w:r w:rsidRPr="005A1EB0">
        <w:rPr>
          <w:rFonts w:hint="cs"/>
          <w:spacing w:val="-2"/>
          <w:w w:val="100"/>
          <w:kern w:val="0"/>
          <w:sz w:val="30"/>
          <w:rtl/>
        </w:rPr>
        <w:t>مرافق الاحتجاز</w:t>
      </w:r>
      <w:r w:rsidRPr="005A1EB0">
        <w:rPr>
          <w:rStyle w:val="FootnoteReference"/>
          <w:color w:val="auto"/>
          <w:spacing w:val="-2"/>
          <w:w w:val="100"/>
          <w:kern w:val="0"/>
          <w:sz w:val="30"/>
          <w:szCs w:val="30"/>
          <w:rtl/>
        </w:rPr>
        <w:footnoteReference w:customMarkFollows="1" w:id="25"/>
        <w:t>(25)</w:t>
      </w:r>
      <w:r w:rsidR="004377B5" w:rsidRPr="005A1EB0">
        <w:rPr>
          <w:rStyle w:val="FootnoteReference"/>
          <w:rFonts w:hint="cs"/>
          <w:color w:val="auto"/>
          <w:spacing w:val="-2"/>
          <w:w w:val="100"/>
          <w:kern w:val="0"/>
          <w:sz w:val="30"/>
          <w:szCs w:val="30"/>
          <w:vertAlign w:val="baseline"/>
          <w:rtl/>
        </w:rPr>
        <w:t xml:space="preserve">. </w:t>
      </w:r>
      <w:r w:rsidRPr="005A1EB0">
        <w:rPr>
          <w:rFonts w:hint="cs"/>
          <w:spacing w:val="-2"/>
          <w:w w:val="100"/>
          <w:kern w:val="0"/>
          <w:sz w:val="30"/>
          <w:rtl/>
        </w:rPr>
        <w:t xml:space="preserve">وبالتالي، عندما تلجأ الدولة إلى </w:t>
      </w:r>
      <w:r w:rsidR="004377B5" w:rsidRPr="005A1EB0">
        <w:rPr>
          <w:rFonts w:hint="cs"/>
          <w:spacing w:val="-2"/>
          <w:w w:val="100"/>
          <w:kern w:val="0"/>
          <w:sz w:val="30"/>
          <w:rtl/>
        </w:rPr>
        <w:t xml:space="preserve">إجراء سلب </w:t>
      </w:r>
      <w:r w:rsidRPr="005A1EB0">
        <w:rPr>
          <w:rFonts w:hint="cs"/>
          <w:spacing w:val="-2"/>
          <w:w w:val="100"/>
          <w:kern w:val="0"/>
          <w:sz w:val="30"/>
          <w:rtl/>
        </w:rPr>
        <w:t>الحرية، يقع عليها واجب رعاية</w:t>
      </w:r>
      <w:r w:rsidRPr="005A1EB0">
        <w:rPr>
          <w:rStyle w:val="FootnoteReference"/>
          <w:color w:val="auto"/>
          <w:spacing w:val="-2"/>
          <w:w w:val="100"/>
          <w:kern w:val="0"/>
          <w:sz w:val="30"/>
          <w:szCs w:val="30"/>
          <w:rtl/>
        </w:rPr>
        <w:footnoteReference w:customMarkFollows="1" w:id="26"/>
        <w:t>(26)</w:t>
      </w:r>
      <w:r w:rsidRPr="005A1EB0">
        <w:rPr>
          <w:rFonts w:hint="cs"/>
          <w:spacing w:val="-2"/>
          <w:w w:val="100"/>
          <w:kern w:val="0"/>
          <w:sz w:val="30"/>
          <w:rtl/>
        </w:rPr>
        <w:t xml:space="preserve"> من هم رهن الاحتجاز وتتحمل مسؤولية خاصة</w:t>
      </w:r>
      <w:r w:rsidRPr="005A1EB0">
        <w:rPr>
          <w:rStyle w:val="FootnoteReference"/>
          <w:color w:val="auto"/>
          <w:spacing w:val="-2"/>
          <w:w w:val="100"/>
          <w:kern w:val="0"/>
          <w:sz w:val="30"/>
          <w:szCs w:val="30"/>
          <w:rtl/>
        </w:rPr>
        <w:footnoteReference w:customMarkFollows="1" w:id="27"/>
        <w:t>(27)</w:t>
      </w:r>
      <w:r w:rsidRPr="005A1EB0">
        <w:rPr>
          <w:rFonts w:hint="cs"/>
          <w:spacing w:val="-2"/>
          <w:w w:val="100"/>
          <w:kern w:val="0"/>
          <w:sz w:val="30"/>
          <w:rtl/>
        </w:rPr>
        <w:t xml:space="preserve"> تجاههم. و</w:t>
      </w:r>
      <w:r w:rsidR="004377B5" w:rsidRPr="005A1EB0">
        <w:rPr>
          <w:rFonts w:hint="cs"/>
          <w:spacing w:val="-2"/>
          <w:w w:val="100"/>
          <w:kern w:val="0"/>
          <w:sz w:val="30"/>
          <w:rtl/>
        </w:rPr>
        <w:t>من ثم</w:t>
      </w:r>
      <w:r w:rsidRPr="005A1EB0">
        <w:rPr>
          <w:rFonts w:hint="cs"/>
          <w:spacing w:val="-2"/>
          <w:w w:val="100"/>
          <w:kern w:val="0"/>
          <w:sz w:val="30"/>
          <w:rtl/>
        </w:rPr>
        <w:t>، فإن</w:t>
      </w:r>
      <w:r w:rsidR="005A1EB0" w:rsidRPr="005A1EB0">
        <w:rPr>
          <w:rFonts w:hint="eastAsia"/>
          <w:spacing w:val="-2"/>
          <w:w w:val="100"/>
          <w:kern w:val="0"/>
          <w:sz w:val="30"/>
          <w:rtl/>
        </w:rPr>
        <w:t> </w:t>
      </w:r>
      <w:r w:rsidRPr="005A1EB0">
        <w:rPr>
          <w:rFonts w:hint="cs"/>
          <w:spacing w:val="-2"/>
          <w:w w:val="100"/>
          <w:kern w:val="0"/>
          <w:sz w:val="30"/>
          <w:rtl/>
        </w:rPr>
        <w:t xml:space="preserve">الإخلال بهذا الواجب قد يستتبع </w:t>
      </w:r>
      <w:r w:rsidRPr="005A1EB0">
        <w:rPr>
          <w:rFonts w:hint="cs"/>
          <w:spacing w:val="-2"/>
          <w:w w:val="100"/>
          <w:kern w:val="0"/>
          <w:sz w:val="30"/>
          <w:rtl/>
        </w:rPr>
        <w:lastRenderedPageBreak/>
        <w:t>مسؤولية الدولة</w:t>
      </w:r>
      <w:r w:rsidRPr="005A1EB0">
        <w:rPr>
          <w:rStyle w:val="FootnoteReference"/>
          <w:color w:val="auto"/>
          <w:spacing w:val="-2"/>
          <w:w w:val="100"/>
          <w:kern w:val="0"/>
          <w:sz w:val="30"/>
          <w:szCs w:val="30"/>
          <w:rtl/>
        </w:rPr>
        <w:footnoteReference w:customMarkFollows="1" w:id="28"/>
        <w:t>(28)</w:t>
      </w:r>
      <w:r w:rsidRPr="005A1EB0">
        <w:rPr>
          <w:rFonts w:hint="cs"/>
          <w:spacing w:val="-2"/>
          <w:w w:val="100"/>
          <w:kern w:val="0"/>
          <w:sz w:val="30"/>
          <w:rtl/>
        </w:rPr>
        <w:t>، بما في ذلك المسؤولية الدولية</w:t>
      </w:r>
      <w:r w:rsidRPr="005A1EB0">
        <w:rPr>
          <w:rStyle w:val="FootnoteReference"/>
          <w:color w:val="auto"/>
          <w:spacing w:val="-2"/>
          <w:w w:val="100"/>
          <w:kern w:val="0"/>
          <w:sz w:val="30"/>
          <w:szCs w:val="30"/>
          <w:rtl/>
        </w:rPr>
        <w:footnoteReference w:customMarkFollows="1" w:id="29"/>
        <w:t>(29)</w:t>
      </w:r>
      <w:r w:rsidRPr="005A1EB0">
        <w:rPr>
          <w:rFonts w:hint="cs"/>
          <w:spacing w:val="-2"/>
          <w:w w:val="100"/>
          <w:kern w:val="0"/>
          <w:sz w:val="30"/>
          <w:rtl/>
        </w:rPr>
        <w:t>.</w:t>
      </w:r>
      <w:r w:rsidRPr="005A1EB0">
        <w:rPr>
          <w:spacing w:val="-2"/>
          <w:w w:val="100"/>
          <w:kern w:val="0"/>
          <w:sz w:val="30"/>
          <w:rtl/>
        </w:rPr>
        <w:t xml:space="preserve"> </w:t>
      </w:r>
      <w:r w:rsidRPr="005A1EB0">
        <w:rPr>
          <w:rFonts w:hint="cs"/>
          <w:spacing w:val="-2"/>
          <w:w w:val="100"/>
          <w:kern w:val="0"/>
          <w:sz w:val="30"/>
          <w:rtl/>
        </w:rPr>
        <w:t>و</w:t>
      </w:r>
      <w:r w:rsidRPr="005A1EB0">
        <w:rPr>
          <w:spacing w:val="-2"/>
          <w:w w:val="100"/>
          <w:kern w:val="0"/>
          <w:sz w:val="30"/>
          <w:rtl/>
        </w:rPr>
        <w:t xml:space="preserve">باستثناء </w:t>
      </w:r>
      <w:r w:rsidR="004377B5" w:rsidRPr="005A1EB0">
        <w:rPr>
          <w:rFonts w:hint="cs"/>
          <w:spacing w:val="-2"/>
          <w:w w:val="100"/>
          <w:kern w:val="0"/>
          <w:sz w:val="30"/>
          <w:rtl/>
        </w:rPr>
        <w:t xml:space="preserve">تلك القيود </w:t>
      </w:r>
      <w:r w:rsidRPr="005A1EB0">
        <w:rPr>
          <w:spacing w:val="-2"/>
          <w:w w:val="100"/>
          <w:kern w:val="0"/>
          <w:sz w:val="30"/>
          <w:rtl/>
        </w:rPr>
        <w:t>القانونية التي يقتضيها بشكل بيّن تطبيق إجراءات الحبس،</w:t>
      </w:r>
      <w:r w:rsidRPr="005A1EB0">
        <w:rPr>
          <w:rFonts w:hint="cs"/>
          <w:spacing w:val="-2"/>
          <w:w w:val="100"/>
          <w:kern w:val="0"/>
          <w:sz w:val="30"/>
          <w:rtl/>
        </w:rPr>
        <w:t xml:space="preserve"> ينبغي لسلطات الدولة أن تضمن تمتع الأشخاص ا</w:t>
      </w:r>
      <w:r w:rsidR="004377B5" w:rsidRPr="005A1EB0">
        <w:rPr>
          <w:rFonts w:hint="cs"/>
          <w:spacing w:val="-2"/>
          <w:w w:val="100"/>
          <w:kern w:val="0"/>
          <w:sz w:val="30"/>
          <w:rtl/>
        </w:rPr>
        <w:t xml:space="preserve">لذين يُسلبون </w:t>
      </w:r>
      <w:r w:rsidRPr="005A1EB0">
        <w:rPr>
          <w:rFonts w:hint="cs"/>
          <w:spacing w:val="-2"/>
          <w:w w:val="100"/>
          <w:kern w:val="0"/>
          <w:sz w:val="30"/>
          <w:rtl/>
        </w:rPr>
        <w:t>حريتهم بجميع حقوق الإنسان.</w:t>
      </w:r>
    </w:p>
    <w:p w:rsidR="004377B5" w:rsidRPr="005A1EB0" w:rsidRDefault="004377B5" w:rsidP="004377B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377B5" w:rsidRPr="005A1EB0" w:rsidRDefault="004377B5" w:rsidP="004377B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E0006" w:rsidRPr="005A1EB0" w:rsidRDefault="00CE0006" w:rsidP="004377B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2" w:name="_Toc430010369"/>
      <w:r w:rsidRPr="005A1EB0">
        <w:rPr>
          <w:rFonts w:hint="cs"/>
          <w:w w:val="100"/>
          <w:kern w:val="0"/>
          <w:rtl/>
        </w:rPr>
        <w:t>ألف-</w:t>
      </w:r>
      <w:r w:rsidRPr="005A1EB0">
        <w:rPr>
          <w:rFonts w:hint="cs"/>
          <w:w w:val="100"/>
          <w:kern w:val="0"/>
          <w:rtl/>
        </w:rPr>
        <w:tab/>
        <w:t>الحق في الحرية والأمن</w:t>
      </w:r>
      <w:bookmarkEnd w:id="12"/>
    </w:p>
    <w:p w:rsidR="004377B5" w:rsidRPr="005A1EB0" w:rsidRDefault="004377B5" w:rsidP="004377B5">
      <w:pPr>
        <w:pStyle w:val="SingleTxt"/>
        <w:spacing w:after="0" w:line="120" w:lineRule="exact"/>
        <w:rPr>
          <w:w w:val="100"/>
          <w:kern w:val="0"/>
          <w:sz w:val="10"/>
          <w:rtl/>
        </w:rPr>
      </w:pPr>
    </w:p>
    <w:p w:rsidR="00CE0006" w:rsidRPr="005A1EB0" w:rsidRDefault="00CE0006" w:rsidP="004377B5">
      <w:pPr>
        <w:pStyle w:val="SingleTxt"/>
        <w:rPr>
          <w:w w:val="100"/>
          <w:kern w:val="0"/>
          <w:sz w:val="30"/>
          <w:rtl/>
        </w:rPr>
      </w:pPr>
      <w:r w:rsidRPr="005A1EB0">
        <w:rPr>
          <w:rFonts w:hint="cs"/>
          <w:w w:val="100"/>
          <w:kern w:val="0"/>
          <w:sz w:val="30"/>
          <w:rtl/>
        </w:rPr>
        <w:t>9-</w:t>
      </w:r>
      <w:r w:rsidRPr="005A1EB0">
        <w:rPr>
          <w:rFonts w:hint="cs"/>
          <w:w w:val="100"/>
          <w:kern w:val="0"/>
          <w:sz w:val="30"/>
          <w:rtl/>
        </w:rPr>
        <w:tab/>
      </w:r>
      <w:r w:rsidR="004377B5" w:rsidRPr="005A1EB0">
        <w:rPr>
          <w:rFonts w:hint="cs"/>
          <w:w w:val="100"/>
          <w:kern w:val="0"/>
          <w:sz w:val="30"/>
          <w:rtl/>
        </w:rPr>
        <w:t xml:space="preserve">إن حق الفرد في الحرية وفي </w:t>
      </w:r>
      <w:r w:rsidRPr="005A1EB0">
        <w:rPr>
          <w:rFonts w:hint="cs"/>
          <w:w w:val="100"/>
          <w:kern w:val="0"/>
          <w:sz w:val="30"/>
          <w:rtl/>
        </w:rPr>
        <w:t xml:space="preserve">الأمان على شخصه </w:t>
      </w:r>
      <w:r w:rsidR="004377B5" w:rsidRPr="005A1EB0">
        <w:rPr>
          <w:rFonts w:hint="cs"/>
          <w:w w:val="100"/>
          <w:kern w:val="0"/>
          <w:sz w:val="30"/>
          <w:rtl/>
        </w:rPr>
        <w:t xml:space="preserve">هو، على نحو ما أكّدته اللجنة المعنية بحقوق الإنسان، </w:t>
      </w:r>
      <w:r w:rsidRPr="005A1EB0">
        <w:rPr>
          <w:rFonts w:hint="cs"/>
          <w:w w:val="100"/>
          <w:kern w:val="0"/>
          <w:sz w:val="30"/>
          <w:rtl/>
        </w:rPr>
        <w:t xml:space="preserve">حق مكفول </w:t>
      </w:r>
      <w:r w:rsidR="004377B5" w:rsidRPr="005A1EB0">
        <w:rPr>
          <w:rFonts w:hint="cs"/>
          <w:w w:val="100"/>
          <w:kern w:val="0"/>
          <w:sz w:val="30"/>
          <w:rtl/>
        </w:rPr>
        <w:t xml:space="preserve">لجميع الناس، بمن فيهم </w:t>
      </w:r>
      <w:r w:rsidRPr="005A1EB0">
        <w:rPr>
          <w:rFonts w:hint="cs"/>
          <w:w w:val="100"/>
          <w:kern w:val="0"/>
          <w:sz w:val="30"/>
          <w:rtl/>
        </w:rPr>
        <w:t>المدانون بارتكاب جرائم</w:t>
      </w:r>
      <w:r w:rsidRPr="005A1EB0">
        <w:rPr>
          <w:rStyle w:val="FootnoteReference"/>
          <w:color w:val="auto"/>
          <w:w w:val="100"/>
          <w:kern w:val="0"/>
          <w:sz w:val="30"/>
          <w:szCs w:val="30"/>
          <w:rtl/>
        </w:rPr>
        <w:footnoteReference w:customMarkFollows="1" w:id="30"/>
        <w:t>(30</w:t>
      </w:r>
      <w:r w:rsidR="004377B5" w:rsidRPr="005A1EB0">
        <w:rPr>
          <w:rFonts w:hint="cs"/>
          <w:w w:val="100"/>
          <w:kern w:val="0"/>
          <w:sz w:val="30"/>
          <w:vertAlign w:val="superscript"/>
          <w:rtl/>
        </w:rPr>
        <w:t>)</w:t>
      </w:r>
      <w:r w:rsidR="004377B5" w:rsidRPr="005A1EB0">
        <w:rPr>
          <w:rFonts w:hint="cs"/>
          <w:w w:val="100"/>
          <w:kern w:val="0"/>
          <w:sz w:val="30"/>
          <w:rtl/>
        </w:rPr>
        <w:t>. و</w:t>
      </w:r>
      <w:r w:rsidRPr="005A1EB0">
        <w:rPr>
          <w:rFonts w:hint="cs"/>
          <w:w w:val="100"/>
          <w:kern w:val="0"/>
          <w:sz w:val="30"/>
          <w:rtl/>
        </w:rPr>
        <w:t xml:space="preserve">مع أن </w:t>
      </w:r>
      <w:r w:rsidRPr="005A1EB0">
        <w:rPr>
          <w:w w:val="100"/>
          <w:kern w:val="0"/>
          <w:sz w:val="30"/>
          <w:rtl/>
        </w:rPr>
        <w:t xml:space="preserve">الدول </w:t>
      </w:r>
      <w:r w:rsidRPr="005A1EB0">
        <w:rPr>
          <w:rFonts w:hint="cs"/>
          <w:w w:val="100"/>
          <w:kern w:val="0"/>
          <w:sz w:val="30"/>
          <w:rtl/>
        </w:rPr>
        <w:t xml:space="preserve">تتمتع </w:t>
      </w:r>
      <w:r w:rsidR="004377B5" w:rsidRPr="005A1EB0">
        <w:rPr>
          <w:rFonts w:hint="cs"/>
          <w:w w:val="100"/>
          <w:kern w:val="0"/>
          <w:sz w:val="30"/>
          <w:rtl/>
        </w:rPr>
        <w:t xml:space="preserve">بسلطة تقديرية واسعة </w:t>
      </w:r>
      <w:r w:rsidRPr="005A1EB0">
        <w:rPr>
          <w:w w:val="100"/>
          <w:kern w:val="0"/>
          <w:sz w:val="30"/>
          <w:rtl/>
        </w:rPr>
        <w:t xml:space="preserve">في اختيار سياساتها الجزائية، </w:t>
      </w:r>
      <w:r w:rsidRPr="005A1EB0">
        <w:rPr>
          <w:rFonts w:hint="cs"/>
          <w:w w:val="100"/>
          <w:kern w:val="0"/>
          <w:sz w:val="30"/>
          <w:rtl/>
        </w:rPr>
        <w:t>فإن</w:t>
      </w:r>
      <w:r w:rsidRPr="005A1EB0">
        <w:rPr>
          <w:w w:val="100"/>
          <w:kern w:val="0"/>
          <w:sz w:val="30"/>
          <w:rtl/>
        </w:rPr>
        <w:t xml:space="preserve"> حق الأفراد في الحرية</w:t>
      </w:r>
      <w:r w:rsidR="004377B5" w:rsidRPr="005A1EB0">
        <w:rPr>
          <w:rFonts w:hint="cs"/>
          <w:w w:val="100"/>
          <w:kern w:val="0"/>
          <w:sz w:val="30"/>
          <w:rtl/>
        </w:rPr>
        <w:t>،</w:t>
      </w:r>
      <w:r w:rsidRPr="005A1EB0">
        <w:rPr>
          <w:w w:val="100"/>
          <w:kern w:val="0"/>
          <w:sz w:val="30"/>
          <w:rtl/>
        </w:rPr>
        <w:t xml:space="preserve"> المنصوص عليه في المادة 9 من العهد الدولي الخاص بالحقوق المدنية والسياسية</w:t>
      </w:r>
      <w:r w:rsidR="004377B5" w:rsidRPr="005A1EB0">
        <w:rPr>
          <w:rFonts w:hint="cs"/>
          <w:w w:val="100"/>
          <w:kern w:val="0"/>
          <w:sz w:val="30"/>
          <w:rtl/>
        </w:rPr>
        <w:t>،</w:t>
      </w:r>
      <w:r w:rsidRPr="005A1EB0">
        <w:rPr>
          <w:w w:val="100"/>
          <w:kern w:val="0"/>
          <w:sz w:val="30"/>
          <w:rtl/>
        </w:rPr>
        <w:t xml:space="preserve"> يقتضي من الدول</w:t>
      </w:r>
      <w:r w:rsidRPr="005A1EB0">
        <w:rPr>
          <w:rFonts w:hint="cs"/>
          <w:w w:val="100"/>
          <w:kern w:val="0"/>
          <w:sz w:val="30"/>
          <w:rtl/>
        </w:rPr>
        <w:t xml:space="preserve"> </w:t>
      </w:r>
      <w:r w:rsidRPr="005A1EB0">
        <w:rPr>
          <w:w w:val="100"/>
          <w:kern w:val="0"/>
          <w:sz w:val="30"/>
          <w:rtl/>
        </w:rPr>
        <w:t>ألا تلجأ</w:t>
      </w:r>
      <w:r w:rsidRPr="005A1EB0">
        <w:rPr>
          <w:rFonts w:hint="cs"/>
          <w:w w:val="100"/>
          <w:kern w:val="0"/>
          <w:sz w:val="30"/>
          <w:rtl/>
        </w:rPr>
        <w:t>،</w:t>
      </w:r>
      <w:r w:rsidRPr="005A1EB0">
        <w:rPr>
          <w:w w:val="100"/>
          <w:kern w:val="0"/>
          <w:sz w:val="30"/>
          <w:rtl/>
        </w:rPr>
        <w:t xml:space="preserve"> </w:t>
      </w:r>
      <w:r w:rsidRPr="005A1EB0">
        <w:rPr>
          <w:rFonts w:hint="cs"/>
          <w:w w:val="100"/>
          <w:kern w:val="0"/>
          <w:sz w:val="30"/>
          <w:rtl/>
        </w:rPr>
        <w:t xml:space="preserve">كمبدأ أساسي، </w:t>
      </w:r>
      <w:r w:rsidRPr="005A1EB0">
        <w:rPr>
          <w:w w:val="100"/>
          <w:kern w:val="0"/>
          <w:sz w:val="30"/>
          <w:rtl/>
        </w:rPr>
        <w:t xml:space="preserve">إلى </w:t>
      </w:r>
      <w:r w:rsidR="004377B5" w:rsidRPr="005A1EB0">
        <w:rPr>
          <w:rFonts w:hint="cs"/>
          <w:w w:val="100"/>
          <w:kern w:val="0"/>
          <w:sz w:val="30"/>
          <w:rtl/>
        </w:rPr>
        <w:t>سلب ا</w:t>
      </w:r>
      <w:r w:rsidRPr="005A1EB0">
        <w:rPr>
          <w:w w:val="100"/>
          <w:kern w:val="0"/>
          <w:sz w:val="30"/>
          <w:rtl/>
        </w:rPr>
        <w:t>لحرية إلا في الحالات الضرورية لتلبية حاجة اجتماعية</w:t>
      </w:r>
      <w:r w:rsidRPr="005A1EB0">
        <w:rPr>
          <w:rFonts w:hint="cs"/>
          <w:w w:val="100"/>
          <w:kern w:val="0"/>
          <w:sz w:val="30"/>
          <w:rtl/>
        </w:rPr>
        <w:t xml:space="preserve"> ملحة</w:t>
      </w:r>
      <w:r w:rsidRPr="005A1EB0">
        <w:rPr>
          <w:w w:val="100"/>
          <w:kern w:val="0"/>
          <w:sz w:val="30"/>
          <w:rtl/>
        </w:rPr>
        <w:t xml:space="preserve"> وعلى نحو يتناسب مع تلك الحاجة</w:t>
      </w:r>
      <w:r w:rsidRPr="005A1EB0">
        <w:rPr>
          <w:rStyle w:val="FootnoteReference"/>
          <w:color w:val="auto"/>
          <w:w w:val="100"/>
          <w:kern w:val="0"/>
          <w:sz w:val="30"/>
          <w:szCs w:val="30"/>
          <w:rtl/>
        </w:rPr>
        <w:footnoteReference w:customMarkFollows="1" w:id="31"/>
        <w:t>(31)</w:t>
      </w:r>
      <w:r w:rsidR="004377B5" w:rsidRPr="005A1EB0">
        <w:rPr>
          <w:rFonts w:hint="cs"/>
          <w:w w:val="100"/>
          <w:kern w:val="0"/>
          <w:sz w:val="30"/>
          <w:rtl/>
        </w:rPr>
        <w:t>.</w:t>
      </w:r>
      <w:r w:rsidRPr="005A1EB0">
        <w:rPr>
          <w:rStyle w:val="FootnoteReference"/>
          <w:rFonts w:hint="cs"/>
          <w:color w:val="auto"/>
          <w:w w:val="100"/>
          <w:kern w:val="0"/>
          <w:sz w:val="30"/>
          <w:szCs w:val="30"/>
          <w:vertAlign w:val="baseline"/>
          <w:rtl/>
        </w:rPr>
        <w:t xml:space="preserve"> وبالإضافة إلى ذلك، </w:t>
      </w:r>
      <w:r w:rsidRPr="005A1EB0">
        <w:rPr>
          <w:w w:val="100"/>
          <w:kern w:val="0"/>
          <w:sz w:val="30"/>
          <w:rtl/>
        </w:rPr>
        <w:t>لا يجوز سلب الحرية تعسفاً، ويجب أن يراعى في تنفيذه احترام سيادة القانون</w:t>
      </w:r>
      <w:r w:rsidRPr="005A1EB0">
        <w:rPr>
          <w:rStyle w:val="FootnoteReference"/>
          <w:color w:val="auto"/>
          <w:w w:val="100"/>
          <w:kern w:val="0"/>
          <w:sz w:val="30"/>
          <w:szCs w:val="30"/>
          <w:rtl/>
        </w:rPr>
        <w:footnoteReference w:customMarkFollows="1" w:id="32"/>
        <w:t>(32)</w:t>
      </w:r>
      <w:r w:rsidR="004377B5" w:rsidRPr="005A1EB0">
        <w:rPr>
          <w:rStyle w:val="FootnoteReference"/>
          <w:rFonts w:hint="cs"/>
          <w:color w:val="auto"/>
          <w:w w:val="100"/>
          <w:kern w:val="0"/>
          <w:sz w:val="30"/>
          <w:szCs w:val="30"/>
          <w:vertAlign w:val="baseline"/>
          <w:rtl/>
        </w:rPr>
        <w:t>.</w:t>
      </w:r>
    </w:p>
    <w:p w:rsidR="00CE0006" w:rsidRPr="005A1EB0" w:rsidRDefault="00CE0006" w:rsidP="008E3966">
      <w:pPr>
        <w:pStyle w:val="SingleTxt"/>
        <w:spacing w:line="380" w:lineRule="exact"/>
        <w:rPr>
          <w:w w:val="100"/>
          <w:kern w:val="0"/>
          <w:sz w:val="30"/>
          <w:vertAlign w:val="superscript"/>
          <w:rtl/>
        </w:rPr>
      </w:pPr>
      <w:r w:rsidRPr="005A1EB0">
        <w:rPr>
          <w:rFonts w:hint="cs"/>
          <w:w w:val="100"/>
          <w:kern w:val="0"/>
          <w:sz w:val="30"/>
          <w:rtl/>
        </w:rPr>
        <w:t>10-</w:t>
      </w:r>
      <w:r w:rsidRPr="005A1EB0">
        <w:rPr>
          <w:rFonts w:hint="cs"/>
          <w:w w:val="100"/>
          <w:kern w:val="0"/>
          <w:sz w:val="30"/>
          <w:rtl/>
        </w:rPr>
        <w:tab/>
      </w:r>
      <w:r w:rsidRPr="005A1EB0">
        <w:rPr>
          <w:rFonts w:hint="cs"/>
          <w:w w:val="100"/>
          <w:kern w:val="0"/>
          <w:sz w:val="30"/>
          <w:rtl/>
          <w:lang w:val="fr-FR"/>
        </w:rPr>
        <w:t xml:space="preserve">ومن الضمانات الأساسية </w:t>
      </w:r>
      <w:r w:rsidR="004377B5" w:rsidRPr="005A1EB0">
        <w:rPr>
          <w:rFonts w:hint="cs"/>
          <w:w w:val="100"/>
          <w:kern w:val="0"/>
          <w:sz w:val="30"/>
          <w:rtl/>
          <w:lang w:val="fr-FR"/>
        </w:rPr>
        <w:t xml:space="preserve">التي تحول دون سلب الحرية تعسفاً إعمال </w:t>
      </w:r>
      <w:r w:rsidRPr="005A1EB0">
        <w:rPr>
          <w:rFonts w:hint="cs"/>
          <w:w w:val="100"/>
          <w:kern w:val="0"/>
          <w:sz w:val="30"/>
          <w:rtl/>
          <w:lang w:val="fr-FR"/>
        </w:rPr>
        <w:t xml:space="preserve">الحق في </w:t>
      </w:r>
      <w:r w:rsidR="004377B5" w:rsidRPr="005A1EB0">
        <w:rPr>
          <w:rFonts w:hint="cs"/>
          <w:w w:val="100"/>
          <w:kern w:val="0"/>
          <w:sz w:val="30"/>
          <w:rtl/>
          <w:lang w:val="fr-FR"/>
        </w:rPr>
        <w:t xml:space="preserve">إقامة </w:t>
      </w:r>
      <w:r w:rsidRPr="005A1EB0">
        <w:rPr>
          <w:rFonts w:hint="cs"/>
          <w:w w:val="100"/>
          <w:kern w:val="0"/>
          <w:sz w:val="30"/>
          <w:rtl/>
          <w:lang w:val="fr-FR"/>
        </w:rPr>
        <w:t>دعوى أمام محكمة للطعن في قانونية الاحتجاز، وهو حق قائم بذاته</w:t>
      </w:r>
      <w:r w:rsidRPr="005A1EB0">
        <w:rPr>
          <w:rStyle w:val="FootnoteReference"/>
          <w:color w:val="auto"/>
          <w:w w:val="100"/>
          <w:kern w:val="0"/>
          <w:sz w:val="30"/>
          <w:szCs w:val="30"/>
          <w:rtl/>
          <w:lang w:val="fr-FR"/>
        </w:rPr>
        <w:footnoteReference w:customMarkFollows="1" w:id="33"/>
        <w:t>(33)</w:t>
      </w:r>
      <w:r w:rsidRPr="005A1EB0">
        <w:rPr>
          <w:rFonts w:hint="cs"/>
          <w:w w:val="100"/>
          <w:kern w:val="0"/>
          <w:sz w:val="30"/>
          <w:rtl/>
          <w:lang w:val="fr-FR"/>
        </w:rPr>
        <w:t xml:space="preserve"> وغير قابل للتقييد</w:t>
      </w:r>
      <w:r w:rsidRPr="005A1EB0">
        <w:rPr>
          <w:rStyle w:val="FootnoteReference"/>
          <w:color w:val="auto"/>
          <w:w w:val="100"/>
          <w:kern w:val="0"/>
          <w:sz w:val="30"/>
          <w:szCs w:val="30"/>
          <w:rtl/>
          <w:lang w:val="fr-FR"/>
        </w:rPr>
        <w:footnoteReference w:customMarkFollows="1" w:id="34"/>
        <w:t>(34)</w:t>
      </w:r>
      <w:r w:rsidR="004377B5" w:rsidRPr="005A1EB0">
        <w:rPr>
          <w:rFonts w:hint="cs"/>
          <w:w w:val="100"/>
          <w:kern w:val="0"/>
          <w:sz w:val="30"/>
          <w:rtl/>
          <w:lang w:val="fr-FR"/>
        </w:rPr>
        <w:t>.</w:t>
      </w:r>
      <w:r w:rsidRPr="005A1EB0">
        <w:rPr>
          <w:rFonts w:hint="cs"/>
          <w:w w:val="100"/>
          <w:kern w:val="0"/>
          <w:sz w:val="30"/>
          <w:rtl/>
          <w:lang w:val="fr-FR"/>
        </w:rPr>
        <w:t xml:space="preserve"> ول</w:t>
      </w:r>
      <w:r w:rsidR="004377B5" w:rsidRPr="005A1EB0">
        <w:rPr>
          <w:rFonts w:hint="cs"/>
          <w:w w:val="100"/>
          <w:kern w:val="0"/>
          <w:sz w:val="30"/>
          <w:rtl/>
          <w:lang w:val="fr-FR"/>
        </w:rPr>
        <w:t xml:space="preserve">كي يصبح </w:t>
      </w:r>
      <w:r w:rsidRPr="005A1EB0">
        <w:rPr>
          <w:rFonts w:hint="cs"/>
          <w:w w:val="100"/>
          <w:kern w:val="0"/>
          <w:sz w:val="30"/>
          <w:rtl/>
          <w:lang w:val="fr-FR"/>
        </w:rPr>
        <w:t xml:space="preserve">هذا الحق نافذاً، ينبغي الامتثال لمبادئ </w:t>
      </w:r>
      <w:r w:rsidR="00C566D7" w:rsidRPr="005A1EB0">
        <w:rPr>
          <w:rFonts w:hint="cs"/>
          <w:w w:val="100"/>
          <w:kern w:val="0"/>
          <w:sz w:val="30"/>
          <w:rtl/>
          <w:lang w:val="fr-FR"/>
        </w:rPr>
        <w:t xml:space="preserve">مثل </w:t>
      </w:r>
      <w:r w:rsidRPr="005A1EB0">
        <w:rPr>
          <w:rFonts w:hint="cs"/>
          <w:w w:val="100"/>
          <w:kern w:val="0"/>
          <w:sz w:val="30"/>
          <w:rtl/>
          <w:lang w:val="fr-FR"/>
        </w:rPr>
        <w:t xml:space="preserve">نزاهة المحكمة التي تنظر في الاحتجاز، والحق في الاستعانة </w:t>
      </w:r>
      <w:r w:rsidR="00C566D7" w:rsidRPr="005A1EB0">
        <w:rPr>
          <w:rFonts w:hint="cs"/>
          <w:w w:val="100"/>
          <w:kern w:val="0"/>
          <w:sz w:val="30"/>
          <w:rtl/>
          <w:lang w:val="fr-FR"/>
        </w:rPr>
        <w:t xml:space="preserve">بمحامٍ، </w:t>
      </w:r>
      <w:r w:rsidRPr="005A1EB0">
        <w:rPr>
          <w:rFonts w:hint="cs"/>
          <w:w w:val="100"/>
          <w:kern w:val="0"/>
          <w:sz w:val="30"/>
          <w:rtl/>
          <w:lang w:val="fr-FR"/>
        </w:rPr>
        <w:t>والحصول على مساعدة قانونية، وتحمّل السلطات عبء الإثبات</w:t>
      </w:r>
      <w:r w:rsidRPr="005A1EB0">
        <w:rPr>
          <w:rStyle w:val="FootnoteReference"/>
          <w:color w:val="auto"/>
          <w:w w:val="100"/>
          <w:kern w:val="0"/>
          <w:sz w:val="30"/>
          <w:szCs w:val="30"/>
          <w:rtl/>
          <w:lang w:val="fr-FR"/>
        </w:rPr>
        <w:footnoteReference w:customMarkFollows="1" w:id="35"/>
        <w:t>(35)</w:t>
      </w:r>
      <w:r w:rsidR="00C566D7" w:rsidRPr="005A1EB0">
        <w:rPr>
          <w:rFonts w:hint="cs"/>
          <w:w w:val="100"/>
          <w:kern w:val="0"/>
          <w:sz w:val="30"/>
          <w:rtl/>
          <w:lang w:val="fr-FR"/>
        </w:rPr>
        <w:t>.</w:t>
      </w:r>
      <w:r w:rsidRPr="005A1EB0">
        <w:rPr>
          <w:rFonts w:hint="cs"/>
          <w:w w:val="100"/>
          <w:kern w:val="0"/>
          <w:sz w:val="30"/>
          <w:rtl/>
          <w:lang w:val="fr-FR"/>
        </w:rPr>
        <w:t xml:space="preserve"> ومع ذلك، </w:t>
      </w:r>
      <w:r w:rsidR="00C566D7" w:rsidRPr="005A1EB0">
        <w:rPr>
          <w:rFonts w:hint="cs"/>
          <w:w w:val="100"/>
          <w:kern w:val="0"/>
          <w:sz w:val="30"/>
          <w:rtl/>
          <w:lang w:val="fr-FR"/>
        </w:rPr>
        <w:t xml:space="preserve">فقد </w:t>
      </w:r>
      <w:r w:rsidRPr="005A1EB0">
        <w:rPr>
          <w:rFonts w:hint="cs"/>
          <w:w w:val="100"/>
          <w:kern w:val="0"/>
          <w:sz w:val="30"/>
          <w:rtl/>
          <w:lang w:val="fr-FR"/>
        </w:rPr>
        <w:t xml:space="preserve">أبلغت هيئات </w:t>
      </w:r>
      <w:r w:rsidR="00C566D7" w:rsidRPr="005A1EB0">
        <w:rPr>
          <w:rFonts w:hint="cs"/>
          <w:w w:val="100"/>
          <w:kern w:val="0"/>
          <w:sz w:val="30"/>
          <w:rtl/>
          <w:lang w:val="fr-FR"/>
        </w:rPr>
        <w:t xml:space="preserve">عديدة </w:t>
      </w:r>
      <w:r w:rsidRPr="005A1EB0">
        <w:rPr>
          <w:rFonts w:hint="cs"/>
          <w:w w:val="100"/>
          <w:kern w:val="0"/>
          <w:sz w:val="30"/>
          <w:rtl/>
          <w:lang w:val="fr-FR"/>
        </w:rPr>
        <w:t>معنية بحقوق الإنسان عن انتهاكات جسيمة للحق في الحرية</w:t>
      </w:r>
      <w:r w:rsidR="008E3966" w:rsidRPr="005A1EB0">
        <w:rPr>
          <w:rFonts w:hint="cs"/>
          <w:w w:val="100"/>
          <w:kern w:val="0"/>
          <w:sz w:val="30"/>
          <w:rtl/>
          <w:lang w:val="fr-FR"/>
        </w:rPr>
        <w:t>،</w:t>
      </w:r>
      <w:r w:rsidRPr="005A1EB0">
        <w:rPr>
          <w:rFonts w:hint="cs"/>
          <w:w w:val="100"/>
          <w:kern w:val="0"/>
          <w:sz w:val="30"/>
          <w:rtl/>
          <w:lang w:val="fr-FR"/>
        </w:rPr>
        <w:t xml:space="preserve"> حيث يُحتجز أشخاص دون أي مبرّر</w:t>
      </w:r>
      <w:r w:rsidRPr="005A1EB0">
        <w:rPr>
          <w:rStyle w:val="FootnoteReference"/>
          <w:color w:val="auto"/>
          <w:w w:val="100"/>
          <w:kern w:val="0"/>
          <w:sz w:val="30"/>
          <w:szCs w:val="30"/>
          <w:rtl/>
          <w:lang w:val="fr-FR"/>
        </w:rPr>
        <w:footnoteReference w:customMarkFollows="1" w:id="36"/>
        <w:t>(36)</w:t>
      </w:r>
      <w:r w:rsidRPr="005A1EB0">
        <w:rPr>
          <w:rFonts w:hint="cs"/>
          <w:w w:val="100"/>
          <w:kern w:val="0"/>
          <w:sz w:val="30"/>
          <w:rtl/>
          <w:lang w:val="fr-FR"/>
        </w:rPr>
        <w:t>، ولا ي</w:t>
      </w:r>
      <w:r w:rsidR="008E3966" w:rsidRPr="005A1EB0">
        <w:rPr>
          <w:rFonts w:hint="cs"/>
          <w:w w:val="100"/>
          <w:kern w:val="0"/>
          <w:sz w:val="30"/>
          <w:rtl/>
          <w:lang w:val="fr-FR"/>
        </w:rPr>
        <w:t xml:space="preserve">ُكفل مثول الموقوفين </w:t>
      </w:r>
      <w:r w:rsidRPr="005A1EB0">
        <w:rPr>
          <w:rFonts w:hint="cs"/>
          <w:w w:val="100"/>
          <w:kern w:val="0"/>
          <w:sz w:val="30"/>
          <w:rtl/>
          <w:lang w:val="fr-FR"/>
        </w:rPr>
        <w:t>بصورة عاجلة أمام قاضٍ</w:t>
      </w:r>
      <w:r w:rsidRPr="005A1EB0">
        <w:rPr>
          <w:rStyle w:val="FootnoteReference"/>
          <w:color w:val="auto"/>
          <w:w w:val="100"/>
          <w:kern w:val="0"/>
          <w:sz w:val="30"/>
          <w:szCs w:val="30"/>
          <w:rtl/>
          <w:lang w:val="fr-FR"/>
        </w:rPr>
        <w:footnoteReference w:customMarkFollows="1" w:id="37"/>
        <w:t>(37)</w:t>
      </w:r>
      <w:r w:rsidR="00C566D7" w:rsidRPr="005A1EB0">
        <w:rPr>
          <w:rFonts w:hint="cs"/>
          <w:w w:val="100"/>
          <w:kern w:val="0"/>
          <w:sz w:val="30"/>
          <w:rtl/>
          <w:lang w:val="fr-FR"/>
        </w:rPr>
        <w:t>،</w:t>
      </w:r>
      <w:r w:rsidRPr="005A1EB0">
        <w:rPr>
          <w:rFonts w:hint="cs"/>
          <w:w w:val="100"/>
          <w:kern w:val="0"/>
          <w:sz w:val="30"/>
          <w:rtl/>
          <w:lang w:val="fr-FR"/>
        </w:rPr>
        <w:t xml:space="preserve"> ولا</w:t>
      </w:r>
      <w:r w:rsidR="00C566D7" w:rsidRPr="005A1EB0">
        <w:rPr>
          <w:rFonts w:hint="eastAsia"/>
          <w:w w:val="100"/>
          <w:kern w:val="0"/>
          <w:sz w:val="30"/>
          <w:rtl/>
          <w:lang w:val="fr-FR"/>
        </w:rPr>
        <w:t> </w:t>
      </w:r>
      <w:r w:rsidRPr="005A1EB0">
        <w:rPr>
          <w:rFonts w:hint="cs"/>
          <w:w w:val="100"/>
          <w:kern w:val="0"/>
          <w:sz w:val="30"/>
          <w:rtl/>
          <w:lang w:val="fr-FR"/>
        </w:rPr>
        <w:t>يَصدر على وجه السرعة قرار قضائي بشأن استمرار الاحتجاز</w:t>
      </w:r>
      <w:r w:rsidRPr="005A1EB0">
        <w:rPr>
          <w:rStyle w:val="FootnoteReference"/>
          <w:color w:val="auto"/>
          <w:w w:val="100"/>
          <w:kern w:val="0"/>
          <w:sz w:val="30"/>
          <w:szCs w:val="30"/>
          <w:rtl/>
          <w:lang w:val="fr-FR"/>
        </w:rPr>
        <w:footnoteReference w:customMarkFollows="1" w:id="38"/>
        <w:t>(38)</w:t>
      </w:r>
      <w:r w:rsidR="00C566D7" w:rsidRPr="005A1EB0">
        <w:rPr>
          <w:rFonts w:hint="cs"/>
          <w:w w:val="100"/>
          <w:kern w:val="0"/>
          <w:sz w:val="30"/>
          <w:rtl/>
          <w:lang w:val="fr-FR"/>
        </w:rPr>
        <w:t xml:space="preserve">. ثم إنه كثيراً </w:t>
      </w:r>
      <w:r w:rsidRPr="005A1EB0">
        <w:rPr>
          <w:rFonts w:hint="cs"/>
          <w:w w:val="100"/>
          <w:kern w:val="0"/>
          <w:sz w:val="30"/>
          <w:rtl/>
          <w:lang w:val="fr-FR"/>
        </w:rPr>
        <w:t xml:space="preserve">ما تقوَّض إمكانية </w:t>
      </w:r>
      <w:r w:rsidRPr="005A1EB0">
        <w:rPr>
          <w:rFonts w:hint="cs"/>
          <w:w w:val="100"/>
          <w:kern w:val="0"/>
          <w:sz w:val="30"/>
          <w:rtl/>
          <w:lang w:val="fr-FR"/>
        </w:rPr>
        <w:lastRenderedPageBreak/>
        <w:t xml:space="preserve">طعن المحتجزين في </w:t>
      </w:r>
      <w:r w:rsidR="00C566D7" w:rsidRPr="005A1EB0">
        <w:rPr>
          <w:rFonts w:hint="cs"/>
          <w:w w:val="100"/>
          <w:kern w:val="0"/>
          <w:sz w:val="30"/>
          <w:rtl/>
          <w:lang w:val="fr-FR"/>
        </w:rPr>
        <w:t>استمرار احت</w:t>
      </w:r>
      <w:r w:rsidRPr="005A1EB0">
        <w:rPr>
          <w:rFonts w:hint="cs"/>
          <w:w w:val="100"/>
          <w:kern w:val="0"/>
          <w:sz w:val="30"/>
          <w:rtl/>
          <w:lang w:val="fr-FR"/>
        </w:rPr>
        <w:t xml:space="preserve">جازهم </w:t>
      </w:r>
      <w:r w:rsidR="00C566D7" w:rsidRPr="005A1EB0">
        <w:rPr>
          <w:rFonts w:hint="cs"/>
          <w:w w:val="100"/>
          <w:kern w:val="0"/>
          <w:sz w:val="30"/>
          <w:rtl/>
          <w:lang w:val="fr-FR"/>
        </w:rPr>
        <w:t>وذلك</w:t>
      </w:r>
      <w:r w:rsidRPr="005A1EB0">
        <w:rPr>
          <w:rFonts w:hint="cs"/>
          <w:w w:val="100"/>
          <w:kern w:val="0"/>
          <w:sz w:val="30"/>
          <w:rtl/>
          <w:lang w:val="fr-FR"/>
        </w:rPr>
        <w:t xml:space="preserve"> بسبب عدم وجود من يمثّلهم قانوناً وعدم تلقيهم المساعدة القانونية </w:t>
      </w:r>
      <w:r w:rsidR="00C566D7" w:rsidRPr="005A1EB0">
        <w:rPr>
          <w:rFonts w:hint="cs"/>
          <w:w w:val="100"/>
          <w:kern w:val="0"/>
          <w:sz w:val="30"/>
          <w:rtl/>
          <w:lang w:val="fr-FR"/>
        </w:rPr>
        <w:t xml:space="preserve">بل </w:t>
      </w:r>
      <w:r w:rsidRPr="005A1EB0">
        <w:rPr>
          <w:rFonts w:hint="cs"/>
          <w:w w:val="100"/>
          <w:kern w:val="0"/>
          <w:sz w:val="30"/>
          <w:rtl/>
          <w:lang w:val="fr-FR"/>
        </w:rPr>
        <w:t>وحتى بسبب عدم توافر القضاة</w:t>
      </w:r>
      <w:r w:rsidRPr="005A1EB0">
        <w:rPr>
          <w:rStyle w:val="FootnoteReference"/>
          <w:color w:val="auto"/>
          <w:w w:val="100"/>
          <w:kern w:val="0"/>
          <w:sz w:val="30"/>
          <w:szCs w:val="30"/>
          <w:rtl/>
          <w:lang w:val="fr-FR"/>
        </w:rPr>
        <w:footnoteReference w:customMarkFollows="1" w:id="39"/>
        <w:t>(39)</w:t>
      </w:r>
      <w:r w:rsidR="00E9460D" w:rsidRPr="005A1EB0">
        <w:rPr>
          <w:rFonts w:hint="cs"/>
          <w:w w:val="100"/>
          <w:kern w:val="0"/>
          <w:sz w:val="30"/>
          <w:rtl/>
        </w:rPr>
        <w:t>.</w:t>
      </w:r>
    </w:p>
    <w:p w:rsidR="00CE0006" w:rsidRPr="005A1EB0" w:rsidRDefault="00CE0006" w:rsidP="002617C4">
      <w:pPr>
        <w:pStyle w:val="SingleTxt"/>
        <w:spacing w:line="380" w:lineRule="exact"/>
        <w:rPr>
          <w:w w:val="100"/>
          <w:kern w:val="0"/>
          <w:sz w:val="30"/>
        </w:rPr>
      </w:pPr>
      <w:r w:rsidRPr="005A1EB0">
        <w:rPr>
          <w:rFonts w:hint="cs"/>
          <w:w w:val="100"/>
          <w:kern w:val="0"/>
          <w:sz w:val="30"/>
          <w:rtl/>
        </w:rPr>
        <w:t>11-</w:t>
      </w:r>
      <w:r w:rsidRPr="005A1EB0">
        <w:rPr>
          <w:rFonts w:hint="cs"/>
          <w:w w:val="100"/>
          <w:kern w:val="0"/>
          <w:sz w:val="30"/>
          <w:rtl/>
        </w:rPr>
        <w:tab/>
        <w:t xml:space="preserve">وأفاد الفريق العامل المعني بالاحتجاز التعسفي بأن المبدأ القائل إن عقوبة سلب الحرية تُفرض لتلبية حاجة عامة ملحة وعلى نحو يتناسب مع تلك الحاجة </w:t>
      </w:r>
      <w:r w:rsidR="00C566D7" w:rsidRPr="005A1EB0">
        <w:rPr>
          <w:rFonts w:hint="cs"/>
          <w:w w:val="100"/>
          <w:kern w:val="0"/>
          <w:sz w:val="30"/>
          <w:rtl/>
        </w:rPr>
        <w:t xml:space="preserve">ينطبق أكثر ما ينطبق في </w:t>
      </w:r>
      <w:r w:rsidRPr="005A1EB0">
        <w:rPr>
          <w:rFonts w:hint="cs"/>
          <w:w w:val="100"/>
          <w:kern w:val="0"/>
          <w:sz w:val="30"/>
          <w:rtl/>
        </w:rPr>
        <w:t>حالات الاحتجاز التي ينتظر فيها المحتجز إجراء المحاكمة</w:t>
      </w:r>
      <w:r w:rsidRPr="005A1EB0">
        <w:rPr>
          <w:rStyle w:val="FootnoteReference"/>
          <w:color w:val="auto"/>
          <w:w w:val="100"/>
          <w:kern w:val="0"/>
          <w:sz w:val="30"/>
          <w:szCs w:val="30"/>
          <w:rtl/>
        </w:rPr>
        <w:footnoteReference w:customMarkFollows="1" w:id="40"/>
        <w:t>(40)</w:t>
      </w:r>
      <w:r w:rsidR="00C566D7" w:rsidRPr="005A1EB0">
        <w:rPr>
          <w:rFonts w:hint="cs"/>
          <w:w w:val="100"/>
          <w:kern w:val="0"/>
          <w:sz w:val="30"/>
          <w:rtl/>
        </w:rPr>
        <w:t>.</w:t>
      </w:r>
      <w:r w:rsidRPr="005A1EB0">
        <w:rPr>
          <w:rFonts w:hint="cs"/>
          <w:w w:val="100"/>
          <w:kern w:val="0"/>
          <w:sz w:val="30"/>
          <w:rtl/>
        </w:rPr>
        <w:t xml:space="preserve"> وهذا يعني أن الاحتجاز السابق للمحاكمة ينبغي أن يكون تدبيراً يُتخذ كملاذ أخير. بيد أن </w:t>
      </w:r>
      <w:r w:rsidR="00C566D7" w:rsidRPr="005A1EB0">
        <w:rPr>
          <w:rFonts w:hint="cs"/>
          <w:w w:val="100"/>
          <w:kern w:val="0"/>
          <w:sz w:val="30"/>
          <w:rtl/>
        </w:rPr>
        <w:t xml:space="preserve">هيئات </w:t>
      </w:r>
      <w:r w:rsidRPr="005A1EB0">
        <w:rPr>
          <w:rFonts w:hint="cs"/>
          <w:w w:val="100"/>
          <w:kern w:val="0"/>
          <w:sz w:val="30"/>
          <w:rtl/>
        </w:rPr>
        <w:t>دولية</w:t>
      </w:r>
      <w:r w:rsidRPr="005A1EB0">
        <w:rPr>
          <w:rStyle w:val="FootnoteReference"/>
          <w:color w:val="auto"/>
          <w:w w:val="100"/>
          <w:kern w:val="0"/>
          <w:sz w:val="30"/>
          <w:szCs w:val="30"/>
          <w:rtl/>
        </w:rPr>
        <w:footnoteReference w:customMarkFollows="1" w:id="41"/>
        <w:t>(41)</w:t>
      </w:r>
      <w:r w:rsidRPr="005A1EB0">
        <w:rPr>
          <w:rFonts w:hint="cs"/>
          <w:w w:val="100"/>
          <w:kern w:val="0"/>
          <w:sz w:val="30"/>
          <w:rtl/>
        </w:rPr>
        <w:t xml:space="preserve"> وإقليمية</w:t>
      </w:r>
      <w:r w:rsidRPr="005A1EB0">
        <w:rPr>
          <w:rStyle w:val="FootnoteReference"/>
          <w:color w:val="auto"/>
          <w:w w:val="100"/>
          <w:kern w:val="0"/>
          <w:sz w:val="30"/>
          <w:szCs w:val="30"/>
          <w:rtl/>
        </w:rPr>
        <w:footnoteReference w:customMarkFollows="1" w:id="42"/>
        <w:t>(42)</w:t>
      </w:r>
      <w:r w:rsidRPr="005A1EB0">
        <w:rPr>
          <w:rFonts w:hint="cs"/>
          <w:w w:val="100"/>
          <w:kern w:val="0"/>
          <w:sz w:val="30"/>
          <w:rtl/>
        </w:rPr>
        <w:t xml:space="preserve"> </w:t>
      </w:r>
      <w:r w:rsidR="00C566D7" w:rsidRPr="005A1EB0">
        <w:rPr>
          <w:rFonts w:hint="cs"/>
          <w:w w:val="100"/>
          <w:kern w:val="0"/>
          <w:sz w:val="30"/>
          <w:rtl/>
        </w:rPr>
        <w:t xml:space="preserve">قد </w:t>
      </w:r>
      <w:r w:rsidRPr="005A1EB0">
        <w:rPr>
          <w:rFonts w:hint="cs"/>
          <w:w w:val="100"/>
          <w:kern w:val="0"/>
          <w:sz w:val="30"/>
          <w:rtl/>
        </w:rPr>
        <w:t>أعربت عن قلقها إزاء اللجوء المتزايد إلى الاحتجاز السابق للمحاكمة وطوله المفرط مشيرةً إلى مساهمته الكبيرة في الاكتظاظ</w:t>
      </w:r>
      <w:r w:rsidRPr="005A1EB0">
        <w:rPr>
          <w:rStyle w:val="FootnoteReference"/>
          <w:color w:val="auto"/>
          <w:w w:val="100"/>
          <w:kern w:val="0"/>
          <w:sz w:val="30"/>
          <w:szCs w:val="30"/>
          <w:rtl/>
        </w:rPr>
        <w:footnoteReference w:customMarkFollows="1" w:id="43"/>
        <w:t>(43)</w:t>
      </w:r>
      <w:r w:rsidRPr="005A1EB0">
        <w:rPr>
          <w:rFonts w:hint="cs"/>
          <w:w w:val="100"/>
          <w:kern w:val="0"/>
          <w:sz w:val="30"/>
          <w:rtl/>
        </w:rPr>
        <w:t xml:space="preserve">، مما </w:t>
      </w:r>
      <w:r w:rsidR="00C566D7" w:rsidRPr="005A1EB0">
        <w:rPr>
          <w:rFonts w:hint="cs"/>
          <w:w w:val="100"/>
          <w:kern w:val="0"/>
          <w:sz w:val="30"/>
          <w:rtl/>
        </w:rPr>
        <w:t xml:space="preserve">يفضي إلى حالات </w:t>
      </w:r>
      <w:r w:rsidRPr="005A1EB0">
        <w:rPr>
          <w:rFonts w:hint="cs"/>
          <w:w w:val="100"/>
          <w:kern w:val="0"/>
          <w:sz w:val="30"/>
          <w:rtl/>
        </w:rPr>
        <w:t xml:space="preserve">يشكّل </w:t>
      </w:r>
      <w:r w:rsidR="00C566D7" w:rsidRPr="005A1EB0">
        <w:rPr>
          <w:rFonts w:hint="cs"/>
          <w:w w:val="100"/>
          <w:kern w:val="0"/>
          <w:sz w:val="30"/>
          <w:rtl/>
        </w:rPr>
        <w:t>فيها ا</w:t>
      </w:r>
      <w:r w:rsidRPr="005A1EB0">
        <w:rPr>
          <w:rFonts w:hint="cs"/>
          <w:w w:val="100"/>
          <w:kern w:val="0"/>
          <w:sz w:val="30"/>
          <w:rtl/>
        </w:rPr>
        <w:t xml:space="preserve">لمحتجزون </w:t>
      </w:r>
      <w:r w:rsidR="00C566D7" w:rsidRPr="005A1EB0">
        <w:rPr>
          <w:rFonts w:hint="cs"/>
          <w:w w:val="100"/>
          <w:kern w:val="0"/>
          <w:sz w:val="30"/>
          <w:rtl/>
        </w:rPr>
        <w:t xml:space="preserve">الذين ينتظرون </w:t>
      </w:r>
      <w:r w:rsidRPr="005A1EB0">
        <w:rPr>
          <w:rFonts w:hint="cs"/>
          <w:w w:val="100"/>
          <w:kern w:val="0"/>
          <w:sz w:val="30"/>
          <w:rtl/>
        </w:rPr>
        <w:t>المحاكمة غالبية السجناء في بعض السجون</w:t>
      </w:r>
      <w:r w:rsidRPr="005A1EB0">
        <w:rPr>
          <w:rStyle w:val="FootnoteReference"/>
          <w:color w:val="auto"/>
          <w:w w:val="100"/>
          <w:kern w:val="0"/>
          <w:sz w:val="30"/>
          <w:szCs w:val="30"/>
          <w:rtl/>
        </w:rPr>
        <w:footnoteReference w:customMarkFollows="1" w:id="44"/>
        <w:t>(44)</w:t>
      </w:r>
      <w:r w:rsidR="00C566D7" w:rsidRPr="005A1EB0">
        <w:rPr>
          <w:rFonts w:hint="cs"/>
          <w:w w:val="100"/>
          <w:kern w:val="0"/>
          <w:sz w:val="30"/>
          <w:rtl/>
        </w:rPr>
        <w:t>.</w:t>
      </w:r>
    </w:p>
    <w:p w:rsidR="00CE0006" w:rsidRPr="005A1EB0" w:rsidRDefault="00CE0006" w:rsidP="002617C4">
      <w:pPr>
        <w:pStyle w:val="SingleTxt"/>
        <w:spacing w:line="380" w:lineRule="exact"/>
        <w:rPr>
          <w:w w:val="100"/>
          <w:kern w:val="0"/>
          <w:sz w:val="30"/>
        </w:rPr>
      </w:pPr>
      <w:r w:rsidRPr="005A1EB0">
        <w:rPr>
          <w:rFonts w:hint="cs"/>
          <w:w w:val="100"/>
          <w:kern w:val="0"/>
          <w:sz w:val="30"/>
          <w:rtl/>
        </w:rPr>
        <w:t>12-</w:t>
      </w:r>
      <w:r w:rsidRPr="005A1EB0">
        <w:rPr>
          <w:rFonts w:hint="cs"/>
          <w:w w:val="100"/>
          <w:kern w:val="0"/>
          <w:sz w:val="30"/>
          <w:rtl/>
        </w:rPr>
        <w:tab/>
        <w:t>و</w:t>
      </w:r>
      <w:r w:rsidR="00C566D7" w:rsidRPr="005A1EB0">
        <w:rPr>
          <w:rFonts w:hint="cs"/>
          <w:w w:val="100"/>
          <w:kern w:val="0"/>
          <w:sz w:val="30"/>
          <w:rtl/>
        </w:rPr>
        <w:t xml:space="preserve">قد </w:t>
      </w:r>
      <w:r w:rsidRPr="005A1EB0">
        <w:rPr>
          <w:rFonts w:hint="cs"/>
          <w:w w:val="100"/>
          <w:kern w:val="0"/>
          <w:sz w:val="30"/>
          <w:rtl/>
        </w:rPr>
        <w:t>أُبلغ أيضاً بأن الاكتظاظ يجعل من الصعب في بعض الدول رصد تطبيق كل عقوبة. ويخلّ ذلك بالحق في الحرية الشخصية المكفولة للذين انتهت بالفعل مدة عقوبتهم ولم يُطلق سراحهم على الفور</w:t>
      </w:r>
      <w:r w:rsidRPr="005A1EB0">
        <w:rPr>
          <w:rStyle w:val="FootnoteReference"/>
          <w:color w:val="auto"/>
          <w:w w:val="100"/>
          <w:kern w:val="0"/>
          <w:sz w:val="30"/>
          <w:szCs w:val="30"/>
          <w:rtl/>
        </w:rPr>
        <w:footnoteReference w:customMarkFollows="1" w:id="45"/>
        <w:t>(45)</w:t>
      </w:r>
      <w:r w:rsidR="00C566D7" w:rsidRPr="005A1EB0">
        <w:rPr>
          <w:rStyle w:val="FootnoteReference"/>
          <w:rFonts w:hint="cs"/>
          <w:color w:val="auto"/>
          <w:w w:val="100"/>
          <w:kern w:val="0"/>
          <w:sz w:val="30"/>
          <w:szCs w:val="30"/>
          <w:vertAlign w:val="baseline"/>
          <w:rtl/>
        </w:rPr>
        <w:t>.</w:t>
      </w:r>
    </w:p>
    <w:p w:rsidR="00CE0006" w:rsidRPr="005A1EB0" w:rsidRDefault="00C566D7" w:rsidP="002617C4">
      <w:pPr>
        <w:pStyle w:val="SingleTxt"/>
        <w:spacing w:line="380" w:lineRule="exact"/>
        <w:rPr>
          <w:w w:val="100"/>
          <w:kern w:val="0"/>
          <w:sz w:val="30"/>
        </w:rPr>
      </w:pPr>
      <w:r w:rsidRPr="005A1EB0">
        <w:rPr>
          <w:rFonts w:hint="cs"/>
          <w:w w:val="100"/>
          <w:kern w:val="0"/>
          <w:sz w:val="30"/>
          <w:rtl/>
        </w:rPr>
        <w:t>13-</w:t>
      </w:r>
      <w:r w:rsidRPr="005A1EB0">
        <w:rPr>
          <w:rFonts w:hint="cs"/>
          <w:w w:val="100"/>
          <w:kern w:val="0"/>
          <w:sz w:val="30"/>
          <w:rtl/>
        </w:rPr>
        <w:tab/>
        <w:t>كما أُعرب عن قلق إزاء</w:t>
      </w:r>
      <w:r w:rsidR="00CE0006" w:rsidRPr="005A1EB0">
        <w:rPr>
          <w:rFonts w:hint="cs"/>
          <w:w w:val="100"/>
          <w:kern w:val="0"/>
          <w:sz w:val="30"/>
          <w:rtl/>
        </w:rPr>
        <w:t xml:space="preserve"> ممارستي الحبس الاحتياطي</w:t>
      </w:r>
      <w:r w:rsidR="00CE0006" w:rsidRPr="005A1EB0">
        <w:rPr>
          <w:rStyle w:val="FootnoteReference"/>
          <w:color w:val="auto"/>
          <w:w w:val="100"/>
          <w:kern w:val="0"/>
          <w:sz w:val="30"/>
          <w:szCs w:val="30"/>
          <w:rtl/>
        </w:rPr>
        <w:footnoteReference w:customMarkFollows="1" w:id="46"/>
        <w:t>(46)</w:t>
      </w:r>
      <w:r w:rsidR="00CE0006" w:rsidRPr="005A1EB0">
        <w:rPr>
          <w:rFonts w:hint="cs"/>
          <w:w w:val="100"/>
          <w:kern w:val="0"/>
          <w:sz w:val="30"/>
          <w:rtl/>
        </w:rPr>
        <w:t xml:space="preserve"> والاحتجاز الاحتياطي عقب الإدانة</w:t>
      </w:r>
      <w:r w:rsidR="00CE0006" w:rsidRPr="005A1EB0">
        <w:rPr>
          <w:rStyle w:val="FootnoteReference"/>
          <w:color w:val="auto"/>
          <w:w w:val="100"/>
          <w:kern w:val="0"/>
          <w:sz w:val="30"/>
          <w:szCs w:val="30"/>
          <w:rtl/>
        </w:rPr>
        <w:footnoteReference w:customMarkFollows="1" w:id="47"/>
        <w:t>(47)</w:t>
      </w:r>
      <w:r w:rsidR="00CE0006" w:rsidRPr="005A1EB0">
        <w:rPr>
          <w:rFonts w:hint="cs"/>
          <w:w w:val="100"/>
          <w:kern w:val="0"/>
          <w:sz w:val="30"/>
          <w:rtl/>
        </w:rPr>
        <w:t>، اللتين تتبعهما بعض الدول واللتين تنتهكان الحق في الحرية وتساهم</w:t>
      </w:r>
      <w:r w:rsidRPr="005A1EB0">
        <w:rPr>
          <w:rFonts w:hint="cs"/>
          <w:w w:val="100"/>
          <w:kern w:val="0"/>
          <w:sz w:val="30"/>
          <w:rtl/>
        </w:rPr>
        <w:t xml:space="preserve">ان </w:t>
      </w:r>
      <w:r w:rsidR="00CE0006" w:rsidRPr="005A1EB0">
        <w:rPr>
          <w:rFonts w:hint="cs"/>
          <w:w w:val="100"/>
          <w:kern w:val="0"/>
          <w:sz w:val="30"/>
          <w:rtl/>
        </w:rPr>
        <w:t xml:space="preserve">في مشكلة اللجوء المفرط إلى الإيداع في الحبس </w:t>
      </w:r>
      <w:r w:rsidRPr="005A1EB0">
        <w:rPr>
          <w:rFonts w:hint="cs"/>
          <w:w w:val="100"/>
          <w:kern w:val="0"/>
          <w:sz w:val="30"/>
          <w:rtl/>
        </w:rPr>
        <w:t xml:space="preserve">واكتظاظ </w:t>
      </w:r>
      <w:r w:rsidR="00CE0006" w:rsidRPr="005A1EB0">
        <w:rPr>
          <w:rFonts w:hint="cs"/>
          <w:w w:val="100"/>
          <w:kern w:val="0"/>
          <w:sz w:val="30"/>
          <w:rtl/>
        </w:rPr>
        <w:t>السجون.</w:t>
      </w:r>
    </w:p>
    <w:p w:rsidR="00CE0006" w:rsidRPr="005A1EB0" w:rsidRDefault="00CE0006" w:rsidP="00D36921">
      <w:pPr>
        <w:pStyle w:val="SingleTxt"/>
        <w:rPr>
          <w:rStyle w:val="FootnoteReference"/>
          <w:color w:val="auto"/>
          <w:w w:val="100"/>
          <w:kern w:val="0"/>
          <w:sz w:val="30"/>
          <w:szCs w:val="30"/>
          <w:vertAlign w:val="baseline"/>
          <w:rtl/>
        </w:rPr>
      </w:pPr>
      <w:r w:rsidRPr="005A1EB0">
        <w:rPr>
          <w:rFonts w:hint="cs"/>
          <w:w w:val="100"/>
          <w:kern w:val="0"/>
          <w:sz w:val="30"/>
          <w:rtl/>
        </w:rPr>
        <w:t>14-</w:t>
      </w:r>
      <w:r w:rsidRPr="005A1EB0">
        <w:rPr>
          <w:rFonts w:hint="cs"/>
          <w:w w:val="100"/>
          <w:kern w:val="0"/>
          <w:sz w:val="30"/>
          <w:rtl/>
        </w:rPr>
        <w:tab/>
        <w:t>وتتحمل السلطات المسؤولة عن أماكن الاحتجاز واجب توفير الرعاية إلى المحتجزين</w:t>
      </w:r>
      <w:r w:rsidRPr="005A1EB0">
        <w:rPr>
          <w:rStyle w:val="FootnoteReference"/>
          <w:color w:val="auto"/>
          <w:w w:val="100"/>
          <w:kern w:val="0"/>
          <w:sz w:val="30"/>
          <w:szCs w:val="30"/>
          <w:rtl/>
        </w:rPr>
        <w:footnoteReference w:customMarkFollows="1" w:id="48"/>
        <w:t>(48)</w:t>
      </w:r>
      <w:r w:rsidR="00C566D7" w:rsidRPr="005A1EB0">
        <w:rPr>
          <w:rFonts w:hint="cs"/>
          <w:w w:val="100"/>
          <w:kern w:val="0"/>
          <w:sz w:val="30"/>
          <w:rtl/>
        </w:rPr>
        <w:t>،</w:t>
      </w:r>
      <w:r w:rsidRPr="005A1EB0">
        <w:rPr>
          <w:rFonts w:hint="cs"/>
          <w:w w:val="100"/>
          <w:kern w:val="0"/>
          <w:sz w:val="30"/>
          <w:rtl/>
        </w:rPr>
        <w:t xml:space="preserve"> وكثيراً ما يُهمل هذا الواجب </w:t>
      </w:r>
      <w:r w:rsidR="00D36921" w:rsidRPr="005A1EB0">
        <w:rPr>
          <w:rFonts w:hint="cs"/>
          <w:w w:val="100"/>
          <w:kern w:val="0"/>
          <w:sz w:val="30"/>
          <w:rtl/>
        </w:rPr>
        <w:t xml:space="preserve">لأنه </w:t>
      </w:r>
      <w:r w:rsidR="00C566D7" w:rsidRPr="005A1EB0">
        <w:rPr>
          <w:rFonts w:hint="cs"/>
          <w:w w:val="100"/>
          <w:kern w:val="0"/>
          <w:sz w:val="30"/>
          <w:rtl/>
        </w:rPr>
        <w:t>-</w:t>
      </w:r>
      <w:r w:rsidRPr="005A1EB0">
        <w:rPr>
          <w:rFonts w:hint="cs"/>
          <w:w w:val="100"/>
          <w:kern w:val="0"/>
          <w:sz w:val="30"/>
          <w:rtl/>
        </w:rPr>
        <w:t xml:space="preserve"> بسبب مشكلة الاكتظاظ </w:t>
      </w:r>
      <w:r w:rsidR="002617C4" w:rsidRPr="005A1EB0">
        <w:rPr>
          <w:rFonts w:hint="cs"/>
          <w:w w:val="100"/>
          <w:kern w:val="0"/>
          <w:sz w:val="30"/>
          <w:rtl/>
        </w:rPr>
        <w:t>-</w:t>
      </w:r>
      <w:r w:rsidRPr="005A1EB0">
        <w:rPr>
          <w:rFonts w:hint="cs"/>
          <w:w w:val="100"/>
          <w:kern w:val="0"/>
          <w:sz w:val="30"/>
          <w:rtl/>
        </w:rPr>
        <w:t xml:space="preserve"> تتحمل السجون </w:t>
      </w:r>
      <w:r w:rsidR="00D36921" w:rsidRPr="005A1EB0">
        <w:rPr>
          <w:rFonts w:hint="cs"/>
          <w:w w:val="100"/>
          <w:kern w:val="0"/>
          <w:sz w:val="30"/>
          <w:rtl/>
        </w:rPr>
        <w:t>أعباء تفوق ما</w:t>
      </w:r>
      <w:r w:rsidR="00D36921" w:rsidRPr="005A1EB0">
        <w:rPr>
          <w:rFonts w:hint="eastAsia"/>
          <w:w w:val="100"/>
          <w:kern w:val="0"/>
          <w:sz w:val="30"/>
          <w:rtl/>
        </w:rPr>
        <w:t> </w:t>
      </w:r>
      <w:r w:rsidR="00D36921" w:rsidRPr="005A1EB0">
        <w:rPr>
          <w:rFonts w:hint="cs"/>
          <w:w w:val="100"/>
          <w:kern w:val="0"/>
          <w:sz w:val="30"/>
          <w:rtl/>
        </w:rPr>
        <w:t xml:space="preserve">تسمح به مواردها، </w:t>
      </w:r>
      <w:r w:rsidRPr="005A1EB0">
        <w:rPr>
          <w:rFonts w:hint="cs"/>
          <w:w w:val="100"/>
          <w:kern w:val="0"/>
          <w:sz w:val="30"/>
          <w:rtl/>
        </w:rPr>
        <w:t>ولا تكفي أعداد العاملين مقارنة ب</w:t>
      </w:r>
      <w:r w:rsidR="00D36921" w:rsidRPr="005A1EB0">
        <w:rPr>
          <w:rFonts w:hint="cs"/>
          <w:w w:val="100"/>
          <w:kern w:val="0"/>
          <w:sz w:val="30"/>
          <w:rtl/>
        </w:rPr>
        <w:t>أ</w:t>
      </w:r>
      <w:r w:rsidRPr="005A1EB0">
        <w:rPr>
          <w:rFonts w:hint="cs"/>
          <w:w w:val="100"/>
          <w:kern w:val="0"/>
          <w:sz w:val="30"/>
          <w:rtl/>
        </w:rPr>
        <w:t>عد</w:t>
      </w:r>
      <w:r w:rsidR="00D36921" w:rsidRPr="005A1EB0">
        <w:rPr>
          <w:rFonts w:hint="cs"/>
          <w:w w:val="100"/>
          <w:kern w:val="0"/>
          <w:sz w:val="30"/>
          <w:rtl/>
        </w:rPr>
        <w:t>ا</w:t>
      </w:r>
      <w:r w:rsidRPr="005A1EB0">
        <w:rPr>
          <w:rFonts w:hint="cs"/>
          <w:w w:val="100"/>
          <w:kern w:val="0"/>
          <w:sz w:val="30"/>
          <w:rtl/>
        </w:rPr>
        <w:t xml:space="preserve">د المحتجزين. وهذا يؤدي إلى انتهاكات </w:t>
      </w:r>
      <w:r w:rsidRPr="005A1EB0">
        <w:rPr>
          <w:rFonts w:hint="cs"/>
          <w:w w:val="100"/>
          <w:kern w:val="0"/>
          <w:sz w:val="30"/>
          <w:rtl/>
        </w:rPr>
        <w:lastRenderedPageBreak/>
        <w:t xml:space="preserve">فادحة للحق في </w:t>
      </w:r>
      <w:r w:rsidR="00D36921" w:rsidRPr="005A1EB0">
        <w:rPr>
          <w:rFonts w:hint="cs"/>
          <w:w w:val="100"/>
          <w:kern w:val="0"/>
          <w:sz w:val="30"/>
          <w:rtl/>
        </w:rPr>
        <w:t xml:space="preserve">كفالة </w:t>
      </w:r>
      <w:r w:rsidRPr="005A1EB0">
        <w:rPr>
          <w:rFonts w:hint="cs"/>
          <w:w w:val="100"/>
          <w:kern w:val="0"/>
          <w:sz w:val="30"/>
          <w:rtl/>
        </w:rPr>
        <w:t xml:space="preserve">أمن المحتجزين ومرافق </w:t>
      </w:r>
      <w:r w:rsidR="00D36921" w:rsidRPr="005A1EB0">
        <w:rPr>
          <w:rFonts w:hint="cs"/>
          <w:w w:val="100"/>
          <w:kern w:val="0"/>
          <w:sz w:val="30"/>
          <w:rtl/>
        </w:rPr>
        <w:t xml:space="preserve">الاحتجاز </w:t>
      </w:r>
      <w:r w:rsidRPr="005A1EB0">
        <w:rPr>
          <w:rFonts w:hint="cs"/>
          <w:w w:val="100"/>
          <w:kern w:val="0"/>
          <w:sz w:val="30"/>
          <w:rtl/>
        </w:rPr>
        <w:t>حيث تعجز السلطات عن حماية المحتجزين من العنف الممارس فيما بين السجناء</w:t>
      </w:r>
      <w:r w:rsidRPr="005A1EB0">
        <w:rPr>
          <w:rStyle w:val="FootnoteReference"/>
          <w:color w:val="auto"/>
          <w:w w:val="100"/>
          <w:kern w:val="0"/>
          <w:sz w:val="30"/>
          <w:szCs w:val="30"/>
          <w:rtl/>
        </w:rPr>
        <w:footnoteReference w:customMarkFollows="1" w:id="49"/>
        <w:t>(49)</w:t>
      </w:r>
      <w:r w:rsidR="00C566D7" w:rsidRPr="005A1EB0">
        <w:rPr>
          <w:rFonts w:hint="cs"/>
          <w:w w:val="100"/>
          <w:kern w:val="0"/>
          <w:sz w:val="30"/>
          <w:rtl/>
        </w:rPr>
        <w:t>.</w:t>
      </w:r>
      <w:r w:rsidRPr="005A1EB0">
        <w:rPr>
          <w:rFonts w:hint="cs"/>
          <w:w w:val="100"/>
          <w:kern w:val="0"/>
          <w:sz w:val="30"/>
          <w:rtl/>
        </w:rPr>
        <w:t xml:space="preserve"> وقد تنشأ بسبب الاكتظاظ توترات بين الموظفين والمحتجزين</w:t>
      </w:r>
      <w:r w:rsidRPr="005A1EB0">
        <w:rPr>
          <w:rStyle w:val="FootnoteReference"/>
          <w:color w:val="auto"/>
          <w:w w:val="100"/>
          <w:kern w:val="0"/>
          <w:sz w:val="30"/>
          <w:szCs w:val="30"/>
          <w:rtl/>
        </w:rPr>
        <w:footnoteReference w:customMarkFollows="1" w:id="50"/>
        <w:t>(50)</w:t>
      </w:r>
      <w:r w:rsidRPr="005A1EB0">
        <w:rPr>
          <w:rFonts w:hint="cs"/>
          <w:w w:val="100"/>
          <w:kern w:val="0"/>
          <w:sz w:val="30"/>
          <w:rtl/>
        </w:rPr>
        <w:t xml:space="preserve"> مع ما قد ينتج عن ذلك من عواقب تأديبية</w:t>
      </w:r>
      <w:r w:rsidRPr="005A1EB0">
        <w:rPr>
          <w:rStyle w:val="FootnoteReference"/>
          <w:color w:val="auto"/>
          <w:w w:val="100"/>
          <w:kern w:val="0"/>
          <w:sz w:val="30"/>
          <w:szCs w:val="30"/>
          <w:rtl/>
        </w:rPr>
        <w:footnoteReference w:customMarkFollows="1" w:id="51"/>
        <w:t>(51)</w:t>
      </w:r>
      <w:r w:rsidR="00C566D7" w:rsidRPr="005A1EB0">
        <w:rPr>
          <w:rFonts w:hint="cs"/>
          <w:w w:val="100"/>
          <w:kern w:val="0"/>
          <w:sz w:val="30"/>
          <w:rtl/>
        </w:rPr>
        <w:t>،</w:t>
      </w:r>
      <w:r w:rsidRPr="005A1EB0">
        <w:rPr>
          <w:rFonts w:hint="cs"/>
          <w:w w:val="100"/>
          <w:kern w:val="0"/>
          <w:sz w:val="30"/>
          <w:rtl/>
        </w:rPr>
        <w:t xml:space="preserve"> مما يسمح لأقوى المحتجزين بفرض سيطرتهم</w:t>
      </w:r>
      <w:r w:rsidRPr="005A1EB0">
        <w:rPr>
          <w:rStyle w:val="FootnoteReference"/>
          <w:color w:val="auto"/>
          <w:w w:val="100"/>
          <w:kern w:val="0"/>
          <w:sz w:val="30"/>
          <w:szCs w:val="30"/>
          <w:rtl/>
        </w:rPr>
        <w:footnoteReference w:customMarkFollows="1" w:id="52"/>
        <w:t>(52)</w:t>
      </w:r>
      <w:r w:rsidRPr="005A1EB0">
        <w:rPr>
          <w:rFonts w:hint="cs"/>
          <w:w w:val="100"/>
          <w:kern w:val="0"/>
          <w:sz w:val="30"/>
          <w:rtl/>
        </w:rPr>
        <w:t xml:space="preserve"> ويؤدي إلى أعمال شغب واض</w:t>
      </w:r>
      <w:r w:rsidR="00C566D7" w:rsidRPr="005A1EB0">
        <w:rPr>
          <w:rFonts w:hint="cs"/>
          <w:w w:val="100"/>
          <w:kern w:val="0"/>
          <w:sz w:val="30"/>
          <w:rtl/>
        </w:rPr>
        <w:t xml:space="preserve">طرابات وحالات إضراب عن الطعام احتجاجاً </w:t>
      </w:r>
      <w:r w:rsidRPr="005A1EB0">
        <w:rPr>
          <w:rFonts w:hint="cs"/>
          <w:w w:val="100"/>
          <w:kern w:val="0"/>
          <w:sz w:val="30"/>
          <w:rtl/>
        </w:rPr>
        <w:t>على ظروف الاحتجاز</w:t>
      </w:r>
      <w:r w:rsidRPr="005A1EB0">
        <w:rPr>
          <w:rStyle w:val="FootnoteReference"/>
          <w:color w:val="auto"/>
          <w:w w:val="100"/>
          <w:kern w:val="0"/>
          <w:sz w:val="30"/>
          <w:szCs w:val="30"/>
          <w:rtl/>
        </w:rPr>
        <w:footnoteReference w:customMarkFollows="1" w:id="53"/>
        <w:t>(53)</w:t>
      </w:r>
      <w:r w:rsidR="00C566D7" w:rsidRPr="005A1EB0">
        <w:rPr>
          <w:rFonts w:hint="cs"/>
          <w:w w:val="100"/>
          <w:kern w:val="0"/>
          <w:sz w:val="30"/>
          <w:rtl/>
        </w:rPr>
        <w:t>.</w:t>
      </w:r>
      <w:r w:rsidRPr="005A1EB0">
        <w:rPr>
          <w:rFonts w:hint="cs"/>
          <w:w w:val="100"/>
          <w:kern w:val="0"/>
          <w:sz w:val="30"/>
          <w:rtl/>
        </w:rPr>
        <w:t xml:space="preserve"> وبالإضافة إلى ذلك، قد يكون الاكتظاظ في مرافق الاحتجاز شديداً </w:t>
      </w:r>
      <w:r w:rsidR="00C566D7" w:rsidRPr="005A1EB0">
        <w:rPr>
          <w:rFonts w:hint="cs"/>
          <w:w w:val="100"/>
          <w:kern w:val="0"/>
          <w:sz w:val="30"/>
          <w:rtl/>
        </w:rPr>
        <w:t>إلى حد</w:t>
      </w:r>
      <w:r w:rsidR="00D36921" w:rsidRPr="005A1EB0">
        <w:rPr>
          <w:rFonts w:hint="cs"/>
          <w:w w:val="100"/>
          <w:kern w:val="0"/>
          <w:sz w:val="30"/>
          <w:rtl/>
        </w:rPr>
        <w:t>ّ</w:t>
      </w:r>
      <w:r w:rsidR="00C566D7" w:rsidRPr="005A1EB0">
        <w:rPr>
          <w:rFonts w:hint="cs"/>
          <w:w w:val="100"/>
          <w:kern w:val="0"/>
          <w:sz w:val="30"/>
          <w:rtl/>
        </w:rPr>
        <w:t xml:space="preserve"> يتعذر معه </w:t>
      </w:r>
      <w:r w:rsidRPr="005A1EB0">
        <w:rPr>
          <w:rFonts w:hint="cs"/>
          <w:w w:val="100"/>
          <w:kern w:val="0"/>
          <w:sz w:val="30"/>
          <w:rtl/>
        </w:rPr>
        <w:t xml:space="preserve">على السلطات ضمان حماية المحتجزين </w:t>
      </w:r>
      <w:r w:rsidR="00C566D7" w:rsidRPr="005A1EB0">
        <w:rPr>
          <w:rFonts w:hint="cs"/>
          <w:w w:val="100"/>
          <w:kern w:val="0"/>
          <w:sz w:val="30"/>
          <w:rtl/>
        </w:rPr>
        <w:t xml:space="preserve">عند حدوث </w:t>
      </w:r>
      <w:r w:rsidRPr="005A1EB0">
        <w:rPr>
          <w:rFonts w:hint="cs"/>
          <w:w w:val="100"/>
          <w:kern w:val="0"/>
          <w:sz w:val="30"/>
          <w:rtl/>
        </w:rPr>
        <w:t>حالات طوارئ مثل الفيضانات والحرائق</w:t>
      </w:r>
      <w:r w:rsidRPr="005A1EB0">
        <w:rPr>
          <w:rStyle w:val="FootnoteReference"/>
          <w:color w:val="auto"/>
          <w:w w:val="100"/>
          <w:kern w:val="0"/>
          <w:sz w:val="30"/>
          <w:szCs w:val="30"/>
          <w:rtl/>
        </w:rPr>
        <w:footnoteReference w:customMarkFollows="1" w:id="54"/>
        <w:t>(54)</w:t>
      </w:r>
      <w:r w:rsidRPr="005A1EB0">
        <w:rPr>
          <w:rFonts w:hint="cs"/>
          <w:w w:val="100"/>
          <w:kern w:val="0"/>
          <w:sz w:val="30"/>
          <w:rtl/>
        </w:rPr>
        <w:t>، ما</w:t>
      </w:r>
      <w:r w:rsidR="00C566D7" w:rsidRPr="005A1EB0">
        <w:rPr>
          <w:rFonts w:hint="eastAsia"/>
          <w:w w:val="100"/>
          <w:kern w:val="0"/>
          <w:sz w:val="30"/>
          <w:rtl/>
        </w:rPr>
        <w:t> </w:t>
      </w:r>
      <w:r w:rsidRPr="005A1EB0">
        <w:rPr>
          <w:rFonts w:hint="cs"/>
          <w:w w:val="100"/>
          <w:kern w:val="0"/>
          <w:sz w:val="30"/>
          <w:rtl/>
        </w:rPr>
        <w:t xml:space="preserve">قد يشكّل </w:t>
      </w:r>
      <w:r w:rsidR="00C566D7" w:rsidRPr="005A1EB0">
        <w:rPr>
          <w:rFonts w:hint="cs"/>
          <w:w w:val="100"/>
          <w:kern w:val="0"/>
          <w:sz w:val="30"/>
          <w:rtl/>
        </w:rPr>
        <w:t xml:space="preserve">أيضاً </w:t>
      </w:r>
      <w:r w:rsidRPr="005A1EB0">
        <w:rPr>
          <w:rFonts w:hint="cs"/>
          <w:w w:val="100"/>
          <w:kern w:val="0"/>
          <w:sz w:val="30"/>
          <w:rtl/>
        </w:rPr>
        <w:t>انتهاكاً لحقهم في الحياة</w:t>
      </w:r>
      <w:r w:rsidRPr="005A1EB0">
        <w:rPr>
          <w:rStyle w:val="FootnoteReference"/>
          <w:color w:val="auto"/>
          <w:w w:val="100"/>
          <w:kern w:val="0"/>
          <w:sz w:val="30"/>
          <w:szCs w:val="30"/>
          <w:rtl/>
        </w:rPr>
        <w:footnoteReference w:customMarkFollows="1" w:id="55"/>
        <w:t>(55)</w:t>
      </w:r>
      <w:r w:rsidR="00C566D7" w:rsidRPr="005A1EB0">
        <w:rPr>
          <w:rStyle w:val="FootnoteReference"/>
          <w:rFonts w:hint="cs"/>
          <w:color w:val="auto"/>
          <w:w w:val="100"/>
          <w:kern w:val="0"/>
          <w:sz w:val="30"/>
          <w:szCs w:val="30"/>
          <w:vertAlign w:val="baseline"/>
          <w:rtl/>
        </w:rPr>
        <w:t>.</w:t>
      </w:r>
    </w:p>
    <w:p w:rsidR="00C566D7" w:rsidRPr="005A1EB0" w:rsidRDefault="00C566D7" w:rsidP="00C566D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566D7" w:rsidRPr="005A1EB0" w:rsidRDefault="00C566D7" w:rsidP="00C566D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E0006" w:rsidRPr="005A1EB0" w:rsidRDefault="00CE0006" w:rsidP="00C566D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3" w:name="_Toc430010370"/>
      <w:r w:rsidRPr="005A1EB0">
        <w:rPr>
          <w:rFonts w:hint="cs"/>
          <w:w w:val="100"/>
          <w:kern w:val="0"/>
          <w:rtl/>
        </w:rPr>
        <w:t>باء-</w:t>
      </w:r>
      <w:r w:rsidRPr="005A1EB0">
        <w:rPr>
          <w:rFonts w:hint="cs"/>
          <w:w w:val="100"/>
          <w:kern w:val="0"/>
          <w:rtl/>
        </w:rPr>
        <w:tab/>
        <w:t>الحق في عدم التعرض للتعذيب وغيره من ضروب المعاملة أو العقوبة اللاإنسانية أو المهينة</w:t>
      </w:r>
      <w:bookmarkEnd w:id="13"/>
    </w:p>
    <w:p w:rsidR="00C566D7" w:rsidRPr="005A1EB0" w:rsidRDefault="00C566D7" w:rsidP="00C566D7">
      <w:pPr>
        <w:pStyle w:val="SingleTxt"/>
        <w:spacing w:after="0" w:line="120" w:lineRule="exact"/>
        <w:rPr>
          <w:w w:val="100"/>
          <w:kern w:val="0"/>
          <w:sz w:val="10"/>
          <w:rtl/>
        </w:rPr>
      </w:pPr>
    </w:p>
    <w:p w:rsidR="00CE0006" w:rsidRPr="005A1EB0" w:rsidRDefault="00CE0006" w:rsidP="00C566D7">
      <w:pPr>
        <w:pStyle w:val="SingleTxt"/>
        <w:rPr>
          <w:w w:val="100"/>
          <w:kern w:val="0"/>
          <w:sz w:val="30"/>
        </w:rPr>
      </w:pPr>
      <w:r w:rsidRPr="005A1EB0">
        <w:rPr>
          <w:rFonts w:hint="cs"/>
          <w:w w:val="100"/>
          <w:kern w:val="0"/>
          <w:sz w:val="30"/>
          <w:rtl/>
        </w:rPr>
        <w:t>15-</w:t>
      </w:r>
      <w:r w:rsidRPr="005A1EB0">
        <w:rPr>
          <w:rFonts w:hint="cs"/>
          <w:w w:val="100"/>
          <w:kern w:val="0"/>
          <w:sz w:val="30"/>
          <w:rtl/>
        </w:rPr>
        <w:tab/>
      </w:r>
      <w:r w:rsidR="00C566D7" w:rsidRPr="005A1EB0">
        <w:rPr>
          <w:rFonts w:hint="cs"/>
          <w:w w:val="100"/>
          <w:kern w:val="0"/>
          <w:sz w:val="30"/>
          <w:rtl/>
        </w:rPr>
        <w:t xml:space="preserve">لقد </w:t>
      </w:r>
      <w:r w:rsidRPr="005A1EB0">
        <w:rPr>
          <w:rFonts w:hint="cs"/>
          <w:w w:val="100"/>
          <w:kern w:val="0"/>
          <w:sz w:val="30"/>
          <w:rtl/>
        </w:rPr>
        <w:t>ثبت أن الاكتظاظ يشكّل شكلاً حاداً من أشكال سوء المعاملة</w:t>
      </w:r>
      <w:r w:rsidRPr="005A1EB0">
        <w:rPr>
          <w:rStyle w:val="FootnoteReference"/>
          <w:color w:val="auto"/>
          <w:w w:val="100"/>
          <w:kern w:val="0"/>
          <w:sz w:val="30"/>
          <w:szCs w:val="30"/>
          <w:rtl/>
        </w:rPr>
        <w:footnoteReference w:customMarkFollows="1" w:id="56"/>
        <w:t>(56)</w:t>
      </w:r>
      <w:r w:rsidRPr="005A1EB0">
        <w:rPr>
          <w:rFonts w:hint="cs"/>
          <w:w w:val="100"/>
          <w:kern w:val="0"/>
          <w:sz w:val="30"/>
          <w:rtl/>
        </w:rPr>
        <w:t>، والمعاملة اللاإنسانية أو المهينة</w:t>
      </w:r>
      <w:r w:rsidRPr="005A1EB0">
        <w:rPr>
          <w:rStyle w:val="FootnoteReference"/>
          <w:color w:val="auto"/>
          <w:w w:val="100"/>
          <w:kern w:val="0"/>
          <w:sz w:val="30"/>
          <w:szCs w:val="30"/>
          <w:rtl/>
        </w:rPr>
        <w:footnoteReference w:customMarkFollows="1" w:id="57"/>
        <w:t>(57)</w:t>
      </w:r>
      <w:r w:rsidRPr="005A1EB0">
        <w:rPr>
          <w:rFonts w:hint="cs"/>
          <w:w w:val="100"/>
          <w:kern w:val="0"/>
          <w:sz w:val="30"/>
          <w:rtl/>
        </w:rPr>
        <w:t xml:space="preserve"> </w:t>
      </w:r>
      <w:r w:rsidR="00C566D7" w:rsidRPr="005A1EB0">
        <w:rPr>
          <w:rFonts w:hint="cs"/>
          <w:w w:val="100"/>
          <w:kern w:val="0"/>
          <w:sz w:val="30"/>
          <w:rtl/>
        </w:rPr>
        <w:t xml:space="preserve">بل </w:t>
      </w:r>
      <w:r w:rsidRPr="005A1EB0">
        <w:rPr>
          <w:rFonts w:hint="cs"/>
          <w:w w:val="100"/>
          <w:kern w:val="0"/>
          <w:sz w:val="30"/>
          <w:rtl/>
        </w:rPr>
        <w:t>وحتى التعذيب</w:t>
      </w:r>
      <w:r w:rsidRPr="005A1EB0">
        <w:rPr>
          <w:rStyle w:val="FootnoteReference"/>
          <w:color w:val="auto"/>
          <w:w w:val="100"/>
          <w:kern w:val="0"/>
          <w:sz w:val="30"/>
          <w:szCs w:val="30"/>
          <w:rtl/>
        </w:rPr>
        <w:footnoteReference w:customMarkFollows="1" w:id="58"/>
        <w:t>(58)</w:t>
      </w:r>
      <w:r w:rsidR="00C566D7" w:rsidRPr="005A1EB0">
        <w:rPr>
          <w:rFonts w:hint="cs"/>
          <w:w w:val="100"/>
          <w:kern w:val="0"/>
          <w:sz w:val="30"/>
          <w:rtl/>
        </w:rPr>
        <w:t>.</w:t>
      </w:r>
      <w:r w:rsidRPr="005A1EB0">
        <w:rPr>
          <w:rFonts w:hint="cs"/>
          <w:w w:val="100"/>
          <w:kern w:val="0"/>
          <w:sz w:val="30"/>
          <w:rtl/>
        </w:rPr>
        <w:t xml:space="preserve"> وتزداد الظروف المادية المتردية سوءاً بفعل اكتظاظ </w:t>
      </w:r>
      <w:r w:rsidRPr="005A1EB0">
        <w:rPr>
          <w:rFonts w:hint="cs"/>
          <w:w w:val="100"/>
          <w:kern w:val="0"/>
          <w:sz w:val="30"/>
          <w:rtl/>
        </w:rPr>
        <w:lastRenderedPageBreak/>
        <w:t>السجون</w:t>
      </w:r>
      <w:r w:rsidR="00C566D7" w:rsidRPr="005A1EB0">
        <w:rPr>
          <w:rFonts w:hint="cs"/>
          <w:w w:val="100"/>
          <w:kern w:val="0"/>
          <w:sz w:val="30"/>
          <w:rtl/>
        </w:rPr>
        <w:t xml:space="preserve">، وهي </w:t>
      </w:r>
      <w:r w:rsidRPr="005A1EB0">
        <w:rPr>
          <w:rFonts w:hint="cs"/>
          <w:w w:val="100"/>
          <w:kern w:val="0"/>
          <w:sz w:val="30"/>
          <w:rtl/>
        </w:rPr>
        <w:t xml:space="preserve">تؤثر سلباً على جميع الأفراد الذين يعيشون أو يعملون في أماكن الاحتجاز. وتساهم </w:t>
      </w:r>
      <w:r w:rsidR="00C566D7" w:rsidRPr="005A1EB0">
        <w:rPr>
          <w:rFonts w:hint="cs"/>
          <w:w w:val="100"/>
          <w:kern w:val="0"/>
          <w:sz w:val="30"/>
          <w:rtl/>
        </w:rPr>
        <w:t xml:space="preserve">هذه الظروف </w:t>
      </w:r>
      <w:r w:rsidRPr="005A1EB0">
        <w:rPr>
          <w:rFonts w:hint="cs"/>
          <w:w w:val="100"/>
          <w:kern w:val="0"/>
          <w:sz w:val="30"/>
          <w:rtl/>
        </w:rPr>
        <w:t>في التوترات وفي تدهور العلاقات بين السجناء وفيما بين السجناء والموظفين، مما يزيد</w:t>
      </w:r>
      <w:r w:rsidR="00C566D7" w:rsidRPr="005A1EB0">
        <w:rPr>
          <w:rFonts w:hint="cs"/>
          <w:w w:val="100"/>
          <w:kern w:val="0"/>
          <w:sz w:val="30"/>
          <w:rtl/>
        </w:rPr>
        <w:t xml:space="preserve"> </w:t>
      </w:r>
      <w:r w:rsidR="00D36921" w:rsidRPr="005A1EB0">
        <w:rPr>
          <w:rFonts w:hint="cs"/>
          <w:w w:val="100"/>
          <w:kern w:val="0"/>
          <w:sz w:val="30"/>
          <w:rtl/>
        </w:rPr>
        <w:t xml:space="preserve">كذلك </w:t>
      </w:r>
      <w:r w:rsidR="00C566D7" w:rsidRPr="005A1EB0">
        <w:rPr>
          <w:rFonts w:hint="cs"/>
          <w:w w:val="100"/>
          <w:kern w:val="0"/>
          <w:sz w:val="30"/>
          <w:rtl/>
        </w:rPr>
        <w:t xml:space="preserve">من مخاطر </w:t>
      </w:r>
      <w:r w:rsidRPr="005A1EB0">
        <w:rPr>
          <w:rFonts w:hint="cs"/>
          <w:w w:val="100"/>
          <w:kern w:val="0"/>
          <w:sz w:val="30"/>
          <w:rtl/>
        </w:rPr>
        <w:t xml:space="preserve">التعرض لسوء </w:t>
      </w:r>
      <w:r w:rsidR="00C566D7" w:rsidRPr="005A1EB0">
        <w:rPr>
          <w:rFonts w:hint="cs"/>
          <w:w w:val="100"/>
          <w:kern w:val="0"/>
          <w:sz w:val="30"/>
          <w:rtl/>
        </w:rPr>
        <w:t>ال</w:t>
      </w:r>
      <w:r w:rsidRPr="005A1EB0">
        <w:rPr>
          <w:rFonts w:hint="cs"/>
          <w:w w:val="100"/>
          <w:kern w:val="0"/>
          <w:sz w:val="30"/>
          <w:rtl/>
        </w:rPr>
        <w:t>معاملة</w:t>
      </w:r>
      <w:r w:rsidRPr="005A1EB0">
        <w:rPr>
          <w:rStyle w:val="FootnoteReference"/>
          <w:color w:val="auto"/>
          <w:w w:val="100"/>
          <w:kern w:val="0"/>
          <w:sz w:val="30"/>
          <w:szCs w:val="30"/>
          <w:rtl/>
        </w:rPr>
        <w:footnoteReference w:customMarkFollows="1" w:id="59"/>
        <w:t>(59)</w:t>
      </w:r>
      <w:r w:rsidR="00C566D7" w:rsidRPr="005A1EB0">
        <w:rPr>
          <w:rStyle w:val="FootnoteReference"/>
          <w:rFonts w:hint="cs"/>
          <w:color w:val="auto"/>
          <w:w w:val="100"/>
          <w:kern w:val="0"/>
          <w:sz w:val="30"/>
          <w:szCs w:val="30"/>
          <w:vertAlign w:val="baseline"/>
          <w:rtl/>
        </w:rPr>
        <w:t>.</w:t>
      </w:r>
    </w:p>
    <w:p w:rsidR="00CE0006" w:rsidRPr="005A1EB0" w:rsidRDefault="00CE0006" w:rsidP="004769FF">
      <w:pPr>
        <w:pStyle w:val="SingleTxt"/>
        <w:rPr>
          <w:w w:val="100"/>
          <w:kern w:val="0"/>
          <w:sz w:val="30"/>
          <w:rtl/>
        </w:rPr>
      </w:pPr>
      <w:r w:rsidRPr="005A1EB0">
        <w:rPr>
          <w:rFonts w:hint="cs"/>
          <w:w w:val="100"/>
          <w:kern w:val="0"/>
          <w:sz w:val="30"/>
          <w:rtl/>
        </w:rPr>
        <w:t>16-</w:t>
      </w:r>
      <w:r w:rsidRPr="005A1EB0">
        <w:rPr>
          <w:rFonts w:hint="cs"/>
          <w:w w:val="100"/>
          <w:kern w:val="0"/>
          <w:sz w:val="30"/>
          <w:rtl/>
        </w:rPr>
        <w:tab/>
        <w:t>و</w:t>
      </w:r>
      <w:r w:rsidR="004769FF" w:rsidRPr="005A1EB0">
        <w:rPr>
          <w:rFonts w:hint="cs"/>
          <w:w w:val="100"/>
          <w:kern w:val="0"/>
          <w:sz w:val="30"/>
          <w:rtl/>
        </w:rPr>
        <w:t xml:space="preserve">قد </w:t>
      </w:r>
      <w:r w:rsidRPr="005A1EB0">
        <w:rPr>
          <w:rFonts w:hint="cs"/>
          <w:w w:val="100"/>
          <w:kern w:val="0"/>
          <w:sz w:val="30"/>
          <w:rtl/>
        </w:rPr>
        <w:t xml:space="preserve">أثبتت الآليات الدولية والإقليمية لحقوق الإنسان </w:t>
      </w:r>
      <w:r w:rsidR="004769FF" w:rsidRPr="005A1EB0">
        <w:rPr>
          <w:rFonts w:hint="cs"/>
          <w:w w:val="100"/>
          <w:kern w:val="0"/>
          <w:sz w:val="30"/>
          <w:rtl/>
        </w:rPr>
        <w:t xml:space="preserve">حدوث خروق </w:t>
      </w:r>
      <w:r w:rsidRPr="005A1EB0">
        <w:rPr>
          <w:rFonts w:hint="cs"/>
          <w:w w:val="100"/>
          <w:kern w:val="0"/>
          <w:sz w:val="30"/>
          <w:rtl/>
        </w:rPr>
        <w:t xml:space="preserve">لحظر التعذيب </w:t>
      </w:r>
      <w:r w:rsidR="004769FF" w:rsidRPr="005A1EB0">
        <w:rPr>
          <w:rFonts w:hint="cs"/>
          <w:w w:val="100"/>
          <w:kern w:val="0"/>
          <w:sz w:val="30"/>
          <w:rtl/>
        </w:rPr>
        <w:t xml:space="preserve">وذلك </w:t>
      </w:r>
      <w:r w:rsidRPr="005A1EB0">
        <w:rPr>
          <w:rFonts w:hint="cs"/>
          <w:w w:val="100"/>
          <w:kern w:val="0"/>
          <w:sz w:val="30"/>
          <w:rtl/>
        </w:rPr>
        <w:t>بسبب اكتظاظ السجون، إذ يُرغم المحتجزون على العيش لفترات مطوّلة في أوضاع مادية نكراء</w:t>
      </w:r>
      <w:r w:rsidRPr="005A1EB0">
        <w:rPr>
          <w:rStyle w:val="FootnoteReference"/>
          <w:color w:val="auto"/>
          <w:w w:val="100"/>
          <w:kern w:val="0"/>
          <w:sz w:val="30"/>
          <w:szCs w:val="30"/>
          <w:rtl/>
        </w:rPr>
        <w:footnoteReference w:customMarkFollows="1" w:id="60"/>
        <w:t>(60)</w:t>
      </w:r>
      <w:r w:rsidRPr="005A1EB0">
        <w:rPr>
          <w:rFonts w:hint="cs"/>
          <w:w w:val="100"/>
          <w:kern w:val="0"/>
          <w:sz w:val="30"/>
          <w:rtl/>
        </w:rPr>
        <w:t xml:space="preserve"> لا</w:t>
      </w:r>
      <w:r w:rsidR="00C566D7" w:rsidRPr="005A1EB0">
        <w:rPr>
          <w:rFonts w:hint="eastAsia"/>
          <w:w w:val="100"/>
          <w:kern w:val="0"/>
          <w:sz w:val="30"/>
          <w:rtl/>
        </w:rPr>
        <w:t> </w:t>
      </w:r>
      <w:r w:rsidRPr="005A1EB0">
        <w:rPr>
          <w:rFonts w:hint="cs"/>
          <w:w w:val="100"/>
          <w:kern w:val="0"/>
          <w:sz w:val="30"/>
          <w:rtl/>
        </w:rPr>
        <w:t>تت</w:t>
      </w:r>
      <w:r w:rsidR="004769FF" w:rsidRPr="005A1EB0">
        <w:rPr>
          <w:rFonts w:hint="cs"/>
          <w:w w:val="100"/>
          <w:kern w:val="0"/>
          <w:sz w:val="30"/>
          <w:rtl/>
        </w:rPr>
        <w:t>لاءم م</w:t>
      </w:r>
      <w:r w:rsidRPr="005A1EB0">
        <w:rPr>
          <w:rFonts w:hint="cs"/>
          <w:w w:val="100"/>
          <w:kern w:val="0"/>
          <w:sz w:val="30"/>
          <w:rtl/>
        </w:rPr>
        <w:t>ع حياة إنسانية وكريمة</w:t>
      </w:r>
      <w:r w:rsidRPr="005A1EB0">
        <w:rPr>
          <w:rStyle w:val="FootnoteReference"/>
          <w:color w:val="auto"/>
          <w:w w:val="100"/>
          <w:kern w:val="0"/>
          <w:sz w:val="30"/>
          <w:szCs w:val="30"/>
          <w:rtl/>
        </w:rPr>
        <w:footnoteReference w:customMarkFollows="1" w:id="61"/>
        <w:t>(61)</w:t>
      </w:r>
      <w:r w:rsidRPr="005A1EB0">
        <w:rPr>
          <w:rFonts w:hint="cs"/>
          <w:w w:val="100"/>
          <w:kern w:val="0"/>
          <w:sz w:val="30"/>
          <w:rtl/>
        </w:rPr>
        <w:t xml:space="preserve"> و</w:t>
      </w:r>
      <w:r w:rsidR="004769FF" w:rsidRPr="005A1EB0">
        <w:rPr>
          <w:rFonts w:hint="cs"/>
          <w:w w:val="100"/>
          <w:kern w:val="0"/>
          <w:sz w:val="30"/>
          <w:rtl/>
        </w:rPr>
        <w:t xml:space="preserve">تتسم بتردي أحوال </w:t>
      </w:r>
      <w:r w:rsidRPr="005A1EB0">
        <w:rPr>
          <w:rFonts w:hint="cs"/>
          <w:w w:val="100"/>
          <w:kern w:val="0"/>
          <w:sz w:val="30"/>
          <w:rtl/>
        </w:rPr>
        <w:t>النظافة العامة وانعدام الأنشطة خارج الزنازين</w:t>
      </w:r>
      <w:r w:rsidRPr="005A1EB0">
        <w:rPr>
          <w:rStyle w:val="FootnoteReference"/>
          <w:color w:val="auto"/>
          <w:w w:val="100"/>
          <w:kern w:val="0"/>
          <w:sz w:val="30"/>
          <w:szCs w:val="30"/>
          <w:rtl/>
        </w:rPr>
        <w:footnoteReference w:customMarkFollows="1" w:id="62"/>
        <w:t>(62)</w:t>
      </w:r>
      <w:r w:rsidRPr="005A1EB0">
        <w:rPr>
          <w:rFonts w:hint="cs"/>
          <w:w w:val="100"/>
          <w:kern w:val="0"/>
          <w:sz w:val="30"/>
          <w:rtl/>
        </w:rPr>
        <w:t xml:space="preserve"> وتفتقر إلى التغذية الكافية ولا تتيح الوصول إلى الخدمات الصحية</w:t>
      </w:r>
      <w:r w:rsidRPr="005A1EB0">
        <w:rPr>
          <w:rStyle w:val="FootnoteReference"/>
          <w:color w:val="auto"/>
          <w:w w:val="100"/>
          <w:kern w:val="0"/>
          <w:sz w:val="30"/>
          <w:szCs w:val="30"/>
          <w:rtl/>
        </w:rPr>
        <w:footnoteReference w:customMarkFollows="1" w:id="63"/>
        <w:t>(63)</w:t>
      </w:r>
      <w:r w:rsidR="00C566D7" w:rsidRPr="005A1EB0">
        <w:rPr>
          <w:rStyle w:val="FootnoteReference"/>
          <w:rFonts w:hint="cs"/>
          <w:color w:val="auto"/>
          <w:w w:val="100"/>
          <w:kern w:val="0"/>
          <w:sz w:val="30"/>
          <w:szCs w:val="30"/>
          <w:vertAlign w:val="baseline"/>
          <w:rtl/>
        </w:rPr>
        <w:t>.</w:t>
      </w:r>
    </w:p>
    <w:p w:rsidR="00C566D7" w:rsidRPr="005A1EB0" w:rsidRDefault="00C566D7" w:rsidP="00C566D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E0006" w:rsidRPr="005A1EB0" w:rsidRDefault="00CE0006" w:rsidP="00C566D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4" w:name="_Toc430010371"/>
      <w:r w:rsidRPr="005A1EB0">
        <w:rPr>
          <w:rFonts w:hint="cs"/>
          <w:w w:val="100"/>
          <w:kern w:val="0"/>
          <w:rtl/>
        </w:rPr>
        <w:t>جيم-</w:t>
      </w:r>
      <w:r w:rsidRPr="005A1EB0">
        <w:rPr>
          <w:rFonts w:hint="cs"/>
          <w:w w:val="100"/>
          <w:kern w:val="0"/>
          <w:rtl/>
        </w:rPr>
        <w:tab/>
        <w:t>الحق في الصحة</w:t>
      </w:r>
      <w:bookmarkEnd w:id="14"/>
    </w:p>
    <w:p w:rsidR="00C566D7" w:rsidRPr="005A1EB0" w:rsidRDefault="00C566D7" w:rsidP="00C566D7">
      <w:pPr>
        <w:pStyle w:val="SingleTxt"/>
        <w:spacing w:after="0" w:line="120" w:lineRule="exact"/>
        <w:rPr>
          <w:w w:val="100"/>
          <w:kern w:val="0"/>
          <w:sz w:val="10"/>
          <w:rtl/>
        </w:rPr>
      </w:pPr>
    </w:p>
    <w:p w:rsidR="00CE0006" w:rsidRPr="005A1EB0" w:rsidRDefault="00CE0006" w:rsidP="004769FF">
      <w:pPr>
        <w:pStyle w:val="SingleTxt"/>
        <w:rPr>
          <w:w w:val="100"/>
          <w:kern w:val="0"/>
          <w:sz w:val="30"/>
        </w:rPr>
      </w:pPr>
      <w:r w:rsidRPr="005A1EB0">
        <w:rPr>
          <w:rFonts w:hint="cs"/>
          <w:w w:val="100"/>
          <w:kern w:val="0"/>
          <w:sz w:val="30"/>
          <w:rtl/>
        </w:rPr>
        <w:t>17-</w:t>
      </w:r>
      <w:r w:rsidRPr="005A1EB0">
        <w:rPr>
          <w:rFonts w:hint="cs"/>
          <w:w w:val="100"/>
          <w:kern w:val="0"/>
          <w:sz w:val="30"/>
          <w:rtl/>
        </w:rPr>
        <w:tab/>
        <w:t>يجب على الدول أن تحترم الحق في الصحة وتضمن تكافؤ فرص جميع الأفراد، بمن فيهم السجناء أو المحتجزون، في الحصول على الخدمات الصحية الوقائية والعلاجية والم</w:t>
      </w:r>
      <w:r w:rsidR="004769FF" w:rsidRPr="005A1EB0">
        <w:rPr>
          <w:rFonts w:hint="cs"/>
          <w:w w:val="100"/>
          <w:kern w:val="0"/>
          <w:sz w:val="30"/>
          <w:rtl/>
        </w:rPr>
        <w:t xml:space="preserve">سكنّة </w:t>
      </w:r>
      <w:r w:rsidRPr="005A1EB0">
        <w:rPr>
          <w:rFonts w:hint="cs"/>
          <w:w w:val="100"/>
          <w:kern w:val="0"/>
          <w:sz w:val="30"/>
          <w:rtl/>
        </w:rPr>
        <w:t>للآلام</w:t>
      </w:r>
      <w:r w:rsidRPr="005A1EB0">
        <w:rPr>
          <w:rStyle w:val="FootnoteReference"/>
          <w:color w:val="auto"/>
          <w:spacing w:val="0"/>
          <w:w w:val="100"/>
          <w:kern w:val="0"/>
          <w:sz w:val="30"/>
          <w:szCs w:val="30"/>
          <w:rtl/>
        </w:rPr>
        <w:footnoteReference w:customMarkFollows="1" w:id="64"/>
        <w:t>(64)</w:t>
      </w:r>
      <w:r w:rsidR="004769FF" w:rsidRPr="005A1EB0">
        <w:rPr>
          <w:rFonts w:hint="cs"/>
          <w:w w:val="100"/>
          <w:kern w:val="0"/>
          <w:sz w:val="30"/>
          <w:rtl/>
        </w:rPr>
        <w:t>.</w:t>
      </w:r>
      <w:r w:rsidRPr="005A1EB0">
        <w:rPr>
          <w:rFonts w:hint="cs"/>
          <w:w w:val="100"/>
          <w:kern w:val="0"/>
          <w:sz w:val="30"/>
          <w:rtl/>
        </w:rPr>
        <w:t xml:space="preserve"> </w:t>
      </w:r>
      <w:r w:rsidR="004769FF" w:rsidRPr="005A1EB0">
        <w:rPr>
          <w:rFonts w:hint="cs"/>
          <w:w w:val="100"/>
          <w:kern w:val="0"/>
          <w:sz w:val="30"/>
          <w:rtl/>
        </w:rPr>
        <w:t xml:space="preserve">وقد </w:t>
      </w:r>
      <w:r w:rsidRPr="005A1EB0">
        <w:rPr>
          <w:rFonts w:hint="cs"/>
          <w:w w:val="100"/>
          <w:kern w:val="0"/>
          <w:sz w:val="30"/>
          <w:rtl/>
        </w:rPr>
        <w:t xml:space="preserve">أشار </w:t>
      </w:r>
      <w:r w:rsidRPr="005A1EB0">
        <w:rPr>
          <w:w w:val="100"/>
          <w:kern w:val="0"/>
          <w:sz w:val="30"/>
          <w:rtl/>
        </w:rPr>
        <w:t>المقرر الخاص المعني بحق كل إنسان في التمتع بأعلى مستوى ممكن من الصحة البدنية والعقلية</w:t>
      </w:r>
      <w:r w:rsidRPr="005A1EB0">
        <w:rPr>
          <w:rFonts w:hint="cs"/>
          <w:w w:val="100"/>
          <w:kern w:val="0"/>
          <w:sz w:val="30"/>
          <w:rtl/>
        </w:rPr>
        <w:t>،</w:t>
      </w:r>
      <w:r w:rsidR="004769FF" w:rsidRPr="005A1EB0">
        <w:rPr>
          <w:rFonts w:hint="cs"/>
          <w:w w:val="100"/>
          <w:kern w:val="0"/>
          <w:sz w:val="30"/>
          <w:rtl/>
        </w:rPr>
        <w:t xml:space="preserve"> إشارة محددة، إلى العلاقة </w:t>
      </w:r>
      <w:r w:rsidRPr="005A1EB0">
        <w:rPr>
          <w:rFonts w:hint="cs"/>
          <w:w w:val="100"/>
          <w:kern w:val="0"/>
          <w:sz w:val="30"/>
          <w:rtl/>
        </w:rPr>
        <w:t>بين اللجوء المفرط إلى الإيداع في السجون</w:t>
      </w:r>
      <w:r w:rsidRPr="005A1EB0">
        <w:rPr>
          <w:rStyle w:val="FootnoteReference"/>
          <w:color w:val="auto"/>
          <w:spacing w:val="0"/>
          <w:w w:val="100"/>
          <w:kern w:val="0"/>
          <w:sz w:val="30"/>
          <w:szCs w:val="30"/>
          <w:rtl/>
        </w:rPr>
        <w:footnoteReference w:customMarkFollows="1" w:id="65"/>
        <w:t>(65)</w:t>
      </w:r>
      <w:r w:rsidRPr="005A1EB0">
        <w:rPr>
          <w:rFonts w:hint="cs"/>
          <w:w w:val="100"/>
          <w:kern w:val="0"/>
          <w:sz w:val="30"/>
          <w:rtl/>
        </w:rPr>
        <w:t xml:space="preserve"> واكتظاظ السجون وانتهاكات الحق في الصحة</w:t>
      </w:r>
      <w:r w:rsidRPr="005A1EB0">
        <w:rPr>
          <w:rStyle w:val="FootnoteReference"/>
          <w:color w:val="auto"/>
          <w:spacing w:val="0"/>
          <w:w w:val="100"/>
          <w:kern w:val="0"/>
          <w:sz w:val="30"/>
          <w:szCs w:val="30"/>
          <w:rtl/>
        </w:rPr>
        <w:footnoteReference w:customMarkFollows="1" w:id="66"/>
        <w:t>(66)</w:t>
      </w:r>
      <w:r w:rsidRPr="005A1EB0">
        <w:rPr>
          <w:rFonts w:hint="cs"/>
          <w:w w:val="100"/>
          <w:kern w:val="0"/>
          <w:sz w:val="30"/>
          <w:rtl/>
        </w:rPr>
        <w:t xml:space="preserve"> لا سيما فيما يخص انتشار الأمراض المعدية والسارية مثل السل</w:t>
      </w:r>
      <w:r w:rsidRPr="005A1EB0">
        <w:rPr>
          <w:rStyle w:val="FootnoteReference"/>
          <w:color w:val="auto"/>
          <w:spacing w:val="0"/>
          <w:w w:val="100"/>
          <w:kern w:val="0"/>
          <w:sz w:val="30"/>
          <w:szCs w:val="30"/>
          <w:rtl/>
        </w:rPr>
        <w:footnoteReference w:customMarkFollows="1" w:id="67"/>
        <w:t>(67)</w:t>
      </w:r>
      <w:r w:rsidRPr="005A1EB0">
        <w:rPr>
          <w:rFonts w:hint="cs"/>
          <w:w w:val="100"/>
          <w:kern w:val="0"/>
          <w:sz w:val="30"/>
          <w:rtl/>
        </w:rPr>
        <w:t xml:space="preserve"> و</w:t>
      </w:r>
      <w:r w:rsidRPr="005A1EB0">
        <w:rPr>
          <w:rFonts w:hint="cs"/>
          <w:w w:val="100"/>
          <w:kern w:val="0"/>
          <w:sz w:val="30"/>
          <w:rtl/>
          <w:lang w:bidi="ar"/>
        </w:rPr>
        <w:t>الالتهاب الكبدي جيم</w:t>
      </w:r>
      <w:r w:rsidRPr="005A1EB0">
        <w:rPr>
          <w:rStyle w:val="FootnoteReference"/>
          <w:color w:val="auto"/>
          <w:spacing w:val="0"/>
          <w:w w:val="100"/>
          <w:kern w:val="0"/>
          <w:sz w:val="30"/>
          <w:szCs w:val="30"/>
          <w:rtl/>
          <w:lang w:bidi="ar"/>
        </w:rPr>
        <w:footnoteReference w:customMarkFollows="1" w:id="68"/>
        <w:t>(68)</w:t>
      </w:r>
      <w:r w:rsidR="00C566D7" w:rsidRPr="005A1EB0">
        <w:rPr>
          <w:rFonts w:hint="cs"/>
          <w:w w:val="100"/>
          <w:kern w:val="0"/>
          <w:sz w:val="30"/>
          <w:rtl/>
          <w:lang w:bidi="ar"/>
        </w:rPr>
        <w:t>.</w:t>
      </w:r>
      <w:r w:rsidRPr="005A1EB0">
        <w:rPr>
          <w:rFonts w:hint="cs"/>
          <w:w w:val="100"/>
          <w:kern w:val="0"/>
          <w:sz w:val="30"/>
          <w:rtl/>
          <w:lang w:bidi="ar"/>
        </w:rPr>
        <w:t xml:space="preserve"> ولا يشكّل ذلك خطراً على صحة المحتجزين الآخرين فحسب وإنما على الموظفين أيضاً بل على السكان عامة عندما </w:t>
      </w:r>
      <w:r w:rsidR="004769FF" w:rsidRPr="005A1EB0">
        <w:rPr>
          <w:rFonts w:hint="cs"/>
          <w:w w:val="100"/>
          <w:kern w:val="0"/>
          <w:sz w:val="30"/>
          <w:rtl/>
          <w:lang w:bidi="ar"/>
        </w:rPr>
        <w:t xml:space="preserve">يُفرج عن </w:t>
      </w:r>
      <w:r w:rsidRPr="005A1EB0">
        <w:rPr>
          <w:rFonts w:hint="cs"/>
          <w:w w:val="100"/>
          <w:kern w:val="0"/>
          <w:sz w:val="30"/>
          <w:rtl/>
          <w:lang w:bidi="ar"/>
        </w:rPr>
        <w:t>السجناء</w:t>
      </w:r>
      <w:r w:rsidRPr="005A1EB0">
        <w:rPr>
          <w:rStyle w:val="FootnoteReference"/>
          <w:color w:val="auto"/>
          <w:spacing w:val="0"/>
          <w:w w:val="100"/>
          <w:kern w:val="0"/>
          <w:sz w:val="30"/>
          <w:szCs w:val="30"/>
          <w:rtl/>
          <w:lang w:bidi="ar"/>
        </w:rPr>
        <w:footnoteReference w:customMarkFollows="1" w:id="69"/>
        <w:t>(69)</w:t>
      </w:r>
      <w:r w:rsidR="004769FF" w:rsidRPr="005A1EB0">
        <w:rPr>
          <w:rStyle w:val="FootnoteReference"/>
          <w:rFonts w:hint="cs"/>
          <w:color w:val="auto"/>
          <w:spacing w:val="0"/>
          <w:w w:val="100"/>
          <w:kern w:val="0"/>
          <w:sz w:val="30"/>
          <w:szCs w:val="30"/>
          <w:vertAlign w:val="baseline"/>
          <w:rtl/>
          <w:lang w:bidi="ar"/>
        </w:rPr>
        <w:t>.</w:t>
      </w:r>
    </w:p>
    <w:p w:rsidR="00CE0006" w:rsidRPr="005A1EB0" w:rsidRDefault="00CE0006" w:rsidP="005A1EB0">
      <w:pPr>
        <w:pStyle w:val="SingleTxt"/>
        <w:spacing w:line="390" w:lineRule="exact"/>
        <w:rPr>
          <w:w w:val="100"/>
          <w:kern w:val="0"/>
          <w:sz w:val="30"/>
          <w:rtl/>
        </w:rPr>
      </w:pPr>
      <w:r w:rsidRPr="005A1EB0">
        <w:rPr>
          <w:rFonts w:hint="cs"/>
          <w:w w:val="100"/>
          <w:kern w:val="0"/>
          <w:sz w:val="30"/>
          <w:rtl/>
        </w:rPr>
        <w:lastRenderedPageBreak/>
        <w:t>18-</w:t>
      </w:r>
      <w:r w:rsidRPr="005A1EB0">
        <w:rPr>
          <w:rFonts w:hint="cs"/>
          <w:w w:val="100"/>
          <w:kern w:val="0"/>
          <w:sz w:val="30"/>
          <w:rtl/>
        </w:rPr>
        <w:tab/>
        <w:t>كما أ</w:t>
      </w:r>
      <w:r w:rsidR="004769FF" w:rsidRPr="005A1EB0">
        <w:rPr>
          <w:rFonts w:hint="cs"/>
          <w:w w:val="100"/>
          <w:kern w:val="0"/>
          <w:sz w:val="30"/>
          <w:rtl/>
        </w:rPr>
        <w:t xml:space="preserve">شارت </w:t>
      </w:r>
      <w:r w:rsidRPr="005A1EB0">
        <w:rPr>
          <w:rFonts w:hint="cs"/>
          <w:w w:val="100"/>
          <w:kern w:val="0"/>
          <w:sz w:val="30"/>
          <w:rtl/>
        </w:rPr>
        <w:t xml:space="preserve">هيئات أخرى لحقوق الإنسان تابعة للأمم المتحدة أو إقليمية </w:t>
      </w:r>
      <w:r w:rsidR="004769FF" w:rsidRPr="005A1EB0">
        <w:rPr>
          <w:rFonts w:hint="cs"/>
          <w:w w:val="100"/>
          <w:kern w:val="0"/>
          <w:sz w:val="30"/>
          <w:rtl/>
        </w:rPr>
        <w:t xml:space="preserve">إلى </w:t>
      </w:r>
      <w:r w:rsidRPr="005A1EB0">
        <w:rPr>
          <w:rFonts w:hint="cs"/>
          <w:w w:val="100"/>
          <w:kern w:val="0"/>
          <w:sz w:val="30"/>
          <w:rtl/>
        </w:rPr>
        <w:t>الأثر السلبي للاكتظاظ على حق المحتجزين في الصحة بسبب حرمانهم من العلاج الطبي</w:t>
      </w:r>
      <w:r w:rsidRPr="005A1EB0">
        <w:rPr>
          <w:rStyle w:val="FootnoteReference"/>
          <w:color w:val="auto"/>
          <w:w w:val="100"/>
          <w:kern w:val="0"/>
          <w:sz w:val="30"/>
          <w:szCs w:val="30"/>
          <w:rtl/>
        </w:rPr>
        <w:footnoteReference w:customMarkFollows="1" w:id="70"/>
        <w:t>(70)</w:t>
      </w:r>
      <w:r w:rsidR="00D53A6C" w:rsidRPr="005A1EB0">
        <w:rPr>
          <w:rFonts w:hint="cs"/>
          <w:w w:val="100"/>
          <w:kern w:val="0"/>
          <w:sz w:val="30"/>
          <w:rtl/>
        </w:rPr>
        <w:t xml:space="preserve"> </w:t>
      </w:r>
      <w:r w:rsidRPr="005A1EB0">
        <w:rPr>
          <w:rFonts w:hint="cs"/>
          <w:w w:val="100"/>
          <w:kern w:val="0"/>
          <w:sz w:val="30"/>
          <w:rtl/>
        </w:rPr>
        <w:t>أو تلقيهم علاجاً طبياً غير مناسب</w:t>
      </w:r>
      <w:r w:rsidRPr="005A1EB0">
        <w:rPr>
          <w:rStyle w:val="FootnoteReference"/>
          <w:color w:val="auto"/>
          <w:w w:val="100"/>
          <w:kern w:val="0"/>
          <w:sz w:val="30"/>
          <w:szCs w:val="30"/>
          <w:rtl/>
        </w:rPr>
        <w:footnoteReference w:customMarkFollows="1" w:id="71"/>
        <w:t>(71)</w:t>
      </w:r>
      <w:r w:rsidRPr="005A1EB0">
        <w:rPr>
          <w:rFonts w:hint="cs"/>
          <w:w w:val="100"/>
          <w:kern w:val="0"/>
          <w:sz w:val="30"/>
          <w:rtl/>
        </w:rPr>
        <w:t>، وعدم كفاية خدمات الصحة العقلية</w:t>
      </w:r>
      <w:r w:rsidRPr="005A1EB0">
        <w:rPr>
          <w:rStyle w:val="FootnoteReference"/>
          <w:color w:val="auto"/>
          <w:w w:val="100"/>
          <w:kern w:val="0"/>
          <w:sz w:val="30"/>
          <w:szCs w:val="30"/>
          <w:rtl/>
        </w:rPr>
        <w:footnoteReference w:customMarkFollows="1" w:id="72"/>
        <w:t>(72)</w:t>
      </w:r>
      <w:r w:rsidRPr="005A1EB0">
        <w:rPr>
          <w:rFonts w:hint="cs"/>
          <w:w w:val="100"/>
          <w:kern w:val="0"/>
          <w:sz w:val="30"/>
          <w:rtl/>
        </w:rPr>
        <w:t>، و</w:t>
      </w:r>
      <w:r w:rsidR="004769FF" w:rsidRPr="005A1EB0">
        <w:rPr>
          <w:rFonts w:hint="cs"/>
          <w:w w:val="100"/>
          <w:kern w:val="0"/>
          <w:sz w:val="30"/>
          <w:rtl/>
        </w:rPr>
        <w:t xml:space="preserve">نقص عدد </w:t>
      </w:r>
      <w:r w:rsidRPr="005A1EB0">
        <w:rPr>
          <w:rFonts w:hint="cs"/>
          <w:w w:val="100"/>
          <w:kern w:val="0"/>
          <w:sz w:val="30"/>
          <w:rtl/>
        </w:rPr>
        <w:t>العاملين في مجال الرعاية الصحية داخل أماكن الاحتجاز</w:t>
      </w:r>
      <w:r w:rsidRPr="005A1EB0">
        <w:rPr>
          <w:rStyle w:val="FootnoteReference"/>
          <w:color w:val="auto"/>
          <w:w w:val="100"/>
          <w:kern w:val="0"/>
          <w:sz w:val="30"/>
          <w:szCs w:val="30"/>
          <w:rtl/>
        </w:rPr>
        <w:footnoteReference w:customMarkFollows="1" w:id="73"/>
        <w:t>(73)</w:t>
      </w:r>
      <w:r w:rsidR="004769FF" w:rsidRPr="005A1EB0">
        <w:rPr>
          <w:rFonts w:hint="cs"/>
          <w:w w:val="100"/>
          <w:kern w:val="0"/>
          <w:sz w:val="30"/>
          <w:rtl/>
        </w:rPr>
        <w:t xml:space="preserve">، وعدم </w:t>
      </w:r>
      <w:r w:rsidRPr="005A1EB0">
        <w:rPr>
          <w:rFonts w:hint="cs"/>
          <w:w w:val="100"/>
          <w:kern w:val="0"/>
          <w:sz w:val="30"/>
          <w:rtl/>
        </w:rPr>
        <w:t>تنفيذ برامج فعالة للحد من الأضرار</w:t>
      </w:r>
      <w:r w:rsidR="004769FF" w:rsidRPr="005A1EB0">
        <w:rPr>
          <w:rFonts w:hint="cs"/>
          <w:w w:val="100"/>
          <w:kern w:val="0"/>
          <w:sz w:val="30"/>
          <w:rtl/>
        </w:rPr>
        <w:t xml:space="preserve">، وعدم توفير </w:t>
      </w:r>
      <w:r w:rsidRPr="005A1EB0">
        <w:rPr>
          <w:rFonts w:hint="cs"/>
          <w:w w:val="100"/>
          <w:kern w:val="0"/>
          <w:sz w:val="30"/>
          <w:rtl/>
        </w:rPr>
        <w:t>العلاج من الإدمان على المخدرات</w:t>
      </w:r>
      <w:r w:rsidRPr="005A1EB0">
        <w:rPr>
          <w:rStyle w:val="FootnoteReference"/>
          <w:color w:val="auto"/>
          <w:w w:val="100"/>
          <w:kern w:val="0"/>
          <w:sz w:val="30"/>
          <w:szCs w:val="30"/>
          <w:rtl/>
        </w:rPr>
        <w:footnoteReference w:customMarkFollows="1" w:id="74"/>
        <w:t>(74)</w:t>
      </w:r>
      <w:r w:rsidR="004769FF" w:rsidRPr="005A1EB0">
        <w:rPr>
          <w:rFonts w:hint="cs"/>
          <w:w w:val="100"/>
          <w:kern w:val="0"/>
          <w:sz w:val="30"/>
          <w:rtl/>
        </w:rPr>
        <w:t>.</w:t>
      </w:r>
      <w:r w:rsidRPr="005A1EB0">
        <w:rPr>
          <w:rFonts w:hint="cs"/>
          <w:w w:val="100"/>
          <w:kern w:val="0"/>
          <w:sz w:val="30"/>
          <w:rtl/>
        </w:rPr>
        <w:t xml:space="preserve"> واتّضح أيضاً أن اكتظاظ السجون </w:t>
      </w:r>
      <w:r w:rsidR="004769FF" w:rsidRPr="005A1EB0">
        <w:rPr>
          <w:rFonts w:hint="cs"/>
          <w:w w:val="100"/>
          <w:kern w:val="0"/>
          <w:sz w:val="30"/>
          <w:rtl/>
        </w:rPr>
        <w:t xml:space="preserve">هو </w:t>
      </w:r>
      <w:r w:rsidRPr="005A1EB0">
        <w:rPr>
          <w:rFonts w:hint="cs"/>
          <w:w w:val="100"/>
          <w:kern w:val="0"/>
          <w:sz w:val="30"/>
          <w:rtl/>
        </w:rPr>
        <w:t xml:space="preserve">أحد الأسباب الجذرية المؤدية إلى </w:t>
      </w:r>
      <w:r w:rsidR="004769FF" w:rsidRPr="005A1EB0">
        <w:rPr>
          <w:rFonts w:hint="cs"/>
          <w:w w:val="100"/>
          <w:kern w:val="0"/>
          <w:sz w:val="30"/>
          <w:rtl/>
        </w:rPr>
        <w:t>ظهور حالات صحية كان</w:t>
      </w:r>
      <w:r w:rsidRPr="005A1EB0">
        <w:rPr>
          <w:rFonts w:hint="cs"/>
          <w:w w:val="100"/>
          <w:kern w:val="0"/>
          <w:sz w:val="30"/>
          <w:rtl/>
        </w:rPr>
        <w:t xml:space="preserve"> يمكن الوقاية منها بشكل كامل</w:t>
      </w:r>
      <w:r w:rsidRPr="005A1EB0">
        <w:rPr>
          <w:rStyle w:val="FootnoteReference"/>
          <w:color w:val="auto"/>
          <w:w w:val="100"/>
          <w:kern w:val="0"/>
          <w:sz w:val="30"/>
          <w:szCs w:val="30"/>
          <w:rtl/>
        </w:rPr>
        <w:footnoteReference w:customMarkFollows="1" w:id="75"/>
        <w:t>(75)</w:t>
      </w:r>
      <w:r w:rsidR="004769FF" w:rsidRPr="005A1EB0">
        <w:rPr>
          <w:rFonts w:hint="cs"/>
          <w:w w:val="100"/>
          <w:kern w:val="0"/>
          <w:sz w:val="30"/>
          <w:rtl/>
        </w:rPr>
        <w:t>.</w:t>
      </w:r>
    </w:p>
    <w:p w:rsidR="00CE0006" w:rsidRPr="005A1EB0" w:rsidRDefault="00CE0006" w:rsidP="005A1EB0">
      <w:pPr>
        <w:pStyle w:val="SingleTxt"/>
        <w:spacing w:line="390" w:lineRule="exact"/>
        <w:rPr>
          <w:rStyle w:val="FootnoteReference"/>
          <w:color w:val="auto"/>
          <w:w w:val="100"/>
          <w:kern w:val="0"/>
          <w:sz w:val="30"/>
          <w:szCs w:val="30"/>
          <w:vertAlign w:val="baseline"/>
          <w:rtl/>
        </w:rPr>
      </w:pPr>
      <w:r w:rsidRPr="005A1EB0">
        <w:rPr>
          <w:rFonts w:hint="cs"/>
          <w:w w:val="100"/>
          <w:kern w:val="0"/>
          <w:sz w:val="30"/>
          <w:rtl/>
        </w:rPr>
        <w:t>19-</w:t>
      </w:r>
      <w:r w:rsidRPr="005A1EB0">
        <w:rPr>
          <w:rFonts w:hint="cs"/>
          <w:w w:val="100"/>
          <w:kern w:val="0"/>
          <w:sz w:val="30"/>
          <w:rtl/>
        </w:rPr>
        <w:tab/>
        <w:t xml:space="preserve">وهناك أيضاً عوامل متعددة مرتبطة باكتظاظ السجون تساهم في الحرمان من الحق في الصحة، </w:t>
      </w:r>
      <w:r w:rsidR="004769FF" w:rsidRPr="005A1EB0">
        <w:rPr>
          <w:rFonts w:hint="cs"/>
          <w:w w:val="100"/>
          <w:kern w:val="0"/>
          <w:sz w:val="30"/>
          <w:rtl/>
        </w:rPr>
        <w:t xml:space="preserve">ومنها الافتقار إلى </w:t>
      </w:r>
      <w:r w:rsidRPr="005A1EB0">
        <w:rPr>
          <w:rFonts w:hint="cs"/>
          <w:w w:val="100"/>
          <w:kern w:val="0"/>
          <w:sz w:val="30"/>
          <w:rtl/>
        </w:rPr>
        <w:t>الضوء الطبيعي والتهوية في أماكن الاحتجاز</w:t>
      </w:r>
      <w:r w:rsidRPr="005A1EB0">
        <w:rPr>
          <w:rStyle w:val="FootnoteReference"/>
          <w:color w:val="auto"/>
          <w:w w:val="100"/>
          <w:kern w:val="0"/>
          <w:sz w:val="30"/>
          <w:szCs w:val="30"/>
          <w:rtl/>
        </w:rPr>
        <w:footnoteReference w:customMarkFollows="1" w:id="76"/>
        <w:t>(76)</w:t>
      </w:r>
      <w:r w:rsidRPr="005A1EB0">
        <w:rPr>
          <w:rFonts w:hint="cs"/>
          <w:w w:val="100"/>
          <w:kern w:val="0"/>
          <w:sz w:val="30"/>
          <w:rtl/>
        </w:rPr>
        <w:t xml:space="preserve">، ودرجات الحرارة المرتفعة </w:t>
      </w:r>
      <w:r w:rsidR="004769FF" w:rsidRPr="005A1EB0">
        <w:rPr>
          <w:rFonts w:hint="cs"/>
          <w:w w:val="100"/>
          <w:kern w:val="0"/>
          <w:sz w:val="30"/>
          <w:rtl/>
        </w:rPr>
        <w:t xml:space="preserve">أو المنخفضة </w:t>
      </w:r>
      <w:r w:rsidRPr="005A1EB0">
        <w:rPr>
          <w:rFonts w:hint="cs"/>
          <w:w w:val="100"/>
          <w:kern w:val="0"/>
          <w:sz w:val="30"/>
          <w:rtl/>
        </w:rPr>
        <w:t>جداً</w:t>
      </w:r>
      <w:r w:rsidRPr="005A1EB0">
        <w:rPr>
          <w:rStyle w:val="FootnoteReference"/>
          <w:color w:val="auto"/>
          <w:w w:val="100"/>
          <w:kern w:val="0"/>
          <w:sz w:val="30"/>
          <w:szCs w:val="30"/>
          <w:rtl/>
        </w:rPr>
        <w:footnoteReference w:customMarkFollows="1" w:id="77"/>
        <w:t>(77)</w:t>
      </w:r>
      <w:r w:rsidR="004769FF" w:rsidRPr="005A1EB0">
        <w:rPr>
          <w:rFonts w:hint="cs"/>
          <w:w w:val="100"/>
          <w:kern w:val="0"/>
          <w:sz w:val="30"/>
          <w:rtl/>
        </w:rPr>
        <w:t>،</w:t>
      </w:r>
      <w:r w:rsidRPr="005A1EB0">
        <w:rPr>
          <w:rFonts w:hint="cs"/>
          <w:w w:val="100"/>
          <w:kern w:val="0"/>
          <w:sz w:val="30"/>
          <w:rtl/>
        </w:rPr>
        <w:t xml:space="preserve"> و</w:t>
      </w:r>
      <w:r w:rsidR="004769FF" w:rsidRPr="005A1EB0">
        <w:rPr>
          <w:rFonts w:hint="cs"/>
          <w:w w:val="100"/>
          <w:kern w:val="0"/>
          <w:sz w:val="30"/>
          <w:rtl/>
        </w:rPr>
        <w:t xml:space="preserve">تدني </w:t>
      </w:r>
      <w:r w:rsidRPr="005A1EB0">
        <w:rPr>
          <w:rFonts w:hint="cs"/>
          <w:w w:val="100"/>
          <w:kern w:val="0"/>
          <w:sz w:val="30"/>
          <w:rtl/>
        </w:rPr>
        <w:t>معايير النظافة والصحة</w:t>
      </w:r>
      <w:r w:rsidRPr="005A1EB0">
        <w:rPr>
          <w:rStyle w:val="FootnoteReference"/>
          <w:color w:val="auto"/>
          <w:w w:val="100"/>
          <w:kern w:val="0"/>
          <w:sz w:val="30"/>
          <w:szCs w:val="30"/>
          <w:rtl/>
        </w:rPr>
        <w:footnoteReference w:customMarkFollows="1" w:id="78"/>
        <w:t>(78)</w:t>
      </w:r>
      <w:r w:rsidR="004769FF" w:rsidRPr="005A1EB0">
        <w:rPr>
          <w:rFonts w:hint="cs"/>
          <w:w w:val="100"/>
          <w:kern w:val="0"/>
          <w:sz w:val="30"/>
          <w:rtl/>
        </w:rPr>
        <w:t>،</w:t>
      </w:r>
      <w:r w:rsidRPr="005A1EB0">
        <w:rPr>
          <w:rFonts w:hint="cs"/>
          <w:w w:val="100"/>
          <w:kern w:val="0"/>
          <w:sz w:val="30"/>
          <w:rtl/>
        </w:rPr>
        <w:t xml:space="preserve"> وعدم كفاية مستلزمات النظافة الشخصية</w:t>
      </w:r>
      <w:r w:rsidRPr="005A1EB0">
        <w:rPr>
          <w:rStyle w:val="FootnoteReference"/>
          <w:color w:val="auto"/>
          <w:w w:val="100"/>
          <w:kern w:val="0"/>
          <w:sz w:val="30"/>
          <w:szCs w:val="30"/>
          <w:rtl/>
        </w:rPr>
        <w:footnoteReference w:customMarkFollows="1" w:id="79"/>
        <w:t>(79)</w:t>
      </w:r>
      <w:r w:rsidR="004769FF" w:rsidRPr="005A1EB0">
        <w:rPr>
          <w:rFonts w:hint="cs"/>
          <w:w w:val="100"/>
          <w:kern w:val="0"/>
          <w:sz w:val="30"/>
          <w:rtl/>
        </w:rPr>
        <w:t>،</w:t>
      </w:r>
      <w:r w:rsidRPr="005A1EB0">
        <w:rPr>
          <w:rFonts w:hint="cs"/>
          <w:w w:val="100"/>
          <w:kern w:val="0"/>
          <w:sz w:val="30"/>
          <w:rtl/>
        </w:rPr>
        <w:t xml:space="preserve"> وتفشي الحشرات والهوام</w:t>
      </w:r>
      <w:r w:rsidRPr="005A1EB0">
        <w:rPr>
          <w:rStyle w:val="FootnoteReference"/>
          <w:color w:val="auto"/>
          <w:w w:val="100"/>
          <w:kern w:val="0"/>
          <w:sz w:val="30"/>
          <w:szCs w:val="30"/>
          <w:rtl/>
        </w:rPr>
        <w:footnoteReference w:customMarkFollows="1" w:id="80"/>
        <w:t>(80)</w:t>
      </w:r>
      <w:r w:rsidR="004769FF" w:rsidRPr="005A1EB0">
        <w:rPr>
          <w:rFonts w:hint="cs"/>
          <w:w w:val="100"/>
          <w:kern w:val="0"/>
          <w:sz w:val="30"/>
          <w:rtl/>
        </w:rPr>
        <w:t>.</w:t>
      </w:r>
      <w:r w:rsidRPr="005A1EB0">
        <w:rPr>
          <w:rFonts w:hint="cs"/>
          <w:w w:val="100"/>
          <w:kern w:val="0"/>
          <w:sz w:val="30"/>
          <w:rtl/>
        </w:rPr>
        <w:t xml:space="preserve"> وفي النهاية، قد تؤثر انتهاكات الحق في الصحة سلباً على حق المحتجزين في الحياة</w:t>
      </w:r>
      <w:r w:rsidRPr="005A1EB0">
        <w:rPr>
          <w:rStyle w:val="FootnoteReference"/>
          <w:color w:val="auto"/>
          <w:w w:val="100"/>
          <w:kern w:val="0"/>
          <w:sz w:val="30"/>
          <w:szCs w:val="30"/>
          <w:rtl/>
        </w:rPr>
        <w:footnoteReference w:customMarkFollows="1" w:id="81"/>
        <w:t>(81)</w:t>
      </w:r>
      <w:r w:rsidR="004769FF" w:rsidRPr="005A1EB0">
        <w:rPr>
          <w:rStyle w:val="FootnoteReference"/>
          <w:rFonts w:hint="cs"/>
          <w:color w:val="auto"/>
          <w:w w:val="100"/>
          <w:kern w:val="0"/>
          <w:sz w:val="30"/>
          <w:szCs w:val="30"/>
          <w:vertAlign w:val="baseline"/>
          <w:rtl/>
        </w:rPr>
        <w:t>.</w:t>
      </w:r>
    </w:p>
    <w:p w:rsidR="004769FF" w:rsidRPr="005A1EB0" w:rsidRDefault="004769FF" w:rsidP="004769F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CE0006" w:rsidRPr="005A1EB0" w:rsidRDefault="00CE0006"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Pr>
      </w:pPr>
      <w:r w:rsidRPr="005A1EB0">
        <w:rPr>
          <w:rFonts w:hint="cs"/>
          <w:w w:val="100"/>
          <w:rtl/>
        </w:rPr>
        <w:tab/>
      </w:r>
      <w:bookmarkStart w:id="15" w:name="_Toc430010372"/>
      <w:r w:rsidRPr="005A1EB0">
        <w:rPr>
          <w:rFonts w:hint="cs"/>
          <w:w w:val="100"/>
          <w:rtl/>
        </w:rPr>
        <w:t>دال-</w:t>
      </w:r>
      <w:r w:rsidRPr="005A1EB0">
        <w:rPr>
          <w:rFonts w:hint="cs"/>
          <w:w w:val="100"/>
          <w:rtl/>
        </w:rPr>
        <w:tab/>
        <w:t>الحق في الغذاء والمياه وخدمات الصرف الصحي</w:t>
      </w:r>
      <w:bookmarkEnd w:id="15"/>
    </w:p>
    <w:p w:rsidR="004769FF" w:rsidRPr="005A1EB0" w:rsidRDefault="004769FF" w:rsidP="004769FF">
      <w:pPr>
        <w:pStyle w:val="SingleTxt"/>
        <w:spacing w:after="0" w:line="120" w:lineRule="exact"/>
        <w:rPr>
          <w:w w:val="100"/>
          <w:kern w:val="0"/>
          <w:sz w:val="10"/>
          <w:rtl/>
        </w:rPr>
      </w:pPr>
    </w:p>
    <w:p w:rsidR="00CE0006" w:rsidRPr="005A1EB0" w:rsidRDefault="00CE0006" w:rsidP="002617C4">
      <w:pPr>
        <w:pStyle w:val="SingleTxt"/>
        <w:rPr>
          <w:w w:val="100"/>
          <w:kern w:val="0"/>
          <w:sz w:val="30"/>
          <w:rtl/>
        </w:rPr>
      </w:pPr>
      <w:r w:rsidRPr="005A1EB0">
        <w:rPr>
          <w:rFonts w:hint="cs"/>
          <w:w w:val="100"/>
          <w:kern w:val="0"/>
          <w:sz w:val="30"/>
          <w:rtl/>
        </w:rPr>
        <w:t>20-</w:t>
      </w:r>
      <w:r w:rsidRPr="005A1EB0">
        <w:rPr>
          <w:rFonts w:hint="cs"/>
          <w:w w:val="100"/>
          <w:kern w:val="0"/>
          <w:sz w:val="30"/>
          <w:rtl/>
        </w:rPr>
        <w:tab/>
        <w:t>شدّد المقرر الخاص المعني بحق الإنسان في الحصول على مياه الشرب المأ</w:t>
      </w:r>
      <w:r w:rsidR="004769FF" w:rsidRPr="005A1EB0">
        <w:rPr>
          <w:rFonts w:hint="cs"/>
          <w:w w:val="100"/>
          <w:kern w:val="0"/>
          <w:sz w:val="30"/>
          <w:rtl/>
        </w:rPr>
        <w:t xml:space="preserve">مونة وخدمات الصرف الصحي على أن عدم توفر </w:t>
      </w:r>
      <w:r w:rsidRPr="005A1EB0">
        <w:rPr>
          <w:w w:val="100"/>
          <w:kern w:val="0"/>
          <w:sz w:val="30"/>
          <w:rtl/>
        </w:rPr>
        <w:t xml:space="preserve">إمكانية </w:t>
      </w:r>
      <w:r w:rsidR="004769FF" w:rsidRPr="005A1EB0">
        <w:rPr>
          <w:rFonts w:hint="cs"/>
          <w:w w:val="100"/>
          <w:kern w:val="0"/>
          <w:sz w:val="30"/>
          <w:rtl/>
        </w:rPr>
        <w:t xml:space="preserve">الحصول على خدمات </w:t>
      </w:r>
      <w:r w:rsidRPr="005A1EB0">
        <w:rPr>
          <w:w w:val="100"/>
          <w:kern w:val="0"/>
          <w:sz w:val="30"/>
          <w:rtl/>
        </w:rPr>
        <w:t xml:space="preserve">الصرف الصحي </w:t>
      </w:r>
      <w:r w:rsidRPr="005A1EB0">
        <w:rPr>
          <w:rFonts w:hint="cs"/>
          <w:w w:val="100"/>
          <w:kern w:val="0"/>
          <w:sz w:val="30"/>
          <w:rtl/>
        </w:rPr>
        <w:t xml:space="preserve">يمكن أن </w:t>
      </w:r>
      <w:r w:rsidR="004769FF" w:rsidRPr="005A1EB0">
        <w:rPr>
          <w:rFonts w:hint="cs"/>
          <w:w w:val="100"/>
          <w:kern w:val="0"/>
          <w:sz w:val="30"/>
          <w:rtl/>
        </w:rPr>
        <w:t xml:space="preserve">يشكل </w:t>
      </w:r>
      <w:r w:rsidRPr="005A1EB0">
        <w:rPr>
          <w:w w:val="100"/>
          <w:kern w:val="0"/>
          <w:sz w:val="30"/>
          <w:rtl/>
        </w:rPr>
        <w:lastRenderedPageBreak/>
        <w:t>معاملة غير إنسانية أو مهينة في بعض الظروف، لا سيما في سياق الاحتجاز.</w:t>
      </w:r>
      <w:r w:rsidRPr="005A1EB0">
        <w:rPr>
          <w:rFonts w:hint="cs"/>
          <w:w w:val="100"/>
          <w:kern w:val="0"/>
          <w:sz w:val="30"/>
          <w:rtl/>
        </w:rPr>
        <w:t xml:space="preserve"> و</w:t>
      </w:r>
      <w:r w:rsidR="004769FF" w:rsidRPr="005A1EB0">
        <w:rPr>
          <w:rFonts w:hint="cs"/>
          <w:w w:val="100"/>
          <w:kern w:val="0"/>
          <w:sz w:val="30"/>
          <w:rtl/>
        </w:rPr>
        <w:t xml:space="preserve">لاحظ </w:t>
      </w:r>
      <w:r w:rsidRPr="005A1EB0">
        <w:rPr>
          <w:rFonts w:hint="cs"/>
          <w:w w:val="100"/>
          <w:kern w:val="0"/>
          <w:sz w:val="30"/>
          <w:rtl/>
        </w:rPr>
        <w:t>المقرر الخاص أن اكتظاظ أماكن الاحتجاز يمكن أن يعيق بشدة قدرة السلطات على توفير مياه الشرب المأمونة وخدمات الصرف الصحي الملائمة</w:t>
      </w:r>
      <w:r w:rsidRPr="005A1EB0">
        <w:rPr>
          <w:rStyle w:val="FootnoteReference"/>
          <w:color w:val="auto"/>
          <w:w w:val="100"/>
          <w:kern w:val="0"/>
          <w:sz w:val="30"/>
          <w:szCs w:val="30"/>
          <w:rtl/>
        </w:rPr>
        <w:footnoteReference w:customMarkFollows="1" w:id="82"/>
        <w:t>(82)</w:t>
      </w:r>
      <w:r w:rsidR="002617C4" w:rsidRPr="005A1EB0">
        <w:rPr>
          <w:rStyle w:val="FootnoteReference"/>
          <w:rFonts w:hint="cs"/>
          <w:color w:val="auto"/>
          <w:w w:val="100"/>
          <w:kern w:val="0"/>
          <w:sz w:val="30"/>
          <w:szCs w:val="30"/>
          <w:vertAlign w:val="baseline"/>
          <w:rtl/>
        </w:rPr>
        <w:t>.</w:t>
      </w:r>
    </w:p>
    <w:p w:rsidR="00CE0006" w:rsidRPr="005A1EB0" w:rsidRDefault="00CE0006" w:rsidP="004769FF">
      <w:pPr>
        <w:pStyle w:val="SingleTxt"/>
        <w:rPr>
          <w:spacing w:val="-4"/>
          <w:w w:val="100"/>
          <w:kern w:val="0"/>
          <w:sz w:val="30"/>
          <w:rtl/>
        </w:rPr>
      </w:pPr>
      <w:r w:rsidRPr="005A1EB0">
        <w:rPr>
          <w:rFonts w:hint="cs"/>
          <w:spacing w:val="-4"/>
          <w:w w:val="100"/>
          <w:kern w:val="0"/>
          <w:sz w:val="30"/>
          <w:rtl/>
        </w:rPr>
        <w:t>21-</w:t>
      </w:r>
      <w:r w:rsidRPr="005A1EB0">
        <w:rPr>
          <w:rFonts w:hint="cs"/>
          <w:spacing w:val="-4"/>
          <w:w w:val="100"/>
          <w:kern w:val="0"/>
          <w:sz w:val="30"/>
          <w:rtl/>
        </w:rPr>
        <w:tab/>
        <w:t>و</w:t>
      </w:r>
      <w:r w:rsidR="004769FF" w:rsidRPr="005A1EB0">
        <w:rPr>
          <w:rFonts w:hint="cs"/>
          <w:spacing w:val="-4"/>
          <w:w w:val="100"/>
          <w:kern w:val="0"/>
          <w:sz w:val="30"/>
          <w:rtl/>
        </w:rPr>
        <w:t>قد</w:t>
      </w:r>
      <w:r w:rsidRPr="005A1EB0">
        <w:rPr>
          <w:rFonts w:hint="cs"/>
          <w:spacing w:val="-4"/>
          <w:w w:val="100"/>
          <w:kern w:val="0"/>
          <w:sz w:val="30"/>
          <w:rtl/>
        </w:rPr>
        <w:t xml:space="preserve"> </w:t>
      </w:r>
      <w:r w:rsidR="004769FF" w:rsidRPr="005A1EB0">
        <w:rPr>
          <w:rFonts w:hint="cs"/>
          <w:spacing w:val="-4"/>
          <w:w w:val="100"/>
          <w:kern w:val="0"/>
          <w:sz w:val="30"/>
          <w:rtl/>
        </w:rPr>
        <w:t xml:space="preserve">سلّطت </w:t>
      </w:r>
      <w:r w:rsidRPr="005A1EB0">
        <w:rPr>
          <w:rFonts w:hint="cs"/>
          <w:spacing w:val="-4"/>
          <w:w w:val="100"/>
          <w:kern w:val="0"/>
          <w:sz w:val="30"/>
          <w:rtl/>
        </w:rPr>
        <w:t>المقررة الخاصة المعنية بالحق في الغذاء الضوء على الانتهاكات المتكررة لحق المحتجزين في الحصول على الغذاء</w:t>
      </w:r>
      <w:r w:rsidRPr="005A1EB0">
        <w:rPr>
          <w:rStyle w:val="FootnoteReference"/>
          <w:color w:val="auto"/>
          <w:spacing w:val="-4"/>
          <w:w w:val="100"/>
          <w:kern w:val="0"/>
          <w:sz w:val="30"/>
          <w:szCs w:val="30"/>
          <w:rtl/>
        </w:rPr>
        <w:footnoteReference w:customMarkFollows="1" w:id="83"/>
        <w:t>(83)</w:t>
      </w:r>
      <w:r w:rsidRPr="005A1EB0">
        <w:rPr>
          <w:rFonts w:hint="cs"/>
          <w:spacing w:val="-4"/>
          <w:w w:val="100"/>
          <w:kern w:val="0"/>
          <w:sz w:val="30"/>
          <w:rtl/>
        </w:rPr>
        <w:t xml:space="preserve">، وأكدت مسؤولية الدول </w:t>
      </w:r>
      <w:r w:rsidR="004769FF" w:rsidRPr="005A1EB0">
        <w:rPr>
          <w:rFonts w:hint="cs"/>
          <w:spacing w:val="-4"/>
          <w:w w:val="100"/>
          <w:kern w:val="0"/>
          <w:sz w:val="30"/>
          <w:rtl/>
        </w:rPr>
        <w:t xml:space="preserve">عن </w:t>
      </w:r>
      <w:r w:rsidRPr="005A1EB0">
        <w:rPr>
          <w:rFonts w:hint="cs"/>
          <w:spacing w:val="-4"/>
          <w:w w:val="100"/>
          <w:kern w:val="0"/>
          <w:sz w:val="30"/>
          <w:rtl/>
        </w:rPr>
        <w:t>توفير الغذاء الكافي لمن هم رهن الاحتجاز</w:t>
      </w:r>
      <w:r w:rsidRPr="005A1EB0">
        <w:rPr>
          <w:rStyle w:val="FootnoteReference"/>
          <w:color w:val="auto"/>
          <w:spacing w:val="-4"/>
          <w:w w:val="100"/>
          <w:kern w:val="0"/>
          <w:sz w:val="30"/>
          <w:szCs w:val="30"/>
          <w:rtl/>
        </w:rPr>
        <w:footnoteReference w:customMarkFollows="1" w:id="84"/>
        <w:t>(84)</w:t>
      </w:r>
      <w:r w:rsidR="004769FF" w:rsidRPr="005A1EB0">
        <w:rPr>
          <w:rFonts w:hint="cs"/>
          <w:spacing w:val="-4"/>
          <w:w w:val="100"/>
          <w:kern w:val="0"/>
          <w:sz w:val="30"/>
          <w:rtl/>
        </w:rPr>
        <w:t>.</w:t>
      </w:r>
      <w:r w:rsidRPr="005A1EB0">
        <w:rPr>
          <w:rFonts w:hint="cs"/>
          <w:spacing w:val="-4"/>
          <w:w w:val="100"/>
          <w:kern w:val="0"/>
          <w:sz w:val="30"/>
          <w:rtl/>
        </w:rPr>
        <w:t xml:space="preserve"> وشدّدت المقررة الخاصة أيضاً على الأثر السلبي لاكتظاظ </w:t>
      </w:r>
      <w:r w:rsidR="004769FF" w:rsidRPr="005A1EB0">
        <w:rPr>
          <w:rFonts w:hint="cs"/>
          <w:spacing w:val="-4"/>
          <w:w w:val="100"/>
          <w:kern w:val="0"/>
          <w:sz w:val="30"/>
          <w:rtl/>
        </w:rPr>
        <w:t xml:space="preserve">السجون </w:t>
      </w:r>
      <w:r w:rsidRPr="005A1EB0">
        <w:rPr>
          <w:rFonts w:hint="cs"/>
          <w:spacing w:val="-4"/>
          <w:w w:val="100"/>
          <w:kern w:val="0"/>
          <w:sz w:val="30"/>
          <w:rtl/>
        </w:rPr>
        <w:t>على الحق في الغذاء</w:t>
      </w:r>
      <w:r w:rsidRPr="005A1EB0">
        <w:rPr>
          <w:rStyle w:val="FootnoteReference"/>
          <w:color w:val="auto"/>
          <w:spacing w:val="-4"/>
          <w:w w:val="100"/>
          <w:kern w:val="0"/>
          <w:sz w:val="30"/>
          <w:szCs w:val="30"/>
          <w:rtl/>
        </w:rPr>
        <w:footnoteReference w:customMarkFollows="1" w:id="85"/>
        <w:t>(85)</w:t>
      </w:r>
      <w:r w:rsidR="004769FF" w:rsidRPr="005A1EB0">
        <w:rPr>
          <w:rStyle w:val="FootnoteReference"/>
          <w:rFonts w:hint="cs"/>
          <w:color w:val="auto"/>
          <w:spacing w:val="-4"/>
          <w:w w:val="100"/>
          <w:kern w:val="0"/>
          <w:sz w:val="30"/>
          <w:szCs w:val="30"/>
          <w:vertAlign w:val="baseline"/>
          <w:rtl/>
        </w:rPr>
        <w:t>.</w:t>
      </w:r>
    </w:p>
    <w:p w:rsidR="00CE0006" w:rsidRPr="005A1EB0" w:rsidRDefault="00CE0006" w:rsidP="002617C4">
      <w:pPr>
        <w:pStyle w:val="SingleTxt"/>
        <w:rPr>
          <w:w w:val="100"/>
          <w:kern w:val="0"/>
          <w:sz w:val="30"/>
          <w:rtl/>
        </w:rPr>
      </w:pPr>
      <w:r w:rsidRPr="005A1EB0">
        <w:rPr>
          <w:rFonts w:hint="cs"/>
          <w:w w:val="100"/>
          <w:kern w:val="0"/>
          <w:sz w:val="30"/>
          <w:rtl/>
        </w:rPr>
        <w:t>22-</w:t>
      </w:r>
      <w:r w:rsidRPr="005A1EB0">
        <w:rPr>
          <w:rFonts w:hint="cs"/>
          <w:w w:val="100"/>
          <w:kern w:val="0"/>
          <w:sz w:val="30"/>
          <w:rtl/>
        </w:rPr>
        <w:tab/>
      </w:r>
      <w:r w:rsidR="004769FF" w:rsidRPr="005A1EB0">
        <w:rPr>
          <w:rFonts w:hint="cs"/>
          <w:w w:val="100"/>
          <w:kern w:val="0"/>
          <w:sz w:val="30"/>
          <w:rtl/>
        </w:rPr>
        <w:t xml:space="preserve">كما </w:t>
      </w:r>
      <w:r w:rsidRPr="005A1EB0">
        <w:rPr>
          <w:rFonts w:hint="cs"/>
          <w:w w:val="100"/>
          <w:kern w:val="0"/>
          <w:sz w:val="30"/>
          <w:rtl/>
        </w:rPr>
        <w:t xml:space="preserve">أبلغت هيئات </w:t>
      </w:r>
      <w:r w:rsidR="004769FF" w:rsidRPr="005A1EB0">
        <w:rPr>
          <w:rFonts w:hint="cs"/>
          <w:w w:val="100"/>
          <w:kern w:val="0"/>
          <w:sz w:val="30"/>
          <w:rtl/>
        </w:rPr>
        <w:t xml:space="preserve">عديدة </w:t>
      </w:r>
      <w:r w:rsidRPr="005A1EB0">
        <w:rPr>
          <w:rFonts w:hint="cs"/>
          <w:w w:val="100"/>
          <w:kern w:val="0"/>
          <w:sz w:val="30"/>
          <w:rtl/>
        </w:rPr>
        <w:t>أخرى لحقوق الإنسان تابعة للأمم المتحدة وإقليمية عن انتهاكات جسيمة لحق المحتجزين في الحصول على مياه الشرب المأمونة وخدمات الصرف الصحي ولحقهم في الغذاء. وت</w:t>
      </w:r>
      <w:r w:rsidR="004769FF" w:rsidRPr="005A1EB0">
        <w:rPr>
          <w:rFonts w:hint="cs"/>
          <w:w w:val="100"/>
          <w:kern w:val="0"/>
          <w:sz w:val="30"/>
          <w:rtl/>
        </w:rPr>
        <w:t xml:space="preserve">شمل </w:t>
      </w:r>
      <w:r w:rsidRPr="005A1EB0">
        <w:rPr>
          <w:rFonts w:hint="cs"/>
          <w:w w:val="100"/>
          <w:kern w:val="0"/>
          <w:sz w:val="30"/>
          <w:rtl/>
        </w:rPr>
        <w:t>هذه الانتهاكات، التي تعزى إلى الاكتظاظ، عجز الدولة عن توفير الغذاء الكافي نوعاً وكماً</w:t>
      </w:r>
      <w:r w:rsidRPr="005A1EB0">
        <w:rPr>
          <w:rStyle w:val="FootnoteReference"/>
          <w:color w:val="auto"/>
          <w:w w:val="100"/>
          <w:kern w:val="0"/>
          <w:sz w:val="30"/>
          <w:szCs w:val="30"/>
          <w:rtl/>
        </w:rPr>
        <w:footnoteReference w:customMarkFollows="1" w:id="86"/>
        <w:t>(86)</w:t>
      </w:r>
      <w:r w:rsidR="004769FF" w:rsidRPr="005A1EB0">
        <w:rPr>
          <w:rFonts w:hint="cs"/>
          <w:w w:val="100"/>
          <w:kern w:val="0"/>
          <w:sz w:val="30"/>
          <w:rtl/>
        </w:rPr>
        <w:t>؛</w:t>
      </w:r>
      <w:r w:rsidRPr="005A1EB0">
        <w:rPr>
          <w:rFonts w:hint="cs"/>
          <w:w w:val="100"/>
          <w:kern w:val="0"/>
          <w:sz w:val="30"/>
          <w:rtl/>
        </w:rPr>
        <w:t xml:space="preserve"> والمرافق المناسبة للاغتسال</w:t>
      </w:r>
      <w:r w:rsidRPr="005A1EB0">
        <w:rPr>
          <w:rStyle w:val="FootnoteReference"/>
          <w:color w:val="auto"/>
          <w:w w:val="100"/>
          <w:kern w:val="0"/>
          <w:sz w:val="30"/>
          <w:szCs w:val="30"/>
          <w:rtl/>
        </w:rPr>
        <w:footnoteReference w:customMarkFollows="1" w:id="87"/>
        <w:t>(87)</w:t>
      </w:r>
      <w:r w:rsidRPr="005A1EB0">
        <w:rPr>
          <w:rFonts w:hint="cs"/>
          <w:w w:val="100"/>
          <w:kern w:val="0"/>
          <w:sz w:val="30"/>
          <w:rtl/>
        </w:rPr>
        <w:t xml:space="preserve"> ودورات المياه</w:t>
      </w:r>
      <w:r w:rsidRPr="005A1EB0">
        <w:rPr>
          <w:rStyle w:val="FootnoteReference"/>
          <w:color w:val="auto"/>
          <w:w w:val="100"/>
          <w:kern w:val="0"/>
          <w:sz w:val="30"/>
          <w:szCs w:val="30"/>
          <w:rtl/>
        </w:rPr>
        <w:footnoteReference w:customMarkFollows="1" w:id="88"/>
        <w:t>(88)</w:t>
      </w:r>
      <w:r w:rsidR="004769FF" w:rsidRPr="005A1EB0">
        <w:rPr>
          <w:rFonts w:hint="cs"/>
          <w:w w:val="100"/>
          <w:kern w:val="0"/>
          <w:sz w:val="30"/>
          <w:rtl/>
        </w:rPr>
        <w:t>؛</w:t>
      </w:r>
      <w:r w:rsidRPr="005A1EB0">
        <w:rPr>
          <w:rFonts w:hint="cs"/>
          <w:w w:val="100"/>
          <w:kern w:val="0"/>
          <w:sz w:val="30"/>
          <w:rtl/>
        </w:rPr>
        <w:t xml:space="preserve"> ومياه الشرب المأمونة</w:t>
      </w:r>
      <w:r w:rsidRPr="005A1EB0">
        <w:rPr>
          <w:rStyle w:val="FootnoteReference"/>
          <w:color w:val="auto"/>
          <w:w w:val="100"/>
          <w:kern w:val="0"/>
          <w:sz w:val="30"/>
          <w:szCs w:val="30"/>
          <w:rtl/>
        </w:rPr>
        <w:footnoteReference w:customMarkFollows="1" w:id="89"/>
        <w:t>(89)</w:t>
      </w:r>
      <w:r w:rsidRPr="005A1EB0">
        <w:rPr>
          <w:rFonts w:hint="cs"/>
          <w:w w:val="100"/>
          <w:kern w:val="0"/>
          <w:sz w:val="30"/>
          <w:rtl/>
        </w:rPr>
        <w:t xml:space="preserve"> ومرافق الصرف الصحي</w:t>
      </w:r>
      <w:r w:rsidRPr="005A1EB0">
        <w:rPr>
          <w:rStyle w:val="FootnoteReference"/>
          <w:color w:val="auto"/>
          <w:w w:val="100"/>
          <w:kern w:val="0"/>
          <w:sz w:val="30"/>
          <w:szCs w:val="30"/>
          <w:rtl/>
        </w:rPr>
        <w:footnoteReference w:customMarkFollows="1" w:id="90"/>
        <w:t>(90)</w:t>
      </w:r>
      <w:r w:rsidR="002617C4" w:rsidRPr="005A1EB0">
        <w:rPr>
          <w:rFonts w:hint="cs"/>
          <w:w w:val="100"/>
          <w:kern w:val="0"/>
          <w:sz w:val="30"/>
          <w:rtl/>
        </w:rPr>
        <w:t>،</w:t>
      </w:r>
      <w:r w:rsidRPr="005A1EB0">
        <w:rPr>
          <w:rFonts w:hint="cs"/>
          <w:w w:val="100"/>
          <w:kern w:val="0"/>
          <w:sz w:val="30"/>
          <w:rtl/>
        </w:rPr>
        <w:t xml:space="preserve"> بما في ذلك الحصول على منتجات النظافة الأساسية مثل توفير الصابون وورق المرحاض مجاناً</w:t>
      </w:r>
      <w:r w:rsidRPr="005A1EB0">
        <w:rPr>
          <w:rStyle w:val="FootnoteReference"/>
          <w:color w:val="auto"/>
          <w:w w:val="100"/>
          <w:kern w:val="0"/>
          <w:sz w:val="30"/>
          <w:szCs w:val="30"/>
          <w:rtl/>
        </w:rPr>
        <w:footnoteReference w:customMarkFollows="1" w:id="91"/>
        <w:t>(91)</w:t>
      </w:r>
      <w:r w:rsidR="004769FF" w:rsidRPr="005A1EB0">
        <w:rPr>
          <w:rFonts w:hint="cs"/>
          <w:w w:val="100"/>
          <w:kern w:val="0"/>
          <w:sz w:val="30"/>
          <w:rtl/>
        </w:rPr>
        <w:t>،</w:t>
      </w:r>
      <w:r w:rsidRPr="005A1EB0">
        <w:rPr>
          <w:rFonts w:hint="cs"/>
          <w:w w:val="100"/>
          <w:kern w:val="0"/>
          <w:sz w:val="30"/>
          <w:rtl/>
        </w:rPr>
        <w:t xml:space="preserve"> وترتيبات النوم المناسبة بما في ذلك توفير ف</w:t>
      </w:r>
      <w:r w:rsidR="004769FF" w:rsidRPr="005A1EB0">
        <w:rPr>
          <w:rFonts w:hint="cs"/>
          <w:w w:val="100"/>
          <w:kern w:val="0"/>
          <w:sz w:val="30"/>
          <w:rtl/>
        </w:rPr>
        <w:t>ُرش</w:t>
      </w:r>
      <w:r w:rsidRPr="005A1EB0">
        <w:rPr>
          <w:rFonts w:hint="cs"/>
          <w:w w:val="100"/>
          <w:kern w:val="0"/>
          <w:sz w:val="30"/>
          <w:rtl/>
        </w:rPr>
        <w:t xml:space="preserve"> وأغطية نظيفة</w:t>
      </w:r>
      <w:r w:rsidRPr="005A1EB0">
        <w:rPr>
          <w:rStyle w:val="FootnoteReference"/>
          <w:color w:val="auto"/>
          <w:w w:val="100"/>
          <w:kern w:val="0"/>
          <w:sz w:val="30"/>
          <w:szCs w:val="30"/>
          <w:rtl/>
        </w:rPr>
        <w:footnoteReference w:customMarkFollows="1" w:id="92"/>
        <w:t>(92)</w:t>
      </w:r>
      <w:r w:rsidR="004769FF" w:rsidRPr="005A1EB0">
        <w:rPr>
          <w:rFonts w:hint="cs"/>
          <w:w w:val="100"/>
          <w:kern w:val="0"/>
          <w:sz w:val="30"/>
          <w:rtl/>
        </w:rPr>
        <w:t>.</w:t>
      </w:r>
    </w:p>
    <w:p w:rsidR="005A1EB0" w:rsidRPr="005A1EB0" w:rsidRDefault="005A1EB0" w:rsidP="005A1EB0">
      <w:pPr>
        <w:pStyle w:val="SingleTxt"/>
        <w:rPr>
          <w:w w:val="100"/>
          <w:kern w:val="0"/>
        </w:rPr>
      </w:pPr>
      <w:r w:rsidRPr="005A1EB0">
        <w:rPr>
          <w:rFonts w:hint="cs"/>
          <w:w w:val="100"/>
          <w:kern w:val="0"/>
          <w:rtl/>
        </w:rPr>
        <w:lastRenderedPageBreak/>
        <w:t>23-</w:t>
      </w:r>
      <w:r w:rsidRPr="005A1EB0">
        <w:rPr>
          <w:rFonts w:hint="cs"/>
          <w:w w:val="100"/>
          <w:kern w:val="0"/>
          <w:rtl/>
        </w:rPr>
        <w:tab/>
        <w:t>وأدّى عدم ضمان إنفاذ هذه الحقوق على النحو الواجب إلى انتهاك حقوق أخرى، بما</w:t>
      </w:r>
      <w:r w:rsidRPr="005A1EB0">
        <w:rPr>
          <w:rFonts w:hint="eastAsia"/>
          <w:w w:val="100"/>
          <w:kern w:val="0"/>
          <w:rtl/>
        </w:rPr>
        <w:t> </w:t>
      </w:r>
      <w:r w:rsidRPr="005A1EB0">
        <w:rPr>
          <w:rFonts w:hint="cs"/>
          <w:w w:val="100"/>
          <w:kern w:val="0"/>
          <w:rtl/>
        </w:rPr>
        <w:t>فيها الحق في السلامة والأمن، حيث يؤدي النقص في توفير الغذاء إلى حدوث توترات في أماكن الاحتجاز بل أعمال عنف</w:t>
      </w:r>
      <w:r w:rsidRPr="005A1EB0">
        <w:rPr>
          <w:b/>
          <w:w w:val="100"/>
          <w:kern w:val="0"/>
          <w:vertAlign w:val="superscript"/>
          <w:rtl/>
        </w:rPr>
        <w:footnoteReference w:customMarkFollows="1" w:id="93"/>
        <w:t>(93)</w:t>
      </w:r>
      <w:r w:rsidRPr="005A1EB0">
        <w:rPr>
          <w:rFonts w:hint="cs"/>
          <w:w w:val="100"/>
          <w:kern w:val="0"/>
          <w:rtl/>
        </w:rPr>
        <w:t>، فضلاً عن الحق في عدم التعرض لمعاملة قاسية أو لا</w:t>
      </w:r>
      <w:r w:rsidRPr="005A1EB0">
        <w:rPr>
          <w:rFonts w:hint="eastAsia"/>
          <w:w w:val="100"/>
          <w:kern w:val="0"/>
          <w:rtl/>
        </w:rPr>
        <w:t> </w:t>
      </w:r>
      <w:r w:rsidRPr="005A1EB0">
        <w:rPr>
          <w:rFonts w:hint="cs"/>
          <w:w w:val="100"/>
          <w:kern w:val="0"/>
          <w:rtl/>
        </w:rPr>
        <w:t>إنسانية أو مهينة</w:t>
      </w:r>
      <w:r w:rsidRPr="005A1EB0">
        <w:rPr>
          <w:b/>
          <w:w w:val="100"/>
          <w:kern w:val="0"/>
          <w:vertAlign w:val="superscript"/>
          <w:rtl/>
        </w:rPr>
        <w:footnoteReference w:customMarkFollows="1" w:id="94"/>
        <w:t>(94)</w:t>
      </w:r>
      <w:r w:rsidRPr="005A1EB0">
        <w:rPr>
          <w:rFonts w:hint="cs"/>
          <w:w w:val="100"/>
          <w:kern w:val="0"/>
          <w:rtl/>
        </w:rPr>
        <w:t>. ويُعتبر توفير المياه النظيفة وتأمين خدمات الصرف الصحي الفعالة والتخلص من النفايات وإعداد الطعام بطريقة نظيفة، والممارسات العامة المتعلقة بالنظافة، عناصر أساسية لتوفير بيئة نظيفة وصحية في السجون وتفادي انتشار الأمراض والسيطرة عليها</w:t>
      </w:r>
      <w:r w:rsidRPr="005A1EB0">
        <w:rPr>
          <w:b/>
          <w:w w:val="100"/>
          <w:kern w:val="0"/>
          <w:vertAlign w:val="superscript"/>
          <w:rtl/>
        </w:rPr>
        <w:footnoteReference w:customMarkFollows="1" w:id="95"/>
        <w:t>(95)</w:t>
      </w:r>
      <w:r w:rsidRPr="005A1EB0">
        <w:rPr>
          <w:rFonts w:hint="cs"/>
          <w:w w:val="100"/>
          <w:kern w:val="0"/>
          <w:rtl/>
        </w:rPr>
        <w:t>، ويمكن أن يؤثر غياب هذه العناصر تأثيراً سلبياً على الحق في الصحة</w:t>
      </w:r>
      <w:r w:rsidRPr="005A1EB0">
        <w:rPr>
          <w:b/>
          <w:w w:val="100"/>
          <w:kern w:val="0"/>
          <w:vertAlign w:val="superscript"/>
          <w:rtl/>
        </w:rPr>
        <w:footnoteReference w:customMarkFollows="1" w:id="96"/>
        <w:t>(96)</w:t>
      </w:r>
      <w:r w:rsidRPr="005A1EB0">
        <w:rPr>
          <w:rFonts w:hint="cs"/>
          <w:w w:val="100"/>
          <w:kern w:val="0"/>
          <w:rtl/>
        </w:rPr>
        <w:t xml:space="preserve"> بل الحق في الحياة</w:t>
      </w:r>
      <w:r w:rsidRPr="005A1EB0">
        <w:rPr>
          <w:b/>
          <w:w w:val="100"/>
          <w:kern w:val="0"/>
          <w:vertAlign w:val="superscript"/>
          <w:rtl/>
        </w:rPr>
        <w:footnoteReference w:customMarkFollows="1" w:id="97"/>
        <w:t>(97)</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6" w:name="_Toc430010373"/>
      <w:r w:rsidRPr="005A1EB0">
        <w:rPr>
          <w:rFonts w:hint="cs"/>
          <w:w w:val="100"/>
          <w:kern w:val="0"/>
          <w:rtl/>
        </w:rPr>
        <w:t>هاء-</w:t>
      </w:r>
      <w:r w:rsidRPr="005A1EB0">
        <w:rPr>
          <w:rFonts w:hint="cs"/>
          <w:w w:val="100"/>
          <w:kern w:val="0"/>
          <w:rtl/>
        </w:rPr>
        <w:tab/>
        <w:t>الحق في التعليم وإعادة التأهيل</w:t>
      </w:r>
      <w:bookmarkEnd w:id="16"/>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24-</w:t>
      </w:r>
      <w:r w:rsidRPr="005A1EB0">
        <w:rPr>
          <w:rFonts w:hint="cs"/>
          <w:w w:val="100"/>
          <w:kern w:val="0"/>
          <w:rtl/>
        </w:rPr>
        <w:tab/>
        <w:t>شدّد المقرر الخاص المعني بالحق في التعليم على أن المحتجزين يشكلون فئة مهمشة للغاية تواجه انتهاكات منتظمة لحقهم في التعليم، وأكّد الأثر السلبي لاكتظاظ السجون على ممارسة هذا الحق. ويلقي اكتظاظ السجون عبئاً ثقيلاً على الموارد المتوافرة لأن الطلب يفوق ما هو متاح من الموظفين والمرافق</w:t>
      </w:r>
      <w:r w:rsidRPr="005A1EB0">
        <w:rPr>
          <w:b/>
          <w:w w:val="100"/>
          <w:kern w:val="0"/>
          <w:vertAlign w:val="superscript"/>
          <w:rtl/>
        </w:rPr>
        <w:footnoteReference w:customMarkFollows="1" w:id="98"/>
        <w:t>(98)</w:t>
      </w:r>
      <w:r w:rsidRPr="005A1EB0">
        <w:rPr>
          <w:rFonts w:hint="cs"/>
          <w:w w:val="100"/>
          <w:kern w:val="0"/>
          <w:rtl/>
        </w:rPr>
        <w:t>. ومن الشائع أن يُحتجز الأشخاص الموجودون في أماكن الاحتجاز في زنازين مكتظة لمدة تصل إلى 23 ساعة يومياً من دون أن يمارسوا أي نشاط هادف خارج</w:t>
      </w:r>
      <w:r w:rsidRPr="005A1EB0">
        <w:rPr>
          <w:b/>
          <w:w w:val="100"/>
          <w:kern w:val="0"/>
          <w:vertAlign w:val="superscript"/>
          <w:rtl/>
        </w:rPr>
        <w:footnoteReference w:customMarkFollows="1" w:id="99"/>
        <w:t>(99)</w:t>
      </w:r>
      <w:r w:rsidRPr="005A1EB0">
        <w:rPr>
          <w:rFonts w:hint="cs"/>
          <w:w w:val="100"/>
          <w:kern w:val="0"/>
          <w:rtl/>
        </w:rPr>
        <w:t xml:space="preserve"> الزنزانة ودون أن تتاح لهم برامج تأهيلية</w:t>
      </w:r>
      <w:r w:rsidRPr="005A1EB0">
        <w:rPr>
          <w:b/>
          <w:w w:val="100"/>
          <w:kern w:val="0"/>
          <w:vertAlign w:val="superscript"/>
          <w:rtl/>
        </w:rPr>
        <w:footnoteReference w:customMarkFollows="1" w:id="100"/>
        <w:t>(100)</w:t>
      </w:r>
      <w:r w:rsidRPr="005A1EB0">
        <w:rPr>
          <w:rFonts w:hint="cs"/>
          <w:w w:val="100"/>
          <w:kern w:val="0"/>
          <w:rtl/>
        </w:rPr>
        <w:t xml:space="preserve"> وإمكانية لمتابعة تعليمهم</w:t>
      </w:r>
      <w:r w:rsidRPr="005A1EB0">
        <w:rPr>
          <w:b/>
          <w:w w:val="100"/>
          <w:kern w:val="0"/>
          <w:vertAlign w:val="superscript"/>
          <w:rtl/>
        </w:rPr>
        <w:footnoteReference w:customMarkFollows="1" w:id="101"/>
        <w:t>(101)</w:t>
      </w:r>
      <w:r w:rsidRPr="005A1EB0">
        <w:rPr>
          <w:rFonts w:hint="cs"/>
          <w:w w:val="100"/>
          <w:kern w:val="0"/>
          <w:rtl/>
        </w:rPr>
        <w:t xml:space="preserve"> أو المشاركة في برامج لتنمية المهارات وبرامج مهنية</w:t>
      </w:r>
      <w:r w:rsidRPr="005A1EB0">
        <w:rPr>
          <w:b/>
          <w:w w:val="100"/>
          <w:kern w:val="0"/>
          <w:vertAlign w:val="superscript"/>
          <w:rtl/>
        </w:rPr>
        <w:footnoteReference w:customMarkFollows="1" w:id="102"/>
        <w:t>(102)</w:t>
      </w:r>
      <w:r w:rsidRPr="005A1EB0">
        <w:rPr>
          <w:rFonts w:hint="cs"/>
          <w:w w:val="100"/>
          <w:kern w:val="0"/>
          <w:rtl/>
        </w:rPr>
        <w:t>.</w:t>
      </w:r>
    </w:p>
    <w:p w:rsidR="005A1EB0" w:rsidRPr="005A1EB0" w:rsidRDefault="005A1EB0" w:rsidP="005A1EB0">
      <w:pPr>
        <w:pStyle w:val="SingleTxt"/>
        <w:rPr>
          <w:w w:val="100"/>
          <w:kern w:val="0"/>
          <w:rtl/>
        </w:rPr>
      </w:pPr>
      <w:r w:rsidRPr="005A1EB0">
        <w:rPr>
          <w:rFonts w:hint="cs"/>
          <w:w w:val="100"/>
          <w:kern w:val="0"/>
          <w:rtl/>
        </w:rPr>
        <w:lastRenderedPageBreak/>
        <w:t>25-</w:t>
      </w:r>
      <w:r w:rsidRPr="005A1EB0">
        <w:rPr>
          <w:rFonts w:hint="cs"/>
          <w:w w:val="100"/>
          <w:kern w:val="0"/>
          <w:rtl/>
        </w:rPr>
        <w:tab/>
        <w:t>ونظراً إلى أهمية إعادة التأهيل بوصفها غاية شاملة من غايات السجن، يُعتبر الأثر السلبي لاكتظاظ السجون على توافر خدمات إعادة التأهيل مبعث قلق بوجه خاص</w:t>
      </w:r>
      <w:r w:rsidRPr="005A1EB0">
        <w:rPr>
          <w:b/>
          <w:w w:val="100"/>
          <w:kern w:val="0"/>
          <w:vertAlign w:val="superscript"/>
          <w:rtl/>
        </w:rPr>
        <w:footnoteReference w:customMarkFollows="1" w:id="103"/>
        <w:t>(103)</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7" w:name="_Toc430010374"/>
      <w:r w:rsidRPr="005A1EB0">
        <w:rPr>
          <w:rFonts w:hint="cs"/>
          <w:w w:val="100"/>
          <w:kern w:val="0"/>
          <w:rtl/>
        </w:rPr>
        <w:t>واو-</w:t>
      </w:r>
      <w:r w:rsidRPr="005A1EB0">
        <w:rPr>
          <w:rFonts w:hint="cs"/>
          <w:w w:val="100"/>
          <w:kern w:val="0"/>
          <w:rtl/>
        </w:rPr>
        <w:tab/>
        <w:t>حرية الدين أو المعتقد</w:t>
      </w:r>
      <w:bookmarkEnd w:id="17"/>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spacing w:val="-4"/>
          <w:w w:val="100"/>
          <w:kern w:val="0"/>
          <w:rtl/>
        </w:rPr>
      </w:pPr>
      <w:r w:rsidRPr="005A1EB0">
        <w:rPr>
          <w:rFonts w:hint="cs"/>
          <w:spacing w:val="-4"/>
          <w:w w:val="100"/>
          <w:kern w:val="0"/>
          <w:rtl/>
        </w:rPr>
        <w:t>26-</w:t>
      </w:r>
      <w:r w:rsidRPr="005A1EB0">
        <w:rPr>
          <w:rFonts w:hint="cs"/>
          <w:spacing w:val="-4"/>
          <w:w w:val="100"/>
          <w:kern w:val="0"/>
          <w:rtl/>
        </w:rPr>
        <w:tab/>
        <w:t>أكّد المقرر الخاص المعني بحرية الدين أو المعتقد أن لجميع الأشخاص الذين يُسلبون حريتهم الحق</w:t>
      </w:r>
      <w:r>
        <w:rPr>
          <w:rFonts w:hint="eastAsia"/>
          <w:spacing w:val="-4"/>
          <w:w w:val="100"/>
          <w:kern w:val="0"/>
          <w:rtl/>
        </w:rPr>
        <w:t> </w:t>
      </w:r>
      <w:r w:rsidRPr="005A1EB0">
        <w:rPr>
          <w:rFonts w:hint="cs"/>
          <w:spacing w:val="-4"/>
          <w:w w:val="100"/>
          <w:kern w:val="0"/>
          <w:rtl/>
        </w:rPr>
        <w:t>في حرية الدين أو المعتقد</w:t>
      </w:r>
      <w:r w:rsidRPr="005A1EB0">
        <w:rPr>
          <w:spacing w:val="-4"/>
          <w:w w:val="100"/>
          <w:kern w:val="0"/>
          <w:vertAlign w:val="superscript"/>
          <w:rtl/>
        </w:rPr>
        <w:footnoteReference w:customMarkFollows="1" w:id="104"/>
        <w:t>(104)</w:t>
      </w:r>
      <w:r w:rsidRPr="005A1EB0">
        <w:rPr>
          <w:rFonts w:hint="cs"/>
          <w:spacing w:val="-4"/>
          <w:w w:val="100"/>
          <w:kern w:val="0"/>
          <w:rtl/>
        </w:rPr>
        <w:t>. ويؤثر اكتظاظ السجون تأثيراً سلبياً على جميع جوانب الاحتجاز التي تؤثر بدورها سلباً على حرية الدين أو المعتقد المكفولة للمحتجزين. ولا</w:t>
      </w:r>
      <w:r w:rsidRPr="005A1EB0">
        <w:rPr>
          <w:rFonts w:hint="eastAsia"/>
          <w:spacing w:val="-4"/>
          <w:w w:val="100"/>
          <w:kern w:val="0"/>
          <w:rtl/>
        </w:rPr>
        <w:t> </w:t>
      </w:r>
      <w:r w:rsidRPr="005A1EB0">
        <w:rPr>
          <w:rFonts w:hint="cs"/>
          <w:spacing w:val="-4"/>
          <w:w w:val="100"/>
          <w:kern w:val="0"/>
          <w:rtl/>
        </w:rPr>
        <w:t>تُتاح مساحة كافية للممارسات الدينية</w:t>
      </w:r>
      <w:r w:rsidRPr="005A1EB0">
        <w:rPr>
          <w:spacing w:val="-4"/>
          <w:w w:val="100"/>
          <w:kern w:val="0"/>
          <w:vertAlign w:val="superscript"/>
          <w:rtl/>
        </w:rPr>
        <w:footnoteReference w:customMarkFollows="1" w:id="105"/>
        <w:t>(105)</w:t>
      </w:r>
      <w:r w:rsidRPr="005A1EB0">
        <w:rPr>
          <w:rFonts w:hint="cs"/>
          <w:spacing w:val="-4"/>
          <w:w w:val="100"/>
          <w:kern w:val="0"/>
          <w:rtl/>
        </w:rPr>
        <w:t>، وتُعوَّق إمكانية إقامة الشعائر الدينية في أيام محددة</w:t>
      </w:r>
      <w:r w:rsidRPr="005A1EB0">
        <w:rPr>
          <w:spacing w:val="-4"/>
          <w:w w:val="100"/>
          <w:kern w:val="0"/>
          <w:vertAlign w:val="superscript"/>
          <w:rtl/>
        </w:rPr>
        <w:footnoteReference w:customMarkFollows="1" w:id="106"/>
        <w:t>(106)</w:t>
      </w:r>
      <w:r w:rsidRPr="005A1EB0">
        <w:rPr>
          <w:rFonts w:hint="cs"/>
          <w:spacing w:val="-4"/>
          <w:w w:val="100"/>
          <w:kern w:val="0"/>
          <w:rtl/>
        </w:rPr>
        <w:t>، ولا تتوافر الكتب الدينية</w:t>
      </w:r>
      <w:r w:rsidRPr="005A1EB0">
        <w:rPr>
          <w:spacing w:val="-4"/>
          <w:w w:val="100"/>
          <w:kern w:val="0"/>
          <w:vertAlign w:val="superscript"/>
          <w:rtl/>
        </w:rPr>
        <w:footnoteReference w:customMarkFollows="1" w:id="107"/>
        <w:t>(107)</w:t>
      </w:r>
      <w:r w:rsidRPr="005A1EB0">
        <w:rPr>
          <w:rFonts w:hint="cs"/>
          <w:spacing w:val="-4"/>
          <w:w w:val="100"/>
          <w:kern w:val="0"/>
          <w:rtl/>
        </w:rPr>
        <w:t>، وثمة تقارير عن وجود مشاكل فيما يخص نوع الوجبات المناسبة لأتباع العقائد المختلفة</w:t>
      </w:r>
      <w:r w:rsidRPr="005A1EB0">
        <w:rPr>
          <w:spacing w:val="-4"/>
          <w:w w:val="100"/>
          <w:kern w:val="0"/>
          <w:vertAlign w:val="superscript"/>
          <w:rtl/>
        </w:rPr>
        <w:footnoteReference w:customMarkFollows="1" w:id="108"/>
        <w:t>(108)</w:t>
      </w:r>
      <w:r w:rsidRPr="005A1EB0">
        <w:rPr>
          <w:rFonts w:hint="cs"/>
          <w:spacing w:val="-4"/>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18" w:name="_Toc430010375"/>
      <w:r w:rsidRPr="005A1EB0">
        <w:rPr>
          <w:rFonts w:hint="cs"/>
          <w:w w:val="100"/>
          <w:kern w:val="0"/>
          <w:rtl/>
        </w:rPr>
        <w:t>زاي-</w:t>
      </w:r>
      <w:r w:rsidRPr="005A1EB0">
        <w:rPr>
          <w:rFonts w:hint="cs"/>
          <w:w w:val="100"/>
          <w:kern w:val="0"/>
          <w:rtl/>
        </w:rPr>
        <w:tab/>
        <w:t>الحق في الخصوصية والحياة الأسرية وحقوق أفراد الأسرة</w:t>
      </w:r>
      <w:bookmarkEnd w:id="18"/>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Pr>
      </w:pPr>
      <w:r w:rsidRPr="005A1EB0">
        <w:rPr>
          <w:rFonts w:hint="cs"/>
          <w:w w:val="100"/>
          <w:kern w:val="0"/>
          <w:rtl/>
        </w:rPr>
        <w:t>27-</w:t>
      </w:r>
      <w:r w:rsidRPr="005A1EB0">
        <w:rPr>
          <w:rFonts w:hint="cs"/>
          <w:w w:val="100"/>
          <w:kern w:val="0"/>
          <w:rtl/>
        </w:rPr>
        <w:tab/>
        <w:t>تعني ظاهرتا اللجوء المفرط إلى الإيداع في السجون واكتظاظ السجون أن الأشخاص المودعين رهن الاحتجاز يعيشون في محيط مزدحم، مما يؤدي إلى انتهاك جسيم لحقهم في الخصوصية</w:t>
      </w:r>
      <w:r w:rsidRPr="005A1EB0">
        <w:rPr>
          <w:b/>
          <w:w w:val="100"/>
          <w:kern w:val="0"/>
          <w:vertAlign w:val="superscript"/>
          <w:rtl/>
        </w:rPr>
        <w:footnoteReference w:customMarkFollows="1" w:id="109"/>
        <w:t>(109)</w:t>
      </w:r>
      <w:r w:rsidRPr="005A1EB0">
        <w:rPr>
          <w:rFonts w:hint="cs"/>
          <w:w w:val="100"/>
          <w:kern w:val="0"/>
          <w:rtl/>
        </w:rPr>
        <w:t>. وقد أشار الخبير المستقل المعني بحالة حقوق الإنسان في هايتي إلى أن اكتظاظ مرافق الاحتجاز شديد لدرجة أن مساحة العيش المخصصة لكل محتجز لا تتجاوز 40 سنتم</w:t>
      </w:r>
      <w:r w:rsidRPr="005A1EB0">
        <w:rPr>
          <w:rFonts w:hint="cs"/>
          <w:w w:val="100"/>
          <w:kern w:val="0"/>
          <w:vertAlign w:val="superscript"/>
          <w:rtl/>
        </w:rPr>
        <w:t>2</w:t>
      </w:r>
      <w:r w:rsidRPr="005A1EB0">
        <w:rPr>
          <w:b/>
          <w:w w:val="100"/>
          <w:kern w:val="0"/>
          <w:vertAlign w:val="superscript"/>
          <w:rtl/>
        </w:rPr>
        <w:footnoteReference w:customMarkFollows="1" w:id="110"/>
        <w:t>(110)</w:t>
      </w:r>
      <w:r w:rsidRPr="005A1EB0">
        <w:rPr>
          <w:rFonts w:hint="cs"/>
          <w:w w:val="100"/>
          <w:kern w:val="0"/>
          <w:rtl/>
        </w:rPr>
        <w:t xml:space="preserve">. وأبلغ المقرر الخاص المعني بمسألة التعذيب وغيره من ضروب المعاملة أو العقوبة القاسية أو اللاإنسانية أو المهينة عن حالات يضطر فيها السجناء إلى النوم منكمشين "رأساً إلى عقِب" في وضع يشبه </w:t>
      </w:r>
      <w:r w:rsidRPr="005A1EB0">
        <w:rPr>
          <w:rFonts w:hint="cs"/>
          <w:w w:val="100"/>
          <w:kern w:val="0"/>
          <w:rtl/>
          <w:lang w:bidi="ar"/>
        </w:rPr>
        <w:t>وضع الجنين، والتناوب على النوم، أو النوم واقفين، بسبب ضيق المساحة الناجم عن الاكتظاظ</w:t>
      </w:r>
      <w:r w:rsidRPr="005A1EB0">
        <w:rPr>
          <w:b/>
          <w:w w:val="100"/>
          <w:kern w:val="0"/>
          <w:vertAlign w:val="superscript"/>
          <w:rtl/>
          <w:lang w:bidi="ar"/>
        </w:rPr>
        <w:footnoteReference w:customMarkFollows="1" w:id="111"/>
        <w:t>(111)</w:t>
      </w:r>
      <w:r w:rsidRPr="005A1EB0">
        <w:rPr>
          <w:rFonts w:hint="cs"/>
          <w:w w:val="100"/>
          <w:kern w:val="0"/>
          <w:rtl/>
          <w:lang w:bidi="ar"/>
        </w:rPr>
        <w:t>. ويفتقر الكثير من المحتجزين أيضاً إلى الخصوصية حتى في تأدية وظائف أساسية مثل استخدام مرافق المراحيض</w:t>
      </w:r>
      <w:r w:rsidRPr="005A1EB0">
        <w:rPr>
          <w:b/>
          <w:w w:val="100"/>
          <w:kern w:val="0"/>
          <w:vertAlign w:val="superscript"/>
          <w:rtl/>
          <w:lang w:bidi="ar"/>
        </w:rPr>
        <w:footnoteReference w:customMarkFollows="1" w:id="112"/>
        <w:t>(112)</w:t>
      </w:r>
      <w:r w:rsidRPr="005A1EB0">
        <w:rPr>
          <w:rFonts w:hint="cs"/>
          <w:w w:val="100"/>
          <w:kern w:val="0"/>
          <w:rtl/>
          <w:lang w:bidi="ar"/>
        </w:rPr>
        <w:t>.</w:t>
      </w:r>
    </w:p>
    <w:p w:rsidR="005A1EB0" w:rsidRPr="005A1EB0" w:rsidRDefault="005A1EB0" w:rsidP="0086407C">
      <w:pPr>
        <w:pStyle w:val="SingleTxt"/>
        <w:rPr>
          <w:w w:val="100"/>
          <w:kern w:val="0"/>
          <w:rtl/>
        </w:rPr>
      </w:pPr>
      <w:r w:rsidRPr="005A1EB0">
        <w:rPr>
          <w:rFonts w:hint="cs"/>
          <w:w w:val="100"/>
          <w:kern w:val="0"/>
          <w:rtl/>
        </w:rPr>
        <w:lastRenderedPageBreak/>
        <w:t>28-</w:t>
      </w:r>
      <w:r w:rsidRPr="005A1EB0">
        <w:rPr>
          <w:rFonts w:hint="cs"/>
          <w:w w:val="100"/>
          <w:kern w:val="0"/>
          <w:rtl/>
        </w:rPr>
        <w:tab/>
        <w:t>وقد يؤدي الاكتظاظ إلى تقييد الحق في الاحتفاظ بعلاقة مع الأقارب لأن المرافق المخصصة عادةً لزيارات الأُسر قد يعاد تخصيصها لأغراض أخرى بسبب الاكتظاظ. وفضلاً عن ذلك، تلجأ بعض البلدان إلى ما يسمى ببرامج "إعادة التوازن" التي تقتضي نقل محتجزين إلى أماكن احتجاز أخرى من أجل التخفيف من مشاكل الاكتظاظ. ويؤدي ذلك إلى إبعاد المحتجزين عن أسرهم، مما</w:t>
      </w:r>
      <w:r w:rsidR="0086407C">
        <w:rPr>
          <w:rFonts w:hint="eastAsia"/>
          <w:w w:val="100"/>
          <w:kern w:val="0"/>
          <w:rtl/>
        </w:rPr>
        <w:t> </w:t>
      </w:r>
      <w:r w:rsidRPr="005A1EB0">
        <w:rPr>
          <w:rFonts w:hint="cs"/>
          <w:w w:val="100"/>
          <w:kern w:val="0"/>
          <w:rtl/>
        </w:rPr>
        <w:t>يؤثر سلباً على حقهم في تلقي الزيارات</w:t>
      </w:r>
      <w:r w:rsidRPr="005A1EB0">
        <w:rPr>
          <w:b/>
          <w:w w:val="100"/>
          <w:kern w:val="0"/>
          <w:vertAlign w:val="superscript"/>
          <w:rtl/>
        </w:rPr>
        <w:footnoteReference w:customMarkFollows="1" w:id="113"/>
        <w:t>(113)</w:t>
      </w:r>
      <w:r w:rsidRPr="005A1EB0">
        <w:rPr>
          <w:rFonts w:hint="cs"/>
          <w:w w:val="100"/>
          <w:kern w:val="0"/>
          <w:rtl/>
        </w:rPr>
        <w:t>. ولا يمس هذا الأمر بحقوق الإنسان المكفولة للمحتجزين فحسب وإنما بتلك الحقوق المكفولة لأفراد أسرهم أيضاً. وقد يكون لذلك أيضاً أثر</w:t>
      </w:r>
      <w:r w:rsidR="0086407C">
        <w:rPr>
          <w:rFonts w:hint="eastAsia"/>
          <w:w w:val="100"/>
          <w:kern w:val="0"/>
          <w:rtl/>
        </w:rPr>
        <w:t> </w:t>
      </w:r>
      <w:r w:rsidRPr="005A1EB0">
        <w:rPr>
          <w:rFonts w:hint="cs"/>
          <w:w w:val="100"/>
          <w:kern w:val="0"/>
          <w:rtl/>
        </w:rPr>
        <w:t>سلبي على الحق في محاكمة عادلة حيث يُنقل المحتجزون بعيداً عن المحاكم والخدمات القانونية.</w:t>
      </w:r>
    </w:p>
    <w:p w:rsidR="005A1EB0" w:rsidRPr="005A1EB0" w:rsidRDefault="005A1EB0" w:rsidP="005A1EB0">
      <w:pPr>
        <w:pStyle w:val="SingleTxt"/>
        <w:rPr>
          <w:w w:val="100"/>
          <w:kern w:val="0"/>
          <w:rtl/>
        </w:rPr>
      </w:pPr>
      <w:r w:rsidRPr="005A1EB0">
        <w:rPr>
          <w:rFonts w:hint="cs"/>
          <w:w w:val="100"/>
          <w:kern w:val="0"/>
          <w:rtl/>
        </w:rPr>
        <w:t>29-</w:t>
      </w:r>
      <w:r w:rsidRPr="005A1EB0">
        <w:rPr>
          <w:rFonts w:hint="cs"/>
          <w:w w:val="100"/>
          <w:kern w:val="0"/>
          <w:rtl/>
        </w:rPr>
        <w:tab/>
        <w:t>وعلاوة على ذلك، قد يكون للجوء المفرط إلى الإيداع في الحبس أثر سلبي على أفراد الأسر التي تفقد معيلها الرئيسي، مما يؤثر سلباً على المصلحة الفضلى للطفل المتأثر بالوضع أو الأطفال المتأثرين به</w:t>
      </w:r>
      <w:r w:rsidRPr="005A1EB0">
        <w:rPr>
          <w:b/>
          <w:w w:val="100"/>
          <w:kern w:val="0"/>
          <w:vertAlign w:val="superscript"/>
          <w:rtl/>
        </w:rPr>
        <w:footnoteReference w:customMarkFollows="1" w:id="114"/>
        <w:t>(114)</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tab/>
      </w:r>
      <w:bookmarkStart w:id="19" w:name="_Toc430010376"/>
      <w:r w:rsidRPr="005A1EB0">
        <w:rPr>
          <w:rFonts w:hint="cs"/>
          <w:w w:val="100"/>
          <w:kern w:val="0"/>
          <w:rtl/>
        </w:rPr>
        <w:t>حاء-</w:t>
      </w:r>
      <w:r w:rsidRPr="005A1EB0">
        <w:rPr>
          <w:rFonts w:hint="cs"/>
          <w:w w:val="100"/>
          <w:kern w:val="0"/>
          <w:rtl/>
        </w:rPr>
        <w:tab/>
        <w:t>الحق في المساواة وعدم التمييز</w:t>
      </w:r>
      <w:bookmarkEnd w:id="19"/>
    </w:p>
    <w:p w:rsidR="005A1EB0" w:rsidRPr="005A1EB0" w:rsidRDefault="005A1EB0" w:rsidP="005A1EB0">
      <w:pPr>
        <w:pStyle w:val="SingleTxt"/>
        <w:spacing w:after="0" w:line="120" w:lineRule="exact"/>
        <w:rPr>
          <w:w w:val="100"/>
          <w:kern w:val="0"/>
          <w:sz w:val="10"/>
          <w:rtl/>
        </w:rPr>
      </w:pPr>
    </w:p>
    <w:p w:rsidR="005A1EB0" w:rsidRPr="005A1EB0" w:rsidRDefault="005A1EB0" w:rsidP="007476B5">
      <w:pPr>
        <w:pStyle w:val="SingleTxt"/>
        <w:spacing w:line="380" w:lineRule="exact"/>
        <w:rPr>
          <w:w w:val="100"/>
          <w:kern w:val="0"/>
          <w:rtl/>
        </w:rPr>
      </w:pPr>
      <w:r w:rsidRPr="005A1EB0">
        <w:rPr>
          <w:rFonts w:hint="cs"/>
          <w:w w:val="100"/>
          <w:kern w:val="0"/>
          <w:rtl/>
        </w:rPr>
        <w:t>30-</w:t>
      </w:r>
      <w:r w:rsidRPr="005A1EB0">
        <w:rPr>
          <w:rFonts w:hint="cs"/>
          <w:w w:val="100"/>
          <w:kern w:val="0"/>
          <w:rtl/>
        </w:rPr>
        <w:tab/>
        <w:t>يُخلّف اللجوء المفرط إلى الإيداع في الحبس واكتظاظ أماكن الاحتجاز آثاراً سلبية بوجه خاص على أفراد فئات مثل النساء</w:t>
      </w:r>
      <w:r w:rsidRPr="005A1EB0">
        <w:rPr>
          <w:b/>
          <w:w w:val="100"/>
          <w:kern w:val="0"/>
          <w:vertAlign w:val="superscript"/>
          <w:rtl/>
        </w:rPr>
        <w:footnoteReference w:customMarkFollows="1" w:id="115"/>
        <w:t>(115)</w:t>
      </w:r>
      <w:r w:rsidRPr="005A1EB0">
        <w:rPr>
          <w:rFonts w:hint="cs"/>
          <w:w w:val="100"/>
          <w:kern w:val="0"/>
          <w:rtl/>
        </w:rPr>
        <w:t xml:space="preserve"> والأطفال</w:t>
      </w:r>
      <w:r w:rsidRPr="005A1EB0">
        <w:rPr>
          <w:b/>
          <w:w w:val="100"/>
          <w:kern w:val="0"/>
          <w:vertAlign w:val="superscript"/>
          <w:rtl/>
        </w:rPr>
        <w:footnoteReference w:customMarkFollows="1" w:id="116"/>
        <w:t>(116)</w:t>
      </w:r>
      <w:r w:rsidRPr="005A1EB0">
        <w:rPr>
          <w:rFonts w:hint="cs"/>
          <w:w w:val="100"/>
          <w:kern w:val="0"/>
          <w:rtl/>
        </w:rPr>
        <w:t xml:space="preserve"> والأشخاص ذوي الإعاقة</w:t>
      </w:r>
      <w:r w:rsidRPr="005A1EB0">
        <w:rPr>
          <w:b/>
          <w:w w:val="100"/>
          <w:kern w:val="0"/>
          <w:vertAlign w:val="superscript"/>
          <w:rtl/>
        </w:rPr>
        <w:footnoteReference w:customMarkFollows="1" w:id="117"/>
        <w:t>(117)</w:t>
      </w:r>
      <w:r w:rsidRPr="005A1EB0">
        <w:rPr>
          <w:rFonts w:hint="cs"/>
          <w:w w:val="100"/>
          <w:kern w:val="0"/>
          <w:rtl/>
        </w:rPr>
        <w:t xml:space="preserve"> والأقليات العرقية</w:t>
      </w:r>
      <w:r w:rsidRPr="005A1EB0">
        <w:rPr>
          <w:b/>
          <w:w w:val="100"/>
          <w:kern w:val="0"/>
          <w:vertAlign w:val="superscript"/>
          <w:rtl/>
        </w:rPr>
        <w:footnoteReference w:customMarkFollows="1" w:id="118"/>
        <w:t>(118)</w:t>
      </w:r>
      <w:r w:rsidRPr="005A1EB0">
        <w:rPr>
          <w:rFonts w:hint="cs"/>
          <w:w w:val="100"/>
          <w:kern w:val="0"/>
          <w:rtl/>
        </w:rPr>
        <w:t xml:space="preserve"> والشعوب الأصلية</w:t>
      </w:r>
      <w:r w:rsidRPr="005A1EB0">
        <w:rPr>
          <w:b/>
          <w:w w:val="100"/>
          <w:kern w:val="0"/>
          <w:vertAlign w:val="superscript"/>
          <w:rtl/>
        </w:rPr>
        <w:footnoteReference w:customMarkFollows="1" w:id="119"/>
        <w:t>(119)</w:t>
      </w:r>
      <w:r w:rsidRPr="005A1EB0">
        <w:rPr>
          <w:rFonts w:hint="cs"/>
          <w:w w:val="100"/>
          <w:kern w:val="0"/>
          <w:rtl/>
        </w:rPr>
        <w:t xml:space="preserve"> والأشخاص غير المواطنين. وبسبب استنفاد الموارد، لا يمكن تلبية</w:t>
      </w:r>
      <w:r w:rsidR="0086407C">
        <w:rPr>
          <w:rFonts w:hint="eastAsia"/>
          <w:w w:val="100"/>
          <w:kern w:val="0"/>
          <w:rtl/>
        </w:rPr>
        <w:t> </w:t>
      </w:r>
      <w:r w:rsidRPr="005A1EB0">
        <w:rPr>
          <w:rFonts w:hint="cs"/>
          <w:w w:val="100"/>
          <w:kern w:val="0"/>
          <w:rtl/>
        </w:rPr>
        <w:t>الاحتياجات المحدّدة للأشخاص المنتمين إلى هذه الفئات. ويُدّعى أن عدم الفصل بين المحتجزين</w:t>
      </w:r>
      <w:r w:rsidR="0086407C">
        <w:rPr>
          <w:rFonts w:hint="eastAsia"/>
          <w:w w:val="100"/>
          <w:kern w:val="0"/>
          <w:rtl/>
        </w:rPr>
        <w:t> </w:t>
      </w:r>
      <w:r w:rsidRPr="005A1EB0">
        <w:rPr>
          <w:rFonts w:hint="cs"/>
          <w:w w:val="100"/>
          <w:kern w:val="0"/>
          <w:rtl/>
        </w:rPr>
        <w:t>الذين ينتظرون المحاكمة وسائر المحتجزين</w:t>
      </w:r>
      <w:r w:rsidRPr="005A1EB0">
        <w:rPr>
          <w:b/>
          <w:w w:val="100"/>
          <w:kern w:val="0"/>
          <w:vertAlign w:val="superscript"/>
          <w:rtl/>
        </w:rPr>
        <w:footnoteReference w:customMarkFollows="1" w:id="120"/>
        <w:t>(120)</w:t>
      </w:r>
      <w:r w:rsidRPr="005A1EB0">
        <w:rPr>
          <w:rFonts w:hint="cs"/>
          <w:w w:val="100"/>
          <w:kern w:val="0"/>
          <w:rtl/>
        </w:rPr>
        <w:t>، وبين الكبار والأطفال</w:t>
      </w:r>
      <w:r w:rsidRPr="005A1EB0">
        <w:rPr>
          <w:b/>
          <w:w w:val="100"/>
          <w:kern w:val="0"/>
          <w:vertAlign w:val="superscript"/>
          <w:rtl/>
        </w:rPr>
        <w:footnoteReference w:customMarkFollows="1" w:id="121"/>
        <w:t>(121)</w:t>
      </w:r>
      <w:r w:rsidRPr="005A1EB0">
        <w:rPr>
          <w:rFonts w:hint="cs"/>
          <w:w w:val="100"/>
          <w:kern w:val="0"/>
          <w:rtl/>
        </w:rPr>
        <w:t xml:space="preserve">، وبين الرجال </w:t>
      </w:r>
      <w:r w:rsidRPr="005A1EB0">
        <w:rPr>
          <w:rFonts w:hint="cs"/>
          <w:w w:val="100"/>
          <w:kern w:val="0"/>
          <w:rtl/>
        </w:rPr>
        <w:lastRenderedPageBreak/>
        <w:t>والنساء</w:t>
      </w:r>
      <w:r w:rsidRPr="005A1EB0">
        <w:rPr>
          <w:b/>
          <w:w w:val="100"/>
          <w:kern w:val="0"/>
          <w:vertAlign w:val="superscript"/>
          <w:rtl/>
        </w:rPr>
        <w:footnoteReference w:customMarkFollows="1" w:id="122"/>
        <w:t>(122)</w:t>
      </w:r>
      <w:r w:rsidRPr="005A1EB0">
        <w:rPr>
          <w:rFonts w:hint="cs"/>
          <w:w w:val="100"/>
          <w:kern w:val="0"/>
          <w:rtl/>
        </w:rPr>
        <w:t>، قد تسبّب بحالات استغلال وعنف جنسي</w:t>
      </w:r>
      <w:r w:rsidRPr="005A1EB0">
        <w:rPr>
          <w:b/>
          <w:w w:val="100"/>
          <w:kern w:val="0"/>
          <w:vertAlign w:val="superscript"/>
          <w:rtl/>
        </w:rPr>
        <w:footnoteReference w:customMarkFollows="1" w:id="123"/>
        <w:t>(123)</w:t>
      </w:r>
      <w:r w:rsidRPr="005A1EB0">
        <w:rPr>
          <w:rFonts w:hint="cs"/>
          <w:w w:val="100"/>
          <w:kern w:val="0"/>
          <w:rtl/>
        </w:rPr>
        <w:t>. وتُغفل الاحتياجات المحددة للنساء والفتيات فيما يخص حقهن في الصحة</w:t>
      </w:r>
      <w:r w:rsidRPr="005A1EB0">
        <w:rPr>
          <w:b/>
          <w:w w:val="100"/>
          <w:kern w:val="0"/>
          <w:vertAlign w:val="superscript"/>
          <w:rtl/>
        </w:rPr>
        <w:footnoteReference w:customMarkFollows="1" w:id="124"/>
        <w:t>(124)</w:t>
      </w:r>
      <w:r w:rsidRPr="005A1EB0">
        <w:rPr>
          <w:rFonts w:hint="cs"/>
          <w:w w:val="100"/>
          <w:kern w:val="0"/>
          <w:rtl/>
        </w:rPr>
        <w:t>، لا سيما في حالة النساء الحوامل والفتيات والأمهات المرضعات</w:t>
      </w:r>
      <w:r w:rsidRPr="005A1EB0">
        <w:rPr>
          <w:b/>
          <w:w w:val="100"/>
          <w:kern w:val="0"/>
          <w:vertAlign w:val="superscript"/>
          <w:rtl/>
        </w:rPr>
        <w:footnoteReference w:customMarkFollows="1" w:id="125"/>
        <w:t>(125)</w:t>
      </w:r>
      <w:r w:rsidRPr="005A1EB0">
        <w:rPr>
          <w:rFonts w:hint="cs"/>
          <w:w w:val="100"/>
          <w:kern w:val="0"/>
          <w:rtl/>
        </w:rPr>
        <w:t>. وقد أوردت تقارير حالات يُحتجز فيها أطفال صغار مع أمهاتهم</w:t>
      </w:r>
      <w:r w:rsidRPr="005A1EB0">
        <w:rPr>
          <w:b/>
          <w:w w:val="100"/>
          <w:kern w:val="0"/>
          <w:vertAlign w:val="superscript"/>
          <w:rtl/>
        </w:rPr>
        <w:footnoteReference w:customMarkFollows="1" w:id="126"/>
        <w:t>(126)</w:t>
      </w:r>
      <w:r w:rsidRPr="005A1EB0">
        <w:rPr>
          <w:rFonts w:hint="cs"/>
          <w:w w:val="100"/>
          <w:kern w:val="0"/>
          <w:rtl/>
        </w:rPr>
        <w:t xml:space="preserve"> ولا تُراعى فيها الاحتياجات الخاصة للأطفال المودعين رهن الاحتجاز</w:t>
      </w:r>
      <w:r w:rsidRPr="005A1EB0">
        <w:rPr>
          <w:b/>
          <w:w w:val="100"/>
          <w:kern w:val="0"/>
          <w:vertAlign w:val="superscript"/>
          <w:rtl/>
        </w:rPr>
        <w:footnoteReference w:customMarkFollows="1" w:id="127"/>
        <w:t>(127)</w:t>
      </w:r>
      <w:r w:rsidRPr="005A1EB0">
        <w:rPr>
          <w:rFonts w:hint="cs"/>
          <w:w w:val="100"/>
          <w:kern w:val="0"/>
          <w:rtl/>
        </w:rPr>
        <w:t>. وجاء في تقارير أن أماكن الاحتجاز لا</w:t>
      </w:r>
      <w:r w:rsidR="007476B5">
        <w:rPr>
          <w:rFonts w:hint="eastAsia"/>
          <w:w w:val="100"/>
          <w:kern w:val="0"/>
          <w:rtl/>
        </w:rPr>
        <w:t> </w:t>
      </w:r>
      <w:r w:rsidRPr="005A1EB0">
        <w:rPr>
          <w:rFonts w:hint="cs"/>
          <w:w w:val="100"/>
          <w:kern w:val="0"/>
          <w:rtl/>
        </w:rPr>
        <w:t>تستخدم عدداً كافياً من الموظفات</w:t>
      </w:r>
      <w:r w:rsidRPr="005A1EB0">
        <w:rPr>
          <w:b/>
          <w:w w:val="100"/>
          <w:kern w:val="0"/>
          <w:vertAlign w:val="superscript"/>
          <w:rtl/>
        </w:rPr>
        <w:footnoteReference w:customMarkFollows="1" w:id="128"/>
        <w:t>(128)</w:t>
      </w:r>
      <w:r w:rsidRPr="005A1EB0">
        <w:rPr>
          <w:rFonts w:hint="cs"/>
          <w:w w:val="100"/>
          <w:kern w:val="0"/>
          <w:rtl/>
        </w:rPr>
        <w:t xml:space="preserve"> أو الموظفين المنتمين إلى الأقليات</w:t>
      </w:r>
      <w:r w:rsidRPr="005A1EB0">
        <w:rPr>
          <w:b/>
          <w:w w:val="100"/>
          <w:kern w:val="0"/>
          <w:vertAlign w:val="superscript"/>
          <w:rtl/>
        </w:rPr>
        <w:footnoteReference w:customMarkFollows="1" w:id="129"/>
        <w:t>(129)</w:t>
      </w:r>
      <w:r w:rsidRPr="005A1EB0">
        <w:rPr>
          <w:rFonts w:hint="cs"/>
          <w:w w:val="100"/>
          <w:kern w:val="0"/>
          <w:rtl/>
        </w:rPr>
        <w:t>، ما</w:t>
      </w:r>
      <w:r w:rsidRPr="005A1EB0">
        <w:rPr>
          <w:rFonts w:hint="eastAsia"/>
          <w:w w:val="100"/>
          <w:kern w:val="0"/>
          <w:rtl/>
        </w:rPr>
        <w:t> </w:t>
      </w:r>
      <w:r w:rsidRPr="005A1EB0">
        <w:rPr>
          <w:rFonts w:hint="cs"/>
          <w:w w:val="100"/>
          <w:kern w:val="0"/>
          <w:rtl/>
        </w:rPr>
        <w:t>يؤثر سلباً على النساء</w:t>
      </w:r>
      <w:r w:rsidRPr="005A1EB0">
        <w:rPr>
          <w:b/>
          <w:w w:val="100"/>
          <w:kern w:val="0"/>
          <w:vertAlign w:val="superscript"/>
          <w:rtl/>
        </w:rPr>
        <w:footnoteReference w:customMarkFollows="1" w:id="130"/>
        <w:t>(130)</w:t>
      </w:r>
      <w:r w:rsidRPr="005A1EB0">
        <w:rPr>
          <w:rFonts w:hint="cs"/>
          <w:w w:val="100"/>
          <w:kern w:val="0"/>
          <w:rtl/>
        </w:rPr>
        <w:t xml:space="preserve"> وعلى أفراد الأقليات الموجودين رهن الاحتجاز. وبالإضافة إلى ذلك، يُحتجز الأشخاص ذوو الإعاقة في بيئات أماكن يتعذّر عليهم الوصول إليها</w:t>
      </w:r>
      <w:r w:rsidRPr="005A1EB0">
        <w:rPr>
          <w:b/>
          <w:w w:val="100"/>
          <w:kern w:val="0"/>
          <w:vertAlign w:val="superscript"/>
          <w:rtl/>
        </w:rPr>
        <w:footnoteReference w:customMarkFollows="1" w:id="131"/>
        <w:t>(131)</w:t>
      </w:r>
      <w:r w:rsidRPr="005A1EB0">
        <w:rPr>
          <w:rFonts w:hint="cs"/>
          <w:w w:val="100"/>
          <w:kern w:val="0"/>
          <w:rtl/>
        </w:rPr>
        <w:t xml:space="preserve"> وفي كثير من الأحيان لا يُفصل السجناء المصابون بأمراض عقلية عن باقي السجناء</w:t>
      </w:r>
      <w:r w:rsidRPr="005A1EB0">
        <w:rPr>
          <w:b/>
          <w:w w:val="100"/>
          <w:kern w:val="0"/>
          <w:vertAlign w:val="superscript"/>
          <w:rtl/>
        </w:rPr>
        <w:footnoteReference w:customMarkFollows="1" w:id="132"/>
        <w:t>(132)</w:t>
      </w:r>
      <w:r w:rsidRPr="005A1EB0">
        <w:rPr>
          <w:rFonts w:hint="cs"/>
          <w:w w:val="100"/>
          <w:kern w:val="0"/>
          <w:rtl/>
        </w:rPr>
        <w:t xml:space="preserve">. </w:t>
      </w:r>
    </w:p>
    <w:p w:rsidR="005A1EB0" w:rsidRPr="005A1EB0" w:rsidRDefault="005A1EB0" w:rsidP="007476B5">
      <w:pPr>
        <w:pStyle w:val="SingleTxt"/>
        <w:spacing w:line="380" w:lineRule="exact"/>
        <w:rPr>
          <w:w w:val="100"/>
          <w:kern w:val="0"/>
          <w:rtl/>
        </w:rPr>
      </w:pPr>
      <w:r w:rsidRPr="005A1EB0">
        <w:rPr>
          <w:rFonts w:hint="cs"/>
          <w:w w:val="100"/>
          <w:kern w:val="0"/>
          <w:rtl/>
        </w:rPr>
        <w:t>31-</w:t>
      </w:r>
      <w:r w:rsidRPr="005A1EB0">
        <w:rPr>
          <w:rFonts w:hint="cs"/>
          <w:w w:val="100"/>
          <w:kern w:val="0"/>
          <w:rtl/>
        </w:rPr>
        <w:tab/>
        <w:t>كما أن اكتظاظ السجون وما ينطوي عليه من عدم قدرة على تلبية احتياجات أفراد هذه الفئات المودعين رهن الاحتجاز، يجعل هؤلاء الأفراد معرّضين بصفة خاصة للعنف</w:t>
      </w:r>
      <w:r w:rsidRPr="005A1EB0">
        <w:rPr>
          <w:b/>
          <w:w w:val="100"/>
          <w:kern w:val="0"/>
          <w:vertAlign w:val="superscript"/>
          <w:rtl/>
        </w:rPr>
        <w:footnoteReference w:customMarkFollows="1" w:id="133"/>
        <w:t>(133)</w:t>
      </w:r>
      <w:r w:rsidRPr="005A1EB0">
        <w:rPr>
          <w:rFonts w:hint="cs"/>
          <w:w w:val="100"/>
          <w:kern w:val="0"/>
          <w:rtl/>
        </w:rPr>
        <w:t>، وقد يؤدّي ذلك إلى انتهاكات لحقوق الإنسان المكفولة لهم، بما في ذلك حقهم في الحياة</w:t>
      </w:r>
      <w:r w:rsidRPr="005A1EB0">
        <w:rPr>
          <w:b/>
          <w:w w:val="100"/>
          <w:kern w:val="0"/>
          <w:vertAlign w:val="superscript"/>
          <w:rtl/>
        </w:rPr>
        <w:footnoteReference w:customMarkFollows="1" w:id="134"/>
        <w:t>(134)</w:t>
      </w:r>
      <w:r w:rsidRPr="005A1EB0">
        <w:rPr>
          <w:rFonts w:hint="cs"/>
          <w:w w:val="100"/>
          <w:kern w:val="0"/>
          <w:rtl/>
        </w:rPr>
        <w:t xml:space="preserve"> وفي توفير الأمن والسلامة لأفراد أسرهم الذين يمكن أن يقعوا ضحايا الابتزاز</w:t>
      </w:r>
      <w:r w:rsidRPr="005A1EB0">
        <w:rPr>
          <w:b/>
          <w:w w:val="100"/>
          <w:kern w:val="0"/>
          <w:vertAlign w:val="superscript"/>
          <w:rtl/>
        </w:rPr>
        <w:footnoteReference w:customMarkFollows="1" w:id="135"/>
        <w:t>(135)</w:t>
      </w:r>
      <w:r w:rsidRPr="005A1EB0">
        <w:rPr>
          <w:rFonts w:hint="cs"/>
          <w:w w:val="100"/>
          <w:kern w:val="0"/>
          <w:rtl/>
        </w:rPr>
        <w:t>. وفضلاً عن ذلك، لاحظ المقرر الخاص المعني بمسألة التعذيب وغيره من ضروب المعاملة أو العقوبة القاسية أو اللاإنسانية أو المهينة أن الأنشطة المجدية مثل العمل والتعليم والترفيه تستأثر بها في السجون المكتظة بشدة "قلّة قليلة من السجناء المحظوظين الذين "يتعاونون" و/أو يدفعون رسوم الفساد اللازمة"</w:t>
      </w:r>
      <w:r w:rsidRPr="005A1EB0">
        <w:rPr>
          <w:b/>
          <w:w w:val="100"/>
          <w:kern w:val="0"/>
          <w:vertAlign w:val="superscript"/>
          <w:rtl/>
        </w:rPr>
        <w:footnoteReference w:customMarkFollows="1" w:id="136"/>
        <w:t>(136)</w:t>
      </w:r>
      <w:r w:rsidRPr="005A1EB0">
        <w:rPr>
          <w:rFonts w:hint="cs"/>
          <w:w w:val="100"/>
          <w:kern w:val="0"/>
          <w:rtl/>
        </w:rPr>
        <w:t>.</w:t>
      </w: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w w:val="100"/>
          <w:kern w:val="0"/>
          <w:rtl/>
        </w:rPr>
        <w:lastRenderedPageBreak/>
        <w:tab/>
      </w:r>
      <w:bookmarkStart w:id="20" w:name="_Toc430010377"/>
      <w:r w:rsidRPr="005A1EB0">
        <w:rPr>
          <w:rFonts w:hint="cs"/>
          <w:w w:val="100"/>
          <w:kern w:val="0"/>
          <w:rtl/>
        </w:rPr>
        <w:t>ثالثاً-</w:t>
      </w:r>
      <w:r w:rsidRPr="005A1EB0">
        <w:rPr>
          <w:rFonts w:hint="cs"/>
          <w:w w:val="100"/>
          <w:kern w:val="0"/>
          <w:rtl/>
        </w:rPr>
        <w:tab/>
        <w:t>الأسباب الرئيسية للجوء المفرط إلى الإيداع في الحبس واكتظاظ السجون</w:t>
      </w:r>
      <w:bookmarkEnd w:id="20"/>
    </w:p>
    <w:p w:rsidR="005A1EB0" w:rsidRPr="005A1EB0" w:rsidRDefault="005A1EB0" w:rsidP="005A1EB0">
      <w:pPr>
        <w:pStyle w:val="SingleTxt"/>
        <w:spacing w:after="0" w:line="120" w:lineRule="exact"/>
        <w:rPr>
          <w:w w:val="100"/>
          <w:kern w:val="0"/>
          <w:sz w:val="10"/>
          <w:rtl/>
        </w:rPr>
      </w:pPr>
    </w:p>
    <w:p w:rsidR="005A1EB0" w:rsidRPr="005A1EB0" w:rsidRDefault="005A1EB0" w:rsidP="007476B5">
      <w:pPr>
        <w:pStyle w:val="SingleTxt"/>
        <w:spacing w:line="380" w:lineRule="exact"/>
        <w:rPr>
          <w:w w:val="100"/>
          <w:kern w:val="0"/>
          <w:rtl/>
        </w:rPr>
      </w:pPr>
      <w:r w:rsidRPr="005A1EB0">
        <w:rPr>
          <w:rFonts w:hint="cs"/>
          <w:w w:val="100"/>
          <w:kern w:val="0"/>
          <w:rtl/>
        </w:rPr>
        <w:t>32-</w:t>
      </w:r>
      <w:r w:rsidRPr="005A1EB0">
        <w:rPr>
          <w:rFonts w:hint="cs"/>
          <w:w w:val="100"/>
          <w:kern w:val="0"/>
          <w:rtl/>
        </w:rPr>
        <w:tab/>
        <w:t>يُعزى ال</w:t>
      </w:r>
      <w:r w:rsidRPr="005A1EB0">
        <w:rPr>
          <w:w w:val="100"/>
          <w:kern w:val="0"/>
          <w:rtl/>
        </w:rPr>
        <w:t>لجوء المفرط إلى الإيداع في الحبس واكتظاظ السجون</w:t>
      </w:r>
      <w:r w:rsidRPr="005A1EB0">
        <w:rPr>
          <w:rFonts w:hint="cs"/>
          <w:w w:val="100"/>
          <w:kern w:val="0"/>
          <w:rtl/>
        </w:rPr>
        <w:t xml:space="preserve"> إلى جملة أسباب رئيسية منها أوجه القصور التي تشوب نظام العدالة الجنائية؛ واللجوء المفرط إلى الاحتجاز السابق للمحاكمة؛ وعدم وجود بدائل للاحتجاز أو عدم إدارة هذه البدائل بشكل سليم؛ وبعض السياسات المتَّبعة لمعاقبة الجناة؛ وقلة الرقابة في أماكن الاحتجاز.</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tab/>
      </w:r>
      <w:bookmarkStart w:id="21" w:name="_Toc430010378"/>
      <w:r w:rsidRPr="005A1EB0">
        <w:rPr>
          <w:rFonts w:hint="cs"/>
          <w:w w:val="100"/>
          <w:kern w:val="0"/>
          <w:rtl/>
        </w:rPr>
        <w:t>ألف-</w:t>
      </w:r>
      <w:r w:rsidRPr="005A1EB0">
        <w:rPr>
          <w:rFonts w:hint="cs"/>
          <w:w w:val="100"/>
          <w:kern w:val="0"/>
          <w:rtl/>
        </w:rPr>
        <w:tab/>
        <w:t>أوجه القصور في نظام العدالة الجنائية</w:t>
      </w:r>
      <w:bookmarkEnd w:id="21"/>
    </w:p>
    <w:p w:rsidR="005A1EB0" w:rsidRPr="005A1EB0" w:rsidRDefault="005A1EB0" w:rsidP="005A1EB0">
      <w:pPr>
        <w:pStyle w:val="SingleTxt"/>
        <w:spacing w:after="0" w:line="120" w:lineRule="exact"/>
        <w:rPr>
          <w:w w:val="100"/>
          <w:kern w:val="0"/>
          <w:sz w:val="10"/>
          <w:rtl/>
        </w:rPr>
      </w:pPr>
    </w:p>
    <w:p w:rsidR="005A1EB0" w:rsidRPr="007476B5" w:rsidRDefault="005A1EB0" w:rsidP="007476B5">
      <w:pPr>
        <w:pStyle w:val="SingleTxt"/>
        <w:spacing w:line="380" w:lineRule="exact"/>
        <w:rPr>
          <w:w w:val="100"/>
          <w:kern w:val="0"/>
          <w:rtl/>
        </w:rPr>
      </w:pPr>
      <w:r w:rsidRPr="007476B5">
        <w:rPr>
          <w:rFonts w:hint="cs"/>
          <w:w w:val="100"/>
          <w:kern w:val="0"/>
          <w:rtl/>
        </w:rPr>
        <w:t>33-</w:t>
      </w:r>
      <w:r w:rsidRPr="007476B5">
        <w:rPr>
          <w:rFonts w:hint="cs"/>
          <w:w w:val="100"/>
          <w:kern w:val="0"/>
          <w:rtl/>
        </w:rPr>
        <w:tab/>
        <w:t>أشارت اللجنة الأوروبية لمنع التعذيب إلى أنها وجدت معدلات عالية من الإيداع في الحبس واكتظاظاً شديداً في السجون ناجماً عن ذلك، وقالت إن "إقدام الدولة على حبس هذا العدد الغفير من مواطنيها لا يمكن أن يُعلَّل على نحو مقنع بوجود معدل مرتفع من الجرائم؛ بل لا</w:t>
      </w:r>
      <w:r w:rsidRPr="007476B5">
        <w:rPr>
          <w:rFonts w:hint="eastAsia"/>
          <w:w w:val="100"/>
          <w:kern w:val="0"/>
          <w:rtl/>
        </w:rPr>
        <w:t> </w:t>
      </w:r>
      <w:r w:rsidRPr="007476B5">
        <w:rPr>
          <w:rFonts w:hint="cs"/>
          <w:w w:val="100"/>
          <w:kern w:val="0"/>
          <w:rtl/>
        </w:rPr>
        <w:t>شكّ في أن المواقف العامة لموظفي وكالات إنفاذ القانون والجهاز القضائي مسؤولة جزئياً عن هذا الوضع"</w:t>
      </w:r>
      <w:r w:rsidRPr="007476B5">
        <w:rPr>
          <w:b/>
          <w:w w:val="100"/>
          <w:kern w:val="0"/>
          <w:vertAlign w:val="superscript"/>
          <w:rtl/>
        </w:rPr>
        <w:footnoteReference w:customMarkFollows="1" w:id="137"/>
        <w:t>(137)</w:t>
      </w:r>
      <w:r w:rsidRPr="007476B5">
        <w:rPr>
          <w:rFonts w:hint="cs"/>
          <w:w w:val="100"/>
          <w:kern w:val="0"/>
          <w:rtl/>
        </w:rPr>
        <w:t>. فلا بدّ من وجود نظام فعال للعدالة الجنائية</w:t>
      </w:r>
      <w:r w:rsidRPr="007476B5">
        <w:rPr>
          <w:b/>
          <w:w w:val="100"/>
          <w:kern w:val="0"/>
          <w:vertAlign w:val="superscript"/>
          <w:rtl/>
        </w:rPr>
        <w:footnoteReference w:customMarkFollows="1" w:id="138"/>
        <w:t>(138)</w:t>
      </w:r>
      <w:r w:rsidRPr="007476B5">
        <w:rPr>
          <w:rFonts w:hint="cs"/>
          <w:w w:val="100"/>
          <w:kern w:val="0"/>
          <w:rtl/>
        </w:rPr>
        <w:t xml:space="preserve"> يتعاون مع جميع الجهات الفاعلة فيه - بما فيها الشرطة والنيابة العامة ومحامو الدفاع والجهاز القضائي - ويعمل بكفاءة ووفقاً لمبدأ سيادة القانون ومقتضيات القانون الدولي لحقوق الإنسان من أجل كفالة معالجة قضايا الأشخاص الذين يتصلون بهذا النظام معالجةً فعالةً ووفقاً لأحكام القانون. ولكن نظم العدالة الجنائية في شتى أنحاء العالم تواجه في الواقع تحديات وأوجه قصور رئيسية. </w:t>
      </w:r>
    </w:p>
    <w:p w:rsidR="005A1EB0" w:rsidRPr="007476B5" w:rsidRDefault="005A1EB0" w:rsidP="00A14195">
      <w:pPr>
        <w:pStyle w:val="SingleTxt"/>
        <w:spacing w:line="380" w:lineRule="exact"/>
        <w:rPr>
          <w:spacing w:val="4"/>
          <w:w w:val="100"/>
          <w:kern w:val="0"/>
          <w:rtl/>
        </w:rPr>
      </w:pPr>
      <w:r w:rsidRPr="007476B5">
        <w:rPr>
          <w:rFonts w:hint="cs"/>
          <w:spacing w:val="4"/>
          <w:w w:val="100"/>
          <w:kern w:val="0"/>
          <w:rtl/>
        </w:rPr>
        <w:t>34-</w:t>
      </w:r>
      <w:r w:rsidRPr="007476B5">
        <w:rPr>
          <w:rFonts w:hint="cs"/>
          <w:spacing w:val="4"/>
          <w:w w:val="100"/>
          <w:kern w:val="0"/>
          <w:rtl/>
        </w:rPr>
        <w:tab/>
        <w:t>وقد أدى ما يُسمّى "</w:t>
      </w:r>
      <w:r w:rsidRPr="007476B5">
        <w:rPr>
          <w:spacing w:val="4"/>
          <w:w w:val="100"/>
          <w:kern w:val="0"/>
          <w:rtl/>
        </w:rPr>
        <w:t>سياسات عدم التسامح</w:t>
      </w:r>
      <w:r w:rsidRPr="007476B5">
        <w:rPr>
          <w:rFonts w:hint="cs"/>
          <w:spacing w:val="4"/>
          <w:w w:val="100"/>
          <w:kern w:val="0"/>
          <w:rtl/>
        </w:rPr>
        <w:t xml:space="preserve"> مطلقاً" المعتمدة في دول عديدة إلى حدوث زيادة كبيرة في عمليات التوقيف</w:t>
      </w:r>
      <w:r w:rsidRPr="007476B5">
        <w:rPr>
          <w:b/>
          <w:spacing w:val="4"/>
          <w:w w:val="100"/>
          <w:kern w:val="0"/>
          <w:vertAlign w:val="superscript"/>
          <w:rtl/>
        </w:rPr>
        <w:footnoteReference w:customMarkFollows="1" w:id="139"/>
        <w:t>(139)</w:t>
      </w:r>
      <w:r w:rsidRPr="007476B5">
        <w:rPr>
          <w:rFonts w:hint="cs"/>
          <w:spacing w:val="4"/>
          <w:w w:val="100"/>
          <w:kern w:val="0"/>
          <w:rtl/>
        </w:rPr>
        <w:t>، حتى فيما يخص الجنح البسيطة مثل السُكْر أو</w:t>
      </w:r>
      <w:r w:rsidR="007476B5">
        <w:rPr>
          <w:rFonts w:hint="eastAsia"/>
          <w:spacing w:val="4"/>
          <w:w w:val="100"/>
          <w:kern w:val="0"/>
          <w:rtl/>
        </w:rPr>
        <w:t> </w:t>
      </w:r>
      <w:r w:rsidRPr="007476B5">
        <w:rPr>
          <w:rFonts w:hint="cs"/>
          <w:spacing w:val="4"/>
          <w:w w:val="100"/>
          <w:kern w:val="0"/>
          <w:rtl/>
        </w:rPr>
        <w:t>عبور السكة الحديدية أو سرقة معروضات المتاجر</w:t>
      </w:r>
      <w:r w:rsidRPr="007476B5">
        <w:rPr>
          <w:b/>
          <w:spacing w:val="4"/>
          <w:w w:val="100"/>
          <w:kern w:val="0"/>
          <w:vertAlign w:val="superscript"/>
          <w:rtl/>
        </w:rPr>
        <w:footnoteReference w:customMarkFollows="1" w:id="140"/>
        <w:t>(140)</w:t>
      </w:r>
      <w:r w:rsidRPr="007476B5">
        <w:rPr>
          <w:rFonts w:hint="cs"/>
          <w:spacing w:val="4"/>
          <w:w w:val="100"/>
          <w:kern w:val="0"/>
          <w:rtl/>
        </w:rPr>
        <w:t>، وإلى إيداع أشخاص في الحبس</w:t>
      </w:r>
      <w:r w:rsidR="00A14195">
        <w:rPr>
          <w:rFonts w:hint="eastAsia"/>
          <w:spacing w:val="4"/>
          <w:w w:val="100"/>
          <w:kern w:val="0"/>
          <w:rtl/>
        </w:rPr>
        <w:t> </w:t>
      </w:r>
      <w:r w:rsidRPr="007476B5">
        <w:rPr>
          <w:rFonts w:hint="cs"/>
          <w:spacing w:val="4"/>
          <w:w w:val="100"/>
          <w:kern w:val="0"/>
          <w:rtl/>
        </w:rPr>
        <w:t>الاحتياطي لفترات طويلة</w:t>
      </w:r>
      <w:r w:rsidRPr="007476B5">
        <w:rPr>
          <w:b/>
          <w:spacing w:val="4"/>
          <w:w w:val="100"/>
          <w:kern w:val="0"/>
          <w:vertAlign w:val="superscript"/>
          <w:rtl/>
        </w:rPr>
        <w:footnoteReference w:customMarkFollows="1" w:id="141"/>
        <w:t>(141)</w:t>
      </w:r>
      <w:r w:rsidRPr="007476B5">
        <w:rPr>
          <w:rFonts w:hint="cs"/>
          <w:spacing w:val="4"/>
          <w:w w:val="100"/>
          <w:kern w:val="0"/>
          <w:rtl/>
        </w:rPr>
        <w:t>. وعلاوة على ذلك، أفادت تقارير أن بعض الممارسات، مثل مكافأة أفراد الشرطة على عمليات التوقيف</w:t>
      </w:r>
      <w:r w:rsidRPr="007476B5">
        <w:rPr>
          <w:b/>
          <w:spacing w:val="4"/>
          <w:w w:val="100"/>
          <w:kern w:val="0"/>
          <w:vertAlign w:val="superscript"/>
          <w:rtl/>
        </w:rPr>
        <w:footnoteReference w:customMarkFollows="1" w:id="142"/>
        <w:t>(142)</w:t>
      </w:r>
      <w:r w:rsidRPr="007476B5">
        <w:rPr>
          <w:rFonts w:hint="cs"/>
          <w:spacing w:val="4"/>
          <w:w w:val="100"/>
          <w:kern w:val="0"/>
          <w:rtl/>
        </w:rPr>
        <w:t xml:space="preserve">، والتشريعات والقواعد واللوائح </w:t>
      </w:r>
      <w:r w:rsidRPr="007476B5">
        <w:rPr>
          <w:rFonts w:hint="cs"/>
          <w:spacing w:val="4"/>
          <w:w w:val="100"/>
          <w:kern w:val="0"/>
          <w:rtl/>
        </w:rPr>
        <w:lastRenderedPageBreak/>
        <w:t>الفضفاضة</w:t>
      </w:r>
      <w:r w:rsidRPr="007476B5">
        <w:rPr>
          <w:b/>
          <w:spacing w:val="4"/>
          <w:w w:val="100"/>
          <w:kern w:val="0"/>
          <w:vertAlign w:val="superscript"/>
          <w:rtl/>
        </w:rPr>
        <w:footnoteReference w:customMarkFollows="1" w:id="143"/>
        <w:t>(143)</w:t>
      </w:r>
      <w:r w:rsidRPr="007476B5">
        <w:rPr>
          <w:rFonts w:hint="cs"/>
          <w:spacing w:val="4"/>
          <w:w w:val="100"/>
          <w:kern w:val="0"/>
          <w:rtl/>
        </w:rPr>
        <w:t xml:space="preserve">، </w:t>
      </w:r>
      <w:r w:rsidRPr="007476B5">
        <w:rPr>
          <w:rFonts w:hint="cs"/>
          <w:w w:val="100"/>
          <w:kern w:val="0"/>
          <w:rtl/>
        </w:rPr>
        <w:t xml:space="preserve">قد أدّت إلى عمليات توقيف تعسفية. وساهم هذا الوضع بدوره، وإلى حد كبير، </w:t>
      </w:r>
      <w:r w:rsidRPr="007476B5">
        <w:rPr>
          <w:rFonts w:hint="cs"/>
          <w:spacing w:val="4"/>
          <w:w w:val="100"/>
          <w:kern w:val="0"/>
          <w:rtl/>
        </w:rPr>
        <w:t>في ظاهرة اللجوء المفرط إلى ا</w:t>
      </w:r>
      <w:r w:rsidR="007476B5">
        <w:rPr>
          <w:rFonts w:hint="cs"/>
          <w:spacing w:val="4"/>
          <w:w w:val="100"/>
          <w:kern w:val="0"/>
          <w:rtl/>
        </w:rPr>
        <w:t>لإيداع في الحبس واكتظاظ السجون.</w:t>
      </w:r>
    </w:p>
    <w:p w:rsidR="005A1EB0" w:rsidRPr="007476B5" w:rsidRDefault="005A1EB0" w:rsidP="005A1EB0">
      <w:pPr>
        <w:pStyle w:val="SingleTxt"/>
        <w:rPr>
          <w:spacing w:val="-2"/>
          <w:w w:val="100"/>
          <w:kern w:val="0"/>
          <w:rtl/>
        </w:rPr>
      </w:pPr>
      <w:r w:rsidRPr="007476B5">
        <w:rPr>
          <w:rFonts w:hint="cs"/>
          <w:spacing w:val="-2"/>
          <w:w w:val="100"/>
          <w:kern w:val="0"/>
          <w:rtl/>
        </w:rPr>
        <w:t>35-</w:t>
      </w:r>
      <w:r w:rsidRPr="007476B5">
        <w:rPr>
          <w:rFonts w:hint="cs"/>
          <w:spacing w:val="-2"/>
          <w:w w:val="100"/>
          <w:kern w:val="0"/>
          <w:rtl/>
        </w:rPr>
        <w:tab/>
        <w:t>وبعد إجراء عملية التوقيف، تُعتبر الفعالية التي تبديها السلطات في معالجة قضية كل من المحتجزين عنصراً حاسماً للحد من اكتظاظ السجون واللجوء المفرط إلى الإيداع في الحبس. وكثيراً ما تمدَّد فترة الاحتجاز السابق للمحاكمة بسبب عدم فعالية تحقيقات الشرطة، وفقدان ملفات القضايا، وقلة القضاة. وتعاني دول كثيرة من تراكم العدد الهائل للقضايا ولا سيما تلك المنطوية على احتجاز سابق للمحاكمة، وهي بأمس الحاجة إلى تعزيز قدرات الجهاز القضائي على معالجة هذه القضايا</w:t>
      </w:r>
      <w:r w:rsidRPr="007476B5">
        <w:rPr>
          <w:b/>
          <w:spacing w:val="-2"/>
          <w:w w:val="100"/>
          <w:kern w:val="0"/>
          <w:vertAlign w:val="superscript"/>
          <w:rtl/>
        </w:rPr>
        <w:footnoteReference w:customMarkFollows="1" w:id="144"/>
        <w:t>(144)</w:t>
      </w:r>
      <w:r w:rsidRPr="007476B5">
        <w:rPr>
          <w:rFonts w:hint="cs"/>
          <w:spacing w:val="-2"/>
          <w:w w:val="100"/>
          <w:kern w:val="0"/>
          <w:rtl/>
        </w:rPr>
        <w:t>. وبالإضافة إلى ذلك، لا تُتخذ تدابير بديلة عن الإفراج المشروط ولا تُطبَّق نظم بديلة عنه بسبب نقص الموارد والموظفين المدرّبين</w:t>
      </w:r>
      <w:r w:rsidRPr="007476B5">
        <w:rPr>
          <w:b/>
          <w:spacing w:val="-2"/>
          <w:w w:val="100"/>
          <w:kern w:val="0"/>
          <w:vertAlign w:val="superscript"/>
          <w:rtl/>
        </w:rPr>
        <w:footnoteReference w:customMarkFollows="1" w:id="145"/>
        <w:t>(145)</w:t>
      </w:r>
      <w:r w:rsidRPr="007476B5">
        <w:rPr>
          <w:rFonts w:hint="cs"/>
          <w:spacing w:val="-2"/>
          <w:w w:val="100"/>
          <w:kern w:val="0"/>
          <w:rtl/>
        </w:rPr>
        <w:t>. كما أن كفاءة نظام العدالة الجنائية تتأثر سلباً بنظم الاتصال غير المناسبة فيما بين المدعين والمحامين العامين والقضاة</w:t>
      </w:r>
      <w:r w:rsidRPr="007476B5">
        <w:rPr>
          <w:b/>
          <w:spacing w:val="-2"/>
          <w:w w:val="100"/>
          <w:kern w:val="0"/>
          <w:vertAlign w:val="superscript"/>
          <w:rtl/>
        </w:rPr>
        <w:footnoteReference w:customMarkFollows="1" w:id="146"/>
        <w:t>(146)</w:t>
      </w:r>
      <w:r w:rsidRPr="007476B5">
        <w:rPr>
          <w:rFonts w:hint="cs"/>
          <w:spacing w:val="-2"/>
          <w:w w:val="100"/>
          <w:kern w:val="0"/>
          <w:rtl/>
        </w:rPr>
        <w:t>. ثم إن أوجه القصور هذه التي تشوب نظام العدالة الجنائية تعني أيضاً أن وضع الأشخاص رهن الاحتجاز لا</w:t>
      </w:r>
      <w:r w:rsidRPr="007476B5">
        <w:rPr>
          <w:rFonts w:hint="eastAsia"/>
          <w:spacing w:val="-2"/>
          <w:w w:val="100"/>
          <w:kern w:val="0"/>
          <w:rtl/>
        </w:rPr>
        <w:t> </w:t>
      </w:r>
      <w:r w:rsidRPr="007476B5">
        <w:rPr>
          <w:rFonts w:hint="cs"/>
          <w:spacing w:val="-2"/>
          <w:w w:val="100"/>
          <w:kern w:val="0"/>
          <w:rtl/>
        </w:rPr>
        <w:t>يخضع للمراجعة على فترات منتظمة</w:t>
      </w:r>
      <w:r w:rsidRPr="007476B5">
        <w:rPr>
          <w:b/>
          <w:spacing w:val="-2"/>
          <w:w w:val="100"/>
          <w:kern w:val="0"/>
          <w:vertAlign w:val="superscript"/>
          <w:rtl/>
        </w:rPr>
        <w:footnoteReference w:customMarkFollows="1" w:id="147"/>
        <w:t>(147)</w:t>
      </w:r>
      <w:r w:rsidRPr="007476B5">
        <w:rPr>
          <w:rFonts w:hint="cs"/>
          <w:spacing w:val="-2"/>
          <w:w w:val="100"/>
          <w:kern w:val="0"/>
          <w:rtl/>
        </w:rPr>
        <w:t>. وفضلاً عن ذلك، تفتقر دول عديدة إلى برامج شاملة ومزوَّدة بموارد كافية لتقديم المساعدة القانونية.</w:t>
      </w:r>
    </w:p>
    <w:p w:rsidR="005A1EB0" w:rsidRPr="005A1EB0" w:rsidRDefault="005A1EB0" w:rsidP="005A1EB0">
      <w:pPr>
        <w:pStyle w:val="SingleTxt"/>
        <w:rPr>
          <w:w w:val="100"/>
          <w:kern w:val="0"/>
          <w:rtl/>
        </w:rPr>
      </w:pPr>
      <w:r w:rsidRPr="005A1EB0">
        <w:rPr>
          <w:rFonts w:hint="cs"/>
          <w:w w:val="100"/>
          <w:kern w:val="0"/>
          <w:rtl/>
        </w:rPr>
        <w:t>36-</w:t>
      </w:r>
      <w:r w:rsidRPr="005A1EB0">
        <w:rPr>
          <w:rFonts w:hint="cs"/>
          <w:w w:val="100"/>
          <w:kern w:val="0"/>
          <w:rtl/>
        </w:rPr>
        <w:tab/>
        <w:t>وعلاوة على ذلك، يظلّ العديد من الأشخاص رهنَ الاحتجاز بسبب عدم وجود سجلات مركزية ونظام فعال لرصد مدة الاحتجاز السابق للمحاكمة أو التقدم المحرز في تنفيذ العقوبة</w:t>
      </w:r>
      <w:r w:rsidRPr="005A1EB0">
        <w:rPr>
          <w:b/>
          <w:w w:val="100"/>
          <w:kern w:val="0"/>
          <w:vertAlign w:val="superscript"/>
          <w:rtl/>
        </w:rPr>
        <w:footnoteReference w:customMarkFollows="1" w:id="148"/>
        <w:t>(148)</w:t>
      </w:r>
      <w:r w:rsidRPr="005A1EB0">
        <w:rPr>
          <w:rFonts w:hint="cs"/>
          <w:w w:val="100"/>
          <w:kern w:val="0"/>
          <w:rtl/>
        </w:rPr>
        <w:t>. وبسبب عدم وجود هذا النوع من السجلات وضعف الاتصال بين الجهات الفاعلة في نظام العدالة الجنائية</w:t>
      </w:r>
      <w:r w:rsidRPr="005A1EB0">
        <w:rPr>
          <w:b/>
          <w:w w:val="100"/>
          <w:kern w:val="0"/>
          <w:vertAlign w:val="superscript"/>
          <w:rtl/>
        </w:rPr>
        <w:footnoteReference w:customMarkFollows="1" w:id="149"/>
        <w:t>(149)</w:t>
      </w:r>
      <w:r w:rsidRPr="005A1EB0">
        <w:rPr>
          <w:rFonts w:hint="cs"/>
          <w:w w:val="100"/>
          <w:kern w:val="0"/>
          <w:rtl/>
        </w:rPr>
        <w:t>، فإن السلطات تفتقر ببساطة إلى المعرفة الدقيقة التي تمكّنها من تحديد من حان موعد الإفراج عنه. ولا يُطيل ذلك فترةَ الاحتجاز السابق للمحاكمة فحسب بل إنه يُبقي أيضاً الذين أتموّا بالفعل فترة عقوبتهم في الحبس، مما يساهم في اكتظاظ السجون</w:t>
      </w:r>
      <w:r w:rsidRPr="005A1EB0">
        <w:rPr>
          <w:b/>
          <w:w w:val="100"/>
          <w:kern w:val="0"/>
          <w:vertAlign w:val="superscript"/>
          <w:rtl/>
        </w:rPr>
        <w:footnoteReference w:customMarkFollows="1" w:id="150"/>
        <w:t>(150)</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lastRenderedPageBreak/>
        <w:tab/>
      </w:r>
      <w:bookmarkStart w:id="22" w:name="_Toc430010379"/>
      <w:r w:rsidRPr="005A1EB0">
        <w:rPr>
          <w:rFonts w:hint="cs"/>
          <w:w w:val="100"/>
          <w:kern w:val="0"/>
          <w:rtl/>
        </w:rPr>
        <w:t>باء-</w:t>
      </w:r>
      <w:r w:rsidRPr="005A1EB0">
        <w:rPr>
          <w:rFonts w:hint="cs"/>
          <w:w w:val="100"/>
          <w:kern w:val="0"/>
          <w:rtl/>
        </w:rPr>
        <w:tab/>
        <w:t>اللجوء المفرط إلى الاحتجاز السابق للمحاكمة</w:t>
      </w:r>
      <w:bookmarkEnd w:id="22"/>
    </w:p>
    <w:p w:rsidR="005A1EB0" w:rsidRPr="005A1EB0" w:rsidRDefault="005A1EB0" w:rsidP="005A1EB0">
      <w:pPr>
        <w:pStyle w:val="SingleTxt"/>
        <w:spacing w:after="0" w:line="120" w:lineRule="exact"/>
        <w:rPr>
          <w:w w:val="100"/>
          <w:kern w:val="0"/>
          <w:sz w:val="10"/>
          <w:rtl/>
        </w:rPr>
      </w:pPr>
    </w:p>
    <w:p w:rsidR="005A1EB0" w:rsidRPr="00497680" w:rsidRDefault="005A1EB0" w:rsidP="00497680">
      <w:pPr>
        <w:pStyle w:val="SingleTxt"/>
        <w:rPr>
          <w:w w:val="100"/>
          <w:kern w:val="0"/>
          <w:rtl/>
        </w:rPr>
      </w:pPr>
      <w:r w:rsidRPr="00497680">
        <w:rPr>
          <w:rFonts w:hint="cs"/>
          <w:w w:val="100"/>
          <w:kern w:val="0"/>
          <w:rtl/>
        </w:rPr>
        <w:t>37-</w:t>
      </w:r>
      <w:r w:rsidRPr="00497680">
        <w:rPr>
          <w:rFonts w:hint="cs"/>
          <w:w w:val="100"/>
          <w:kern w:val="0"/>
          <w:rtl/>
        </w:rPr>
        <w:tab/>
        <w:t xml:space="preserve">ذكرت اللجنة الفرعية لمنع التعذيب أن </w:t>
      </w:r>
      <w:r w:rsidRPr="00497680">
        <w:rPr>
          <w:w w:val="100"/>
          <w:kern w:val="0"/>
          <w:rtl/>
        </w:rPr>
        <w:t xml:space="preserve">الإفراط في اللجوء إلى تدبير الاحتجاز السابق للمحاكمة وطول مدته </w:t>
      </w:r>
      <w:r w:rsidRPr="00497680">
        <w:rPr>
          <w:rFonts w:hint="cs"/>
          <w:w w:val="100"/>
          <w:kern w:val="0"/>
          <w:rtl/>
        </w:rPr>
        <w:t xml:space="preserve">هو سبب </w:t>
      </w:r>
      <w:r w:rsidRPr="00497680">
        <w:rPr>
          <w:w w:val="100"/>
          <w:kern w:val="0"/>
          <w:rtl/>
        </w:rPr>
        <w:t>من الأسباب الرئيسية لاكتظا</w:t>
      </w:r>
      <w:r w:rsidRPr="00497680">
        <w:rPr>
          <w:rFonts w:hint="cs"/>
          <w:w w:val="100"/>
          <w:kern w:val="0"/>
          <w:rtl/>
        </w:rPr>
        <w:t>ظ السجون</w:t>
      </w:r>
      <w:r w:rsidRPr="00497680">
        <w:rPr>
          <w:b/>
          <w:w w:val="100"/>
          <w:kern w:val="0"/>
          <w:vertAlign w:val="superscript"/>
          <w:rtl/>
        </w:rPr>
        <w:footnoteReference w:customMarkFollows="1" w:id="151"/>
        <w:t>(151)</w:t>
      </w:r>
      <w:r w:rsidRPr="00497680">
        <w:rPr>
          <w:rFonts w:hint="cs"/>
          <w:w w:val="100"/>
          <w:kern w:val="0"/>
          <w:rtl/>
        </w:rPr>
        <w:t>، وأنه ينبغي معالجة مشكلة الإفراط في اللجوء إلى الاحتجاز السابق للمحاكمة أو سوء استخدام هذا الإجراء باعتبار ذلك من المسائل ذات الأولوية</w:t>
      </w:r>
      <w:r w:rsidRPr="00497680">
        <w:rPr>
          <w:b/>
          <w:w w:val="100"/>
          <w:kern w:val="0"/>
          <w:vertAlign w:val="superscript"/>
          <w:rtl/>
        </w:rPr>
        <w:footnoteReference w:customMarkFollows="1" w:id="152"/>
        <w:t>(152)</w:t>
      </w:r>
      <w:r w:rsidRPr="00497680">
        <w:rPr>
          <w:rFonts w:hint="cs"/>
          <w:w w:val="100"/>
          <w:kern w:val="0"/>
          <w:rtl/>
        </w:rPr>
        <w:t>. كما تحدّثت تقارير أعدّتها هيئات دولية</w:t>
      </w:r>
      <w:r w:rsidRPr="00497680">
        <w:rPr>
          <w:b/>
          <w:w w:val="100"/>
          <w:kern w:val="0"/>
          <w:vertAlign w:val="superscript"/>
          <w:rtl/>
        </w:rPr>
        <w:footnoteReference w:customMarkFollows="1" w:id="153"/>
        <w:t>(153)</w:t>
      </w:r>
      <w:r w:rsidRPr="00497680">
        <w:rPr>
          <w:rFonts w:hint="cs"/>
          <w:w w:val="100"/>
          <w:kern w:val="0"/>
          <w:rtl/>
        </w:rPr>
        <w:t xml:space="preserve"> وإقليمية</w:t>
      </w:r>
      <w:r w:rsidRPr="00497680">
        <w:rPr>
          <w:b/>
          <w:w w:val="100"/>
          <w:kern w:val="0"/>
          <w:vertAlign w:val="superscript"/>
          <w:rtl/>
        </w:rPr>
        <w:footnoteReference w:customMarkFollows="1" w:id="154"/>
        <w:t>(154)</w:t>
      </w:r>
      <w:r w:rsidRPr="00497680">
        <w:rPr>
          <w:rFonts w:hint="cs"/>
          <w:w w:val="100"/>
          <w:kern w:val="0"/>
          <w:rtl/>
        </w:rPr>
        <w:t xml:space="preserve"> أخرى عن اللجوء المفرط إلى الاحتجاز السابق للمحاكمة، وهو تدبير ينبغي ألا يُتخذ إلا كملاذ أخير وبشروط معيّنة</w:t>
      </w:r>
      <w:r w:rsidRPr="00497680">
        <w:rPr>
          <w:b/>
          <w:w w:val="100"/>
          <w:kern w:val="0"/>
          <w:vertAlign w:val="superscript"/>
          <w:rtl/>
        </w:rPr>
        <w:footnoteReference w:customMarkFollows="1" w:id="155"/>
        <w:t>(155)</w:t>
      </w:r>
      <w:r w:rsidRPr="00497680">
        <w:rPr>
          <w:rFonts w:hint="cs"/>
          <w:w w:val="100"/>
          <w:kern w:val="0"/>
          <w:rtl/>
        </w:rPr>
        <w:t>، إلا أن هذا التدبير كثيراً ما يُطبق في الواقع حتى على حالات بسيطة مثل سرقة هاتف محمول</w:t>
      </w:r>
      <w:r w:rsidRPr="00497680">
        <w:rPr>
          <w:b/>
          <w:w w:val="100"/>
          <w:kern w:val="0"/>
          <w:vertAlign w:val="superscript"/>
          <w:rtl/>
        </w:rPr>
        <w:footnoteReference w:customMarkFollows="1" w:id="156"/>
        <w:t>(156)</w:t>
      </w:r>
      <w:r w:rsidRPr="00497680">
        <w:rPr>
          <w:rFonts w:hint="cs"/>
          <w:w w:val="100"/>
          <w:kern w:val="0"/>
          <w:rtl/>
        </w:rPr>
        <w:t xml:space="preserve"> أو قلم أو دجاجة</w:t>
      </w:r>
      <w:r w:rsidRPr="00497680">
        <w:rPr>
          <w:b/>
          <w:w w:val="100"/>
          <w:kern w:val="0"/>
          <w:vertAlign w:val="superscript"/>
          <w:rtl/>
        </w:rPr>
        <w:footnoteReference w:customMarkFollows="1" w:id="157"/>
        <w:t>(157)</w:t>
      </w:r>
      <w:r w:rsidRPr="00497680">
        <w:rPr>
          <w:rFonts w:hint="cs"/>
          <w:w w:val="100"/>
          <w:kern w:val="0"/>
          <w:rtl/>
        </w:rPr>
        <w:t>. وأوردت تقارير أن المحتجزين رهن المحاكمة يشكلون في بعض البلدان غالبية السجناء</w:t>
      </w:r>
      <w:r w:rsidRPr="00497680">
        <w:rPr>
          <w:b/>
          <w:w w:val="100"/>
          <w:kern w:val="0"/>
          <w:vertAlign w:val="superscript"/>
          <w:rtl/>
        </w:rPr>
        <w:footnoteReference w:customMarkFollows="1" w:id="158"/>
        <w:t>(158)</w:t>
      </w:r>
      <w:r w:rsidRPr="00497680">
        <w:rPr>
          <w:rFonts w:hint="cs"/>
          <w:w w:val="100"/>
          <w:kern w:val="0"/>
          <w:rtl/>
        </w:rPr>
        <w:t xml:space="preserve"> بل إنهم يشكلون أحياناً أكثر من</w:t>
      </w:r>
      <w:r w:rsidRPr="00497680">
        <w:rPr>
          <w:rFonts w:hint="eastAsia"/>
          <w:w w:val="100"/>
          <w:kern w:val="0"/>
          <w:rtl/>
        </w:rPr>
        <w:t> </w:t>
      </w:r>
      <w:r w:rsidRPr="00497680">
        <w:rPr>
          <w:rFonts w:hint="cs"/>
          <w:w w:val="100"/>
          <w:kern w:val="0"/>
          <w:rtl/>
        </w:rPr>
        <w:t>90 في المائة من مجموع المحتجزين</w:t>
      </w:r>
      <w:r w:rsidRPr="00497680">
        <w:rPr>
          <w:b/>
          <w:w w:val="100"/>
          <w:kern w:val="0"/>
          <w:vertAlign w:val="superscript"/>
          <w:rtl/>
        </w:rPr>
        <w:footnoteReference w:customMarkFollows="1" w:id="159"/>
        <w:t>(159)</w:t>
      </w:r>
      <w:r w:rsidRPr="0049768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tab/>
      </w:r>
      <w:bookmarkStart w:id="23" w:name="_Toc430010380"/>
      <w:r w:rsidRPr="005A1EB0">
        <w:rPr>
          <w:rFonts w:hint="cs"/>
          <w:w w:val="100"/>
          <w:kern w:val="0"/>
          <w:rtl/>
        </w:rPr>
        <w:t>جيم-</w:t>
      </w:r>
      <w:r w:rsidRPr="005A1EB0">
        <w:rPr>
          <w:rFonts w:hint="cs"/>
          <w:w w:val="100"/>
          <w:kern w:val="0"/>
          <w:rtl/>
        </w:rPr>
        <w:tab/>
        <w:t>عدم توفر بدائل الاحتجاز و/أو سوء إدارة هذه البدائل</w:t>
      </w:r>
      <w:bookmarkEnd w:id="23"/>
    </w:p>
    <w:p w:rsidR="005A1EB0" w:rsidRPr="005A1EB0" w:rsidRDefault="005A1EB0" w:rsidP="005A1EB0">
      <w:pPr>
        <w:pStyle w:val="SingleTxt"/>
        <w:spacing w:after="0" w:line="120" w:lineRule="exact"/>
        <w:rPr>
          <w:w w:val="100"/>
          <w:kern w:val="0"/>
          <w:sz w:val="10"/>
          <w:rtl/>
        </w:rPr>
      </w:pPr>
    </w:p>
    <w:p w:rsidR="005A1EB0" w:rsidRPr="005A1EB0" w:rsidRDefault="005A1EB0" w:rsidP="00497680">
      <w:pPr>
        <w:pStyle w:val="SingleTxt"/>
        <w:rPr>
          <w:w w:val="100"/>
          <w:kern w:val="0"/>
          <w:rtl/>
        </w:rPr>
      </w:pPr>
      <w:r w:rsidRPr="005A1EB0">
        <w:rPr>
          <w:rFonts w:hint="cs"/>
          <w:w w:val="100"/>
          <w:kern w:val="0"/>
          <w:rtl/>
        </w:rPr>
        <w:t>38-</w:t>
      </w:r>
      <w:r w:rsidRPr="005A1EB0">
        <w:rPr>
          <w:rFonts w:hint="cs"/>
          <w:w w:val="100"/>
          <w:kern w:val="0"/>
          <w:rtl/>
        </w:rPr>
        <w:tab/>
        <w:t xml:space="preserve">أفاد المقرر الخاص المعني بالسجون وأوضاع الاحتجاز، التابع </w:t>
      </w:r>
      <w:r w:rsidRPr="005A1EB0">
        <w:rPr>
          <w:rFonts w:hint="cs"/>
          <w:w w:val="100"/>
          <w:kern w:val="0"/>
          <w:rtl/>
          <w:lang w:bidi="ar"/>
        </w:rPr>
        <w:t xml:space="preserve">للجنة الأفريقية لحقوق الإنسان والشعوب، بأنه "لا يمكن أن تُعزى الزيادة في عدد السجناء إلى مجرّد ارتفاع معدلات الجريمة. فبكل بساطة، هناك اعتقاد سائد في معظم الولايات القضائية بأن السجن خيرٌ من أي تدبير بديل؛ وبالتالي، ما فتئ العنصر العقابي الذي يتسّم به هذا الجزاء يمثّل حجرَ الأساس في النظم الإصلاحية </w:t>
      </w:r>
      <w:r w:rsidRPr="005A1EB0">
        <w:rPr>
          <w:rFonts w:hint="cs"/>
          <w:w w:val="100"/>
          <w:kern w:val="0"/>
          <w:rtl/>
          <w:lang w:bidi="ar"/>
        </w:rPr>
        <w:lastRenderedPageBreak/>
        <w:t xml:space="preserve">والجنائية القائمة في أيامنا هذه. ومع </w:t>
      </w:r>
      <w:r w:rsidRPr="005A1EB0">
        <w:rPr>
          <w:rFonts w:hint="cs"/>
          <w:w w:val="100"/>
          <w:kern w:val="0"/>
          <w:rtl/>
        </w:rPr>
        <w:t>أنه قد ثبتت</w:t>
      </w:r>
      <w:r w:rsidRPr="005A1EB0">
        <w:rPr>
          <w:rFonts w:hint="cs"/>
          <w:w w:val="100"/>
          <w:kern w:val="0"/>
          <w:rtl/>
          <w:lang w:bidi="ar"/>
        </w:rPr>
        <w:t xml:space="preserve"> كفاءة بدائل السجن وفعاليتها، ما زالت تُفرض عقوبات تشتد قساوة متخذةً شكل أحكام بالسجن لمدد أطول"</w:t>
      </w:r>
      <w:r w:rsidRPr="005A1EB0">
        <w:rPr>
          <w:b/>
          <w:w w:val="100"/>
          <w:kern w:val="0"/>
          <w:vertAlign w:val="superscript"/>
          <w:rtl/>
          <w:lang w:bidi="ar"/>
        </w:rPr>
        <w:footnoteReference w:customMarkFollows="1" w:id="160"/>
        <w:t>(160)</w:t>
      </w:r>
      <w:r w:rsidRPr="005A1EB0">
        <w:rPr>
          <w:rFonts w:hint="cs"/>
          <w:w w:val="100"/>
          <w:kern w:val="0"/>
          <w:rtl/>
          <w:lang w:bidi="ar"/>
        </w:rPr>
        <w:t>.</w:t>
      </w:r>
    </w:p>
    <w:p w:rsidR="005A1EB0" w:rsidRPr="00497680" w:rsidRDefault="005A1EB0" w:rsidP="007476B5">
      <w:pPr>
        <w:pStyle w:val="SingleTxt"/>
        <w:rPr>
          <w:w w:val="100"/>
          <w:kern w:val="0"/>
          <w:lang w:val="fr-FR"/>
        </w:rPr>
      </w:pPr>
      <w:r w:rsidRPr="00497680">
        <w:rPr>
          <w:rFonts w:hint="cs"/>
          <w:w w:val="100"/>
          <w:kern w:val="0"/>
          <w:rtl/>
        </w:rPr>
        <w:t>39-</w:t>
      </w:r>
      <w:r w:rsidRPr="00497680">
        <w:rPr>
          <w:rFonts w:hint="cs"/>
          <w:w w:val="100"/>
          <w:kern w:val="0"/>
          <w:rtl/>
        </w:rPr>
        <w:tab/>
        <w:t>وترى هذا الرأي أيضاً هيئات دولية</w:t>
      </w:r>
      <w:r w:rsidRPr="00497680">
        <w:rPr>
          <w:b/>
          <w:w w:val="100"/>
          <w:kern w:val="0"/>
          <w:vertAlign w:val="superscript"/>
          <w:rtl/>
        </w:rPr>
        <w:footnoteReference w:customMarkFollows="1" w:id="161"/>
        <w:t>(161)</w:t>
      </w:r>
      <w:r w:rsidRPr="00497680">
        <w:rPr>
          <w:rFonts w:hint="cs"/>
          <w:w w:val="100"/>
          <w:kern w:val="0"/>
          <w:rtl/>
        </w:rPr>
        <w:t xml:space="preserve"> وإقليمية</w:t>
      </w:r>
      <w:r w:rsidRPr="00497680">
        <w:rPr>
          <w:b/>
          <w:w w:val="100"/>
          <w:kern w:val="0"/>
          <w:vertAlign w:val="superscript"/>
          <w:rtl/>
        </w:rPr>
        <w:footnoteReference w:customMarkFollows="1" w:id="162"/>
        <w:t>(162)</w:t>
      </w:r>
      <w:r w:rsidRPr="00497680">
        <w:rPr>
          <w:rFonts w:hint="cs"/>
          <w:w w:val="100"/>
          <w:kern w:val="0"/>
          <w:rtl/>
        </w:rPr>
        <w:t xml:space="preserve"> أخرى تشير إلى عدم توفر بدائل الاحتجاز أو إلى وجود أوجه قصور تشوب تنفيذها، ما يساهم مساهمة كبيرة في اللجوء المفرط إلى الإيداع في الحبس واكتظاظ السجون. ومن العوامل المساهمة الأخرى غياب شروط الإفراج بكفالة أو</w:t>
      </w:r>
      <w:r w:rsidR="007476B5" w:rsidRPr="00497680">
        <w:rPr>
          <w:rFonts w:hint="eastAsia"/>
          <w:w w:val="100"/>
          <w:kern w:val="0"/>
          <w:rtl/>
        </w:rPr>
        <w:t> </w:t>
      </w:r>
      <w:r w:rsidRPr="00497680">
        <w:rPr>
          <w:rFonts w:hint="cs"/>
          <w:w w:val="100"/>
          <w:kern w:val="0"/>
          <w:rtl/>
        </w:rPr>
        <w:t>وجود خلل في هذه الشروط أو الكلفة الباهظة المترتبة عليها</w:t>
      </w:r>
      <w:r w:rsidRPr="00497680">
        <w:rPr>
          <w:b/>
          <w:w w:val="100"/>
          <w:kern w:val="0"/>
          <w:vertAlign w:val="superscript"/>
          <w:rtl/>
        </w:rPr>
        <w:footnoteReference w:customMarkFollows="1" w:id="163"/>
        <w:t>(163)</w:t>
      </w:r>
      <w:r w:rsidRPr="00497680">
        <w:rPr>
          <w:rFonts w:hint="cs"/>
          <w:w w:val="100"/>
          <w:kern w:val="0"/>
          <w:rtl/>
        </w:rPr>
        <w:t>؛ وعدم فعالية دائرة الإفراج المشروط وقلة اللجوء إلى إجراء الإفراج بكفالة</w:t>
      </w:r>
      <w:r w:rsidRPr="00497680">
        <w:rPr>
          <w:b/>
          <w:w w:val="100"/>
          <w:kern w:val="0"/>
          <w:vertAlign w:val="superscript"/>
          <w:rtl/>
        </w:rPr>
        <w:footnoteReference w:customMarkFollows="1" w:id="164"/>
        <w:t>(164)</w:t>
      </w:r>
      <w:r w:rsidRPr="00497680">
        <w:rPr>
          <w:rFonts w:hint="cs"/>
          <w:w w:val="100"/>
          <w:kern w:val="0"/>
          <w:rtl/>
        </w:rPr>
        <w:t>؛ وعدم وجود نظام يرعى بدائل الاحتجاز، بما فيها الخدمة المجتمعية</w:t>
      </w:r>
      <w:r w:rsidRPr="00497680">
        <w:rPr>
          <w:b/>
          <w:w w:val="100"/>
          <w:kern w:val="0"/>
          <w:vertAlign w:val="superscript"/>
          <w:rtl/>
        </w:rPr>
        <w:footnoteReference w:customMarkFollows="1" w:id="165"/>
        <w:t>(165)</w:t>
      </w:r>
      <w:r w:rsidRPr="00497680">
        <w:rPr>
          <w:rFonts w:hint="cs"/>
          <w:w w:val="100"/>
          <w:kern w:val="0"/>
          <w:rtl/>
        </w:rPr>
        <w:t>، والمراقبة الإلكترونية، والإقامة الجبرية</w:t>
      </w:r>
      <w:r w:rsidRPr="00497680">
        <w:rPr>
          <w:b/>
          <w:w w:val="100"/>
          <w:kern w:val="0"/>
          <w:vertAlign w:val="superscript"/>
          <w:rtl/>
        </w:rPr>
        <w:footnoteReference w:customMarkFollows="1" w:id="166"/>
        <w:t>(166)</w:t>
      </w:r>
      <w:r w:rsidRPr="00497680">
        <w:rPr>
          <w:rFonts w:hint="cs"/>
          <w:w w:val="100"/>
          <w:kern w:val="0"/>
          <w:rtl/>
        </w:rPr>
        <w:t>، أو وجود نظام سيء الأداء،؛ وتقاعس هيئات الادعاء والهيئات القضائية عن فرض أحكام أخرى غير الحبس</w:t>
      </w:r>
      <w:r w:rsidRPr="00497680">
        <w:rPr>
          <w:b/>
          <w:w w:val="100"/>
          <w:kern w:val="0"/>
          <w:vertAlign w:val="superscript"/>
          <w:rtl/>
        </w:rPr>
        <w:footnoteReference w:customMarkFollows="1" w:id="167"/>
        <w:t>(167)</w:t>
      </w:r>
      <w:r w:rsidRPr="00497680">
        <w:rPr>
          <w:rFonts w:hint="cs"/>
          <w:w w:val="100"/>
          <w:kern w:val="0"/>
          <w:rtl/>
        </w:rPr>
        <w:t>، أو افتقار النظام القضائي إلى هذه الأحكام خاصة فيما يخص الجرائم الأقل خطورة، وعدم التشجيع على اللجوء إلى هذه الخيارات</w:t>
      </w:r>
      <w:r w:rsidRPr="00497680">
        <w:rPr>
          <w:b/>
          <w:w w:val="100"/>
          <w:kern w:val="0"/>
          <w:vertAlign w:val="superscript"/>
          <w:rtl/>
        </w:rPr>
        <w:footnoteReference w:customMarkFollows="1" w:id="168"/>
        <w:t>(168)</w:t>
      </w:r>
      <w:r w:rsidRPr="0049768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24" w:name="_Toc430010381"/>
      <w:r w:rsidRPr="005A1EB0">
        <w:rPr>
          <w:rFonts w:hint="cs"/>
          <w:w w:val="100"/>
          <w:kern w:val="0"/>
          <w:rtl/>
        </w:rPr>
        <w:t>دال-</w:t>
      </w:r>
      <w:r w:rsidRPr="005A1EB0">
        <w:rPr>
          <w:rFonts w:hint="cs"/>
          <w:w w:val="100"/>
          <w:kern w:val="0"/>
          <w:rtl/>
        </w:rPr>
        <w:tab/>
      </w:r>
      <w:r w:rsidRPr="005A1EB0">
        <w:rPr>
          <w:w w:val="100"/>
          <w:kern w:val="0"/>
          <w:rtl/>
        </w:rPr>
        <w:t xml:space="preserve">السياسات المتبعة في </w:t>
      </w:r>
      <w:r w:rsidRPr="005A1EB0">
        <w:rPr>
          <w:rFonts w:hint="cs"/>
          <w:w w:val="100"/>
          <w:kern w:val="0"/>
          <w:rtl/>
        </w:rPr>
        <w:t>إصدار الأحكام</w:t>
      </w:r>
      <w:bookmarkEnd w:id="24"/>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40-</w:t>
      </w:r>
      <w:r w:rsidRPr="005A1EB0">
        <w:rPr>
          <w:rFonts w:hint="cs"/>
          <w:w w:val="100"/>
          <w:kern w:val="0"/>
          <w:rtl/>
        </w:rPr>
        <w:tab/>
        <w:t>تؤثر السياسات التي تتبعها دولة ما للتصدي للجريمة تأثيراً مباشراً على عدد المحتجزين وعلى طول المدة التي يقضونها رهن الاحتجاز. وقد أدى ما يُسمّى "سياسات عدم التسامح مطلقاً" إلى زيادة عدد الإدانات الجنائية التي صدرت فيها أحكام بالسجن كما أفضت هذه السياسات - مصحوبة بانخفاض نسبة أحكام البراءة وشيوع اللجوء إلى الاحتجاز - إلى اكتظاظ السجون</w:t>
      </w:r>
      <w:r w:rsidRPr="005A1EB0">
        <w:rPr>
          <w:b/>
          <w:w w:val="100"/>
          <w:kern w:val="0"/>
          <w:vertAlign w:val="superscript"/>
          <w:rtl/>
        </w:rPr>
        <w:footnoteReference w:customMarkFollows="1" w:id="169"/>
        <w:t>(169)</w:t>
      </w:r>
      <w:r w:rsidRPr="005A1EB0">
        <w:rPr>
          <w:rFonts w:hint="cs"/>
          <w:w w:val="100"/>
          <w:kern w:val="0"/>
          <w:rtl/>
        </w:rPr>
        <w:t>.</w:t>
      </w:r>
    </w:p>
    <w:p w:rsidR="005A1EB0" w:rsidRPr="005A1EB0" w:rsidRDefault="005A1EB0" w:rsidP="007476B5">
      <w:pPr>
        <w:pStyle w:val="SingleTxt"/>
        <w:rPr>
          <w:w w:val="100"/>
          <w:kern w:val="0"/>
          <w:rtl/>
        </w:rPr>
      </w:pPr>
      <w:r w:rsidRPr="005A1EB0">
        <w:rPr>
          <w:rFonts w:hint="cs"/>
          <w:w w:val="100"/>
          <w:kern w:val="0"/>
          <w:rtl/>
        </w:rPr>
        <w:lastRenderedPageBreak/>
        <w:t>41-</w:t>
      </w:r>
      <w:r w:rsidRPr="005A1EB0">
        <w:rPr>
          <w:rFonts w:hint="cs"/>
          <w:w w:val="100"/>
          <w:kern w:val="0"/>
          <w:rtl/>
        </w:rPr>
        <w:tab/>
        <w:t>وكما ذكر الفريق العامل المعني بالاحتجاز التعسفي، فقد "</w:t>
      </w:r>
      <w:r w:rsidRPr="005A1EB0">
        <w:rPr>
          <w:w w:val="100"/>
          <w:kern w:val="0"/>
          <w:rtl/>
        </w:rPr>
        <w:t xml:space="preserve">سجلت بلدان كثيرة تزايداً سريعاً في معدّل الاستجابة التشريعية للأفعال الجنائية، وبدأت الآن تشعر بالآثار </w:t>
      </w:r>
      <w:r w:rsidRPr="005A1EB0">
        <w:rPr>
          <w:rFonts w:hint="cs"/>
          <w:w w:val="100"/>
          <w:kern w:val="0"/>
          <w:rtl/>
        </w:rPr>
        <w:t>المشتركة للقوانين المتعلقة</w:t>
      </w:r>
      <w:r w:rsidR="007476B5">
        <w:rPr>
          <w:rFonts w:hint="eastAsia"/>
          <w:w w:val="100"/>
          <w:kern w:val="0"/>
          <w:rtl/>
        </w:rPr>
        <w:t> </w:t>
      </w:r>
      <w:r w:rsidRPr="005A1EB0">
        <w:rPr>
          <w:rFonts w:hint="cs"/>
          <w:w w:val="100"/>
          <w:kern w:val="0"/>
          <w:rtl/>
        </w:rPr>
        <w:t>بالمجرمين المعاودين (قوانين العَوْد)</w:t>
      </w:r>
      <w:r w:rsidRPr="005A1EB0">
        <w:rPr>
          <w:w w:val="100"/>
          <w:kern w:val="0"/>
          <w:rtl/>
        </w:rPr>
        <w:t>، والعقوبات الدنيا المشددة بصفة عامة مع انحسار حرية التقدير المتاحة للقضاة في كل قضية على حدة، والحبس الاحتياطي بعد الإدانة</w:t>
      </w:r>
      <w:r w:rsidRPr="005A1EB0">
        <w:rPr>
          <w:rFonts w:hint="cs"/>
          <w:w w:val="100"/>
          <w:kern w:val="0"/>
          <w:rtl/>
        </w:rPr>
        <w:t>"</w:t>
      </w:r>
      <w:r w:rsidRPr="005A1EB0">
        <w:rPr>
          <w:b/>
          <w:w w:val="100"/>
          <w:kern w:val="0"/>
          <w:vertAlign w:val="superscript"/>
          <w:rtl/>
        </w:rPr>
        <w:footnoteReference w:customMarkFollows="1" w:id="170"/>
        <w:t>(170)</w:t>
      </w:r>
      <w:r w:rsidRPr="005A1EB0">
        <w:rPr>
          <w:rFonts w:hint="cs"/>
          <w:w w:val="100"/>
          <w:kern w:val="0"/>
          <w:rtl/>
        </w:rPr>
        <w:t>، ما يؤدي إلى اللجوء المفرط إلى الإيداع في الحبس وإلى اكتظاظ السجون.</w:t>
      </w:r>
    </w:p>
    <w:p w:rsidR="005A1EB0" w:rsidRPr="00497680" w:rsidRDefault="005A1EB0" w:rsidP="00497680">
      <w:pPr>
        <w:pStyle w:val="SingleTxt"/>
        <w:spacing w:line="380" w:lineRule="exact"/>
        <w:rPr>
          <w:w w:val="100"/>
          <w:kern w:val="0"/>
          <w:rtl/>
        </w:rPr>
      </w:pPr>
      <w:r w:rsidRPr="00497680">
        <w:rPr>
          <w:rFonts w:hint="cs"/>
          <w:w w:val="100"/>
          <w:kern w:val="0"/>
          <w:rtl/>
        </w:rPr>
        <w:t>42-</w:t>
      </w:r>
      <w:r w:rsidRPr="00497680">
        <w:rPr>
          <w:rFonts w:hint="cs"/>
          <w:w w:val="100"/>
          <w:kern w:val="0"/>
          <w:rtl/>
        </w:rPr>
        <w:tab/>
        <w:t>وقد ذُكرت الظواهر التالية بوصفها عوامل مساهمة في اللجوء المفرط إلى الإيداع في الحبس واكتظاظ السجون: عدم إدخال الفترة التي يمضيها المحتجز في الحبس الاحتياطي في حساب الفترة التي يُحكم بها</w:t>
      </w:r>
      <w:r w:rsidRPr="00497680">
        <w:rPr>
          <w:b/>
          <w:w w:val="100"/>
          <w:kern w:val="0"/>
          <w:vertAlign w:val="superscript"/>
          <w:rtl/>
        </w:rPr>
        <w:footnoteReference w:customMarkFollows="1" w:id="171"/>
        <w:t>(171)</w:t>
      </w:r>
      <w:r w:rsidRPr="00497680">
        <w:rPr>
          <w:rFonts w:hint="cs"/>
          <w:w w:val="100"/>
          <w:kern w:val="0"/>
          <w:rtl/>
        </w:rPr>
        <w:t>؛ وفرض أحكام إلزامية خاصة في حالات الجنح والجرائم غير العنيفة</w:t>
      </w:r>
      <w:r w:rsidRPr="00497680">
        <w:rPr>
          <w:b/>
          <w:w w:val="100"/>
          <w:kern w:val="0"/>
          <w:vertAlign w:val="superscript"/>
          <w:rtl/>
        </w:rPr>
        <w:footnoteReference w:customMarkFollows="1" w:id="172"/>
        <w:t>(172)</w:t>
      </w:r>
      <w:r w:rsidRPr="00497680">
        <w:rPr>
          <w:rFonts w:hint="cs"/>
          <w:w w:val="100"/>
          <w:kern w:val="0"/>
          <w:rtl/>
        </w:rPr>
        <w:t xml:space="preserve"> وفرض عقوبات قاسية على مرتكبي الجرائم المتعلقة بالمخدرات</w:t>
      </w:r>
      <w:r w:rsidRPr="00497680">
        <w:rPr>
          <w:b/>
          <w:w w:val="100"/>
          <w:kern w:val="0"/>
          <w:vertAlign w:val="superscript"/>
          <w:rtl/>
        </w:rPr>
        <w:footnoteReference w:customMarkFollows="1" w:id="173"/>
        <w:t>(173)</w:t>
      </w:r>
      <w:r w:rsidRPr="00497680">
        <w:rPr>
          <w:rFonts w:hint="cs"/>
          <w:w w:val="100"/>
          <w:kern w:val="0"/>
          <w:rtl/>
        </w:rPr>
        <w:t>؛ وفرض أحكام بالسجن لمدد طويلة للغاية وخاصة أحكام بالسجن المؤبد</w:t>
      </w:r>
      <w:r w:rsidRPr="00497680">
        <w:rPr>
          <w:b/>
          <w:w w:val="100"/>
          <w:kern w:val="0"/>
          <w:vertAlign w:val="superscript"/>
          <w:rtl/>
        </w:rPr>
        <w:footnoteReference w:customMarkFollows="1" w:id="174"/>
        <w:t>(174)</w:t>
      </w:r>
      <w:r w:rsidRPr="00497680">
        <w:rPr>
          <w:rFonts w:hint="cs"/>
          <w:w w:val="100"/>
          <w:kern w:val="0"/>
          <w:rtl/>
        </w:rPr>
        <w:t>، خلافاً لمبدأ التناسب</w:t>
      </w:r>
      <w:r w:rsidRPr="00497680">
        <w:rPr>
          <w:b/>
          <w:w w:val="100"/>
          <w:kern w:val="0"/>
          <w:vertAlign w:val="superscript"/>
          <w:rtl/>
        </w:rPr>
        <w:footnoteReference w:customMarkFollows="1" w:id="175"/>
        <w:t>(175)</w:t>
      </w:r>
      <w:r w:rsidRPr="00497680">
        <w:rPr>
          <w:rFonts w:hint="cs"/>
          <w:w w:val="100"/>
          <w:kern w:val="0"/>
          <w:rtl/>
        </w:rPr>
        <w:t>؛ وعدم وجود مبادئ توجيهية لفرض عقوبات معقولة، تتيح خفض مدة الأحكام الطويلة للغاية</w:t>
      </w:r>
      <w:r w:rsidRPr="00497680">
        <w:rPr>
          <w:b/>
          <w:w w:val="100"/>
          <w:kern w:val="0"/>
          <w:vertAlign w:val="superscript"/>
          <w:rtl/>
        </w:rPr>
        <w:footnoteReference w:customMarkFollows="1" w:id="176"/>
        <w:t>(176)</w:t>
      </w:r>
      <w:r w:rsidRPr="00497680">
        <w:rPr>
          <w:rFonts w:hint="cs"/>
          <w:w w:val="100"/>
          <w:kern w:val="0"/>
          <w:rtl/>
        </w:rPr>
        <w:t>؛ وعدم تمتع القضاة بسلطة تقديرية عند إصدار الأحكام، مما يمنعهم من مراعاة الظروف الخاصة بكل محتجز وكل قضية</w:t>
      </w:r>
      <w:r w:rsidRPr="00497680">
        <w:rPr>
          <w:b/>
          <w:w w:val="100"/>
          <w:kern w:val="0"/>
          <w:vertAlign w:val="superscript"/>
          <w:rtl/>
        </w:rPr>
        <w:footnoteReference w:customMarkFollows="1" w:id="177"/>
        <w:t>(177)</w:t>
      </w:r>
      <w:r w:rsidRPr="00497680">
        <w:rPr>
          <w:rFonts w:hint="cs"/>
          <w:w w:val="100"/>
          <w:kern w:val="0"/>
          <w:rtl/>
        </w:rPr>
        <w:t>؛ والإمكانية المحدودة جداً لتخفيض العقوبات</w:t>
      </w:r>
      <w:r w:rsidRPr="00497680">
        <w:rPr>
          <w:b/>
          <w:w w:val="100"/>
          <w:kern w:val="0"/>
          <w:vertAlign w:val="superscript"/>
          <w:rtl/>
        </w:rPr>
        <w:footnoteReference w:customMarkFollows="1" w:id="178"/>
        <w:t>(178)</w:t>
      </w:r>
      <w:r w:rsidRPr="00497680">
        <w:rPr>
          <w:rFonts w:hint="cs"/>
          <w:w w:val="100"/>
          <w:kern w:val="0"/>
          <w:rtl/>
        </w:rPr>
        <w:t>؛ ووجود مواطن غموض في التشريعات تفضي إلى عمليات احتجاز لا داعي لها</w:t>
      </w:r>
      <w:r w:rsidRPr="00497680">
        <w:rPr>
          <w:b/>
          <w:w w:val="100"/>
          <w:kern w:val="0"/>
          <w:vertAlign w:val="superscript"/>
          <w:rtl/>
        </w:rPr>
        <w:footnoteReference w:customMarkFollows="1" w:id="179"/>
        <w:t>(179)</w:t>
      </w:r>
      <w:r w:rsidRPr="0049768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25" w:name="_Toc430010382"/>
      <w:r w:rsidRPr="005A1EB0">
        <w:rPr>
          <w:rFonts w:hint="cs"/>
          <w:w w:val="100"/>
          <w:kern w:val="0"/>
          <w:rtl/>
        </w:rPr>
        <w:t>هاء-</w:t>
      </w:r>
      <w:r w:rsidRPr="005A1EB0">
        <w:rPr>
          <w:rFonts w:hint="cs"/>
          <w:w w:val="100"/>
          <w:kern w:val="0"/>
          <w:rtl/>
        </w:rPr>
        <w:tab/>
        <w:t>نقص الرقابة على أماكن الاحتجاز</w:t>
      </w:r>
      <w:bookmarkEnd w:id="25"/>
    </w:p>
    <w:p w:rsidR="005A1EB0" w:rsidRPr="005A1EB0" w:rsidRDefault="005A1EB0" w:rsidP="005A1EB0">
      <w:pPr>
        <w:pStyle w:val="SingleTxt"/>
        <w:spacing w:after="0" w:line="120" w:lineRule="exact"/>
        <w:rPr>
          <w:w w:val="100"/>
          <w:kern w:val="0"/>
          <w:sz w:val="10"/>
          <w:rtl/>
        </w:rPr>
      </w:pPr>
    </w:p>
    <w:p w:rsidR="005A1EB0" w:rsidRPr="005A1EB0" w:rsidRDefault="005A1EB0" w:rsidP="00497680">
      <w:pPr>
        <w:pStyle w:val="SingleTxt"/>
        <w:spacing w:line="380" w:lineRule="exact"/>
        <w:rPr>
          <w:w w:val="100"/>
          <w:kern w:val="0"/>
          <w:rtl/>
        </w:rPr>
      </w:pPr>
      <w:r w:rsidRPr="005A1EB0">
        <w:rPr>
          <w:rFonts w:hint="cs"/>
          <w:w w:val="100"/>
          <w:kern w:val="0"/>
          <w:rtl/>
        </w:rPr>
        <w:t>43-</w:t>
      </w:r>
      <w:r w:rsidRPr="005A1EB0">
        <w:rPr>
          <w:rFonts w:hint="cs"/>
          <w:w w:val="100"/>
          <w:kern w:val="0"/>
          <w:rtl/>
        </w:rPr>
        <w:tab/>
        <w:t>يشكل نقص الرقابة على أماكن الاحتجاز أيضاً عاملاً مساهماً في اللجوء المفرط إلى الإيداع في الحبس واكتظاظ السجون. وهناك تقارير تبيّن أن ثمة أماكن احتجاز تحتفظ بسجلات خاطئة وقد يصل ذلك إلى حدّ جهل السلطات بالعدد المحدد للمحتجزين في وقت معيّن أو بوضعهم</w:t>
      </w:r>
      <w:r w:rsidRPr="005A1EB0">
        <w:rPr>
          <w:b/>
          <w:w w:val="100"/>
          <w:kern w:val="0"/>
          <w:vertAlign w:val="superscript"/>
          <w:rtl/>
        </w:rPr>
        <w:footnoteReference w:customMarkFollows="1" w:id="180"/>
        <w:t>(180)</w:t>
      </w:r>
      <w:r w:rsidRPr="005A1EB0">
        <w:rPr>
          <w:rFonts w:hint="cs"/>
          <w:w w:val="100"/>
          <w:kern w:val="0"/>
          <w:rtl/>
        </w:rPr>
        <w:t xml:space="preserve">، </w:t>
      </w:r>
      <w:r w:rsidRPr="005A1EB0">
        <w:rPr>
          <w:rFonts w:hint="cs"/>
          <w:w w:val="100"/>
          <w:kern w:val="0"/>
          <w:rtl/>
        </w:rPr>
        <w:lastRenderedPageBreak/>
        <w:t>وعدم معرفتها بظروفهم المعيشية. وفي بعض الأحيان، عندما يستقبل المكان أقصى ما يمكنه استيعابه أو حتى أقل من ذلك بقليل، تكون الأَسرّة قريبة من بعضها لدرجة تبقى فيها الظروف المعيشية هشة</w:t>
      </w:r>
      <w:r w:rsidR="00D40B7C">
        <w:rPr>
          <w:rFonts w:hint="eastAsia"/>
          <w:w w:val="100"/>
          <w:kern w:val="0"/>
          <w:rtl/>
        </w:rPr>
        <w:t> </w:t>
      </w:r>
      <w:r w:rsidRPr="005A1EB0">
        <w:rPr>
          <w:rFonts w:hint="cs"/>
          <w:w w:val="100"/>
          <w:kern w:val="0"/>
          <w:rtl/>
        </w:rPr>
        <w:t>للغاية</w:t>
      </w:r>
      <w:r w:rsidRPr="005A1EB0">
        <w:rPr>
          <w:b/>
          <w:w w:val="100"/>
          <w:kern w:val="0"/>
          <w:vertAlign w:val="superscript"/>
          <w:rtl/>
        </w:rPr>
        <w:footnoteReference w:customMarkFollows="1" w:id="181"/>
        <w:t>(181)</w:t>
      </w:r>
      <w:r w:rsidRPr="005A1EB0">
        <w:rPr>
          <w:rFonts w:hint="cs"/>
          <w:w w:val="100"/>
          <w:kern w:val="0"/>
          <w:rtl/>
        </w:rPr>
        <w:t>. وبسبب ندرة أو انعدام الزيارات إلى أماكن الاحتجاز، لا</w:t>
      </w:r>
      <w:r w:rsidRPr="005A1EB0">
        <w:rPr>
          <w:rFonts w:hint="eastAsia"/>
          <w:w w:val="100"/>
          <w:kern w:val="0"/>
          <w:rtl/>
        </w:rPr>
        <w:t> </w:t>
      </w:r>
      <w:r w:rsidRPr="005A1EB0">
        <w:rPr>
          <w:rFonts w:hint="cs"/>
          <w:w w:val="100"/>
          <w:kern w:val="0"/>
          <w:rtl/>
        </w:rPr>
        <w:t>يستطيع المدعون العامون و/أو موظفو الجهاز القضائي</w:t>
      </w:r>
      <w:r w:rsidRPr="005A1EB0">
        <w:rPr>
          <w:b/>
          <w:w w:val="100"/>
          <w:kern w:val="0"/>
          <w:vertAlign w:val="superscript"/>
          <w:rtl/>
        </w:rPr>
        <w:footnoteReference w:customMarkFollows="1" w:id="182"/>
        <w:t>(182)</w:t>
      </w:r>
      <w:r w:rsidRPr="005A1EB0">
        <w:rPr>
          <w:rFonts w:hint="cs"/>
          <w:w w:val="100"/>
          <w:kern w:val="0"/>
          <w:rtl/>
        </w:rPr>
        <w:t xml:space="preserve"> فهم مستويات الاكتظاظ والآثار التي يخلفها اللجوء المفرط إلى الإيداع في الحبس فهماً صحيحاً. فلا يمكنهم بالتالي أن يأخذوا هذا العامل في الاعتبار عند اتخاذ قرار فيما</w:t>
      </w:r>
      <w:r w:rsidR="00D40B7C">
        <w:rPr>
          <w:rFonts w:hint="eastAsia"/>
          <w:w w:val="100"/>
          <w:kern w:val="0"/>
          <w:rtl/>
        </w:rPr>
        <w:t> </w:t>
      </w:r>
      <w:r w:rsidRPr="005A1EB0">
        <w:rPr>
          <w:rFonts w:hint="cs"/>
          <w:w w:val="100"/>
          <w:kern w:val="0"/>
          <w:rtl/>
        </w:rPr>
        <w:t>يخص احتجاز الفرد المعني أو الحكم عليه بعقوبة أو إخلاء سبيله.</w:t>
      </w: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w w:val="100"/>
          <w:kern w:val="0"/>
          <w:rtl/>
        </w:rPr>
        <w:tab/>
      </w:r>
      <w:bookmarkStart w:id="26" w:name="_Toc430010383"/>
      <w:r w:rsidRPr="005A1EB0">
        <w:rPr>
          <w:rFonts w:hint="cs"/>
          <w:w w:val="100"/>
          <w:kern w:val="0"/>
          <w:rtl/>
        </w:rPr>
        <w:t>رابعاً-</w:t>
      </w:r>
      <w:r w:rsidRPr="005A1EB0">
        <w:rPr>
          <w:rFonts w:hint="cs"/>
          <w:w w:val="100"/>
          <w:kern w:val="0"/>
          <w:rtl/>
        </w:rPr>
        <w:tab/>
        <w:t>معالجة مشكلة اللجوء المفرط إلى الإيداع في الحبس واكتظاظ السجون وآثارها على حقوق الإنسان</w:t>
      </w:r>
      <w:bookmarkEnd w:id="26"/>
    </w:p>
    <w:p w:rsidR="005A1EB0" w:rsidRPr="005A1EB0" w:rsidRDefault="005A1EB0" w:rsidP="005A1EB0">
      <w:pPr>
        <w:pStyle w:val="SingleTxt"/>
        <w:spacing w:after="0" w:line="120" w:lineRule="exact"/>
        <w:rPr>
          <w:b/>
          <w:bCs/>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27" w:name="_Toc430010384"/>
      <w:r w:rsidRPr="005A1EB0">
        <w:rPr>
          <w:rFonts w:hint="cs"/>
          <w:w w:val="100"/>
          <w:kern w:val="0"/>
          <w:rtl/>
        </w:rPr>
        <w:t>ألف-</w:t>
      </w:r>
      <w:r w:rsidRPr="005A1EB0">
        <w:rPr>
          <w:rFonts w:hint="cs"/>
          <w:w w:val="100"/>
          <w:kern w:val="0"/>
          <w:rtl/>
        </w:rPr>
        <w:tab/>
        <w:t>الحاجة إلى نهج استباقي وشامل</w:t>
      </w:r>
      <w:bookmarkEnd w:id="27"/>
    </w:p>
    <w:p w:rsidR="005A1EB0" w:rsidRPr="005A1EB0" w:rsidRDefault="005A1EB0" w:rsidP="005A1EB0">
      <w:pPr>
        <w:pStyle w:val="SingleTxt"/>
        <w:spacing w:after="0" w:line="120" w:lineRule="exact"/>
        <w:rPr>
          <w:w w:val="100"/>
          <w:kern w:val="0"/>
          <w:sz w:val="10"/>
          <w:rtl/>
        </w:rPr>
      </w:pPr>
    </w:p>
    <w:p w:rsidR="005A1EB0" w:rsidRPr="005A1EB0" w:rsidRDefault="005A1EB0" w:rsidP="00497680">
      <w:pPr>
        <w:pStyle w:val="SingleTxt"/>
        <w:spacing w:line="380" w:lineRule="exact"/>
        <w:rPr>
          <w:w w:val="100"/>
          <w:kern w:val="0"/>
          <w:rtl/>
        </w:rPr>
      </w:pPr>
      <w:r w:rsidRPr="005A1EB0">
        <w:rPr>
          <w:rFonts w:hint="cs"/>
          <w:w w:val="100"/>
          <w:kern w:val="0"/>
          <w:rtl/>
        </w:rPr>
        <w:t>44-</w:t>
      </w:r>
      <w:r w:rsidRPr="005A1EB0">
        <w:rPr>
          <w:rFonts w:hint="cs"/>
          <w:w w:val="100"/>
          <w:kern w:val="0"/>
          <w:rtl/>
        </w:rPr>
        <w:tab/>
        <w:t>لا يمكن التصدي بين عشيّة وضحاها لمشكلة اللجوء المفرط إلى الإيداع في الحبس واكتظاظ السجون، إذ إنّ تعقّد هاتين الظاهرتين يتطلب مجموعة من التدابير التشريعية والإدارية والسياسية والاقتصادية، بما في ذلك وضع سياسة شاملة وخطة عمل لتنفيذها. وهذا رأي تبنّته أيضاً مؤسسات وطنية</w:t>
      </w:r>
      <w:r w:rsidRPr="005A1EB0">
        <w:rPr>
          <w:b/>
          <w:w w:val="100"/>
          <w:kern w:val="0"/>
          <w:vertAlign w:val="superscript"/>
          <w:rtl/>
        </w:rPr>
        <w:footnoteReference w:customMarkFollows="1" w:id="183"/>
        <w:t>(183)</w:t>
      </w:r>
      <w:r w:rsidRPr="005A1EB0">
        <w:rPr>
          <w:rFonts w:hint="cs"/>
          <w:w w:val="100"/>
          <w:kern w:val="0"/>
          <w:rtl/>
        </w:rPr>
        <w:t xml:space="preserve"> وآليات إقليمية</w:t>
      </w:r>
      <w:r w:rsidRPr="005A1EB0">
        <w:rPr>
          <w:b/>
          <w:w w:val="100"/>
          <w:kern w:val="0"/>
          <w:vertAlign w:val="superscript"/>
          <w:rtl/>
        </w:rPr>
        <w:footnoteReference w:customMarkFollows="1" w:id="184"/>
        <w:t>(184)</w:t>
      </w:r>
      <w:r w:rsidRPr="005A1EB0">
        <w:rPr>
          <w:rFonts w:hint="cs"/>
          <w:w w:val="100"/>
          <w:kern w:val="0"/>
          <w:rtl/>
        </w:rPr>
        <w:t xml:space="preserve"> وهيئات دولية</w:t>
      </w:r>
      <w:r w:rsidRPr="005A1EB0">
        <w:rPr>
          <w:b/>
          <w:w w:val="100"/>
          <w:kern w:val="0"/>
          <w:vertAlign w:val="superscript"/>
          <w:rtl/>
        </w:rPr>
        <w:footnoteReference w:customMarkFollows="1" w:id="185"/>
        <w:t>(185)</w:t>
      </w:r>
      <w:r w:rsidRPr="005A1EB0">
        <w:rPr>
          <w:rFonts w:hint="cs"/>
          <w:w w:val="100"/>
          <w:kern w:val="0"/>
          <w:rtl/>
        </w:rPr>
        <w:t>. وأشارت الهيئات الإقليمية وكذلك الدولية إلى أن اتخاذ تدابير مثل بناء مرافق احتجاز جديدة وتجديد المرافق الموجودة قد يخفّفان بصورة فورية وقصيرة الأمد من حدّة مشكلة الاكتظاظ، إلا أنه لم يثبت أن ذلك سيقدّم حلاً فعّالاً ودائماً</w:t>
      </w:r>
      <w:r w:rsidRPr="005A1EB0">
        <w:rPr>
          <w:b/>
          <w:w w:val="100"/>
          <w:kern w:val="0"/>
          <w:vertAlign w:val="superscript"/>
          <w:rtl/>
        </w:rPr>
        <w:footnoteReference w:customMarkFollows="1" w:id="186"/>
        <w:t>(186)</w:t>
      </w:r>
      <w:r w:rsidRPr="005A1EB0">
        <w:rPr>
          <w:rFonts w:hint="cs"/>
          <w:w w:val="100"/>
          <w:kern w:val="0"/>
          <w:rtl/>
        </w:rPr>
        <w:t>.</w:t>
      </w:r>
    </w:p>
    <w:p w:rsidR="005A1EB0" w:rsidRPr="005A1EB0" w:rsidRDefault="005A1EB0" w:rsidP="00497680">
      <w:pPr>
        <w:pStyle w:val="SingleTxt"/>
        <w:spacing w:line="380" w:lineRule="exact"/>
        <w:rPr>
          <w:w w:val="100"/>
          <w:kern w:val="0"/>
          <w:rtl/>
        </w:rPr>
      </w:pPr>
      <w:r w:rsidRPr="005A1EB0">
        <w:rPr>
          <w:rFonts w:hint="cs"/>
          <w:w w:val="100"/>
          <w:kern w:val="0"/>
          <w:rtl/>
        </w:rPr>
        <w:t>45-</w:t>
      </w:r>
      <w:r w:rsidRPr="005A1EB0">
        <w:rPr>
          <w:rFonts w:hint="cs"/>
          <w:w w:val="100"/>
          <w:kern w:val="0"/>
          <w:rtl/>
        </w:rPr>
        <w:tab/>
        <w:t>وكما ذكرت اللجنة الأوروبية لمنع التعذيب، فإن الطريقة الوحيدة التي تصلح للحدّ من اكتظاظ السجون هي اعتماد سياسات مصمَّمة للحد من عدد الأشخاص الذين يودعون في السجن أو تخفيضه</w:t>
      </w:r>
      <w:r w:rsidRPr="005A1EB0">
        <w:rPr>
          <w:b/>
          <w:w w:val="100"/>
          <w:kern w:val="0"/>
          <w:vertAlign w:val="superscript"/>
          <w:rtl/>
        </w:rPr>
        <w:footnoteReference w:customMarkFollows="1" w:id="187"/>
        <w:t>(187)</w:t>
      </w:r>
      <w:r w:rsidRPr="005A1EB0">
        <w:rPr>
          <w:rFonts w:hint="cs"/>
          <w:w w:val="100"/>
          <w:kern w:val="0"/>
          <w:rtl/>
        </w:rPr>
        <w:t xml:space="preserve">. ومن أجل تحقيق ذلك، تحثّ اللجنة مستدلّة بالحجج اللازمة، على اعتماد </w:t>
      </w:r>
      <w:r w:rsidRPr="005A1EB0">
        <w:rPr>
          <w:rFonts w:hint="cs"/>
          <w:w w:val="100"/>
          <w:kern w:val="0"/>
          <w:rtl/>
        </w:rPr>
        <w:lastRenderedPageBreak/>
        <w:t>نهج أكثر تنسيقاً وشمولاً واستباقيةً، بالاستناد إلى مناقشات مستفيضة تشارك فيها جميع الجهات المعنية ومن بينها البرلمانيون والمدّعون العامون والقضاة وممثلو الهيئات الرقابية</w:t>
      </w:r>
      <w:r w:rsidRPr="005A1EB0">
        <w:rPr>
          <w:b/>
          <w:w w:val="100"/>
          <w:kern w:val="0"/>
          <w:vertAlign w:val="superscript"/>
          <w:rtl/>
        </w:rPr>
        <w:footnoteReference w:customMarkFollows="1" w:id="188"/>
        <w:t>(188)</w:t>
      </w:r>
      <w:r w:rsidRPr="005A1EB0">
        <w:rPr>
          <w:rFonts w:hint="cs"/>
          <w:w w:val="100"/>
          <w:kern w:val="0"/>
          <w:rtl/>
        </w:rPr>
        <w:t xml:space="preserve">. </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28" w:name="_Toc430010385"/>
      <w:r w:rsidRPr="005A1EB0">
        <w:rPr>
          <w:rFonts w:hint="cs"/>
          <w:w w:val="100"/>
          <w:kern w:val="0"/>
          <w:rtl/>
        </w:rPr>
        <w:t>باء-</w:t>
      </w:r>
      <w:r w:rsidRPr="005A1EB0">
        <w:rPr>
          <w:rFonts w:hint="cs"/>
          <w:w w:val="100"/>
          <w:kern w:val="0"/>
          <w:rtl/>
        </w:rPr>
        <w:tab/>
      </w:r>
      <w:r w:rsidRPr="005A1EB0">
        <w:rPr>
          <w:w w:val="100"/>
          <w:kern w:val="0"/>
          <w:rtl/>
        </w:rPr>
        <w:t xml:space="preserve">الحق في الطعن في إجراء الاحتجاز والاستعانة </w:t>
      </w:r>
      <w:r w:rsidRPr="005A1EB0">
        <w:rPr>
          <w:rFonts w:hint="cs"/>
          <w:w w:val="100"/>
          <w:kern w:val="0"/>
          <w:rtl/>
        </w:rPr>
        <w:t xml:space="preserve">بمحامٍ </w:t>
      </w:r>
      <w:r w:rsidRPr="005A1EB0">
        <w:rPr>
          <w:w w:val="100"/>
          <w:kern w:val="0"/>
          <w:rtl/>
        </w:rPr>
        <w:t>وتلقي المساعدة القانونية</w:t>
      </w:r>
      <w:bookmarkEnd w:id="28"/>
    </w:p>
    <w:p w:rsidR="005A1EB0" w:rsidRPr="005A1EB0" w:rsidRDefault="005A1EB0" w:rsidP="005A1EB0">
      <w:pPr>
        <w:pStyle w:val="SingleTxt"/>
        <w:spacing w:after="0" w:line="120" w:lineRule="exact"/>
        <w:rPr>
          <w:w w:val="100"/>
          <w:kern w:val="0"/>
          <w:sz w:val="10"/>
          <w:rtl/>
        </w:rPr>
      </w:pPr>
    </w:p>
    <w:p w:rsidR="005A1EB0" w:rsidRPr="00D40B7C" w:rsidRDefault="005A1EB0" w:rsidP="00497680">
      <w:pPr>
        <w:pStyle w:val="SingleTxt"/>
        <w:rPr>
          <w:spacing w:val="-2"/>
          <w:w w:val="100"/>
          <w:kern w:val="0"/>
          <w:rtl/>
        </w:rPr>
      </w:pPr>
      <w:r w:rsidRPr="00D40B7C">
        <w:rPr>
          <w:rFonts w:hint="cs"/>
          <w:spacing w:val="-2"/>
          <w:w w:val="100"/>
          <w:kern w:val="0"/>
          <w:rtl/>
        </w:rPr>
        <w:t>46-</w:t>
      </w:r>
      <w:r w:rsidRPr="00D40B7C">
        <w:rPr>
          <w:rFonts w:hint="cs"/>
          <w:spacing w:val="-2"/>
          <w:w w:val="100"/>
          <w:kern w:val="0"/>
          <w:rtl/>
        </w:rPr>
        <w:tab/>
        <w:t>ذكر الفريق العامل المعني بالاحتجاز التعسفي، في مشروعه المتعلق بالمبادئ الأساسية والمبادئ التوجيهية الأساسية</w:t>
      </w:r>
      <w:r w:rsidRPr="00D40B7C">
        <w:rPr>
          <w:spacing w:val="-2"/>
          <w:w w:val="100"/>
          <w:kern w:val="0"/>
          <w:rtl/>
        </w:rPr>
        <w:t xml:space="preserve"> بشأن سبل الانتصاف والإجراءات المتعلقة بحق كل شخص مسلوب الحرية</w:t>
      </w:r>
      <w:r w:rsidRPr="00D40B7C">
        <w:rPr>
          <w:rFonts w:hint="cs"/>
          <w:spacing w:val="-2"/>
          <w:w w:val="100"/>
          <w:kern w:val="0"/>
          <w:rtl/>
        </w:rPr>
        <w:t xml:space="preserve"> في إقامة دعوى أمام محكمة، أن إعمال حقّ الطعن في إجراء الاحتجاز هو وسيلة انتصاف قضائية وُضعت خصيصاً لحماية الحرية الشخصية والسلامة البدنية وأنه حق غير قابل للتقييد</w:t>
      </w:r>
      <w:r w:rsidRPr="00D40B7C">
        <w:rPr>
          <w:b/>
          <w:spacing w:val="-2"/>
          <w:w w:val="100"/>
          <w:kern w:val="0"/>
          <w:vertAlign w:val="superscript"/>
          <w:rtl/>
        </w:rPr>
        <w:footnoteReference w:customMarkFollows="1" w:id="189"/>
        <w:t>(189)</w:t>
      </w:r>
      <w:r w:rsidRPr="00D40B7C">
        <w:rPr>
          <w:rFonts w:hint="cs"/>
          <w:spacing w:val="-2"/>
          <w:w w:val="100"/>
          <w:kern w:val="0"/>
          <w:rtl/>
        </w:rPr>
        <w:t>.</w:t>
      </w:r>
    </w:p>
    <w:p w:rsidR="005A1EB0" w:rsidRPr="00497680" w:rsidRDefault="005A1EB0" w:rsidP="00497680">
      <w:pPr>
        <w:pStyle w:val="SingleTxt"/>
        <w:rPr>
          <w:w w:val="100"/>
          <w:kern w:val="0"/>
          <w:rtl/>
        </w:rPr>
      </w:pPr>
      <w:r w:rsidRPr="00497680">
        <w:rPr>
          <w:rFonts w:hint="cs"/>
          <w:w w:val="100"/>
          <w:kern w:val="0"/>
          <w:rtl/>
        </w:rPr>
        <w:t>47-</w:t>
      </w:r>
      <w:r w:rsidRPr="00497680">
        <w:rPr>
          <w:rFonts w:hint="cs"/>
          <w:w w:val="100"/>
          <w:kern w:val="0"/>
          <w:rtl/>
        </w:rPr>
        <w:tab/>
        <w:t>ويمثّل إعمال حق الطعن في إجراء الاحتجاز أداة مهمة لمعالجة مشكلة اكتظاظ السجون نظراً إلى أعداد الأفراد المحتجزين بصورة غير قانونية، أو عندما لا تُحترم المدد القصوى للاحتجاز السابق للمحاكمة أو عندما لا يتم فعلاً الإفراج عن المحتجزين فور انقضاء مدة عقوبتهم</w:t>
      </w:r>
      <w:r w:rsidRPr="00497680">
        <w:rPr>
          <w:b/>
          <w:w w:val="100"/>
          <w:kern w:val="0"/>
          <w:vertAlign w:val="superscript"/>
          <w:rtl/>
        </w:rPr>
        <w:footnoteReference w:customMarkFollows="1" w:id="190"/>
        <w:t>(190)</w:t>
      </w:r>
      <w:r w:rsidRPr="00497680">
        <w:rPr>
          <w:rFonts w:hint="cs"/>
          <w:w w:val="100"/>
          <w:kern w:val="0"/>
          <w:rtl/>
        </w:rPr>
        <w:t>. وبغية</w:t>
      </w:r>
      <w:r w:rsidR="00497680">
        <w:rPr>
          <w:rFonts w:hint="eastAsia"/>
          <w:w w:val="100"/>
          <w:kern w:val="0"/>
          <w:rtl/>
        </w:rPr>
        <w:t> </w:t>
      </w:r>
      <w:r w:rsidRPr="00497680">
        <w:rPr>
          <w:rFonts w:hint="cs"/>
          <w:w w:val="100"/>
          <w:kern w:val="0"/>
          <w:rtl/>
        </w:rPr>
        <w:t>إنفاذ هذا الحق، ينبغي أن يكون لكل محتجز الحق في إقامة دعوى أمام محكمة مستقلة دون الانتظار لفترة طويلة</w:t>
      </w:r>
      <w:r w:rsidRPr="00497680">
        <w:rPr>
          <w:b/>
          <w:w w:val="100"/>
          <w:kern w:val="0"/>
          <w:vertAlign w:val="superscript"/>
          <w:rtl/>
        </w:rPr>
        <w:footnoteReference w:customMarkFollows="1" w:id="191"/>
        <w:t>(191)</w:t>
      </w:r>
      <w:r w:rsidRPr="00497680">
        <w:rPr>
          <w:rFonts w:hint="cs"/>
          <w:w w:val="100"/>
          <w:kern w:val="0"/>
          <w:rtl/>
        </w:rPr>
        <w:t xml:space="preserve"> وفي المثول شخصياً أمام المحكمة. وعلاوة على ذلك، يقع على عاتق السلطات المسؤولة عن الاحتجاز عبء إثبات الوجاهة القانونية للاحتجاز فضلاً عن طابعه المعقول والضروري والمتناسب</w:t>
      </w:r>
      <w:r w:rsidRPr="00497680">
        <w:rPr>
          <w:b/>
          <w:w w:val="100"/>
          <w:kern w:val="0"/>
          <w:vertAlign w:val="superscript"/>
          <w:rtl/>
        </w:rPr>
        <w:footnoteReference w:customMarkFollows="1" w:id="192"/>
        <w:t>(192)</w:t>
      </w:r>
      <w:r w:rsidRPr="00497680">
        <w:rPr>
          <w:rFonts w:hint="cs"/>
          <w:w w:val="100"/>
          <w:kern w:val="0"/>
          <w:rtl/>
        </w:rPr>
        <w:t>.</w:t>
      </w:r>
    </w:p>
    <w:p w:rsidR="005A1EB0" w:rsidRPr="00497680" w:rsidRDefault="005A1EB0" w:rsidP="00497680">
      <w:pPr>
        <w:pStyle w:val="SingleTxt"/>
        <w:rPr>
          <w:spacing w:val="-4"/>
          <w:w w:val="100"/>
          <w:kern w:val="0"/>
          <w:rtl/>
        </w:rPr>
      </w:pPr>
      <w:r w:rsidRPr="00497680">
        <w:rPr>
          <w:rFonts w:hint="cs"/>
          <w:spacing w:val="-4"/>
          <w:w w:val="100"/>
          <w:kern w:val="0"/>
          <w:rtl/>
        </w:rPr>
        <w:t>48-</w:t>
      </w:r>
      <w:r w:rsidRPr="00497680">
        <w:rPr>
          <w:rFonts w:hint="cs"/>
          <w:spacing w:val="-4"/>
          <w:w w:val="100"/>
          <w:kern w:val="0"/>
          <w:rtl/>
        </w:rPr>
        <w:tab/>
        <w:t xml:space="preserve">وبالإضافة إلى ذلك، ينص مشروع المبادئ الأساسية والمبادئ التوجيهية </w:t>
      </w:r>
      <w:r w:rsidRPr="00497680">
        <w:rPr>
          <w:spacing w:val="-4"/>
          <w:w w:val="100"/>
          <w:kern w:val="0"/>
          <w:rtl/>
        </w:rPr>
        <w:t>بشأن سبل الانتصاف والإجراءات المتعلقة بحق كل شخص مسلوب الحرية</w:t>
      </w:r>
      <w:r w:rsidRPr="00497680">
        <w:rPr>
          <w:rFonts w:hint="cs"/>
          <w:spacing w:val="-4"/>
          <w:w w:val="100"/>
          <w:kern w:val="0"/>
          <w:rtl/>
        </w:rPr>
        <w:t xml:space="preserve"> في إقامة دعوى أمام محكمة على حق كل شخص مسلوب الحرية في أن يحصل، في أي وقت أثناء احتجازه، على مساعدة قانونية من محام يختاره بنفسه وأن</w:t>
      </w:r>
      <w:r w:rsidR="00497680">
        <w:rPr>
          <w:rFonts w:hint="eastAsia"/>
          <w:spacing w:val="-4"/>
          <w:w w:val="100"/>
          <w:kern w:val="0"/>
          <w:rtl/>
        </w:rPr>
        <w:t> </w:t>
      </w:r>
      <w:r w:rsidRPr="00497680">
        <w:rPr>
          <w:rFonts w:hint="cs"/>
          <w:spacing w:val="-4"/>
          <w:w w:val="100"/>
          <w:kern w:val="0"/>
          <w:rtl/>
        </w:rPr>
        <w:t>يتلقى المساعدة القانونية</w:t>
      </w:r>
      <w:r w:rsidRPr="00497680">
        <w:rPr>
          <w:b/>
          <w:spacing w:val="-4"/>
          <w:w w:val="100"/>
          <w:kern w:val="0"/>
          <w:vertAlign w:val="superscript"/>
          <w:rtl/>
        </w:rPr>
        <w:footnoteReference w:customMarkFollows="1" w:id="193"/>
        <w:t>(193)</w:t>
      </w:r>
      <w:r w:rsidRPr="00497680">
        <w:rPr>
          <w:rFonts w:hint="cs"/>
          <w:spacing w:val="-4"/>
          <w:w w:val="100"/>
          <w:kern w:val="0"/>
          <w:rtl/>
        </w:rPr>
        <w:t xml:space="preserve">. وصحيح أن المحامين هم الذين يوفّرون المساعدة القانونية في المقام الأول، إلا أن </w:t>
      </w:r>
      <w:r w:rsidRPr="00497680">
        <w:rPr>
          <w:spacing w:val="-4"/>
          <w:w w:val="100"/>
          <w:kern w:val="0"/>
          <w:rtl/>
        </w:rPr>
        <w:t>مبادئ الأمم المتحدة وتوجيهاتها بشأن سبل الحصول على المساعدة القانونية في نظم العدالة الجنائية</w:t>
      </w:r>
      <w:r w:rsidRPr="00497680">
        <w:rPr>
          <w:rFonts w:hint="cs"/>
          <w:spacing w:val="-4"/>
          <w:w w:val="100"/>
          <w:kern w:val="0"/>
          <w:rtl/>
        </w:rPr>
        <w:t xml:space="preserve"> </w:t>
      </w:r>
      <w:r w:rsidRPr="00497680">
        <w:rPr>
          <w:spacing w:val="-4"/>
          <w:w w:val="100"/>
          <w:kern w:val="0"/>
          <w:rtl/>
        </w:rPr>
        <w:t>تشير أيضاً إلى أن</w:t>
      </w:r>
      <w:r w:rsidRPr="00497680">
        <w:rPr>
          <w:rFonts w:hint="cs"/>
          <w:spacing w:val="-4"/>
          <w:w w:val="100"/>
          <w:kern w:val="0"/>
          <w:rtl/>
        </w:rPr>
        <w:t>ّ</w:t>
      </w:r>
      <w:r w:rsidRPr="00497680">
        <w:rPr>
          <w:spacing w:val="-4"/>
          <w:w w:val="100"/>
          <w:kern w:val="0"/>
          <w:rtl/>
        </w:rPr>
        <w:t xml:space="preserve"> الدول </w:t>
      </w:r>
      <w:r w:rsidRPr="00497680">
        <w:rPr>
          <w:rFonts w:hint="cs"/>
          <w:spacing w:val="-4"/>
          <w:w w:val="100"/>
          <w:kern w:val="0"/>
          <w:rtl/>
        </w:rPr>
        <w:t xml:space="preserve">تُشرك </w:t>
      </w:r>
      <w:r w:rsidRPr="00497680">
        <w:rPr>
          <w:spacing w:val="-4"/>
          <w:w w:val="100"/>
          <w:kern w:val="0"/>
          <w:rtl/>
        </w:rPr>
        <w:t xml:space="preserve">جهات معنية كثيرة </w:t>
      </w:r>
      <w:r w:rsidRPr="00497680">
        <w:rPr>
          <w:rFonts w:hint="cs"/>
          <w:spacing w:val="-4"/>
          <w:w w:val="100"/>
          <w:kern w:val="0"/>
          <w:rtl/>
        </w:rPr>
        <w:t xml:space="preserve">في </w:t>
      </w:r>
      <w:r w:rsidRPr="00497680">
        <w:rPr>
          <w:spacing w:val="-4"/>
          <w:w w:val="100"/>
          <w:kern w:val="0"/>
          <w:rtl/>
        </w:rPr>
        <w:t>تقد</w:t>
      </w:r>
      <w:r w:rsidRPr="00497680">
        <w:rPr>
          <w:rFonts w:hint="cs"/>
          <w:spacing w:val="-4"/>
          <w:w w:val="100"/>
          <w:kern w:val="0"/>
          <w:rtl/>
        </w:rPr>
        <w:t>ي</w:t>
      </w:r>
      <w:r w:rsidRPr="00497680">
        <w:rPr>
          <w:spacing w:val="-4"/>
          <w:w w:val="100"/>
          <w:kern w:val="0"/>
          <w:rtl/>
        </w:rPr>
        <w:t>م خدم</w:t>
      </w:r>
      <w:r w:rsidRPr="00497680">
        <w:rPr>
          <w:rFonts w:hint="cs"/>
          <w:spacing w:val="-4"/>
          <w:w w:val="100"/>
          <w:kern w:val="0"/>
          <w:rtl/>
        </w:rPr>
        <w:t>ات</w:t>
      </w:r>
      <w:r w:rsidRPr="00497680">
        <w:rPr>
          <w:spacing w:val="-4"/>
          <w:w w:val="100"/>
          <w:kern w:val="0"/>
          <w:rtl/>
        </w:rPr>
        <w:t xml:space="preserve"> المساعدة القانونية، </w:t>
      </w:r>
      <w:r w:rsidRPr="00497680">
        <w:rPr>
          <w:rFonts w:hint="cs"/>
          <w:spacing w:val="-4"/>
          <w:w w:val="100"/>
          <w:kern w:val="0"/>
          <w:rtl/>
        </w:rPr>
        <w:t>و</w:t>
      </w:r>
      <w:r w:rsidRPr="00497680">
        <w:rPr>
          <w:spacing w:val="-4"/>
          <w:w w:val="100"/>
          <w:kern w:val="0"/>
          <w:rtl/>
        </w:rPr>
        <w:t xml:space="preserve">من </w:t>
      </w:r>
      <w:r w:rsidRPr="00497680">
        <w:rPr>
          <w:rFonts w:hint="cs"/>
          <w:spacing w:val="-4"/>
          <w:w w:val="100"/>
          <w:kern w:val="0"/>
          <w:rtl/>
        </w:rPr>
        <w:t xml:space="preserve">هذه الجهات </w:t>
      </w:r>
      <w:r w:rsidRPr="00497680">
        <w:rPr>
          <w:spacing w:val="-4"/>
          <w:w w:val="100"/>
          <w:kern w:val="0"/>
          <w:rtl/>
        </w:rPr>
        <w:t>المنظمات غير الحكومية، والمنظمات الأهلية، والمنظمات الخيرية الدينية وغير الدينية، والهيئات والرابطات المهنية، والدوائر الأكاديمي</w:t>
      </w:r>
      <w:r w:rsidRPr="00497680">
        <w:rPr>
          <w:rFonts w:hint="cs"/>
          <w:spacing w:val="-4"/>
          <w:w w:val="100"/>
          <w:kern w:val="0"/>
          <w:rtl/>
        </w:rPr>
        <w:t>ة، والمعاونون القضائيون</w:t>
      </w:r>
      <w:r w:rsidRPr="00497680">
        <w:rPr>
          <w:b/>
          <w:spacing w:val="-4"/>
          <w:w w:val="100"/>
          <w:kern w:val="0"/>
          <w:vertAlign w:val="superscript"/>
          <w:rtl/>
        </w:rPr>
        <w:footnoteReference w:customMarkFollows="1" w:id="194"/>
        <w:t>(194)</w:t>
      </w:r>
      <w:r w:rsidRPr="00497680">
        <w:rPr>
          <w:rFonts w:hint="cs"/>
          <w:spacing w:val="-4"/>
          <w:w w:val="100"/>
          <w:kern w:val="0"/>
          <w:rtl/>
        </w:rPr>
        <w:t>.</w:t>
      </w:r>
    </w:p>
    <w:p w:rsidR="005A1EB0" w:rsidRPr="005A1EB0" w:rsidRDefault="005A1EB0" w:rsidP="0049768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Pr>
      </w:pPr>
      <w:r w:rsidRPr="005A1EB0">
        <w:rPr>
          <w:rFonts w:hint="cs"/>
          <w:w w:val="100"/>
          <w:rtl/>
        </w:rPr>
        <w:lastRenderedPageBreak/>
        <w:tab/>
      </w:r>
      <w:bookmarkStart w:id="29" w:name="_Toc430010386"/>
      <w:r w:rsidRPr="005A1EB0">
        <w:rPr>
          <w:rFonts w:hint="cs"/>
          <w:w w:val="100"/>
          <w:rtl/>
        </w:rPr>
        <w:t>جيم-</w:t>
      </w:r>
      <w:r w:rsidRPr="005A1EB0">
        <w:rPr>
          <w:rFonts w:hint="cs"/>
          <w:w w:val="100"/>
          <w:rtl/>
        </w:rPr>
        <w:tab/>
      </w:r>
      <w:r w:rsidRPr="005A1EB0">
        <w:rPr>
          <w:w w:val="100"/>
          <w:rtl/>
        </w:rPr>
        <w:t>ا</w:t>
      </w:r>
      <w:r w:rsidRPr="005A1EB0">
        <w:rPr>
          <w:rFonts w:hint="cs"/>
          <w:w w:val="100"/>
          <w:rtl/>
        </w:rPr>
        <w:t>لاستخدام الملائم لأماكن الاحتجاز</w:t>
      </w:r>
      <w:bookmarkEnd w:id="29"/>
    </w:p>
    <w:p w:rsidR="005A1EB0" w:rsidRPr="005A1EB0" w:rsidRDefault="005A1EB0" w:rsidP="005A1EB0">
      <w:pPr>
        <w:pStyle w:val="SingleTxt"/>
        <w:spacing w:after="0" w:line="120" w:lineRule="exact"/>
        <w:rPr>
          <w:w w:val="100"/>
          <w:kern w:val="0"/>
          <w:sz w:val="10"/>
          <w:rtl/>
        </w:rPr>
      </w:pPr>
    </w:p>
    <w:p w:rsidR="005A1EB0" w:rsidRPr="00C4469F" w:rsidRDefault="005A1EB0" w:rsidP="00C4469F">
      <w:pPr>
        <w:pStyle w:val="SingleTxt"/>
        <w:rPr>
          <w:w w:val="100"/>
          <w:kern w:val="0"/>
          <w:rtl/>
        </w:rPr>
      </w:pPr>
      <w:r w:rsidRPr="00C4469F">
        <w:rPr>
          <w:rFonts w:hint="cs"/>
          <w:w w:val="100"/>
          <w:kern w:val="0"/>
          <w:rtl/>
        </w:rPr>
        <w:t>49-</w:t>
      </w:r>
      <w:r w:rsidRPr="00C4469F">
        <w:rPr>
          <w:rFonts w:hint="cs"/>
          <w:w w:val="100"/>
          <w:kern w:val="0"/>
          <w:rtl/>
        </w:rPr>
        <w:tab/>
        <w:t>ينبغي مراعاة الغرض المحدد الذي بنيت أو أنشئت من أجله أماكن الاحتجاز</w:t>
      </w:r>
      <w:r w:rsidRPr="00C4469F">
        <w:rPr>
          <w:b/>
          <w:w w:val="100"/>
          <w:kern w:val="0"/>
          <w:vertAlign w:val="superscript"/>
          <w:rtl/>
        </w:rPr>
        <w:footnoteReference w:customMarkFollows="1" w:id="195"/>
        <w:t>(195)</w:t>
      </w:r>
      <w:r w:rsidRPr="00C4469F">
        <w:rPr>
          <w:rFonts w:hint="cs"/>
          <w:w w:val="100"/>
          <w:kern w:val="0"/>
          <w:rtl/>
        </w:rPr>
        <w:t>، بما فيها السجون ومخافر الشرطة، عند وضع الأشخاص رهن الاحتجاز. ويتعيّن استخدام مخافر الشرطة والمرافق</w:t>
      </w:r>
      <w:r w:rsidR="00D40B7C" w:rsidRPr="00C4469F">
        <w:rPr>
          <w:rFonts w:hint="eastAsia"/>
          <w:w w:val="100"/>
          <w:kern w:val="0"/>
          <w:rtl/>
        </w:rPr>
        <w:t> </w:t>
      </w:r>
      <w:r w:rsidRPr="00C4469F">
        <w:rPr>
          <w:rFonts w:hint="cs"/>
          <w:w w:val="100"/>
          <w:kern w:val="0"/>
          <w:rtl/>
        </w:rPr>
        <w:t>المشابهة لها لأغراض الاحتجاز القصير المدة حصراً لأنها ليست مناسبة للحبس المطوّل وتفتقر إلى المساحة الضرورية لذلك وإلى مرافق الصرف الصحي والمرافق الأخرى اللازمة لضمان توفير ظروف احتجاز لائقة</w:t>
      </w:r>
      <w:r w:rsidRPr="00C4469F">
        <w:rPr>
          <w:b/>
          <w:w w:val="100"/>
          <w:kern w:val="0"/>
          <w:vertAlign w:val="superscript"/>
          <w:rtl/>
        </w:rPr>
        <w:footnoteReference w:customMarkFollows="1" w:id="196"/>
        <w:t>(196)</w:t>
      </w:r>
      <w:r w:rsidRPr="00C4469F">
        <w:rPr>
          <w:rFonts w:hint="cs"/>
          <w:w w:val="100"/>
          <w:kern w:val="0"/>
          <w:rtl/>
        </w:rPr>
        <w:t>. ويجب تقييم القدرة الاستيعابية لأماكن الاحتجاز تقييماً واقعياً ويجب أن</w:t>
      </w:r>
      <w:r w:rsidR="00C4469F">
        <w:rPr>
          <w:rFonts w:hint="eastAsia"/>
          <w:w w:val="100"/>
          <w:kern w:val="0"/>
          <w:rtl/>
        </w:rPr>
        <w:t> </w:t>
      </w:r>
      <w:r w:rsidRPr="00C4469F">
        <w:rPr>
          <w:rFonts w:hint="cs"/>
          <w:w w:val="100"/>
          <w:kern w:val="0"/>
          <w:rtl/>
        </w:rPr>
        <w:t>يُجرى هذا التقييم على أساس تخصيص مساحة معقولة لكل محتجز</w:t>
      </w:r>
      <w:r w:rsidRPr="00C4469F">
        <w:rPr>
          <w:b/>
          <w:w w:val="100"/>
          <w:kern w:val="0"/>
          <w:vertAlign w:val="superscript"/>
          <w:rtl/>
        </w:rPr>
        <w:footnoteReference w:customMarkFollows="1" w:id="197"/>
        <w:t>(197)</w:t>
      </w:r>
      <w:r w:rsidRPr="00C4469F">
        <w:rPr>
          <w:rFonts w:hint="cs"/>
          <w:w w:val="100"/>
          <w:kern w:val="0"/>
          <w:rtl/>
        </w:rPr>
        <w:t>. ولا بدّ من وضع نظام فعال لحفظ السجلات يسمح بتتبع مدة احتجاز كلّ من ينتظر محاكمته وكلّ سجين محكوم عليه بعقوبة، كي تتمكّن أماكن الاحتجاز من إدارة قدراتها</w:t>
      </w:r>
      <w:r w:rsidRPr="00C4469F">
        <w:rPr>
          <w:b/>
          <w:w w:val="100"/>
          <w:kern w:val="0"/>
          <w:vertAlign w:val="superscript"/>
          <w:rtl/>
        </w:rPr>
        <w:footnoteReference w:customMarkFollows="1" w:id="198"/>
        <w:t>(198)</w:t>
      </w:r>
      <w:r w:rsidRPr="00C4469F">
        <w:rPr>
          <w:rFonts w:hint="cs"/>
          <w:w w:val="100"/>
          <w:kern w:val="0"/>
          <w:rtl/>
        </w:rPr>
        <w:t>. وأخيراً، ينبغي تزويد جميع أماكن الاحتجاز بالعدد الكافي من</w:t>
      </w:r>
      <w:r w:rsidR="00D40B7C" w:rsidRPr="00C4469F">
        <w:rPr>
          <w:rFonts w:hint="eastAsia"/>
          <w:w w:val="100"/>
          <w:kern w:val="0"/>
          <w:rtl/>
        </w:rPr>
        <w:t> </w:t>
      </w:r>
      <w:r w:rsidRPr="00C4469F">
        <w:rPr>
          <w:rFonts w:hint="cs"/>
          <w:w w:val="100"/>
          <w:kern w:val="0"/>
          <w:rtl/>
        </w:rPr>
        <w:t>الموظفين كي تُدار بفعالية وعلى أساس الاحترام الواجب لحقوق الإنسان المكفولة</w:t>
      </w:r>
      <w:r w:rsidR="00C4469F">
        <w:rPr>
          <w:rFonts w:hint="eastAsia"/>
          <w:w w:val="100"/>
          <w:kern w:val="0"/>
          <w:rtl/>
        </w:rPr>
        <w:t> </w:t>
      </w:r>
      <w:r w:rsidRPr="00C4469F">
        <w:rPr>
          <w:rFonts w:hint="cs"/>
          <w:w w:val="100"/>
          <w:kern w:val="0"/>
          <w:rtl/>
        </w:rPr>
        <w:t xml:space="preserve">للمحتجزين. </w:t>
      </w:r>
    </w:p>
    <w:p w:rsidR="005A1EB0" w:rsidRPr="00497680" w:rsidRDefault="005A1EB0" w:rsidP="0097344D">
      <w:pPr>
        <w:pStyle w:val="SingleTxt"/>
        <w:rPr>
          <w:spacing w:val="4"/>
          <w:w w:val="100"/>
          <w:kern w:val="0"/>
          <w:rtl/>
        </w:rPr>
      </w:pPr>
      <w:r w:rsidRPr="00497680">
        <w:rPr>
          <w:rFonts w:hint="cs"/>
          <w:spacing w:val="4"/>
          <w:w w:val="100"/>
          <w:kern w:val="0"/>
          <w:rtl/>
        </w:rPr>
        <w:t>50-</w:t>
      </w:r>
      <w:r w:rsidRPr="00497680">
        <w:rPr>
          <w:rFonts w:hint="cs"/>
          <w:spacing w:val="4"/>
          <w:w w:val="100"/>
          <w:kern w:val="0"/>
          <w:rtl/>
        </w:rPr>
        <w:tab/>
        <w:t>كما أن الآثار السلبية لاكتظاظ السجون تكون أشد وطأةً على الأفراد المحتجزين في أماكن لا تناسب احتياجاتهم الخاصة، مثل الأطفال والنساء والمسنين والأشخاص ذوي الإعاقة والمختلّين عقلياً</w:t>
      </w:r>
      <w:r w:rsidRPr="00497680">
        <w:rPr>
          <w:b/>
          <w:spacing w:val="4"/>
          <w:w w:val="100"/>
          <w:kern w:val="0"/>
          <w:vertAlign w:val="superscript"/>
          <w:rtl/>
        </w:rPr>
        <w:footnoteReference w:customMarkFollows="1" w:id="199"/>
        <w:t>(199)</w:t>
      </w:r>
      <w:r w:rsidRPr="00497680">
        <w:rPr>
          <w:rFonts w:hint="cs"/>
          <w:spacing w:val="4"/>
          <w:w w:val="100"/>
          <w:kern w:val="0"/>
          <w:rtl/>
        </w:rPr>
        <w:t>. وبالإضافة إلى ذلك، ينبغي ألا يظل الأشخاص المحتجزون في الحبس الاحتياطي أو المحكوم عليهم بعقوبة محبوسين في مخافرَ الشرطة، وذلك على عكس ما يمارَس في بعض الدول بسبب اكتظاظ العديد من السجون</w:t>
      </w:r>
      <w:r w:rsidRPr="00497680">
        <w:rPr>
          <w:b/>
          <w:spacing w:val="4"/>
          <w:w w:val="100"/>
          <w:kern w:val="0"/>
          <w:vertAlign w:val="superscript"/>
          <w:rtl/>
        </w:rPr>
        <w:footnoteReference w:customMarkFollows="1" w:id="200"/>
        <w:t>(200)</w:t>
      </w:r>
      <w:r w:rsidRPr="00497680">
        <w:rPr>
          <w:rFonts w:hint="cs"/>
          <w:spacing w:val="4"/>
          <w:w w:val="100"/>
          <w:kern w:val="0"/>
          <w:rtl/>
        </w:rPr>
        <w:t>.</w:t>
      </w:r>
    </w:p>
    <w:p w:rsidR="005A1EB0" w:rsidRPr="0097344D" w:rsidRDefault="005A1EB0" w:rsidP="0097344D">
      <w:pPr>
        <w:pStyle w:val="SingleTxt"/>
        <w:rPr>
          <w:w w:val="100"/>
          <w:kern w:val="0"/>
          <w:rtl/>
        </w:rPr>
      </w:pPr>
      <w:r w:rsidRPr="0097344D">
        <w:rPr>
          <w:rFonts w:hint="cs"/>
          <w:w w:val="100"/>
          <w:kern w:val="0"/>
          <w:rtl/>
        </w:rPr>
        <w:t>51-</w:t>
      </w:r>
      <w:r w:rsidRPr="0097344D">
        <w:rPr>
          <w:rFonts w:hint="cs"/>
          <w:w w:val="100"/>
          <w:kern w:val="0"/>
          <w:rtl/>
        </w:rPr>
        <w:tab/>
        <w:t>وبالإضافة إلى ذلك، ينبغي ألا يُترك مديرو أماكن الاحتجاز وحدهم لمواجهة ظاهرة اكتظاظ السجون</w:t>
      </w:r>
      <w:r w:rsidRPr="0097344D">
        <w:rPr>
          <w:b/>
          <w:w w:val="100"/>
          <w:kern w:val="0"/>
          <w:vertAlign w:val="superscript"/>
          <w:rtl/>
        </w:rPr>
        <w:footnoteReference w:customMarkFollows="1" w:id="201"/>
        <w:t>(201)</w:t>
      </w:r>
      <w:r w:rsidRPr="0097344D">
        <w:rPr>
          <w:rFonts w:hint="cs"/>
          <w:w w:val="100"/>
          <w:kern w:val="0"/>
          <w:rtl/>
        </w:rPr>
        <w:t>، بل ينبغي أن يكون هناك نظام اتصال فعال بين مختلف الجهات الفاعلة</w:t>
      </w:r>
      <w:r w:rsidR="00497680" w:rsidRPr="0097344D">
        <w:rPr>
          <w:rFonts w:hint="eastAsia"/>
          <w:w w:val="100"/>
          <w:kern w:val="0"/>
          <w:rtl/>
        </w:rPr>
        <w:t> </w:t>
      </w:r>
      <w:r w:rsidRPr="0097344D">
        <w:rPr>
          <w:rFonts w:hint="cs"/>
          <w:w w:val="100"/>
          <w:kern w:val="0"/>
          <w:rtl/>
        </w:rPr>
        <w:t xml:space="preserve">في نظام العدالة الجنائية للتأكد من أن عدد السجناء المرتقب احتجازهم في هذه الأماكن لا يفوق </w:t>
      </w:r>
      <w:r w:rsidRPr="0097344D">
        <w:rPr>
          <w:rFonts w:hint="cs"/>
          <w:w w:val="100"/>
          <w:kern w:val="0"/>
          <w:rtl/>
        </w:rPr>
        <w:lastRenderedPageBreak/>
        <w:t>طاقتها. وينبغي أن يُنظر في اعتماد ممارسات من قبيل فرض حظر قانوني على اكتظاظ السجون</w:t>
      </w:r>
      <w:r w:rsidRPr="0097344D">
        <w:rPr>
          <w:b/>
          <w:w w:val="100"/>
          <w:kern w:val="0"/>
          <w:vertAlign w:val="superscript"/>
          <w:rtl/>
        </w:rPr>
        <w:footnoteReference w:customMarkFollows="1" w:id="202"/>
        <w:t>(202)</w:t>
      </w:r>
      <w:r w:rsidRPr="0097344D">
        <w:rPr>
          <w:rFonts w:hint="cs"/>
          <w:w w:val="100"/>
          <w:kern w:val="0"/>
          <w:rtl/>
        </w:rPr>
        <w:t xml:space="preserve">. </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30" w:name="_Toc430010387"/>
      <w:r w:rsidRPr="005A1EB0">
        <w:rPr>
          <w:rFonts w:hint="cs"/>
          <w:w w:val="100"/>
          <w:kern w:val="0"/>
          <w:rtl/>
        </w:rPr>
        <w:t>دال-</w:t>
      </w:r>
      <w:r w:rsidRPr="005A1EB0">
        <w:rPr>
          <w:rFonts w:hint="cs"/>
          <w:w w:val="100"/>
          <w:kern w:val="0"/>
          <w:rtl/>
        </w:rPr>
        <w:tab/>
        <w:t>اللجوء إلى الاحتجاز السابق للمحاكمة كملاذ أخير</w:t>
      </w:r>
      <w:bookmarkEnd w:id="30"/>
    </w:p>
    <w:p w:rsidR="005A1EB0" w:rsidRPr="005A1EB0" w:rsidRDefault="005A1EB0" w:rsidP="005A1EB0">
      <w:pPr>
        <w:pStyle w:val="SingleTxt"/>
        <w:spacing w:after="0" w:line="120" w:lineRule="exact"/>
        <w:rPr>
          <w:w w:val="100"/>
          <w:kern w:val="0"/>
          <w:sz w:val="10"/>
          <w:rtl/>
        </w:rPr>
      </w:pPr>
    </w:p>
    <w:p w:rsidR="005A1EB0" w:rsidRPr="005A1EB0" w:rsidRDefault="005A1EB0" w:rsidP="00497680">
      <w:pPr>
        <w:pStyle w:val="SingleTxt"/>
        <w:rPr>
          <w:w w:val="100"/>
          <w:kern w:val="0"/>
          <w:rtl/>
        </w:rPr>
      </w:pPr>
      <w:r w:rsidRPr="005A1EB0">
        <w:rPr>
          <w:rFonts w:hint="cs"/>
          <w:w w:val="100"/>
          <w:kern w:val="0"/>
          <w:rtl/>
        </w:rPr>
        <w:t>52-</w:t>
      </w:r>
      <w:r w:rsidRPr="005A1EB0">
        <w:rPr>
          <w:rFonts w:hint="cs"/>
          <w:w w:val="100"/>
          <w:kern w:val="0"/>
          <w:rtl/>
        </w:rPr>
        <w:tab/>
        <w:t>بالنظر إلى أن اللجوء المفرط إلى الاحتجاز السابق للمحاكمة هو من الأسباب الرئيسية للجوء المفرط إلى الإيداع في الحبس واكتظاظ السجون في شتى أنحاء العالم</w:t>
      </w:r>
      <w:r w:rsidRPr="005A1EB0">
        <w:rPr>
          <w:b/>
          <w:w w:val="100"/>
          <w:kern w:val="0"/>
          <w:vertAlign w:val="superscript"/>
          <w:rtl/>
        </w:rPr>
        <w:footnoteReference w:customMarkFollows="1" w:id="203"/>
        <w:t>(203)</w:t>
      </w:r>
      <w:r w:rsidRPr="005A1EB0">
        <w:rPr>
          <w:rFonts w:hint="cs"/>
          <w:w w:val="100"/>
          <w:kern w:val="0"/>
          <w:rtl/>
        </w:rPr>
        <w:t>، فإن من شأن التقيد الصارم بالمعايير والقواعد الدولية ذات الصلة أن يؤدي دوراً كبيراً في معالجة هذه الظاهرة. وينبغي ألا</w:t>
      </w:r>
      <w:r w:rsidR="00497680">
        <w:rPr>
          <w:rFonts w:hint="eastAsia"/>
          <w:w w:val="100"/>
          <w:kern w:val="0"/>
          <w:rtl/>
        </w:rPr>
        <w:t> </w:t>
      </w:r>
      <w:r w:rsidRPr="005A1EB0">
        <w:rPr>
          <w:rFonts w:hint="cs"/>
          <w:w w:val="100"/>
          <w:kern w:val="0"/>
          <w:rtl/>
        </w:rPr>
        <w:t>يكون الاحتجاز السابق للمحاكمة سوى تدبير يُلجأ إليه كملاذ أخير</w:t>
      </w:r>
      <w:r w:rsidRPr="005A1EB0">
        <w:rPr>
          <w:b/>
          <w:w w:val="100"/>
          <w:kern w:val="0"/>
          <w:vertAlign w:val="superscript"/>
          <w:rtl/>
        </w:rPr>
        <w:footnoteReference w:customMarkFollows="1" w:id="204"/>
        <w:t>(204)</w:t>
      </w:r>
      <w:r w:rsidRPr="005A1EB0">
        <w:rPr>
          <w:rFonts w:hint="cs"/>
          <w:w w:val="100"/>
          <w:kern w:val="0"/>
          <w:rtl/>
        </w:rPr>
        <w:t>.</w:t>
      </w:r>
    </w:p>
    <w:p w:rsidR="005A1EB0" w:rsidRPr="005A1EB0" w:rsidRDefault="005A1EB0" w:rsidP="00497680">
      <w:pPr>
        <w:pStyle w:val="SingleTxt"/>
        <w:rPr>
          <w:w w:val="100"/>
          <w:kern w:val="0"/>
          <w:rtl/>
        </w:rPr>
      </w:pPr>
      <w:r w:rsidRPr="005A1EB0">
        <w:rPr>
          <w:rFonts w:hint="cs"/>
          <w:w w:val="100"/>
          <w:kern w:val="0"/>
          <w:rtl/>
        </w:rPr>
        <w:t>53-</w:t>
      </w:r>
      <w:r w:rsidRPr="005A1EB0">
        <w:rPr>
          <w:rFonts w:hint="cs"/>
          <w:w w:val="100"/>
          <w:kern w:val="0"/>
          <w:rtl/>
        </w:rPr>
        <w:tab/>
        <w:t>وبالإضافة إلى ذلك، شدّدت اللجنة المعنية بحقوق الإنسان في تعليقها العام رقم 35 على أنه "</w:t>
      </w:r>
      <w:r w:rsidRPr="005A1EB0">
        <w:rPr>
          <w:w w:val="100"/>
          <w:kern w:val="0"/>
          <w:rtl/>
        </w:rPr>
        <w:t>يجب أن يستند الاحتجاز رهن المحاكمة إلى قرار بشأن الحالة الفردية يؤكد معقولية الاحتجاز وضرورته من أجل منع فرار المتهم أو التلاعب بالأدلة أو تكرار الجريمة، على سبيل المثال، مع أخذ</w:t>
      </w:r>
      <w:r w:rsidR="00497680">
        <w:rPr>
          <w:rFonts w:hint="cs"/>
          <w:w w:val="100"/>
          <w:kern w:val="0"/>
          <w:rtl/>
        </w:rPr>
        <w:t> </w:t>
      </w:r>
      <w:r w:rsidRPr="005A1EB0">
        <w:rPr>
          <w:w w:val="100"/>
          <w:kern w:val="0"/>
          <w:rtl/>
        </w:rPr>
        <w:t>جميع الظروف في الاعتبار</w:t>
      </w:r>
      <w:r w:rsidRPr="005A1EB0">
        <w:rPr>
          <w:rFonts w:hint="cs"/>
          <w:w w:val="100"/>
          <w:kern w:val="0"/>
          <w:rtl/>
        </w:rPr>
        <w:t>"</w:t>
      </w:r>
      <w:r w:rsidRPr="005A1EB0">
        <w:rPr>
          <w:b/>
          <w:w w:val="100"/>
          <w:kern w:val="0"/>
          <w:vertAlign w:val="superscript"/>
          <w:rtl/>
        </w:rPr>
        <w:footnoteReference w:customMarkFollows="1" w:id="205"/>
        <w:t>(205)</w:t>
      </w:r>
      <w:r w:rsidRPr="005A1EB0">
        <w:rPr>
          <w:w w:val="100"/>
          <w:kern w:val="0"/>
          <w:rtl/>
        </w:rPr>
        <w:t>.</w:t>
      </w:r>
      <w:r w:rsidRPr="005A1EB0">
        <w:rPr>
          <w:rFonts w:hint="cs"/>
          <w:w w:val="100"/>
          <w:kern w:val="0"/>
          <w:rtl/>
        </w:rPr>
        <w:t xml:space="preserve"> وهذا يعني أن الاحتجاز السابق للمحاكمة لا يجوز أن يُفرض</w:t>
      </w:r>
      <w:r w:rsidR="00497680">
        <w:rPr>
          <w:rFonts w:hint="eastAsia"/>
          <w:w w:val="100"/>
          <w:kern w:val="0"/>
          <w:rtl/>
        </w:rPr>
        <w:t> </w:t>
      </w:r>
      <w:r w:rsidRPr="005A1EB0">
        <w:rPr>
          <w:rFonts w:hint="cs"/>
          <w:w w:val="100"/>
          <w:kern w:val="0"/>
          <w:rtl/>
        </w:rPr>
        <w:t>إلزامياً دون النظر في الظروف الفردية</w:t>
      </w:r>
      <w:r w:rsidRPr="005A1EB0">
        <w:rPr>
          <w:b/>
          <w:w w:val="100"/>
          <w:kern w:val="0"/>
          <w:vertAlign w:val="superscript"/>
          <w:rtl/>
        </w:rPr>
        <w:footnoteReference w:customMarkFollows="1" w:id="206"/>
        <w:t>(206)</w:t>
      </w:r>
      <w:r w:rsidRPr="005A1EB0">
        <w:rPr>
          <w:rFonts w:hint="cs"/>
          <w:w w:val="100"/>
          <w:kern w:val="0"/>
          <w:rtl/>
        </w:rPr>
        <w:t>، مع أنّ هذه الممارسة شائعة في بعض الدول</w:t>
      </w:r>
      <w:r w:rsidRPr="005A1EB0">
        <w:rPr>
          <w:b/>
          <w:w w:val="100"/>
          <w:kern w:val="0"/>
          <w:vertAlign w:val="superscript"/>
          <w:rtl/>
        </w:rPr>
        <w:footnoteReference w:customMarkFollows="1" w:id="207"/>
        <w:t>(207)</w:t>
      </w:r>
      <w:r w:rsidRPr="005A1EB0">
        <w:rPr>
          <w:rFonts w:hint="cs"/>
          <w:w w:val="100"/>
          <w:kern w:val="0"/>
          <w:rtl/>
        </w:rPr>
        <w:t xml:space="preserve">، وأنه ينبغي أيضاً النظر على النحو الواجب في بدائل الاحتجاز السابق للمحاكمة عند تقرير </w:t>
      </w:r>
      <w:r w:rsidR="00497680">
        <w:rPr>
          <w:rFonts w:hint="cs"/>
          <w:w w:val="100"/>
          <w:kern w:val="0"/>
          <w:rtl/>
        </w:rPr>
        <w:t xml:space="preserve">             </w:t>
      </w:r>
      <w:r w:rsidRPr="005A1EB0">
        <w:rPr>
          <w:rFonts w:hint="cs"/>
          <w:w w:val="100"/>
          <w:kern w:val="0"/>
          <w:rtl/>
        </w:rPr>
        <w:t>ما إذا كان ينبغي إطالة فترة هذا الاحتجاز. ويجب الالتزام على نحو صارم بالحدود الزمنية المنطبقة في</w:t>
      </w:r>
      <w:r w:rsidR="00497680">
        <w:rPr>
          <w:rFonts w:hint="eastAsia"/>
          <w:w w:val="100"/>
          <w:kern w:val="0"/>
          <w:rtl/>
        </w:rPr>
        <w:t> </w:t>
      </w:r>
      <w:r w:rsidRPr="005A1EB0">
        <w:rPr>
          <w:rFonts w:hint="cs"/>
          <w:w w:val="100"/>
          <w:kern w:val="0"/>
          <w:rtl/>
        </w:rPr>
        <w:t>حالة</w:t>
      </w:r>
      <w:r w:rsidR="00497680">
        <w:rPr>
          <w:rFonts w:hint="eastAsia"/>
          <w:w w:val="100"/>
          <w:kern w:val="0"/>
          <w:rtl/>
        </w:rPr>
        <w:t> </w:t>
      </w:r>
      <w:r w:rsidRPr="005A1EB0">
        <w:rPr>
          <w:rFonts w:hint="cs"/>
          <w:w w:val="100"/>
          <w:kern w:val="0"/>
          <w:rtl/>
        </w:rPr>
        <w:t>الاحتجاز السابق للمحاكمة</w:t>
      </w:r>
      <w:r w:rsidRPr="005A1EB0">
        <w:rPr>
          <w:b/>
          <w:w w:val="100"/>
          <w:kern w:val="0"/>
          <w:vertAlign w:val="superscript"/>
          <w:rtl/>
        </w:rPr>
        <w:footnoteReference w:customMarkFollows="1" w:id="208"/>
        <w:t>(208)</w:t>
      </w:r>
      <w:r w:rsidRPr="005A1EB0">
        <w:rPr>
          <w:rFonts w:hint="cs"/>
          <w:w w:val="100"/>
          <w:kern w:val="0"/>
          <w:rtl/>
        </w:rPr>
        <w:t>. ويضاف إلى ذلك أنه إذا تجاوزَ طول فترة بقاء المتهم</w:t>
      </w:r>
      <w:r w:rsidR="00497680">
        <w:rPr>
          <w:rFonts w:hint="eastAsia"/>
          <w:w w:val="100"/>
          <w:kern w:val="0"/>
          <w:rtl/>
        </w:rPr>
        <w:t> </w:t>
      </w:r>
      <w:r w:rsidRPr="005A1EB0">
        <w:rPr>
          <w:rFonts w:hint="cs"/>
          <w:w w:val="100"/>
          <w:kern w:val="0"/>
          <w:rtl/>
        </w:rPr>
        <w:t>رهن</w:t>
      </w:r>
      <w:r w:rsidR="00497680">
        <w:rPr>
          <w:rFonts w:hint="eastAsia"/>
          <w:w w:val="100"/>
          <w:kern w:val="0"/>
          <w:rtl/>
        </w:rPr>
        <w:t> </w:t>
      </w:r>
      <w:r w:rsidRPr="005A1EB0">
        <w:rPr>
          <w:rFonts w:hint="cs"/>
          <w:w w:val="100"/>
          <w:kern w:val="0"/>
          <w:rtl/>
        </w:rPr>
        <w:t>الاحتجاز أطول مده عقوبة يمكن فرضها في حالة الجرائم المنسوبة إليه، تعيّن إطلاق</w:t>
      </w:r>
      <w:r w:rsidR="00497680">
        <w:rPr>
          <w:rFonts w:hint="eastAsia"/>
          <w:w w:val="100"/>
          <w:kern w:val="0"/>
          <w:rtl/>
        </w:rPr>
        <w:t> </w:t>
      </w:r>
      <w:r w:rsidRPr="005A1EB0">
        <w:rPr>
          <w:rFonts w:hint="cs"/>
          <w:w w:val="100"/>
          <w:kern w:val="0"/>
          <w:rtl/>
        </w:rPr>
        <w:t>سراحه</w:t>
      </w:r>
      <w:r w:rsidRPr="005A1EB0">
        <w:rPr>
          <w:b/>
          <w:w w:val="100"/>
          <w:kern w:val="0"/>
          <w:vertAlign w:val="superscript"/>
          <w:rtl/>
        </w:rPr>
        <w:footnoteReference w:customMarkFollows="1" w:id="209"/>
        <w:t>(209)</w:t>
      </w:r>
      <w:r w:rsidRPr="005A1EB0">
        <w:rPr>
          <w:rFonts w:hint="cs"/>
          <w:w w:val="100"/>
          <w:kern w:val="0"/>
          <w:rtl/>
        </w:rPr>
        <w:t>.</w:t>
      </w:r>
    </w:p>
    <w:p w:rsidR="00497680" w:rsidRDefault="00497680">
      <w:pPr>
        <w:bidi w:val="0"/>
        <w:spacing w:line="240" w:lineRule="auto"/>
        <w:jc w:val="left"/>
        <w:rPr>
          <w:b/>
          <w:bCs/>
          <w:w w:val="100"/>
          <w:kern w:val="0"/>
          <w:sz w:val="24"/>
          <w:szCs w:val="34"/>
        </w:rPr>
      </w:pPr>
      <w:r>
        <w:rPr>
          <w:w w:val="100"/>
          <w:kern w:val="0"/>
          <w:rtl/>
        </w:rPr>
        <w:br w:type="page"/>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lastRenderedPageBreak/>
        <w:tab/>
      </w:r>
      <w:bookmarkStart w:id="31" w:name="_Toc430010388"/>
      <w:r w:rsidRPr="005A1EB0">
        <w:rPr>
          <w:rFonts w:hint="cs"/>
          <w:w w:val="100"/>
          <w:kern w:val="0"/>
          <w:rtl/>
        </w:rPr>
        <w:t>هاء-</w:t>
      </w:r>
      <w:r w:rsidRPr="005A1EB0">
        <w:rPr>
          <w:rFonts w:hint="cs"/>
          <w:w w:val="100"/>
          <w:kern w:val="0"/>
          <w:rtl/>
        </w:rPr>
        <w:tab/>
        <w:t>بدائل التدابير الاحتجازية</w:t>
      </w:r>
      <w:bookmarkEnd w:id="31"/>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54-</w:t>
      </w:r>
      <w:r w:rsidRPr="005A1EB0">
        <w:rPr>
          <w:rFonts w:hint="cs"/>
          <w:w w:val="100"/>
          <w:kern w:val="0"/>
          <w:rtl/>
        </w:rPr>
        <w:tab/>
        <w:t>في إطار المعايير الدولية المطبَّقة بالتدابير غير الاحتجازية</w:t>
      </w:r>
      <w:r w:rsidRPr="005A1EB0">
        <w:rPr>
          <w:b/>
          <w:w w:val="100"/>
          <w:kern w:val="0"/>
          <w:vertAlign w:val="superscript"/>
          <w:rtl/>
        </w:rPr>
        <w:footnoteReference w:customMarkFollows="1" w:id="210"/>
        <w:t>(210)</w:t>
      </w:r>
      <w:r w:rsidRPr="005A1EB0">
        <w:rPr>
          <w:rFonts w:hint="cs"/>
          <w:w w:val="100"/>
          <w:kern w:val="0"/>
          <w:rtl/>
        </w:rPr>
        <w:t>، ثمة توصية رئيسية من توصيات الهيئات الدولية</w:t>
      </w:r>
      <w:r w:rsidRPr="005A1EB0">
        <w:rPr>
          <w:b/>
          <w:w w:val="100"/>
          <w:kern w:val="0"/>
          <w:vertAlign w:val="superscript"/>
          <w:rtl/>
        </w:rPr>
        <w:footnoteReference w:customMarkFollows="1" w:id="211"/>
        <w:t>(211)</w:t>
      </w:r>
      <w:r w:rsidRPr="005A1EB0">
        <w:rPr>
          <w:rFonts w:hint="cs"/>
          <w:w w:val="100"/>
          <w:kern w:val="0"/>
          <w:rtl/>
        </w:rPr>
        <w:t xml:space="preserve"> والإقليمية</w:t>
      </w:r>
      <w:r w:rsidRPr="005A1EB0">
        <w:rPr>
          <w:b/>
          <w:w w:val="100"/>
          <w:kern w:val="0"/>
          <w:vertAlign w:val="superscript"/>
          <w:rtl/>
        </w:rPr>
        <w:footnoteReference w:customMarkFollows="1" w:id="212"/>
        <w:t>(212)</w:t>
      </w:r>
      <w:r w:rsidRPr="005A1EB0">
        <w:rPr>
          <w:rFonts w:hint="cs"/>
          <w:w w:val="100"/>
          <w:kern w:val="0"/>
          <w:rtl/>
        </w:rPr>
        <w:t xml:space="preserve"> والوطنية</w:t>
      </w:r>
      <w:r w:rsidRPr="005A1EB0">
        <w:rPr>
          <w:b/>
          <w:w w:val="100"/>
          <w:kern w:val="0"/>
          <w:vertAlign w:val="superscript"/>
          <w:rtl/>
        </w:rPr>
        <w:footnoteReference w:customMarkFollows="1" w:id="213"/>
        <w:t>(213)</w:t>
      </w:r>
      <w:r w:rsidRPr="005A1EB0">
        <w:rPr>
          <w:rFonts w:hint="cs"/>
          <w:w w:val="100"/>
          <w:kern w:val="0"/>
          <w:rtl/>
        </w:rPr>
        <w:t xml:space="preserve"> فيما يخص خفض معدلات اللجوء المفرط إلى الاحتجاز السابق للمحاكمة واكتظاظ السجون وتدعو إلى وضع سياسة لزيادة اللجوء إلى التدابير غير الاحتجازية وإلى بدائل لعقوبة السجن. وكما قالت اللجنة الأوروبية لمنع التعذيب، "ينبغي وضع استراتيجية من شأنها خفض عدد السجناء بصورة مستدامة للحرص على أن يبقى السَّجن في الواقع العملي التدبير الذي يُلجأ كملاذ أخير في جميع مراحل نظام العدالة الجنائية، من المرحلة السابقة للمحاكمة حتى تنفيذ الحكم"</w:t>
      </w:r>
      <w:r w:rsidRPr="005A1EB0">
        <w:rPr>
          <w:b/>
          <w:w w:val="100"/>
          <w:kern w:val="0"/>
          <w:vertAlign w:val="superscript"/>
          <w:rtl/>
        </w:rPr>
        <w:footnoteReference w:customMarkFollows="1" w:id="214"/>
        <w:t>(214)</w:t>
      </w:r>
      <w:r w:rsidRPr="005A1EB0">
        <w:rPr>
          <w:rFonts w:hint="cs"/>
          <w:w w:val="100"/>
          <w:kern w:val="0"/>
          <w:rtl/>
        </w:rPr>
        <w:t>.</w:t>
      </w:r>
    </w:p>
    <w:p w:rsidR="005A1EB0" w:rsidRPr="005A1EB0" w:rsidRDefault="005A1EB0" w:rsidP="00841FED">
      <w:pPr>
        <w:pStyle w:val="SingleTxt"/>
        <w:rPr>
          <w:w w:val="100"/>
          <w:kern w:val="0"/>
          <w:rtl/>
        </w:rPr>
      </w:pPr>
      <w:r w:rsidRPr="005A1EB0">
        <w:rPr>
          <w:rFonts w:hint="cs"/>
          <w:w w:val="100"/>
          <w:kern w:val="0"/>
          <w:rtl/>
        </w:rPr>
        <w:t>55-</w:t>
      </w:r>
      <w:r w:rsidRPr="005A1EB0">
        <w:rPr>
          <w:rFonts w:hint="cs"/>
          <w:w w:val="100"/>
          <w:kern w:val="0"/>
          <w:rtl/>
        </w:rPr>
        <w:tab/>
        <w:t>ولكي تكون بدائل الاحتجاز فعالة، يجب أن تكون هناك مجموعة متنوعة من التدابير المتاحة في المرحلة السابقة للمحاكمة وفي مرحلة الإدانة، ومن بين هذه البدائل الإفراج بكفالة معقولة</w:t>
      </w:r>
      <w:r w:rsidRPr="005A1EB0">
        <w:rPr>
          <w:b/>
          <w:w w:val="100"/>
          <w:kern w:val="0"/>
          <w:vertAlign w:val="superscript"/>
          <w:rtl/>
        </w:rPr>
        <w:footnoteReference w:customMarkFollows="1" w:id="215"/>
        <w:t>(215)</w:t>
      </w:r>
      <w:r w:rsidRPr="005A1EB0">
        <w:rPr>
          <w:rFonts w:hint="cs"/>
          <w:w w:val="100"/>
          <w:kern w:val="0"/>
          <w:rtl/>
        </w:rPr>
        <w:t>، والإفراج تلقائياً عن غالبية المتهمين بكفالة</w:t>
      </w:r>
      <w:r w:rsidRPr="005A1EB0">
        <w:rPr>
          <w:b/>
          <w:w w:val="100"/>
          <w:kern w:val="0"/>
          <w:vertAlign w:val="superscript"/>
          <w:rtl/>
        </w:rPr>
        <w:footnoteReference w:customMarkFollows="1" w:id="216"/>
        <w:t>(216)</w:t>
      </w:r>
      <w:r w:rsidRPr="005A1EB0">
        <w:rPr>
          <w:rFonts w:hint="cs"/>
          <w:w w:val="100"/>
          <w:kern w:val="0"/>
          <w:rtl/>
        </w:rPr>
        <w:t>، وفرض الغرامات المالية، والإقامة الجبرية المراقبة إلكترونياً</w:t>
      </w:r>
      <w:r w:rsidRPr="005A1EB0">
        <w:rPr>
          <w:b/>
          <w:w w:val="100"/>
          <w:kern w:val="0"/>
          <w:vertAlign w:val="superscript"/>
          <w:rtl/>
        </w:rPr>
        <w:footnoteReference w:customMarkFollows="1" w:id="217"/>
        <w:t>(217)</w:t>
      </w:r>
      <w:r w:rsidRPr="005A1EB0">
        <w:rPr>
          <w:rFonts w:hint="cs"/>
          <w:w w:val="100"/>
          <w:kern w:val="0"/>
          <w:rtl/>
        </w:rPr>
        <w:t>، وأداء الخدمة المجتمعية، ومعاقبة الأحداث، والإشراف على الإفراج المشروط</w:t>
      </w:r>
      <w:r w:rsidRPr="005A1EB0">
        <w:rPr>
          <w:b/>
          <w:w w:val="100"/>
          <w:kern w:val="0"/>
          <w:vertAlign w:val="superscript"/>
          <w:rtl/>
        </w:rPr>
        <w:footnoteReference w:customMarkFollows="1" w:id="218"/>
        <w:t>(218)</w:t>
      </w:r>
      <w:r w:rsidRPr="005A1EB0">
        <w:rPr>
          <w:rFonts w:hint="cs"/>
          <w:w w:val="100"/>
          <w:kern w:val="0"/>
          <w:rtl/>
        </w:rPr>
        <w:t xml:space="preserve"> فضلاً عن تخفيف العقوبة أو استبدالها واعتماد نظام للإفراج بكفالة أو العفو عن المحتجز</w:t>
      </w:r>
      <w:r w:rsidRPr="005A1EB0">
        <w:rPr>
          <w:b/>
          <w:w w:val="100"/>
          <w:kern w:val="0"/>
          <w:vertAlign w:val="superscript"/>
          <w:rtl/>
        </w:rPr>
        <w:footnoteReference w:customMarkFollows="1" w:id="219"/>
        <w:t>(219)</w:t>
      </w:r>
      <w:r w:rsidRPr="005A1EB0">
        <w:rPr>
          <w:rFonts w:hint="cs"/>
          <w:w w:val="100"/>
          <w:kern w:val="0"/>
          <w:rtl/>
        </w:rPr>
        <w:t>. وينبغي إعادة النظر في معايير الأهلية المتعلقة بجميع هذه التدابير البديلة بغية توسيع نطاق تطبيقها</w:t>
      </w:r>
      <w:r w:rsidRPr="005A1EB0">
        <w:rPr>
          <w:b/>
          <w:w w:val="100"/>
          <w:kern w:val="0"/>
          <w:vertAlign w:val="superscript"/>
          <w:rtl/>
        </w:rPr>
        <w:footnoteReference w:customMarkFollows="1" w:id="220"/>
        <w:t>(220)</w:t>
      </w:r>
      <w:r w:rsidRPr="005A1EB0">
        <w:rPr>
          <w:rFonts w:hint="cs"/>
          <w:w w:val="100"/>
          <w:kern w:val="0"/>
          <w:rtl/>
        </w:rPr>
        <w:t xml:space="preserve">. ومن الأمور البالغة الأهمية بوجه خاص أن يُنظر على النحو الواجب في اعتماد </w:t>
      </w:r>
      <w:r w:rsidRPr="005A1EB0">
        <w:rPr>
          <w:rFonts w:hint="cs"/>
          <w:w w:val="100"/>
          <w:kern w:val="0"/>
          <w:rtl/>
        </w:rPr>
        <w:lastRenderedPageBreak/>
        <w:t>بدائل للتدابير الاحتجازية عندما يتعلق الأمر بفئات مثل النساء والمسنين والأطفال والأشخاص ذوي</w:t>
      </w:r>
      <w:r w:rsidR="00841FED">
        <w:rPr>
          <w:rFonts w:hint="eastAsia"/>
          <w:w w:val="100"/>
          <w:kern w:val="0"/>
          <w:rtl/>
        </w:rPr>
        <w:t> </w:t>
      </w:r>
      <w:r w:rsidRPr="005A1EB0">
        <w:rPr>
          <w:rFonts w:hint="cs"/>
          <w:w w:val="100"/>
          <w:kern w:val="0"/>
          <w:rtl/>
        </w:rPr>
        <w:t>الإعاقة</w:t>
      </w:r>
      <w:r w:rsidRPr="005A1EB0">
        <w:rPr>
          <w:b/>
          <w:w w:val="100"/>
          <w:kern w:val="0"/>
          <w:vertAlign w:val="superscript"/>
          <w:rtl/>
        </w:rPr>
        <w:footnoteReference w:customMarkFollows="1" w:id="221"/>
        <w:t>(221)</w:t>
      </w:r>
      <w:r w:rsidRPr="005A1EB0">
        <w:rPr>
          <w:rFonts w:hint="cs"/>
          <w:w w:val="100"/>
          <w:kern w:val="0"/>
          <w:rtl/>
        </w:rPr>
        <w:t>.</w:t>
      </w:r>
    </w:p>
    <w:p w:rsidR="005A1EB0" w:rsidRPr="005A1EB0" w:rsidRDefault="005A1EB0" w:rsidP="005A1EB0">
      <w:pPr>
        <w:pStyle w:val="SingleTxt"/>
        <w:rPr>
          <w:w w:val="100"/>
          <w:kern w:val="0"/>
          <w:rtl/>
        </w:rPr>
      </w:pPr>
      <w:r w:rsidRPr="005A1EB0">
        <w:rPr>
          <w:rFonts w:hint="cs"/>
          <w:w w:val="100"/>
          <w:kern w:val="0"/>
          <w:rtl/>
        </w:rPr>
        <w:t>56-</w:t>
      </w:r>
      <w:r w:rsidRPr="005A1EB0">
        <w:rPr>
          <w:rFonts w:hint="cs"/>
          <w:w w:val="100"/>
          <w:kern w:val="0"/>
          <w:rtl/>
        </w:rPr>
        <w:tab/>
        <w:t>إلا أنه بدائل الاحتجاز لا ينبغي أن تُحدّد في التشريعات فحسب، بل ينبغي أيضاً أن تنفَّذ في الواقع العملي</w:t>
      </w:r>
      <w:r w:rsidRPr="005A1EB0">
        <w:rPr>
          <w:b/>
          <w:w w:val="100"/>
          <w:kern w:val="0"/>
          <w:vertAlign w:val="superscript"/>
          <w:rtl/>
        </w:rPr>
        <w:footnoteReference w:customMarkFollows="1" w:id="222"/>
        <w:t>(222)</w:t>
      </w:r>
      <w:r w:rsidRPr="005A1EB0">
        <w:rPr>
          <w:rFonts w:hint="cs"/>
          <w:w w:val="100"/>
          <w:kern w:val="0"/>
          <w:rtl/>
        </w:rPr>
        <w:t>. ولضمان الحصول على دعم النيابة العامة والقضاء والجمهور عموماً، من الضروري أن يدار نظام بدائل الاحتجاز بصورة فعالة</w:t>
      </w:r>
      <w:r w:rsidRPr="005A1EB0">
        <w:rPr>
          <w:b/>
          <w:w w:val="100"/>
          <w:kern w:val="0"/>
          <w:vertAlign w:val="superscript"/>
          <w:rtl/>
        </w:rPr>
        <w:footnoteReference w:customMarkFollows="1" w:id="223"/>
        <w:t>(223)</w:t>
      </w:r>
      <w:r w:rsidRPr="005A1EB0">
        <w:rPr>
          <w:rFonts w:hint="cs"/>
          <w:w w:val="100"/>
          <w:kern w:val="0"/>
          <w:rtl/>
        </w:rPr>
        <w:t xml:space="preserve"> وأن يزوَّد بموارد كافية.</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rFonts w:hint="cs"/>
          <w:w w:val="100"/>
          <w:kern w:val="0"/>
          <w:rtl/>
        </w:rPr>
        <w:tab/>
      </w:r>
      <w:bookmarkStart w:id="32" w:name="_Toc430010389"/>
      <w:r w:rsidRPr="005A1EB0">
        <w:rPr>
          <w:rFonts w:hint="cs"/>
          <w:w w:val="100"/>
          <w:kern w:val="0"/>
          <w:rtl/>
        </w:rPr>
        <w:t>واو-</w:t>
      </w:r>
      <w:r w:rsidRPr="005A1EB0">
        <w:rPr>
          <w:rFonts w:hint="cs"/>
          <w:w w:val="100"/>
          <w:kern w:val="0"/>
          <w:rtl/>
        </w:rPr>
        <w:tab/>
        <w:t>فرض عقوبة متناسبة مع الجرم</w:t>
      </w:r>
      <w:bookmarkEnd w:id="32"/>
    </w:p>
    <w:p w:rsidR="005A1EB0" w:rsidRPr="005A1EB0" w:rsidRDefault="005A1EB0" w:rsidP="005A1EB0">
      <w:pPr>
        <w:pStyle w:val="SingleTxt"/>
        <w:keepNext/>
        <w:keepLines/>
        <w:spacing w:after="0" w:line="120" w:lineRule="exact"/>
        <w:rPr>
          <w:w w:val="100"/>
          <w:kern w:val="0"/>
          <w:sz w:val="10"/>
          <w:rtl/>
        </w:rPr>
      </w:pPr>
    </w:p>
    <w:p w:rsidR="005A1EB0" w:rsidRPr="005A1EB0" w:rsidRDefault="005A1EB0" w:rsidP="005A1EB0">
      <w:pPr>
        <w:pStyle w:val="SingleTxt"/>
        <w:keepNext/>
        <w:keepLines/>
        <w:rPr>
          <w:w w:val="100"/>
          <w:kern w:val="0"/>
          <w:rtl/>
        </w:rPr>
      </w:pPr>
      <w:r w:rsidRPr="005A1EB0">
        <w:rPr>
          <w:rFonts w:hint="cs"/>
          <w:w w:val="100"/>
          <w:kern w:val="0"/>
          <w:rtl/>
        </w:rPr>
        <w:t>57-</w:t>
      </w:r>
      <w:r w:rsidRPr="005A1EB0">
        <w:rPr>
          <w:rFonts w:hint="cs"/>
          <w:w w:val="100"/>
          <w:kern w:val="0"/>
          <w:rtl/>
        </w:rPr>
        <w:tab/>
        <w:t>تشكّل العقوبة المتناسبة شرطاً أساسياً لكي يكون نظام العدالة الجنائية فعّالاً وعادلاً. ويقتضي ذلك أن تُفرض العقوبات الاحتجازية كتدابير يُلجأ إليها كملاذ أخير وأن تُطبَّق بصورة متناسبة لتلبية حاجة مجتمعية ملحّة</w:t>
      </w:r>
      <w:r w:rsidRPr="005A1EB0">
        <w:rPr>
          <w:b/>
          <w:w w:val="100"/>
          <w:kern w:val="0"/>
          <w:vertAlign w:val="superscript"/>
          <w:rtl/>
        </w:rPr>
        <w:footnoteReference w:customMarkFollows="1" w:id="224"/>
        <w:t>(224)</w:t>
      </w:r>
      <w:r w:rsidRPr="005A1EB0">
        <w:rPr>
          <w:rFonts w:hint="cs"/>
          <w:w w:val="100"/>
          <w:kern w:val="0"/>
          <w:rtl/>
        </w:rPr>
        <w:t>.</w:t>
      </w:r>
    </w:p>
    <w:p w:rsidR="005A1EB0" w:rsidRPr="005A1EB0" w:rsidRDefault="005A1EB0" w:rsidP="005A1EB0">
      <w:pPr>
        <w:pStyle w:val="SingleTxt"/>
        <w:rPr>
          <w:w w:val="100"/>
          <w:kern w:val="0"/>
          <w:rtl/>
        </w:rPr>
      </w:pPr>
      <w:r w:rsidRPr="005A1EB0">
        <w:rPr>
          <w:rFonts w:hint="cs"/>
          <w:w w:val="100"/>
          <w:kern w:val="0"/>
          <w:rtl/>
        </w:rPr>
        <w:t>58-</w:t>
      </w:r>
      <w:r w:rsidRPr="005A1EB0">
        <w:rPr>
          <w:rFonts w:hint="cs"/>
          <w:w w:val="100"/>
          <w:kern w:val="0"/>
          <w:rtl/>
        </w:rPr>
        <w:tab/>
        <w:t>ومن أجل استيفاء شرط التناسب، تقوم الدول بمراجعة سياساتها وتشريعاتها الجنائية للتخفيف من العقوبات الدنيا والقصوى</w:t>
      </w:r>
      <w:r w:rsidRPr="005A1EB0">
        <w:rPr>
          <w:b/>
          <w:w w:val="100"/>
          <w:kern w:val="0"/>
          <w:vertAlign w:val="superscript"/>
          <w:rtl/>
        </w:rPr>
        <w:footnoteReference w:customMarkFollows="1" w:id="225"/>
        <w:t>(225)</w:t>
      </w:r>
      <w:r w:rsidRPr="005A1EB0">
        <w:rPr>
          <w:rFonts w:hint="cs"/>
          <w:w w:val="100"/>
          <w:kern w:val="0"/>
          <w:rtl/>
        </w:rPr>
        <w:t>، ونزع الصفة الجرمية عن أنواع عديدة من الجرائم البسيطة، والحدّ من العقوبات الجنائية المرتبطة بالجرائم الاقتصادية</w:t>
      </w:r>
      <w:r w:rsidRPr="005A1EB0">
        <w:rPr>
          <w:b/>
          <w:w w:val="100"/>
          <w:kern w:val="0"/>
          <w:vertAlign w:val="superscript"/>
          <w:rtl/>
        </w:rPr>
        <w:footnoteReference w:customMarkFollows="1" w:id="226"/>
        <w:t>(226)</w:t>
      </w:r>
      <w:r w:rsidRPr="005A1EB0">
        <w:rPr>
          <w:rFonts w:hint="cs"/>
          <w:w w:val="100"/>
          <w:kern w:val="0"/>
          <w:rtl/>
        </w:rPr>
        <w:t>، مساهمةً بذلك في خفض مجموع أعداد السجناء</w:t>
      </w:r>
      <w:r w:rsidRPr="005A1EB0">
        <w:rPr>
          <w:b/>
          <w:w w:val="100"/>
          <w:kern w:val="0"/>
          <w:vertAlign w:val="superscript"/>
          <w:rtl/>
        </w:rPr>
        <w:footnoteReference w:customMarkFollows="1" w:id="227"/>
        <w:t>(227)</w:t>
      </w:r>
      <w:r w:rsidRPr="005A1EB0">
        <w:rPr>
          <w:rFonts w:hint="cs"/>
          <w:w w:val="100"/>
          <w:kern w:val="0"/>
          <w:rtl/>
        </w:rPr>
        <w:t xml:space="preserve">. كما أن من التدابير التي كان لها أيضاً أثر إيجابي في الحدّ من اللجوء المفرط إلى الإيداع في الحبس واكتظاظ السجون تدبيراً يتمثل في مراجعة </w:t>
      </w:r>
      <w:r w:rsidRPr="005A1EB0">
        <w:rPr>
          <w:w w:val="100"/>
          <w:kern w:val="0"/>
          <w:rtl/>
        </w:rPr>
        <w:t>السياسات المتبعة في معاقبة الجناة</w:t>
      </w:r>
      <w:r w:rsidRPr="005A1EB0">
        <w:rPr>
          <w:rFonts w:hint="cs"/>
          <w:w w:val="100"/>
          <w:kern w:val="0"/>
          <w:rtl/>
        </w:rPr>
        <w:t xml:space="preserve"> بهدف تخفيض أو إلغاء العقوبات الدنيا الإلزامية في الحالات الجرائم الأقل خطورة وغير العنيفة، وتوفير مبادئ توجيهية لفرض عقوبات معقولة على الجناة بغية الحدّ من الحكم بعقوبات طويلة جداً</w:t>
      </w:r>
      <w:r w:rsidRPr="005A1EB0">
        <w:rPr>
          <w:b/>
          <w:w w:val="100"/>
          <w:kern w:val="0"/>
          <w:vertAlign w:val="superscript"/>
          <w:rtl/>
        </w:rPr>
        <w:footnoteReference w:customMarkFollows="1" w:id="228"/>
        <w:t>(228)</w:t>
      </w:r>
      <w:r w:rsidRPr="005A1EB0">
        <w:rPr>
          <w:rFonts w:hint="cs"/>
          <w:w w:val="100"/>
          <w:kern w:val="0"/>
          <w:rtl/>
        </w:rPr>
        <w:t>. وينبغي اتخاذ تدابير مناسبة مثل التدريب تستهدف هيئات الادعاء والهيئات القضائية من أجل القضاء على اللجوء بلا داعٍ إلى الاحتجاز السابق للمحاكمة وتغيير الممارسات المتبعة في معاقبة الجناة</w:t>
      </w:r>
      <w:r w:rsidRPr="005A1EB0">
        <w:rPr>
          <w:b/>
          <w:w w:val="100"/>
          <w:kern w:val="0"/>
          <w:vertAlign w:val="superscript"/>
          <w:rtl/>
        </w:rPr>
        <w:footnoteReference w:customMarkFollows="1" w:id="229"/>
        <w:t>(229)</w:t>
      </w:r>
      <w:r w:rsidRPr="005A1EB0">
        <w:rPr>
          <w:rFonts w:hint="cs"/>
          <w:w w:val="100"/>
          <w:kern w:val="0"/>
          <w:rtl/>
        </w:rPr>
        <w:t xml:space="preserve">. وينبغي إيلاء عناية خاصة لتخفيض عقوبات السجن المؤبد وضمان أن تتاح </w:t>
      </w:r>
      <w:r w:rsidRPr="005A1EB0">
        <w:rPr>
          <w:rFonts w:hint="cs"/>
          <w:w w:val="100"/>
          <w:kern w:val="0"/>
          <w:rtl/>
        </w:rPr>
        <w:lastRenderedPageBreak/>
        <w:t>لجميع المحتجزين فرصة حقيقية للحصول على إفراج مشروط، بما يشمل أولئك الذين يقضون عقوبة بالسجن المؤبد</w:t>
      </w:r>
      <w:r w:rsidRPr="005A1EB0">
        <w:rPr>
          <w:b/>
          <w:w w:val="100"/>
          <w:kern w:val="0"/>
          <w:vertAlign w:val="superscript"/>
          <w:rtl/>
        </w:rPr>
        <w:footnoteReference w:customMarkFollows="1" w:id="230"/>
        <w:t>(230)</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w w:val="100"/>
          <w:kern w:val="0"/>
          <w:rtl/>
        </w:rPr>
        <w:tab/>
      </w:r>
      <w:bookmarkStart w:id="33" w:name="_Toc430010390"/>
      <w:r w:rsidRPr="005A1EB0">
        <w:rPr>
          <w:rFonts w:hint="cs"/>
          <w:w w:val="100"/>
          <w:kern w:val="0"/>
          <w:rtl/>
        </w:rPr>
        <w:t>زاي-</w:t>
      </w:r>
      <w:r w:rsidRPr="005A1EB0">
        <w:rPr>
          <w:rFonts w:hint="cs"/>
          <w:w w:val="100"/>
          <w:kern w:val="0"/>
          <w:rtl/>
        </w:rPr>
        <w:tab/>
        <w:t>إعادة التأهيل و</w:t>
      </w:r>
      <w:r w:rsidRPr="005A1EB0">
        <w:rPr>
          <w:w w:val="100"/>
          <w:kern w:val="0"/>
          <w:rtl/>
        </w:rPr>
        <w:t xml:space="preserve">خفض معدلات العودة إلى </w:t>
      </w:r>
      <w:r w:rsidRPr="005A1EB0">
        <w:rPr>
          <w:rFonts w:hint="cs"/>
          <w:w w:val="100"/>
          <w:kern w:val="0"/>
          <w:rtl/>
        </w:rPr>
        <w:t xml:space="preserve">ارتكاب </w:t>
      </w:r>
      <w:r w:rsidRPr="005A1EB0">
        <w:rPr>
          <w:w w:val="100"/>
          <w:kern w:val="0"/>
          <w:rtl/>
        </w:rPr>
        <w:t>الجريمة</w:t>
      </w:r>
      <w:bookmarkEnd w:id="33"/>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59-</w:t>
      </w:r>
      <w:r w:rsidRPr="005A1EB0">
        <w:rPr>
          <w:rFonts w:hint="cs"/>
          <w:w w:val="100"/>
          <w:kern w:val="0"/>
          <w:rtl/>
        </w:rPr>
        <w:tab/>
        <w:t>من العوامل الهامة في خفض اكتظاظ السجون توفير خدمات فعالة لإعادة تأهيل السجناء أثناء احتجازهم وبعد الإفراج عنهم، ومعالجة ظاهرة العودة إلى ارتكاب الجريمة</w:t>
      </w:r>
      <w:r w:rsidRPr="005A1EB0">
        <w:rPr>
          <w:b/>
          <w:w w:val="100"/>
          <w:kern w:val="0"/>
          <w:vertAlign w:val="superscript"/>
          <w:rtl/>
        </w:rPr>
        <w:footnoteReference w:customMarkFollows="1" w:id="231"/>
        <w:t>(231)</w:t>
      </w:r>
      <w:r w:rsidRPr="005A1EB0">
        <w:rPr>
          <w:rFonts w:hint="cs"/>
          <w:w w:val="100"/>
          <w:kern w:val="0"/>
          <w:rtl/>
        </w:rPr>
        <w:t>. وينبغي النظر في وضع برامج هادفة لمنع الجريمة تستهدف فئات معينة</w:t>
      </w:r>
      <w:r w:rsidRPr="005A1EB0">
        <w:rPr>
          <w:b/>
          <w:w w:val="100"/>
          <w:kern w:val="0"/>
          <w:vertAlign w:val="superscript"/>
          <w:rtl/>
        </w:rPr>
        <w:footnoteReference w:customMarkFollows="1" w:id="232"/>
        <w:t>(232)</w:t>
      </w:r>
      <w:r w:rsidRPr="005A1EB0">
        <w:rPr>
          <w:rFonts w:hint="cs"/>
          <w:w w:val="100"/>
          <w:kern w:val="0"/>
          <w:rtl/>
        </w:rPr>
        <w:t xml:space="preserve">. </w:t>
      </w:r>
    </w:p>
    <w:p w:rsidR="005A1EB0" w:rsidRPr="005A1EB0" w:rsidRDefault="005A1EB0" w:rsidP="005A1EB0">
      <w:pPr>
        <w:pStyle w:val="SingleTxt"/>
        <w:rPr>
          <w:w w:val="100"/>
          <w:kern w:val="0"/>
          <w:rtl/>
        </w:rPr>
      </w:pPr>
      <w:r w:rsidRPr="005A1EB0">
        <w:rPr>
          <w:rFonts w:hint="cs"/>
          <w:w w:val="100"/>
          <w:kern w:val="0"/>
          <w:rtl/>
        </w:rPr>
        <w:t>60-</w:t>
      </w:r>
      <w:r w:rsidRPr="005A1EB0">
        <w:rPr>
          <w:rFonts w:hint="cs"/>
          <w:w w:val="100"/>
          <w:kern w:val="0"/>
          <w:rtl/>
        </w:rPr>
        <w:tab/>
        <w:t>وتُعتبر معالجة معدلات العودة إلى ارتكاب الجريمة مهمّة معقدة تتطلب وضع سياسة لإعادة إدماج المحتجزين السابقين في المجتمع</w:t>
      </w:r>
      <w:r w:rsidRPr="005A1EB0">
        <w:rPr>
          <w:b/>
          <w:w w:val="100"/>
          <w:kern w:val="0"/>
          <w:vertAlign w:val="superscript"/>
          <w:rtl/>
        </w:rPr>
        <w:footnoteReference w:customMarkFollows="1" w:id="233"/>
        <w:t>(233)</w:t>
      </w:r>
      <w:r w:rsidRPr="005A1EB0">
        <w:rPr>
          <w:rFonts w:hint="cs"/>
          <w:w w:val="100"/>
          <w:kern w:val="0"/>
          <w:rtl/>
        </w:rPr>
        <w:t xml:space="preserve"> ومشاركة الأسر</w:t>
      </w:r>
      <w:r w:rsidRPr="005A1EB0">
        <w:rPr>
          <w:b/>
          <w:w w:val="100"/>
          <w:kern w:val="0"/>
          <w:vertAlign w:val="superscript"/>
          <w:rtl/>
        </w:rPr>
        <w:footnoteReference w:customMarkFollows="1" w:id="234"/>
        <w:t>(234)</w:t>
      </w:r>
      <w:r w:rsidRPr="005A1EB0">
        <w:rPr>
          <w:rFonts w:hint="cs"/>
          <w:w w:val="100"/>
          <w:kern w:val="0"/>
          <w:rtl/>
        </w:rPr>
        <w:t xml:space="preserve"> فضلاً عن المجتمع المحلي المعني</w:t>
      </w:r>
      <w:r w:rsidRPr="005A1EB0">
        <w:rPr>
          <w:b/>
          <w:w w:val="100"/>
          <w:kern w:val="0"/>
          <w:vertAlign w:val="superscript"/>
          <w:rtl/>
        </w:rPr>
        <w:footnoteReference w:customMarkFollows="1" w:id="235"/>
        <w:t>(235)</w:t>
      </w:r>
      <w:r w:rsidRPr="005A1EB0">
        <w:rPr>
          <w:rFonts w:hint="cs"/>
          <w:w w:val="100"/>
          <w:kern w:val="0"/>
          <w:rtl/>
        </w:rPr>
        <w:t>، بغية ضمان إعادة إدماجهم الفعلي. كما ينبغي النظر في اتخاذ تدابير أخرى، مثل برامج إعادة تأهيل متعاطي المخدرات، بغية التخفيف من خطر العودة إلى ارتكاب الجريمة</w:t>
      </w:r>
      <w:r w:rsidRPr="005A1EB0">
        <w:rPr>
          <w:b/>
          <w:w w:val="100"/>
          <w:kern w:val="0"/>
          <w:vertAlign w:val="superscript"/>
          <w:rtl/>
        </w:rPr>
        <w:footnoteReference w:customMarkFollows="1" w:id="236"/>
        <w:t>(236)</w:t>
      </w:r>
      <w:r w:rsidRPr="005A1EB0">
        <w:rPr>
          <w:rFonts w:hint="cs"/>
          <w:w w:val="100"/>
          <w:kern w:val="0"/>
          <w:rtl/>
        </w:rPr>
        <w:t>.</w:t>
      </w: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Pr>
      </w:pPr>
      <w:r w:rsidRPr="005A1EB0">
        <w:rPr>
          <w:w w:val="100"/>
          <w:kern w:val="0"/>
          <w:rtl/>
        </w:rPr>
        <w:tab/>
      </w:r>
      <w:bookmarkStart w:id="34" w:name="_Toc430010391"/>
      <w:r w:rsidRPr="005A1EB0">
        <w:rPr>
          <w:rFonts w:hint="cs"/>
          <w:w w:val="100"/>
          <w:kern w:val="0"/>
          <w:rtl/>
        </w:rPr>
        <w:t>حاء-</w:t>
      </w:r>
      <w:r w:rsidRPr="005A1EB0">
        <w:rPr>
          <w:w w:val="100"/>
          <w:kern w:val="0"/>
          <w:rtl/>
        </w:rPr>
        <w:tab/>
      </w:r>
      <w:r w:rsidRPr="005A1EB0">
        <w:rPr>
          <w:rFonts w:hint="cs"/>
          <w:w w:val="100"/>
          <w:kern w:val="0"/>
          <w:rtl/>
        </w:rPr>
        <w:t>آليات الرقابة وتقديم الشكاوى</w:t>
      </w:r>
      <w:bookmarkEnd w:id="34"/>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61-</w:t>
      </w:r>
      <w:r w:rsidRPr="005A1EB0">
        <w:rPr>
          <w:rFonts w:hint="cs"/>
          <w:w w:val="100"/>
          <w:kern w:val="0"/>
          <w:rtl/>
        </w:rPr>
        <w:tab/>
        <w:t>يشكّل الرصد المنتظم لأماكن الاحتجاز عاملاً مهماً في التصدي لظاهرة اللجوء المفرط إلى الإيداع في الحبس واكتظاظ السجون، فهو يؤدي إلى زيادة شفافية وكفاءة نظام السجون</w:t>
      </w:r>
      <w:r w:rsidRPr="005A1EB0">
        <w:rPr>
          <w:b/>
          <w:w w:val="100"/>
          <w:kern w:val="0"/>
          <w:vertAlign w:val="superscript"/>
          <w:rtl/>
        </w:rPr>
        <w:footnoteReference w:customMarkFollows="1" w:id="237"/>
        <w:t>(237)</w:t>
      </w:r>
      <w:r w:rsidRPr="005A1EB0">
        <w:rPr>
          <w:rFonts w:hint="cs"/>
          <w:w w:val="100"/>
          <w:kern w:val="0"/>
          <w:rtl/>
        </w:rPr>
        <w:t xml:space="preserve"> ويمكّن من كشف هذه الظاهرة ومكافحتها</w:t>
      </w:r>
      <w:r w:rsidRPr="005A1EB0">
        <w:rPr>
          <w:b/>
          <w:w w:val="100"/>
          <w:kern w:val="0"/>
          <w:vertAlign w:val="superscript"/>
          <w:rtl/>
        </w:rPr>
        <w:footnoteReference w:customMarkFollows="1" w:id="238"/>
        <w:t>(238)</w:t>
      </w:r>
      <w:r w:rsidRPr="005A1EB0">
        <w:rPr>
          <w:rFonts w:hint="cs"/>
          <w:w w:val="100"/>
          <w:kern w:val="0"/>
          <w:rtl/>
        </w:rPr>
        <w:t>. وعلاوة على ذلك، من المهمّ أن تضطلع بهذا الرصد مجموعة متنوعة من الهيئات والمؤسسات ذات الصلة.</w:t>
      </w:r>
    </w:p>
    <w:p w:rsidR="005A1EB0" w:rsidRPr="005A1EB0" w:rsidRDefault="005A1EB0" w:rsidP="005A1EB0">
      <w:pPr>
        <w:pStyle w:val="SingleTxt"/>
        <w:rPr>
          <w:w w:val="100"/>
          <w:kern w:val="0"/>
          <w:rtl/>
        </w:rPr>
      </w:pPr>
      <w:r w:rsidRPr="005A1EB0">
        <w:rPr>
          <w:rFonts w:hint="cs"/>
          <w:w w:val="100"/>
          <w:kern w:val="0"/>
          <w:rtl/>
        </w:rPr>
        <w:lastRenderedPageBreak/>
        <w:t>62-</w:t>
      </w:r>
      <w:r w:rsidRPr="005A1EB0">
        <w:rPr>
          <w:rFonts w:hint="cs"/>
          <w:w w:val="100"/>
          <w:kern w:val="0"/>
          <w:rtl/>
        </w:rPr>
        <w:tab/>
        <w:t>ومن المهمّ أن تناط مهمة الرقابة بالمدّعين العامين وأعضاء الجهاز القضائي ليكونوا على علم بالظروف السائدة عند اتخاذ قراراتهم بشأن الاحتجاز</w:t>
      </w:r>
      <w:r w:rsidRPr="005A1EB0">
        <w:rPr>
          <w:b/>
          <w:w w:val="100"/>
          <w:kern w:val="0"/>
          <w:vertAlign w:val="superscript"/>
          <w:rtl/>
        </w:rPr>
        <w:footnoteReference w:customMarkFollows="1" w:id="239"/>
        <w:t>(239)</w:t>
      </w:r>
      <w:r w:rsidRPr="005A1EB0">
        <w:rPr>
          <w:rFonts w:hint="cs"/>
          <w:w w:val="100"/>
          <w:kern w:val="0"/>
          <w:rtl/>
        </w:rPr>
        <w:t xml:space="preserve">. ويؤمل أيضاً أن يساعد مشروعُ المبادئ الأساسية والمبادئ التوجيهية </w:t>
      </w:r>
      <w:r w:rsidRPr="005A1EB0">
        <w:rPr>
          <w:w w:val="100"/>
          <w:kern w:val="0"/>
          <w:rtl/>
        </w:rPr>
        <w:t>بشأن سبل الانتصاف والإجراءات المتعلقة بحق كل شخص مسلوب الحرية</w:t>
      </w:r>
      <w:r w:rsidRPr="005A1EB0">
        <w:rPr>
          <w:rFonts w:hint="cs"/>
          <w:w w:val="100"/>
          <w:kern w:val="0"/>
          <w:rtl/>
        </w:rPr>
        <w:t xml:space="preserve"> في إقامة دعوى أمام محكمة على إنشاء آليات فعالة لضمان الرقابة القضائية على جميع حالات سلب الحرية</w:t>
      </w:r>
      <w:r w:rsidRPr="005A1EB0">
        <w:rPr>
          <w:b/>
          <w:w w:val="100"/>
          <w:kern w:val="0"/>
          <w:vertAlign w:val="superscript"/>
          <w:rtl/>
        </w:rPr>
        <w:footnoteReference w:customMarkFollows="1" w:id="240"/>
        <w:t>(240)</w:t>
      </w:r>
      <w:r w:rsidRPr="005A1EB0">
        <w:rPr>
          <w:rFonts w:hint="cs"/>
          <w:w w:val="100"/>
          <w:kern w:val="0"/>
          <w:rtl/>
        </w:rPr>
        <w:t>. ومن العناصر التي تتسم بأهمية بالغة عمليات التفتيش التي تجريها هيئات مهنية مختلفة لضمان التقيد بمعايير مثل معايير الصحة والسلامة ومعايير البناء والنظافة وخدمات الصرف الصحي</w:t>
      </w:r>
      <w:r w:rsidRPr="005A1EB0">
        <w:rPr>
          <w:b/>
          <w:w w:val="100"/>
          <w:kern w:val="0"/>
          <w:vertAlign w:val="superscript"/>
          <w:rtl/>
        </w:rPr>
        <w:footnoteReference w:customMarkFollows="1" w:id="241"/>
        <w:t>(241)</w:t>
      </w:r>
      <w:r w:rsidRPr="005A1EB0">
        <w:rPr>
          <w:rFonts w:hint="cs"/>
          <w:w w:val="100"/>
          <w:kern w:val="0"/>
          <w:rtl/>
        </w:rPr>
        <w:t>. وتساهم الرقابة المستقلة التي تجريها آليات مثل الآليات الوقائية الوطنية، والمؤسسات الوطنية لحقوق الإنسان، والمجتمع المدني في رصد اكتظاظ السجون ومساعدة السلطات على تخفيضه</w:t>
      </w:r>
      <w:r w:rsidRPr="005A1EB0">
        <w:rPr>
          <w:b/>
          <w:w w:val="100"/>
          <w:kern w:val="0"/>
          <w:vertAlign w:val="superscript"/>
          <w:rtl/>
        </w:rPr>
        <w:footnoteReference w:customMarkFollows="1" w:id="242"/>
        <w:t>(242)</w:t>
      </w:r>
      <w:r w:rsidRPr="005A1EB0">
        <w:rPr>
          <w:rFonts w:hint="cs"/>
          <w:w w:val="100"/>
          <w:kern w:val="0"/>
          <w:rtl/>
        </w:rPr>
        <w:t>.</w:t>
      </w:r>
    </w:p>
    <w:p w:rsidR="005A1EB0" w:rsidRPr="005A1EB0" w:rsidRDefault="005A1EB0" w:rsidP="005A1EB0">
      <w:pPr>
        <w:pStyle w:val="SingleTxt"/>
        <w:rPr>
          <w:w w:val="100"/>
          <w:kern w:val="0"/>
          <w:rtl/>
        </w:rPr>
      </w:pPr>
      <w:r w:rsidRPr="005A1EB0">
        <w:rPr>
          <w:rFonts w:hint="cs"/>
          <w:w w:val="100"/>
          <w:kern w:val="0"/>
          <w:rtl/>
        </w:rPr>
        <w:t>63-</w:t>
      </w:r>
      <w:r w:rsidRPr="005A1EB0">
        <w:rPr>
          <w:rFonts w:hint="cs"/>
          <w:w w:val="100"/>
          <w:kern w:val="0"/>
          <w:rtl/>
        </w:rPr>
        <w:tab/>
        <w:t>كما أن وجودَ آليات مستقلة لتقديم الشكاوى يستطيع المحتجزون الوصول إليها من دون أي عائق، وأداءها لوظيفتها على نحو سليم هما أيضاً من العناصر البالغة الأهمية للتخفيف من اكتظاظ السجون واللجوء المفرط إلى الإيداع في الحبس ومن آثارهما السلبية</w:t>
      </w:r>
      <w:r w:rsidRPr="005A1EB0">
        <w:rPr>
          <w:b/>
          <w:w w:val="100"/>
          <w:kern w:val="0"/>
          <w:vertAlign w:val="superscript"/>
          <w:rtl/>
        </w:rPr>
        <w:footnoteReference w:customMarkFollows="1" w:id="243"/>
        <w:t>(243)</w:t>
      </w:r>
      <w:r w:rsidRPr="005A1EB0">
        <w:rPr>
          <w:rFonts w:hint="cs"/>
          <w:w w:val="100"/>
          <w:kern w:val="0"/>
          <w:rtl/>
        </w:rPr>
        <w:t>.</w:t>
      </w: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5A1EB0" w:rsidRPr="005A1EB0" w:rsidRDefault="005A1EB0" w:rsidP="005A1EB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5A1EB0">
        <w:rPr>
          <w:rFonts w:hint="cs"/>
          <w:w w:val="100"/>
          <w:kern w:val="0"/>
          <w:rtl/>
        </w:rPr>
        <w:tab/>
      </w:r>
      <w:bookmarkStart w:id="35" w:name="_Toc430010392"/>
      <w:r w:rsidRPr="005A1EB0">
        <w:rPr>
          <w:rFonts w:hint="cs"/>
          <w:w w:val="100"/>
          <w:kern w:val="0"/>
          <w:rtl/>
        </w:rPr>
        <w:t>خامساً-</w:t>
      </w:r>
      <w:r w:rsidRPr="005A1EB0">
        <w:rPr>
          <w:rFonts w:hint="cs"/>
          <w:w w:val="100"/>
          <w:kern w:val="0"/>
          <w:rtl/>
        </w:rPr>
        <w:tab/>
      </w:r>
      <w:r w:rsidRPr="005A1EB0">
        <w:rPr>
          <w:w w:val="100"/>
          <w:kern w:val="0"/>
          <w:rtl/>
        </w:rPr>
        <w:t>الاستنتاجات</w:t>
      </w:r>
      <w:bookmarkEnd w:id="35"/>
    </w:p>
    <w:p w:rsidR="005A1EB0" w:rsidRPr="005A1EB0" w:rsidRDefault="005A1EB0" w:rsidP="005A1EB0">
      <w:pPr>
        <w:pStyle w:val="SingleTxt"/>
        <w:spacing w:after="0" w:line="120" w:lineRule="exact"/>
        <w:rPr>
          <w:w w:val="100"/>
          <w:kern w:val="0"/>
          <w:sz w:val="10"/>
          <w:rtl/>
        </w:rPr>
      </w:pPr>
    </w:p>
    <w:p w:rsidR="005A1EB0" w:rsidRPr="005A1EB0" w:rsidRDefault="005A1EB0" w:rsidP="005A1EB0">
      <w:pPr>
        <w:pStyle w:val="SingleTxt"/>
        <w:rPr>
          <w:w w:val="100"/>
          <w:kern w:val="0"/>
          <w:rtl/>
        </w:rPr>
      </w:pPr>
      <w:r w:rsidRPr="005A1EB0">
        <w:rPr>
          <w:rFonts w:hint="cs"/>
          <w:w w:val="100"/>
          <w:kern w:val="0"/>
          <w:rtl/>
        </w:rPr>
        <w:t>64-</w:t>
      </w:r>
      <w:r w:rsidRPr="005A1EB0">
        <w:rPr>
          <w:rFonts w:hint="cs"/>
          <w:w w:val="100"/>
          <w:kern w:val="0"/>
          <w:rtl/>
        </w:rPr>
        <w:tab/>
      </w:r>
      <w:r w:rsidRPr="005A1EB0">
        <w:rPr>
          <w:rFonts w:hint="cs"/>
          <w:b/>
          <w:bCs/>
          <w:w w:val="100"/>
          <w:kern w:val="0"/>
          <w:rtl/>
        </w:rPr>
        <w:t>عندما تلجأ الدول إلى إجراء سلب الحرية، فإنها تمسّ بأحد حقوق الإنسان الأساسية: وهو حق الفرد في الحرية. ويجب على الدول، لتبرير مثل هذا التدخل، ألا تلجأ إلى سلب الحريات إلا كتدبير يُلجأ إليه كملاذ أخير وفقط بعد النظر على النحو الواجب في البدائل المتاحة.</w:t>
      </w:r>
    </w:p>
    <w:p w:rsidR="005A1EB0" w:rsidRPr="005A1EB0" w:rsidRDefault="005A1EB0" w:rsidP="005A1EB0">
      <w:pPr>
        <w:pStyle w:val="SingleTxt"/>
        <w:rPr>
          <w:w w:val="100"/>
          <w:kern w:val="0"/>
          <w:rtl/>
        </w:rPr>
      </w:pPr>
      <w:r w:rsidRPr="005A1EB0">
        <w:rPr>
          <w:rFonts w:hint="cs"/>
          <w:w w:val="100"/>
          <w:kern w:val="0"/>
          <w:rtl/>
        </w:rPr>
        <w:t>65-</w:t>
      </w:r>
      <w:r w:rsidRPr="005A1EB0">
        <w:rPr>
          <w:rFonts w:hint="cs"/>
          <w:w w:val="100"/>
          <w:kern w:val="0"/>
          <w:rtl/>
        </w:rPr>
        <w:tab/>
      </w:r>
      <w:r w:rsidRPr="005A1EB0">
        <w:rPr>
          <w:rFonts w:hint="cs"/>
          <w:b/>
          <w:bCs/>
          <w:w w:val="100"/>
          <w:kern w:val="0"/>
          <w:rtl/>
        </w:rPr>
        <w:t xml:space="preserve">إلا أنه عندما يصبح سلب الحرية ضرورةً قصوى، تتحمل الدول مسؤولية خاصة تجاه الأشخاص الذين تحتجزهم. وتنطوي هذه المسؤولية على التزام بمعاملة جميع السجناء على أساس الاحترام الواجب لكرامتهم وقيمتهم المتأصلة فيهم كبشر، وهذه هي القاعدة الأولى من </w:t>
      </w:r>
      <w:r w:rsidRPr="005A1EB0">
        <w:rPr>
          <w:b/>
          <w:bCs/>
          <w:w w:val="100"/>
          <w:kern w:val="0"/>
          <w:rtl/>
        </w:rPr>
        <w:t>قواعد الأمم المتحدة النموذجية الدنيا لمعاملة السجناء (قواعد مانديلا)</w:t>
      </w:r>
      <w:r w:rsidRPr="005A1EB0">
        <w:rPr>
          <w:b/>
          <w:w w:val="100"/>
          <w:kern w:val="0"/>
          <w:vertAlign w:val="superscript"/>
          <w:rtl/>
        </w:rPr>
        <w:footnoteReference w:customMarkFollows="1" w:id="244"/>
        <w:t>(244)</w:t>
      </w:r>
      <w:r w:rsidRPr="005A1EB0">
        <w:rPr>
          <w:rFonts w:hint="cs"/>
          <w:b/>
          <w:bCs/>
          <w:w w:val="100"/>
          <w:kern w:val="0"/>
          <w:rtl/>
        </w:rPr>
        <w:t>.</w:t>
      </w:r>
    </w:p>
    <w:p w:rsidR="005A1EB0" w:rsidRPr="005A1EB0" w:rsidRDefault="005A1EB0" w:rsidP="005A1EB0">
      <w:pPr>
        <w:pStyle w:val="SingleTxt"/>
        <w:rPr>
          <w:w w:val="100"/>
          <w:kern w:val="0"/>
          <w:rtl/>
        </w:rPr>
      </w:pPr>
      <w:r w:rsidRPr="005A1EB0">
        <w:rPr>
          <w:rFonts w:hint="cs"/>
          <w:w w:val="100"/>
          <w:kern w:val="0"/>
          <w:rtl/>
        </w:rPr>
        <w:lastRenderedPageBreak/>
        <w:t>66-</w:t>
      </w:r>
      <w:r w:rsidRPr="005A1EB0">
        <w:rPr>
          <w:rFonts w:hint="cs"/>
          <w:w w:val="100"/>
          <w:kern w:val="0"/>
          <w:rtl/>
        </w:rPr>
        <w:tab/>
      </w:r>
      <w:r w:rsidRPr="005A1EB0">
        <w:rPr>
          <w:rFonts w:hint="cs"/>
          <w:b/>
          <w:bCs/>
          <w:w w:val="100"/>
          <w:kern w:val="0"/>
          <w:rtl/>
        </w:rPr>
        <w:t>وتؤدي مشكلة اللجوء المفرط إلى الاحتجاز إلى استنزاف موارد السجون الشحيحة غالباً، وتضع موظفي السجون في وضع صعب للغاية بل في ظروف خطرة، وتؤثر تأثيراً كبيراً على حقوق الإنسان المكفولة للأشخاص المسلوبي الحرية. وفضلاً عن ذلك، يشكّل اللجوء المفرط إلى الإيداع في الحبس أحد الأسباب الرئيسية الكامنة وراء اكتظاظ السجون، ما يولّد ظروفاً يمكن أن تُعتبر بمثابة سوء معاملة بل إنها قد تشكل ضرباً من التعذيب</w:t>
      </w:r>
      <w:r w:rsidRPr="005A1EB0">
        <w:rPr>
          <w:b/>
          <w:w w:val="100"/>
          <w:kern w:val="0"/>
          <w:vertAlign w:val="superscript"/>
          <w:rtl/>
        </w:rPr>
        <w:footnoteReference w:customMarkFollows="1" w:id="245"/>
        <w:t>(245)</w:t>
      </w:r>
      <w:r w:rsidRPr="005A1EB0">
        <w:rPr>
          <w:rFonts w:hint="cs"/>
          <w:b/>
          <w:bCs/>
          <w:w w:val="100"/>
          <w:kern w:val="0"/>
          <w:rtl/>
        </w:rPr>
        <w:t>.</w:t>
      </w:r>
    </w:p>
    <w:p w:rsidR="005A1EB0" w:rsidRPr="005A1EB0" w:rsidRDefault="005A1EB0" w:rsidP="005A1EB0">
      <w:pPr>
        <w:pStyle w:val="SingleTxt"/>
        <w:rPr>
          <w:spacing w:val="-2"/>
          <w:w w:val="100"/>
          <w:kern w:val="0"/>
          <w:rtl/>
        </w:rPr>
      </w:pPr>
      <w:r w:rsidRPr="005A1EB0">
        <w:rPr>
          <w:rFonts w:hint="cs"/>
          <w:spacing w:val="-2"/>
          <w:w w:val="100"/>
          <w:kern w:val="0"/>
          <w:rtl/>
        </w:rPr>
        <w:t>67-</w:t>
      </w:r>
      <w:r w:rsidRPr="005A1EB0">
        <w:rPr>
          <w:rFonts w:hint="cs"/>
          <w:spacing w:val="-2"/>
          <w:w w:val="100"/>
          <w:kern w:val="0"/>
          <w:rtl/>
        </w:rPr>
        <w:tab/>
      </w:r>
      <w:r w:rsidRPr="005A1EB0">
        <w:rPr>
          <w:rFonts w:hint="cs"/>
          <w:b/>
          <w:bCs/>
          <w:spacing w:val="-2"/>
          <w:w w:val="100"/>
          <w:kern w:val="0"/>
          <w:rtl/>
        </w:rPr>
        <w:t>ومن أجل التصدي لمشكلة اللجوء المفرط إلى الإيداع في الحبس واكتظاظ السجون ولآثارها على حقوق الإنسان، قُدّمت عدة توصيات في الفرع الرابع من هذه الوثيقة، بما في ذلك اعتماد نهج استباقي وشامل؛ وضمان احترام حق المحتجزين في الطعن في إجراء الاحتجاز وفي الاستعانة بمحامٍ وتلقي المساعدة القانونية؛ واستخدام أماكن الاحتجاز للغرض الذي أنشئت من أجله حصراً؛ وعدم اللجوء إلى الاحتجاز السابق للمحاكمة إلا بوصفه تدبيراً يُلجأ كملاذ أخير؛ ووضع وتنفيذ بدائل للتدابير الاحتجازية خلال المرحلة السابقة للمحاكمة ومرحلة ما بعد الإدانة؛ ومراجعة السياسات والتشريعات الجنائية لضمان فرض عقوبات متناسبة</w:t>
      </w:r>
      <w:r w:rsidRPr="005A1EB0">
        <w:rPr>
          <w:rFonts w:hint="cs"/>
          <w:spacing w:val="-2"/>
          <w:w w:val="100"/>
          <w:kern w:val="0"/>
          <w:rtl/>
        </w:rPr>
        <w:t xml:space="preserve"> </w:t>
      </w:r>
      <w:r w:rsidRPr="005A1EB0">
        <w:rPr>
          <w:rFonts w:hint="cs"/>
          <w:b/>
          <w:bCs/>
          <w:spacing w:val="-2"/>
          <w:w w:val="100"/>
          <w:kern w:val="0"/>
          <w:rtl/>
        </w:rPr>
        <w:t>مع الجرم؛ وتوفير خدمات إعادة التأهيل</w:t>
      </w:r>
      <w:r w:rsidRPr="005A1EB0">
        <w:rPr>
          <w:rFonts w:hint="cs"/>
          <w:spacing w:val="-2"/>
          <w:w w:val="100"/>
          <w:kern w:val="0"/>
          <w:rtl/>
        </w:rPr>
        <w:t xml:space="preserve"> </w:t>
      </w:r>
      <w:r w:rsidRPr="005A1EB0">
        <w:rPr>
          <w:rFonts w:hint="cs"/>
          <w:b/>
          <w:bCs/>
          <w:spacing w:val="-2"/>
          <w:w w:val="100"/>
          <w:kern w:val="0"/>
          <w:rtl/>
        </w:rPr>
        <w:t>الفعالية للمساهمة في خفض معدلات العودة إلى ارتكاب الجريمة؛ وضمان وجود آليات مستقلة للرقابة وتلقي الشكاوى، وكفالة سلامة عملها.</w:t>
      </w:r>
    </w:p>
    <w:p w:rsidR="005A1EB0" w:rsidRPr="005A1EB0" w:rsidRDefault="005A1EB0" w:rsidP="005A1EB0">
      <w:pPr>
        <w:pStyle w:val="SingleTxt"/>
        <w:rPr>
          <w:w w:val="100"/>
          <w:kern w:val="0"/>
        </w:rPr>
      </w:pPr>
      <w:r w:rsidRPr="005A1EB0">
        <w:rPr>
          <w:rFonts w:hint="cs"/>
          <w:w w:val="100"/>
          <w:kern w:val="0"/>
          <w:rtl/>
        </w:rPr>
        <w:t>68-</w:t>
      </w:r>
      <w:r w:rsidRPr="005A1EB0">
        <w:rPr>
          <w:rFonts w:hint="cs"/>
          <w:w w:val="100"/>
          <w:kern w:val="0"/>
          <w:rtl/>
        </w:rPr>
        <w:tab/>
      </w:r>
      <w:r w:rsidRPr="005A1EB0">
        <w:rPr>
          <w:rFonts w:hint="cs"/>
          <w:b/>
          <w:bCs/>
          <w:w w:val="100"/>
          <w:kern w:val="0"/>
          <w:rtl/>
        </w:rPr>
        <w:t>وبما أن سلب الحرية يؤدي بطبيعته إلى زيادة الحرمانَ الاجتماعي واحتمالَ التعرض لانتهاكات حقوق الإنسان، تكتسي الخطوات التي تتخذها الدول لإعمال حقوق المحتجزين وحمايتها أهمية بالغة</w:t>
      </w:r>
      <w:r w:rsidRPr="005A1EB0">
        <w:rPr>
          <w:b/>
          <w:w w:val="100"/>
          <w:kern w:val="0"/>
          <w:vertAlign w:val="superscript"/>
          <w:rtl/>
        </w:rPr>
        <w:footnoteReference w:customMarkFollows="1" w:id="246"/>
        <w:t>(246)</w:t>
      </w:r>
      <w:r w:rsidRPr="005A1EB0">
        <w:rPr>
          <w:rFonts w:hint="cs"/>
          <w:b/>
          <w:bCs/>
          <w:w w:val="100"/>
          <w:kern w:val="0"/>
          <w:rtl/>
        </w:rPr>
        <w:t>. ولا تكفل الخطوات الاستباقية المتخذة للتصدي لظاهرة اللجوء المفرط إلى الإيداع في الحبس واكتظاظ أماكن الاحتجاز وفاءَ الدول بالتزاماتها الدولية فحسب، بل إنها تضمن أيضاً للمحتجزين صون كرامتهم المتأصلة فيهم كبشر.</w:t>
      </w:r>
    </w:p>
    <w:p w:rsidR="005A1EB0" w:rsidRPr="005A1EB0" w:rsidRDefault="005A1EB0" w:rsidP="005A1EB0">
      <w:pPr>
        <w:pStyle w:val="SingleTxt"/>
        <w:spacing w:after="0" w:line="240" w:lineRule="auto"/>
        <w:rPr>
          <w:w w:val="100"/>
          <w:kern w:val="0"/>
          <w:rtl/>
        </w:rPr>
      </w:pPr>
      <w:r w:rsidRPr="005A1EB0">
        <w:rPr>
          <w:rFonts w:hint="cs"/>
          <w:noProof/>
          <w:w w:val="100"/>
          <w:kern w:val="0"/>
          <w:rtl/>
        </w:rPr>
        <mc:AlternateContent>
          <mc:Choice Requires="wps">
            <w:drawing>
              <wp:anchor distT="0" distB="0" distL="114300" distR="114300" simplePos="0" relativeHeight="251659264" behindDoc="0" locked="0" layoutInCell="1" allowOverlap="1" wp14:anchorId="659E756F" wp14:editId="0B0C1166">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5A1EB0" w:rsidRPr="005A1EB0" w:rsidSect="00645A40">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1T09:31:00Z" w:initials="Start">
    <w:p w:rsidR="005A1EB0" w:rsidRDefault="005A1EB0">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NO&gt;&gt;N1517715A&lt;&lt;ODS JOB NO&gt;&gt;</w:t>
      </w:r>
    </w:p>
    <w:p w:rsidR="005A1EB0" w:rsidRDefault="005A1EB0">
      <w:pPr>
        <w:pStyle w:val="CommentText"/>
      </w:pPr>
      <w:r>
        <w:t>&lt;&lt;ODS DOC SYMBOL1&gt;&gt;A/HRC/30/19&lt;&lt;ODS DOC SYMBOL1&gt;&gt;</w:t>
      </w:r>
    </w:p>
    <w:p w:rsidR="005A1EB0" w:rsidRDefault="005A1EB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B0" w:rsidRDefault="005A1EB0" w:rsidP="00693CF9">
      <w:pPr>
        <w:spacing w:line="240" w:lineRule="auto"/>
      </w:pPr>
      <w:r>
        <w:separator/>
      </w:r>
    </w:p>
  </w:endnote>
  <w:endnote w:type="continuationSeparator" w:id="0">
    <w:p w:rsidR="005A1EB0" w:rsidRDefault="005A1EB0"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A1EB0" w:rsidTr="00645A40">
      <w:trPr>
        <w:jc w:val="center"/>
      </w:trPr>
      <w:tc>
        <w:tcPr>
          <w:tcW w:w="5126" w:type="dxa"/>
          <w:shd w:val="clear" w:color="auto" w:fill="auto"/>
        </w:tcPr>
        <w:p w:rsidR="005A1EB0" w:rsidRPr="00645A40" w:rsidRDefault="005A1EB0" w:rsidP="00645A40">
          <w:pPr>
            <w:pStyle w:val="Footer"/>
            <w:rPr>
              <w:w w:val="103"/>
            </w:rPr>
          </w:pPr>
          <w:r>
            <w:rPr>
              <w:w w:val="103"/>
            </w:rPr>
            <w:fldChar w:fldCharType="begin"/>
          </w:r>
          <w:r>
            <w:rPr>
              <w:w w:val="103"/>
            </w:rPr>
            <w:instrText xml:space="preserve"> PAGE  \* Arabic  \* MERGEFORMAT </w:instrText>
          </w:r>
          <w:r>
            <w:rPr>
              <w:w w:val="103"/>
            </w:rPr>
            <w:fldChar w:fldCharType="separate"/>
          </w:r>
          <w:r w:rsidR="00E2448B">
            <w:rPr>
              <w:noProof/>
              <w:w w:val="103"/>
            </w:rPr>
            <w:t>28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2448B">
            <w:rPr>
              <w:noProof/>
              <w:w w:val="103"/>
            </w:rPr>
            <w:t>29</w:t>
          </w:r>
          <w:r>
            <w:rPr>
              <w:w w:val="103"/>
            </w:rPr>
            <w:fldChar w:fldCharType="end"/>
          </w:r>
        </w:p>
      </w:tc>
      <w:tc>
        <w:tcPr>
          <w:tcW w:w="5127" w:type="dxa"/>
          <w:shd w:val="clear" w:color="auto" w:fill="auto"/>
        </w:tcPr>
        <w:p w:rsidR="005A1EB0" w:rsidRPr="00645A40" w:rsidRDefault="005A1EB0" w:rsidP="00645A40">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2448B">
            <w:rPr>
              <w:b w:val="0"/>
              <w:w w:val="103"/>
            </w:rPr>
            <w:t>GE.15-13463</w:t>
          </w:r>
          <w:r>
            <w:rPr>
              <w:b w:val="0"/>
              <w:w w:val="103"/>
            </w:rPr>
            <w:fldChar w:fldCharType="end"/>
          </w:r>
        </w:p>
      </w:tc>
    </w:tr>
  </w:tbl>
  <w:p w:rsidR="005A1EB0" w:rsidRPr="00645A40" w:rsidRDefault="005A1EB0" w:rsidP="00645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A1EB0" w:rsidTr="00645A40">
      <w:trPr>
        <w:jc w:val="center"/>
      </w:trPr>
      <w:tc>
        <w:tcPr>
          <w:tcW w:w="5126" w:type="dxa"/>
          <w:shd w:val="clear" w:color="auto" w:fill="auto"/>
        </w:tcPr>
        <w:p w:rsidR="005A1EB0" w:rsidRPr="00645A40" w:rsidRDefault="005A1EB0" w:rsidP="00645A40">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2448B">
            <w:rPr>
              <w:b w:val="0"/>
              <w:w w:val="103"/>
            </w:rPr>
            <w:t>GE.15-13463</w:t>
          </w:r>
          <w:r>
            <w:rPr>
              <w:b w:val="0"/>
              <w:w w:val="103"/>
            </w:rPr>
            <w:fldChar w:fldCharType="end"/>
          </w:r>
        </w:p>
      </w:tc>
      <w:tc>
        <w:tcPr>
          <w:tcW w:w="5127" w:type="dxa"/>
          <w:shd w:val="clear" w:color="auto" w:fill="auto"/>
        </w:tcPr>
        <w:p w:rsidR="005A1EB0" w:rsidRPr="00645A40" w:rsidRDefault="005A1EB0" w:rsidP="00645A40">
          <w:pPr>
            <w:pStyle w:val="Footer"/>
            <w:jc w:val="left"/>
            <w:rPr>
              <w:w w:val="103"/>
            </w:rPr>
          </w:pPr>
          <w:r>
            <w:rPr>
              <w:w w:val="103"/>
            </w:rPr>
            <w:fldChar w:fldCharType="begin"/>
          </w:r>
          <w:r>
            <w:rPr>
              <w:w w:val="103"/>
            </w:rPr>
            <w:instrText xml:space="preserve"> PAGE  \* Arabic  \* MERGEFORMAT </w:instrText>
          </w:r>
          <w:r>
            <w:rPr>
              <w:w w:val="103"/>
            </w:rPr>
            <w:fldChar w:fldCharType="separate"/>
          </w:r>
          <w:r w:rsidR="00E2448B">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2448B">
            <w:rPr>
              <w:noProof/>
              <w:w w:val="103"/>
            </w:rPr>
            <w:t>29</w:t>
          </w:r>
          <w:r>
            <w:rPr>
              <w:w w:val="103"/>
            </w:rPr>
            <w:fldChar w:fldCharType="end"/>
          </w:r>
        </w:p>
      </w:tc>
    </w:tr>
  </w:tbl>
  <w:p w:rsidR="005A1EB0" w:rsidRPr="00645A40" w:rsidRDefault="005A1EB0" w:rsidP="00645A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5A1EB0" w:rsidTr="00645A40">
      <w:trPr>
        <w:jc w:val="right"/>
      </w:trPr>
      <w:tc>
        <w:tcPr>
          <w:tcW w:w="4046" w:type="dxa"/>
        </w:tcPr>
        <w:p w:rsidR="005A1EB0" w:rsidRDefault="005A1EB0" w:rsidP="00645A40">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4C42BA1F" wp14:editId="36EB061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9&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9&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71555720" wp14:editId="71FC5E5C">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5A1EB0" w:rsidRDefault="005A1EB0" w:rsidP="001409A1">
          <w:pPr>
            <w:pStyle w:val="ReleaseDate"/>
          </w:pPr>
          <w:r>
            <w:t xml:space="preserve">070915    140915    </w:t>
          </w:r>
          <w:r w:rsidR="00E2448B">
            <w:fldChar w:fldCharType="begin"/>
          </w:r>
          <w:r w:rsidR="00E2448B">
            <w:instrText xml:space="preserve"> DOCVARIABLE "jobn" \* MERGEFORMAT </w:instrText>
          </w:r>
          <w:r w:rsidR="00E2448B">
            <w:fldChar w:fldCharType="separate"/>
          </w:r>
          <w:r w:rsidR="00E2448B">
            <w:t>GE.15-13463 (A)</w:t>
          </w:r>
          <w:r w:rsidR="00E2448B">
            <w:fldChar w:fldCharType="end"/>
          </w:r>
        </w:p>
        <w:p w:rsidR="005A1EB0" w:rsidRPr="00645A40" w:rsidRDefault="005A1EB0" w:rsidP="00645A40">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E2448B">
            <w:rPr>
              <w:rFonts w:ascii="Barcode 3 of 9 by request" w:hAnsi="Barcode 3 of 9 by request"/>
              <w:sz w:val="24"/>
            </w:rPr>
            <w:t>*1513463*</w:t>
          </w:r>
          <w:r>
            <w:rPr>
              <w:rFonts w:ascii="Barcode 3 of 9 by request" w:hAnsi="Barcode 3 of 9 by request"/>
              <w:sz w:val="24"/>
            </w:rPr>
            <w:fldChar w:fldCharType="end"/>
          </w:r>
        </w:p>
      </w:tc>
    </w:tr>
  </w:tbl>
  <w:p w:rsidR="005A1EB0" w:rsidRPr="00645A40" w:rsidRDefault="005A1EB0" w:rsidP="00645A40">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B0" w:rsidRPr="00D53A6C" w:rsidRDefault="005A1EB0" w:rsidP="00D53A6C">
      <w:pPr>
        <w:pStyle w:val="Footer"/>
        <w:bidi/>
        <w:spacing w:after="80"/>
        <w:ind w:left="792"/>
        <w:jc w:val="left"/>
        <w:rPr>
          <w:sz w:val="16"/>
        </w:rPr>
      </w:pPr>
      <w:r w:rsidRPr="00D53A6C">
        <w:rPr>
          <w:sz w:val="16"/>
          <w:rtl/>
        </w:rPr>
        <w:t>__________</w:t>
      </w:r>
    </w:p>
  </w:footnote>
  <w:footnote w:type="continuationSeparator" w:id="0">
    <w:p w:rsidR="005A1EB0" w:rsidRPr="00D53A6C" w:rsidRDefault="005A1EB0" w:rsidP="00D53A6C">
      <w:pPr>
        <w:pStyle w:val="Footer"/>
        <w:bidi/>
        <w:spacing w:after="80"/>
        <w:ind w:left="792"/>
        <w:jc w:val="left"/>
        <w:rPr>
          <w:sz w:val="16"/>
        </w:rPr>
      </w:pPr>
      <w:r w:rsidRPr="00D53A6C">
        <w:rPr>
          <w:sz w:val="16"/>
          <w:rtl/>
        </w:rPr>
        <w:t>__________</w:t>
      </w:r>
    </w:p>
  </w:footnote>
  <w:footnote w:id="1">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Style w:val="FootnoteReference"/>
          <w:rFonts w:hint="cs"/>
          <w:color w:val="auto"/>
          <w:vertAlign w:val="baseline"/>
          <w:rtl/>
        </w:rPr>
        <w:tab/>
      </w:r>
      <w:r w:rsidRPr="00FC0CA9">
        <w:rPr>
          <w:rStyle w:val="FootnoteReference"/>
          <w:color w:val="auto"/>
          <w:vertAlign w:val="baseline"/>
          <w:rtl/>
        </w:rPr>
        <w:t>(1)</w:t>
      </w:r>
      <w:r w:rsidRPr="00FC0CA9">
        <w:rPr>
          <w:rFonts w:hint="cs"/>
          <w:rtl/>
        </w:rPr>
        <w:tab/>
        <w:t xml:space="preserve">انظر الوثيقة </w:t>
      </w:r>
      <w:r w:rsidRPr="00FC0CA9">
        <w:t>CCPR/C/GC/35</w:t>
      </w:r>
      <w:r w:rsidRPr="00FC0CA9">
        <w:rPr>
          <w:rFonts w:hint="cs"/>
          <w:rtl/>
        </w:rPr>
        <w:t>، الفقرة 2.</w:t>
      </w:r>
    </w:p>
  </w:footnote>
  <w:footnote w:id="2">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(2)</w:t>
      </w:r>
      <w:r w:rsidRPr="00FC0CA9">
        <w:rPr>
          <w:rFonts w:hint="cs"/>
          <w:rtl/>
        </w:rPr>
        <w:tab/>
        <w:t>انظر المرجع نفسه، الفقرة 10.</w:t>
      </w:r>
    </w:p>
  </w:footnote>
  <w:footnote w:id="3">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rPr>
          <w:spacing w:val="-4"/>
        </w:rPr>
      </w:pPr>
      <w:r w:rsidRPr="00FC0CA9">
        <w:rPr>
          <w:rFonts w:hint="cs"/>
          <w:rtl/>
        </w:rPr>
        <w:tab/>
      </w:r>
      <w:r w:rsidRPr="00FC0CA9">
        <w:rPr>
          <w:rtl/>
        </w:rPr>
        <w:t>(3)</w:t>
      </w:r>
      <w:r w:rsidRPr="00FC0CA9">
        <w:rPr>
          <w:rFonts w:hint="cs"/>
          <w:rtl/>
        </w:rPr>
        <w:tab/>
      </w:r>
      <w:r w:rsidRPr="00FC0CA9">
        <w:rPr>
          <w:rFonts w:hint="cs"/>
          <w:spacing w:val="-4"/>
          <w:rtl/>
        </w:rPr>
        <w:t>انظر</w:t>
      </w:r>
      <w:r w:rsidRPr="00FC0CA9">
        <w:rPr>
          <w:spacing w:val="-4"/>
        </w:rPr>
        <w:t>Roy Walmsley, World Prison Population List, 10th edition (London, International Centre for Prison Studies, 2013)</w:t>
      </w:r>
      <w:r w:rsidRPr="00FC0CA9">
        <w:rPr>
          <w:rFonts w:hint="cs"/>
          <w:spacing w:val="-4"/>
          <w:rtl/>
        </w:rPr>
        <w:t>.</w:t>
      </w:r>
    </w:p>
  </w:footnote>
  <w:footnote w:id="4">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spacing w:val="-4"/>
          <w:rtl/>
        </w:rPr>
        <w:tab/>
      </w:r>
      <w:r w:rsidRPr="00FC0CA9">
        <w:rPr>
          <w:spacing w:val="-4"/>
          <w:rtl/>
        </w:rPr>
        <w:t>(4)</w:t>
      </w:r>
      <w:r w:rsidRPr="00FC0CA9">
        <w:rPr>
          <w:rFonts w:hint="cs"/>
          <w:spacing w:val="-4"/>
          <w:rtl/>
        </w:rPr>
        <w:tab/>
        <w:t xml:space="preserve">انظر </w:t>
      </w:r>
      <w:r w:rsidRPr="00FC0CA9">
        <w:rPr>
          <w:spacing w:val="-4"/>
        </w:rPr>
        <w:t>Roy Walmsley, World Pre-trial/Remand Imprisonment List, 2nd edition (London, International Centre for Prison Studies, 2014)</w:t>
      </w:r>
      <w:r w:rsidRPr="00FC0CA9">
        <w:rPr>
          <w:rFonts w:hint="cs"/>
          <w:rtl/>
        </w:rPr>
        <w:t>.</w:t>
      </w:r>
    </w:p>
  </w:footnote>
  <w:footnote w:id="5">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(5)</w:t>
      </w:r>
      <w:r w:rsidRPr="00FC0CA9">
        <w:rPr>
          <w:rFonts w:hint="cs"/>
          <w:rtl/>
        </w:rPr>
        <w:tab/>
        <w:t xml:space="preserve">انظر </w:t>
      </w:r>
      <w:r w:rsidRPr="00FC0CA9">
        <w:t>International Centre for Prison Studies, Highest to Lowest-Occupancy level (based on official capacity) (London, 2014)</w:t>
      </w:r>
    </w:p>
  </w:footnote>
  <w:footnote w:id="6">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(6)</w:t>
      </w:r>
      <w:r w:rsidRPr="00FC0CA9">
        <w:rPr>
          <w:rFonts w:hint="cs"/>
          <w:rtl/>
        </w:rPr>
        <w:tab/>
        <w:t xml:space="preserve">انظر الوثيقة </w:t>
      </w:r>
      <w:r w:rsidRPr="00FC0CA9">
        <w:t>CAT/OP/MLI/1</w:t>
      </w:r>
      <w:r w:rsidRPr="00FC0CA9">
        <w:rPr>
          <w:rFonts w:hint="cs"/>
          <w:rtl/>
        </w:rPr>
        <w:t>، الفقرة 49.</w:t>
      </w:r>
    </w:p>
  </w:footnote>
  <w:footnote w:id="7">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(7)</w:t>
      </w:r>
      <w:r w:rsidRPr="00FC0CA9">
        <w:rPr>
          <w:rFonts w:hint="cs"/>
          <w:rtl/>
        </w:rPr>
        <w:tab/>
        <w:t xml:space="preserve">انظر الوثيقة </w:t>
      </w:r>
      <w:r w:rsidRPr="00FC0CA9">
        <w:t>A/HRC/22/53/Add.2</w:t>
      </w:r>
      <w:r w:rsidRPr="00FC0CA9">
        <w:rPr>
          <w:rFonts w:hint="cs"/>
          <w:rtl/>
        </w:rPr>
        <w:t xml:space="preserve">، الفقرة 81؛ والوثيقة </w:t>
      </w:r>
      <w:r w:rsidRPr="00FC0CA9">
        <w:t>CAT/OP/BRA/1</w:t>
      </w:r>
      <w:r w:rsidRPr="00FC0CA9">
        <w:rPr>
          <w:rFonts w:hint="cs"/>
          <w:rtl/>
        </w:rPr>
        <w:t>، الفقرة 96.</w:t>
      </w:r>
    </w:p>
  </w:footnote>
  <w:footnote w:id="8">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(8)</w:t>
      </w:r>
      <w:r w:rsidRPr="00FC0CA9">
        <w:rPr>
          <w:rFonts w:hint="cs"/>
          <w:rtl/>
        </w:rPr>
        <w:tab/>
        <w:t xml:space="preserve">انظر الوثيقة </w:t>
      </w:r>
      <w:r w:rsidRPr="00FC0CA9">
        <w:t>CAT/OP/BEN/1</w:t>
      </w:r>
      <w:r w:rsidRPr="00FC0CA9">
        <w:rPr>
          <w:rFonts w:hint="cs"/>
          <w:rtl/>
        </w:rPr>
        <w:t>، الفقرة 147.</w:t>
      </w:r>
    </w:p>
  </w:footnote>
  <w:footnote w:id="9">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rPr>
          <w:rtl/>
        </w:rPr>
      </w:pPr>
      <w:r w:rsidRPr="00FC0CA9">
        <w:rPr>
          <w:rFonts w:hint="cs"/>
          <w:rtl/>
        </w:rPr>
        <w:tab/>
      </w:r>
      <w:r w:rsidRPr="00FC0CA9">
        <w:rPr>
          <w:rtl/>
        </w:rPr>
        <w:t>(9)</w:t>
      </w:r>
      <w:r w:rsidRPr="00FC0CA9">
        <w:rPr>
          <w:rFonts w:hint="cs"/>
          <w:rtl/>
        </w:rPr>
        <w:tab/>
        <w:t xml:space="preserve">انظر </w:t>
      </w:r>
      <w:r w:rsidRPr="00FC0CA9">
        <w:t>www.ohchr.org/EN/NewsEvents/Pages/DisplayNews.aspx?NewsID=16033&amp;LangID=E</w:t>
      </w:r>
      <w:r w:rsidRPr="00FC0CA9">
        <w:rPr>
          <w:rFonts w:hint="cs"/>
          <w:rtl/>
        </w:rPr>
        <w:t>.</w:t>
      </w:r>
    </w:p>
  </w:footnote>
  <w:footnote w:id="10">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(10)</w:t>
      </w:r>
      <w:r w:rsidRPr="00FC0CA9">
        <w:rPr>
          <w:rFonts w:hint="cs"/>
          <w:rtl/>
        </w:rPr>
        <w:tab/>
        <w:t xml:space="preserve">انظر وثيقة مجلس أوروبا </w:t>
      </w:r>
      <w:r w:rsidRPr="00FC0CA9">
        <w:t>CPT/Inf (2015) 6</w:t>
      </w:r>
      <w:r w:rsidRPr="00FC0CA9">
        <w:rPr>
          <w:rFonts w:hint="cs"/>
          <w:rtl/>
        </w:rPr>
        <w:t>، الفقرة 57.</w:t>
      </w:r>
    </w:p>
  </w:footnote>
  <w:footnote w:id="11">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(11)</w:t>
      </w:r>
      <w:r w:rsidRPr="00FC0CA9">
        <w:rPr>
          <w:rFonts w:hint="cs"/>
          <w:rtl/>
        </w:rPr>
        <w:tab/>
        <w:t xml:space="preserve">انظر الوثيقة </w:t>
      </w:r>
      <w:r w:rsidRPr="00FC0CA9">
        <w:t>A/65/273</w:t>
      </w:r>
      <w:r w:rsidRPr="00FC0CA9">
        <w:rPr>
          <w:rFonts w:hint="cs"/>
          <w:rtl/>
        </w:rPr>
        <w:t>، الفقرة 1.</w:t>
      </w:r>
    </w:p>
  </w:footnote>
  <w:footnote w:id="12">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(12)</w:t>
      </w:r>
      <w:r w:rsidRPr="00FC0CA9">
        <w:rPr>
          <w:rFonts w:hint="cs"/>
          <w:rtl/>
        </w:rPr>
        <w:tab/>
        <w:t xml:space="preserve">انظر الوثيقة </w:t>
      </w:r>
      <w:r w:rsidRPr="00FC0CA9">
        <w:t>A/68/295</w:t>
      </w:r>
      <w:r w:rsidRPr="00FC0CA9">
        <w:rPr>
          <w:rFonts w:hint="cs"/>
          <w:rtl/>
        </w:rPr>
        <w:t>، الفقرة 86.</w:t>
      </w:r>
    </w:p>
  </w:footnote>
  <w:footnote w:id="13">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(13)</w:t>
      </w:r>
      <w:r w:rsidRPr="00FC0CA9">
        <w:rPr>
          <w:rFonts w:hint="cs"/>
          <w:rtl/>
        </w:rPr>
        <w:tab/>
        <w:t>انظر مثلاً قرار مجلس الأمن 2180 (2014)، الفقرة 16.</w:t>
      </w:r>
    </w:p>
  </w:footnote>
  <w:footnote w:id="14">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(14)</w:t>
      </w:r>
      <w:r w:rsidRPr="00FC0CA9">
        <w:rPr>
          <w:rFonts w:hint="cs"/>
          <w:rtl/>
        </w:rPr>
        <w:tab/>
        <w:t xml:space="preserve">انظر مثلاً الوثيقة </w:t>
      </w:r>
      <w:r w:rsidRPr="00FC0CA9">
        <w:t>CAT/C/RWA/CO/1</w:t>
      </w:r>
      <w:r w:rsidRPr="00FC0CA9">
        <w:rPr>
          <w:rFonts w:hint="cs"/>
          <w:rtl/>
        </w:rPr>
        <w:t xml:space="preserve">، الفقرة 19، والوثيقة </w:t>
      </w:r>
      <w:r w:rsidRPr="00FC0CA9">
        <w:t>CAT/C/TGO/CO/2</w:t>
      </w:r>
      <w:r w:rsidRPr="00FC0CA9">
        <w:rPr>
          <w:rFonts w:hint="cs"/>
          <w:rtl/>
        </w:rPr>
        <w:t>، الفقرة 13.</w:t>
      </w:r>
    </w:p>
  </w:footnote>
  <w:footnote w:id="15">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(15)</w:t>
      </w:r>
      <w:r w:rsidRPr="00FC0CA9">
        <w:rPr>
          <w:rFonts w:hint="cs"/>
          <w:rtl/>
        </w:rPr>
        <w:tab/>
        <w:t xml:space="preserve">انظر مثلاً الوثيقة </w:t>
      </w:r>
      <w:r w:rsidRPr="00FC0CA9">
        <w:t>CAT/OP/HND/1</w:t>
      </w:r>
      <w:r w:rsidRPr="00FC0CA9">
        <w:rPr>
          <w:rFonts w:hint="cs"/>
          <w:rtl/>
        </w:rPr>
        <w:t>، الفقرة 198.</w:t>
      </w:r>
    </w:p>
  </w:footnote>
  <w:footnote w:id="16">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(16)</w:t>
      </w:r>
      <w:r w:rsidRPr="00FC0CA9">
        <w:rPr>
          <w:rFonts w:hint="cs"/>
          <w:rtl/>
        </w:rPr>
        <w:tab/>
        <w:t xml:space="preserve">انظر الوثيقة </w:t>
      </w:r>
      <w:r w:rsidRPr="00FC0CA9">
        <w:t>CAT/OP/MLI/1</w:t>
      </w:r>
      <w:r w:rsidRPr="00FC0CA9">
        <w:rPr>
          <w:rFonts w:hint="cs"/>
          <w:rtl/>
        </w:rPr>
        <w:t xml:space="preserve">، الفقرة 49؛ والوثيقة </w:t>
      </w:r>
      <w:r w:rsidRPr="00FC0CA9">
        <w:t>CAT/OP/MEX/1</w:t>
      </w:r>
      <w:r w:rsidRPr="00FC0CA9">
        <w:rPr>
          <w:rFonts w:hint="cs"/>
          <w:rtl/>
        </w:rPr>
        <w:t xml:space="preserve">، الفقرة 177؛ والوثيقة </w:t>
      </w:r>
      <w:r w:rsidRPr="00FC0CA9">
        <w:t>CAT/OP/BEN/1</w:t>
      </w:r>
      <w:r w:rsidRPr="00FC0CA9">
        <w:rPr>
          <w:rFonts w:hint="cs"/>
          <w:rtl/>
        </w:rPr>
        <w:t xml:space="preserve">، الفقرة 147. </w:t>
      </w:r>
    </w:p>
  </w:footnote>
  <w:footnote w:id="17">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(17)</w:t>
      </w:r>
      <w:r w:rsidRPr="00FC0CA9">
        <w:rPr>
          <w:rFonts w:hint="cs"/>
          <w:rtl/>
        </w:rPr>
        <w:tab/>
        <w:t xml:space="preserve">انظر مثلاً الوثيقة </w:t>
      </w:r>
      <w:r w:rsidRPr="00FC0CA9">
        <w:t>A/HRC/10/21</w:t>
      </w:r>
      <w:r w:rsidRPr="00FC0CA9">
        <w:rPr>
          <w:rFonts w:hint="cs"/>
          <w:rtl/>
        </w:rPr>
        <w:t xml:space="preserve">، الفقرة 42، والوثيقة </w:t>
      </w:r>
      <w:r w:rsidRPr="00FC0CA9">
        <w:t>A/HRC/27/48</w:t>
      </w:r>
      <w:r w:rsidRPr="00FC0CA9">
        <w:rPr>
          <w:rFonts w:hint="cs"/>
          <w:rtl/>
        </w:rPr>
        <w:t>، الفقرات من 72 إلى 74.</w:t>
      </w:r>
    </w:p>
  </w:footnote>
  <w:footnote w:id="18">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(18)</w:t>
      </w:r>
      <w:r w:rsidRPr="00FC0CA9">
        <w:rPr>
          <w:rFonts w:hint="cs"/>
          <w:rtl/>
        </w:rPr>
        <w:tab/>
        <w:t>انظر</w:t>
      </w:r>
      <w:r w:rsidRPr="00FC0CA9">
        <w:t xml:space="preserve">www.achpr.org/files/sessions/52nd/inter-act-reps/185/activty_report_prisons_eng.pdf </w:t>
      </w:r>
      <w:r w:rsidRPr="00FC0CA9">
        <w:rPr>
          <w:rFonts w:hint="cs"/>
          <w:rtl/>
        </w:rPr>
        <w:t xml:space="preserve">، </w:t>
      </w:r>
      <w:r>
        <w:rPr>
          <w:rFonts w:hint="cs"/>
          <w:rtl/>
        </w:rPr>
        <w:t xml:space="preserve">ص </w:t>
      </w:r>
      <w:r w:rsidRPr="00FC0CA9">
        <w:rPr>
          <w:rFonts w:hint="cs"/>
          <w:rtl/>
        </w:rPr>
        <w:t>8.</w:t>
      </w:r>
    </w:p>
  </w:footnote>
  <w:footnote w:id="19">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sidRPr="00FC0CA9">
        <w:rPr>
          <w:rFonts w:hint="cs"/>
          <w:rtl/>
        </w:rPr>
        <w:tab/>
      </w:r>
      <w:r w:rsidRPr="00FC0CA9">
        <w:rPr>
          <w:rtl/>
        </w:rPr>
        <w:t>(19)</w:t>
      </w:r>
      <w:r w:rsidRPr="00FC0CA9">
        <w:rPr>
          <w:rFonts w:hint="cs"/>
          <w:rtl/>
        </w:rPr>
        <w:tab/>
        <w:t xml:space="preserve">الوثيقة </w:t>
      </w:r>
      <w:r w:rsidRPr="00FC0CA9">
        <w:t>CCPR/C/GC/35</w:t>
      </w:r>
      <w:r w:rsidRPr="00FC0CA9">
        <w:rPr>
          <w:rFonts w:hint="cs"/>
          <w:rtl/>
        </w:rPr>
        <w:t>، الفقرة 5.</w:t>
      </w:r>
    </w:p>
  </w:footnote>
  <w:footnote w:id="20">
    <w:p w:rsidR="005A1EB0" w:rsidRDefault="005A1EB0" w:rsidP="001409A1">
      <w:pPr>
        <w:pStyle w:val="FootnoteText"/>
        <w:tabs>
          <w:tab w:val="clear" w:pos="418"/>
          <w:tab w:val="right" w:pos="1195"/>
          <w:tab w:val="left" w:pos="1267"/>
          <w:tab w:val="left" w:pos="1656"/>
          <w:tab w:val="left" w:pos="2088"/>
        </w:tabs>
        <w:spacing w:after="80"/>
        <w:ind w:left="1267" w:right="1267" w:hanging="547"/>
        <w:rPr>
          <w:rtl/>
        </w:rPr>
      </w:pPr>
      <w:r w:rsidRPr="00FC0CA9">
        <w:rPr>
          <w:rFonts w:hint="cs"/>
          <w:rtl/>
        </w:rPr>
        <w:tab/>
      </w:r>
      <w:r w:rsidRPr="00FC0CA9">
        <w:rPr>
          <w:rtl/>
        </w:rPr>
        <w:t>(20)</w:t>
      </w:r>
      <w:r w:rsidRPr="00FC0CA9">
        <w:rPr>
          <w:rFonts w:hint="cs"/>
          <w:rtl/>
        </w:rPr>
        <w:tab/>
        <w:t xml:space="preserve">الوثيقة </w:t>
      </w:r>
      <w:r w:rsidRPr="00FC0CA9">
        <w:t>E/C.12/1/Add.80</w:t>
      </w:r>
      <w:r w:rsidRPr="00FC0CA9">
        <w:rPr>
          <w:rFonts w:hint="cs"/>
          <w:rtl/>
        </w:rPr>
        <w:t xml:space="preserve">، الفقرة 31؛ والوثيقة </w:t>
      </w:r>
      <w:r w:rsidRPr="00FC0CA9">
        <w:t>A/HRC/25/60/Add.1</w:t>
      </w:r>
      <w:r w:rsidRPr="00FC0CA9">
        <w:rPr>
          <w:rFonts w:hint="cs"/>
          <w:rtl/>
        </w:rPr>
        <w:t xml:space="preserve">، الفقرة 69؛ والوثيقة </w:t>
      </w:r>
      <w:r w:rsidRPr="00FC0CA9">
        <w:t>CAT/C/GHA/CO/1</w:t>
      </w:r>
      <w:r>
        <w:rPr>
          <w:rFonts w:hint="cs"/>
          <w:rtl/>
        </w:rPr>
        <w:t>، الفقر</w:t>
      </w:r>
      <w:r w:rsidRPr="00FC0CA9">
        <w:rPr>
          <w:rFonts w:hint="cs"/>
          <w:rtl/>
        </w:rPr>
        <w:t xml:space="preserve">ة 17؛ والوثيقة </w:t>
      </w:r>
      <w:r w:rsidRPr="00FC0CA9">
        <w:t>CAT/C/RUS/CO/4</w:t>
      </w:r>
      <w:r w:rsidRPr="00FC0CA9">
        <w:rPr>
          <w:rFonts w:hint="cs"/>
          <w:rtl/>
        </w:rPr>
        <w:t xml:space="preserve">، الفقرة 18؛ والوثيقة </w:t>
      </w:r>
      <w:r w:rsidRPr="00FC0CA9">
        <w:t>CAT/OP/MEX/1</w:t>
      </w:r>
      <w:r w:rsidRPr="00FC0CA9">
        <w:rPr>
          <w:rFonts w:hint="cs"/>
          <w:rtl/>
        </w:rPr>
        <w:t>، الفقرة 203؛</w:t>
      </w:r>
    </w:p>
    <w:p w:rsidR="005A1EB0" w:rsidRPr="00FC0CA9" w:rsidRDefault="005A1EB0" w:rsidP="001409A1">
      <w:pPr>
        <w:pStyle w:val="FootnoteText"/>
        <w:tabs>
          <w:tab w:val="clear" w:pos="418"/>
          <w:tab w:val="right" w:pos="1195"/>
          <w:tab w:val="left" w:pos="1267"/>
          <w:tab w:val="left" w:pos="1656"/>
          <w:tab w:val="left" w:pos="2088"/>
        </w:tabs>
        <w:spacing w:after="80" w:line="260" w:lineRule="exact"/>
        <w:ind w:left="1264" w:right="1264" w:hanging="17"/>
      </w:pPr>
      <w:r w:rsidRPr="00FC0CA9">
        <w:rPr>
          <w:rFonts w:hint="cs"/>
          <w:rtl/>
        </w:rPr>
        <w:t>و</w:t>
      </w:r>
      <w:hyperlink r:id="rId1" w:history="1">
        <w:r w:rsidRPr="00FC0CA9">
          <w:t>www.achpr.org/files/activity-reports/36/achpr54eos15_actrep36_2014_eng.pdf</w:t>
        </w:r>
      </w:hyperlink>
      <w:r w:rsidRPr="00FC0CA9">
        <w:rPr>
          <w:rFonts w:hint="cs"/>
          <w:rtl/>
        </w:rPr>
        <w:t xml:space="preserve">، الفقرة </w:t>
      </w:r>
      <w:r w:rsidRPr="00FC0CA9">
        <w:t>VII b(xvi)</w:t>
      </w:r>
      <w:r w:rsidRPr="00FC0CA9">
        <w:rPr>
          <w:rFonts w:hint="cs"/>
          <w:rtl/>
        </w:rPr>
        <w:t>.</w:t>
      </w:r>
    </w:p>
  </w:footnote>
  <w:footnote w:id="21">
    <w:p w:rsidR="005A1EB0" w:rsidRPr="00FC0CA9" w:rsidRDefault="005A1EB0" w:rsidP="008E3966">
      <w:pPr>
        <w:pStyle w:val="FootnoteText"/>
        <w:tabs>
          <w:tab w:val="clear" w:pos="418"/>
          <w:tab w:val="right" w:pos="1195"/>
          <w:tab w:val="left" w:pos="1267"/>
          <w:tab w:val="left" w:pos="1656"/>
          <w:tab w:val="left" w:pos="2088"/>
        </w:tabs>
        <w:spacing w:after="80" w:line="280" w:lineRule="exact"/>
        <w:ind w:left="1264" w:right="1276" w:hanging="544"/>
        <w:rPr>
          <w:rtl/>
        </w:rPr>
      </w:pPr>
      <w:r w:rsidRPr="00FC0CA9">
        <w:rPr>
          <w:rFonts w:hint="cs"/>
          <w:rtl/>
        </w:rPr>
        <w:tab/>
      </w:r>
      <w:r w:rsidRPr="00FC0CA9">
        <w:rPr>
          <w:rtl/>
        </w:rPr>
        <w:t>(21)</w:t>
      </w:r>
      <w:r w:rsidRPr="00FC0CA9">
        <w:rPr>
          <w:rFonts w:hint="cs"/>
          <w:rtl/>
        </w:rPr>
        <w:tab/>
        <w:t xml:space="preserve">الوثيقة </w:t>
      </w:r>
      <w:r w:rsidRPr="00FC0CA9">
        <w:t>E/C.12/DEU/CO/5</w:t>
      </w:r>
      <w:r w:rsidRPr="00FC0CA9">
        <w:rPr>
          <w:rFonts w:hint="cs"/>
          <w:rtl/>
        </w:rPr>
        <w:t xml:space="preserve">، الفقرة 13؛ والوثيقة </w:t>
      </w:r>
      <w:r w:rsidRPr="00FC0CA9">
        <w:t>A/HRC/13/30</w:t>
      </w:r>
      <w:r w:rsidRPr="00FC0CA9">
        <w:rPr>
          <w:rFonts w:hint="cs"/>
          <w:rtl/>
        </w:rPr>
        <w:t xml:space="preserve">، الفقرة 65؛ والوثيقة </w:t>
      </w:r>
      <w:r w:rsidRPr="00FC0CA9">
        <w:t>CAT/C/GRC/CO/5-6</w:t>
      </w:r>
      <w:r w:rsidRPr="00FC0CA9">
        <w:rPr>
          <w:rFonts w:hint="cs"/>
          <w:rtl/>
        </w:rPr>
        <w:t xml:space="preserve">، الفقرة 20؛ والوثيقة </w:t>
      </w:r>
      <w:r w:rsidRPr="00FC0CA9">
        <w:rPr>
          <w:szCs w:val="18"/>
        </w:rPr>
        <w:t>CAT/C/NOR/CO/6-7</w:t>
      </w:r>
      <w:r w:rsidRPr="00FC0CA9">
        <w:rPr>
          <w:rFonts w:hint="cs"/>
          <w:rtl/>
        </w:rPr>
        <w:t xml:space="preserve">، الفقرة 17؛ والوثيقة </w:t>
      </w:r>
      <w:r w:rsidRPr="00FC0CA9">
        <w:rPr>
          <w:szCs w:val="18"/>
        </w:rPr>
        <w:t>CCPR/C/FIN/CO/6</w:t>
      </w:r>
      <w:r w:rsidRPr="00FC0CA9">
        <w:rPr>
          <w:rFonts w:hint="cs"/>
          <w:rtl/>
        </w:rPr>
        <w:t>، الفقرة 10؛ و</w:t>
      </w:r>
      <w:hyperlink r:id="rId2" w:history="1">
        <w:r w:rsidRPr="001409A1">
          <w:t>www.achpr.org/files/sessions/37th/mission-reports/prisons-2004/misrep_specmec_priso_southafrica_2004_eng.pdf</w:t>
        </w:r>
      </w:hyperlink>
      <w:r w:rsidRPr="00FC0CA9">
        <w:rPr>
          <w:rFonts w:hint="cs"/>
          <w:rtl/>
        </w:rPr>
        <w:t>،</w:t>
      </w:r>
      <w:r w:rsidRPr="00FC0CA9">
        <w:rPr>
          <w:rFonts w:hint="cs"/>
          <w:spacing w:val="-6"/>
          <w:rtl/>
        </w:rPr>
        <w:t xml:space="preserve"> </w:t>
      </w:r>
      <w:r>
        <w:rPr>
          <w:rFonts w:hint="cs"/>
          <w:rtl/>
        </w:rPr>
        <w:t xml:space="preserve">ص </w:t>
      </w:r>
      <w:r w:rsidRPr="00FC0CA9">
        <w:rPr>
          <w:rFonts w:hint="cs"/>
          <w:rtl/>
        </w:rPr>
        <w:t>65.</w:t>
      </w:r>
    </w:p>
  </w:footnote>
  <w:footnote w:id="22">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pPr>
      <w:r w:rsidRPr="00FC0CA9">
        <w:rPr>
          <w:rFonts w:hint="cs"/>
          <w:rtl/>
        </w:rPr>
        <w:tab/>
      </w:r>
      <w:r w:rsidRPr="00FC0CA9">
        <w:rPr>
          <w:rtl/>
        </w:rPr>
        <w:t>(22)</w:t>
      </w:r>
      <w:r w:rsidRPr="00FC0CA9">
        <w:rPr>
          <w:rFonts w:hint="cs"/>
          <w:rtl/>
        </w:rPr>
        <w:tab/>
        <w:t xml:space="preserve">الوثيقة </w:t>
      </w:r>
      <w:r w:rsidRPr="00FC0CA9">
        <w:t>CAT/C/AUS/CO/4-5</w:t>
      </w:r>
      <w:r w:rsidRPr="00FC0CA9">
        <w:rPr>
          <w:rFonts w:hint="cs"/>
          <w:rtl/>
        </w:rPr>
        <w:t>، الفقرة 17.</w:t>
      </w:r>
    </w:p>
  </w:footnote>
  <w:footnote w:id="23">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pPr>
      <w:r w:rsidRPr="00FC0CA9">
        <w:rPr>
          <w:rFonts w:hint="cs"/>
          <w:rtl/>
        </w:rPr>
        <w:tab/>
      </w:r>
      <w:r w:rsidRPr="00FC0CA9">
        <w:rPr>
          <w:rtl/>
        </w:rPr>
        <w:t>(23)</w:t>
      </w:r>
      <w:r w:rsidRPr="00FC0CA9">
        <w:rPr>
          <w:rFonts w:hint="cs"/>
          <w:rtl/>
        </w:rPr>
        <w:tab/>
        <w:t xml:space="preserve">انظر وثيقة مجلس أوروبا </w:t>
      </w:r>
      <w:r w:rsidRPr="00FC0CA9">
        <w:t>CPT/Inf (2014) 26</w:t>
      </w:r>
      <w:r w:rsidRPr="00FC0CA9">
        <w:rPr>
          <w:rFonts w:hint="cs"/>
          <w:rtl/>
        </w:rPr>
        <w:t>، الفقرة 73.</w:t>
      </w:r>
    </w:p>
  </w:footnote>
  <w:footnote w:id="24">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rPr>
          <w:rtl/>
        </w:rPr>
      </w:pPr>
      <w:r w:rsidRPr="00FC0CA9">
        <w:rPr>
          <w:rFonts w:hint="cs"/>
          <w:rtl/>
        </w:rPr>
        <w:tab/>
      </w:r>
      <w:r w:rsidRPr="00FC0CA9">
        <w:rPr>
          <w:rtl/>
        </w:rPr>
        <w:t>(24)</w:t>
      </w:r>
      <w:r w:rsidRPr="00FC0CA9">
        <w:rPr>
          <w:rFonts w:hint="cs"/>
          <w:rtl/>
        </w:rPr>
        <w:tab/>
      </w:r>
      <w:r w:rsidRPr="00FC0CA9">
        <w:t>www.ohchr.org/EN/Issues/RuleOfLaw/Pages/Overincarceration.aspx</w:t>
      </w:r>
      <w:r w:rsidRPr="00FC0CA9">
        <w:rPr>
          <w:rFonts w:hint="cs"/>
          <w:rtl/>
        </w:rPr>
        <w:t>.</w:t>
      </w:r>
    </w:p>
  </w:footnote>
  <w:footnote w:id="25">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rPr>
          <w:rtl/>
        </w:rPr>
      </w:pPr>
      <w:r w:rsidRPr="00FC0CA9">
        <w:rPr>
          <w:rFonts w:hint="cs"/>
          <w:rtl/>
        </w:rPr>
        <w:tab/>
      </w:r>
      <w:r w:rsidRPr="00FC0CA9">
        <w:rPr>
          <w:rtl/>
        </w:rPr>
        <w:t>(25)</w:t>
      </w:r>
      <w:r w:rsidRPr="00FC0CA9">
        <w:rPr>
          <w:rFonts w:hint="cs"/>
          <w:rtl/>
        </w:rPr>
        <w:tab/>
        <w:t xml:space="preserve">الوثيقة </w:t>
      </w:r>
      <w:r w:rsidRPr="00FC0CA9">
        <w:t>A/HRC/10/21</w:t>
      </w:r>
      <w:r w:rsidRPr="00FC0CA9">
        <w:rPr>
          <w:rFonts w:hint="cs"/>
          <w:rtl/>
        </w:rPr>
        <w:t>، الفقرة 46.</w:t>
      </w:r>
    </w:p>
  </w:footnote>
  <w:footnote w:id="26">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pPr>
      <w:r w:rsidRPr="00FC0CA9">
        <w:rPr>
          <w:rFonts w:hint="cs"/>
          <w:rtl/>
        </w:rPr>
        <w:tab/>
      </w:r>
      <w:r w:rsidRPr="00FC0CA9">
        <w:rPr>
          <w:rtl/>
        </w:rPr>
        <w:t>(26)</w:t>
      </w:r>
      <w:r w:rsidRPr="00FC0CA9">
        <w:rPr>
          <w:rFonts w:hint="cs"/>
          <w:rtl/>
        </w:rPr>
        <w:tab/>
        <w:t xml:space="preserve">انظر وثيقة مجلس أوروبا </w:t>
      </w:r>
      <w:r w:rsidRPr="00FC0CA9">
        <w:t>CPT/Inf (2015) 12</w:t>
      </w:r>
      <w:r w:rsidRPr="00FC0CA9">
        <w:rPr>
          <w:rFonts w:hint="cs"/>
          <w:rtl/>
        </w:rPr>
        <w:t>، الفقرة 54.</w:t>
      </w:r>
    </w:p>
  </w:footnote>
  <w:footnote w:id="27">
    <w:p w:rsidR="005A1EB0" w:rsidRPr="00FC0CA9" w:rsidRDefault="005A1EB0" w:rsidP="00FC0CA9">
      <w:pPr>
        <w:pStyle w:val="FootnoteText"/>
        <w:tabs>
          <w:tab w:val="clear" w:pos="418"/>
          <w:tab w:val="right" w:pos="1195"/>
          <w:tab w:val="left" w:pos="1267"/>
          <w:tab w:val="left" w:pos="1656"/>
          <w:tab w:val="left" w:pos="2088"/>
        </w:tabs>
        <w:spacing w:after="80" w:line="280" w:lineRule="exact"/>
        <w:ind w:left="1264" w:right="1264" w:hanging="544"/>
        <w:rPr>
          <w:rtl/>
        </w:rPr>
      </w:pPr>
      <w:r w:rsidRPr="00FC0CA9">
        <w:rPr>
          <w:rFonts w:hint="cs"/>
          <w:rtl/>
        </w:rPr>
        <w:tab/>
      </w:r>
      <w:r w:rsidRPr="00FC0CA9">
        <w:rPr>
          <w:rtl/>
        </w:rPr>
        <w:t>(27)</w:t>
      </w:r>
      <w:r w:rsidRPr="00FC0CA9">
        <w:rPr>
          <w:rFonts w:hint="cs"/>
          <w:rtl/>
        </w:rPr>
        <w:tab/>
        <w:t xml:space="preserve">انظر الوثيقة </w:t>
      </w:r>
      <w:r w:rsidRPr="00FC0CA9">
        <w:rPr>
          <w:bCs/>
          <w:szCs w:val="18"/>
          <w:lang w:eastAsia="en-GB"/>
        </w:rPr>
        <w:t>A/HRC/27/55</w:t>
      </w:r>
      <w:r w:rsidRPr="008E3966">
        <w:rPr>
          <w:rFonts w:hint="cs"/>
          <w:bCs/>
          <w:sz w:val="26"/>
          <w:rtl/>
          <w:lang w:eastAsia="en-GB"/>
        </w:rPr>
        <w:t>،</w:t>
      </w:r>
      <w:r w:rsidRPr="00E632BD">
        <w:rPr>
          <w:rFonts w:hint="cs"/>
          <w:b/>
          <w:sz w:val="26"/>
          <w:rtl/>
          <w:lang w:eastAsia="en-GB"/>
        </w:rPr>
        <w:t xml:space="preserve"> </w:t>
      </w:r>
      <w:r w:rsidRPr="008E3966">
        <w:rPr>
          <w:rFonts w:hint="cs"/>
          <w:b/>
          <w:sz w:val="26"/>
          <w:rtl/>
          <w:lang w:eastAsia="en-GB"/>
        </w:rPr>
        <w:t xml:space="preserve">الفقرة 51؛ </w:t>
      </w:r>
      <w:r w:rsidRPr="00FC0CA9">
        <w:rPr>
          <w:rFonts w:hint="cs"/>
          <w:b/>
          <w:rtl/>
          <w:lang w:eastAsia="en-GB"/>
        </w:rPr>
        <w:t xml:space="preserve">وقضية </w:t>
      </w:r>
      <w:r w:rsidRPr="00FC0CA9">
        <w:rPr>
          <w:rFonts w:hint="cs"/>
          <w:b/>
          <w:i/>
          <w:iCs/>
          <w:rtl/>
          <w:lang w:eastAsia="en-GB"/>
        </w:rPr>
        <w:t>سيزر ضد ترينيداد وتوباغو</w:t>
      </w:r>
      <w:r w:rsidRPr="00FC0CA9">
        <w:rPr>
          <w:rFonts w:hint="cs"/>
          <w:b/>
          <w:rtl/>
          <w:lang w:eastAsia="en-GB"/>
        </w:rPr>
        <w:t xml:space="preserve">، حكم صادر عن محكمة </w:t>
      </w:r>
      <w:r w:rsidRPr="00FC0CA9">
        <w:rPr>
          <w:rFonts w:hint="cs"/>
          <w:rtl/>
          <w:lang w:bidi="ar"/>
        </w:rPr>
        <w:t xml:space="preserve">البلدان الأمريكية لحقوق الإنسان (2005)، الفقرة 97؛ والبلاغات رقم 105/93-128/94-130/94-152/96، </w:t>
      </w:r>
      <w:r w:rsidRPr="00FC0CA9">
        <w:rPr>
          <w:i/>
          <w:szCs w:val="18"/>
        </w:rPr>
        <w:t>Media Rights Agenda &amp; Constitutional Rights Project v. Nigeria</w:t>
      </w:r>
      <w:r w:rsidRPr="00FC0CA9">
        <w:rPr>
          <w:rFonts w:hint="cs"/>
          <w:i/>
          <w:szCs w:val="18"/>
          <w:rtl/>
        </w:rPr>
        <w:t xml:space="preserve">، </w:t>
      </w:r>
      <w:r w:rsidRPr="00FC0CA9">
        <w:rPr>
          <w:rFonts w:hint="cs"/>
          <w:rtl/>
          <w:lang w:bidi="ar"/>
        </w:rPr>
        <w:t>اللجنة الأفريقية لحقوق الإنسان والشعوب (1998)، الفقرة 91.</w:t>
      </w:r>
    </w:p>
  </w:footnote>
  <w:footnote w:id="28">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sidRPr="00FC0CA9">
        <w:rPr>
          <w:rStyle w:val="FootnoteReference"/>
          <w:rFonts w:hint="cs"/>
          <w:color w:val="auto"/>
          <w:vertAlign w:val="baseline"/>
          <w:rtl/>
        </w:rPr>
        <w:tab/>
      </w:r>
      <w:r w:rsidRPr="00FC0CA9">
        <w:rPr>
          <w:rStyle w:val="FootnoteReference"/>
          <w:color w:val="auto"/>
          <w:vertAlign w:val="baseline"/>
          <w:rtl/>
        </w:rPr>
        <w:t>(28)</w:t>
      </w:r>
      <w:r w:rsidRPr="00FC0CA9">
        <w:rPr>
          <w:rFonts w:hint="cs"/>
          <w:rtl/>
        </w:rPr>
        <w:tab/>
        <w:t xml:space="preserve">انظر الوثيقة </w:t>
      </w:r>
      <w:r w:rsidRPr="00FC0CA9">
        <w:rPr>
          <w:szCs w:val="18"/>
        </w:rPr>
        <w:t>CCPR/C/GC/35</w:t>
      </w:r>
      <w:r w:rsidRPr="00FC0CA9">
        <w:rPr>
          <w:rFonts w:hint="cs"/>
          <w:rtl/>
        </w:rPr>
        <w:t>، الفقرة 8.</w:t>
      </w:r>
    </w:p>
  </w:footnote>
  <w:footnote w:id="29">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sidRPr="00FC0CA9">
        <w:rPr>
          <w:rStyle w:val="FootnoteReference"/>
          <w:rFonts w:hint="cs"/>
          <w:color w:val="auto"/>
          <w:vertAlign w:val="baseline"/>
          <w:rtl/>
        </w:rPr>
        <w:tab/>
      </w:r>
      <w:r w:rsidRPr="00FC0CA9">
        <w:rPr>
          <w:rStyle w:val="FootnoteReference"/>
          <w:color w:val="auto"/>
          <w:vertAlign w:val="baseline"/>
          <w:rtl/>
        </w:rPr>
        <w:t>(</w:t>
      </w:r>
      <w:r w:rsidRPr="00FC0CA9">
        <w:rPr>
          <w:rtl/>
        </w:rPr>
        <w:t>29</w:t>
      </w:r>
      <w:r w:rsidRPr="00FC0CA9">
        <w:rPr>
          <w:rStyle w:val="FootnoteReference"/>
          <w:color w:val="auto"/>
          <w:vertAlign w:val="baseline"/>
          <w:rtl/>
        </w:rPr>
        <w:t>)</w:t>
      </w:r>
      <w:r w:rsidRPr="00FC0CA9">
        <w:rPr>
          <w:rFonts w:hint="cs"/>
          <w:rtl/>
        </w:rPr>
        <w:tab/>
        <w:t xml:space="preserve">انظر الوثيقة </w:t>
      </w:r>
      <w:r w:rsidRPr="00FC0CA9">
        <w:rPr>
          <w:szCs w:val="18"/>
        </w:rPr>
        <w:t>CAT/OP/MEX/1</w:t>
      </w:r>
      <w:r w:rsidRPr="00FC0CA9">
        <w:rPr>
          <w:rFonts w:hint="cs"/>
          <w:rtl/>
        </w:rPr>
        <w:t>، الفقرة 177.</w:t>
      </w:r>
    </w:p>
  </w:footnote>
  <w:footnote w:id="30">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(30)</w:t>
      </w:r>
      <w:r>
        <w:rPr>
          <w:rFonts w:hint="cs"/>
          <w:rtl/>
        </w:rPr>
        <w:tab/>
      </w:r>
      <w:r w:rsidRPr="00FC0CA9">
        <w:rPr>
          <w:rFonts w:hint="cs"/>
          <w:rtl/>
        </w:rPr>
        <w:t xml:space="preserve">انظر الوثيقة </w:t>
      </w:r>
      <w:r w:rsidRPr="00FC0CA9">
        <w:t>CCPR/C/GC/35</w:t>
      </w:r>
      <w:r w:rsidRPr="00FC0CA9">
        <w:rPr>
          <w:rFonts w:hint="cs"/>
          <w:rtl/>
        </w:rPr>
        <w:t>، الفقرة 3.</w:t>
      </w:r>
    </w:p>
  </w:footnote>
  <w:footnote w:id="31">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(31)</w:t>
      </w:r>
      <w:r>
        <w:rPr>
          <w:rFonts w:hint="cs"/>
          <w:rtl/>
        </w:rPr>
        <w:tab/>
      </w:r>
      <w:r w:rsidRPr="00FC0CA9">
        <w:rPr>
          <w:rFonts w:hint="cs"/>
          <w:rtl/>
        </w:rPr>
        <w:t xml:space="preserve">انظر الوثيقة </w:t>
      </w:r>
      <w:r w:rsidRPr="00FC0CA9">
        <w:t>E/CN.4/2006/7</w:t>
      </w:r>
      <w:r w:rsidRPr="00FC0CA9">
        <w:rPr>
          <w:rFonts w:hint="cs"/>
          <w:rtl/>
        </w:rPr>
        <w:t>، الفقرة 63.</w:t>
      </w:r>
    </w:p>
  </w:footnote>
  <w:footnote w:id="32">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(32)</w:t>
      </w:r>
      <w:r>
        <w:rPr>
          <w:rFonts w:hint="cs"/>
          <w:rtl/>
        </w:rPr>
        <w:tab/>
      </w:r>
      <w:r w:rsidRPr="00FC0CA9">
        <w:rPr>
          <w:rFonts w:hint="cs"/>
          <w:rtl/>
        </w:rPr>
        <w:t xml:space="preserve">انظر الوثيقة </w:t>
      </w:r>
      <w:r w:rsidRPr="00FC0CA9">
        <w:t>CCPR/C/GC/35</w:t>
      </w:r>
      <w:r w:rsidRPr="00FC0CA9">
        <w:rPr>
          <w:rFonts w:hint="cs"/>
          <w:rtl/>
        </w:rPr>
        <w:t>، الفقرة 10.</w:t>
      </w:r>
    </w:p>
  </w:footnote>
  <w:footnote w:id="33">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rPr>
          <w:rtl/>
        </w:rPr>
      </w:pPr>
      <w:r>
        <w:rPr>
          <w:rFonts w:hint="cs"/>
          <w:rtl/>
        </w:rPr>
        <w:tab/>
      </w:r>
      <w:r w:rsidRPr="00FC0CA9">
        <w:rPr>
          <w:rtl/>
        </w:rPr>
        <w:t>(33)</w:t>
      </w:r>
      <w:r>
        <w:rPr>
          <w:rFonts w:hint="cs"/>
          <w:rtl/>
        </w:rPr>
        <w:tab/>
      </w:r>
      <w:r w:rsidRPr="00FC0CA9">
        <w:rPr>
          <w:rFonts w:hint="cs"/>
          <w:rtl/>
        </w:rPr>
        <w:t xml:space="preserve">انظر الوثيقة </w:t>
      </w:r>
      <w:r w:rsidRPr="00FC0CA9">
        <w:t>A/HRC/30/37</w:t>
      </w:r>
      <w:r w:rsidRPr="00FC0CA9">
        <w:rPr>
          <w:rFonts w:hint="cs"/>
          <w:rtl/>
        </w:rPr>
        <w:t xml:space="preserve">، الفقرة 2. </w:t>
      </w:r>
    </w:p>
  </w:footnote>
  <w:footnote w:id="34">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sidRPr="00E9460D">
        <w:rPr>
          <w:rFonts w:hint="cs"/>
          <w:spacing w:val="-2"/>
          <w:rtl/>
        </w:rPr>
        <w:tab/>
      </w:r>
      <w:r w:rsidRPr="00E9460D">
        <w:rPr>
          <w:spacing w:val="-2"/>
          <w:rtl/>
        </w:rPr>
        <w:t>(34)</w:t>
      </w:r>
      <w:r w:rsidRPr="00E9460D">
        <w:rPr>
          <w:rFonts w:hint="cs"/>
          <w:spacing w:val="-2"/>
          <w:rtl/>
        </w:rPr>
        <w:tab/>
        <w:t xml:space="preserve">انظر الوثيقة </w:t>
      </w:r>
      <w:r w:rsidRPr="00E9460D">
        <w:rPr>
          <w:spacing w:val="-2"/>
        </w:rPr>
        <w:t>A/HRC/30/37</w:t>
      </w:r>
      <w:r w:rsidRPr="00E9460D">
        <w:rPr>
          <w:rFonts w:hint="cs"/>
          <w:spacing w:val="-2"/>
          <w:rtl/>
        </w:rPr>
        <w:t>، الفقرات من 22 إلى 25.</w:t>
      </w:r>
      <w:r w:rsidRPr="00E9460D">
        <w:rPr>
          <w:spacing w:val="-2"/>
          <w:rtl/>
        </w:rPr>
        <w:t xml:space="preserve"> </w:t>
      </w:r>
      <w:r w:rsidRPr="00E9460D">
        <w:rPr>
          <w:rFonts w:hint="cs"/>
          <w:spacing w:val="-2"/>
          <w:rtl/>
        </w:rPr>
        <w:t xml:space="preserve">وانظر أيضاً الوثيقة </w:t>
      </w:r>
      <w:r w:rsidRPr="00E9460D">
        <w:rPr>
          <w:spacing w:val="-2"/>
        </w:rPr>
        <w:t>CCPR/C/21/Rev.1/Add.11</w:t>
      </w:r>
      <w:r w:rsidRPr="00E9460D">
        <w:rPr>
          <w:rFonts w:hint="cs"/>
          <w:spacing w:val="-2"/>
          <w:rtl/>
        </w:rPr>
        <w:t>، الفقرتين</w:t>
      </w:r>
      <w:r w:rsidRPr="00FC0CA9">
        <w:rPr>
          <w:rFonts w:hint="cs"/>
          <w:rtl/>
        </w:rPr>
        <w:t xml:space="preserve"> 11 و16، والوثيقة </w:t>
      </w:r>
      <w:r w:rsidRPr="00FC0CA9">
        <w:rPr>
          <w:szCs w:val="18"/>
        </w:rPr>
        <w:t>CCPR/C/GC/35</w:t>
      </w:r>
      <w:r w:rsidRPr="00FC0CA9">
        <w:rPr>
          <w:rFonts w:hint="cs"/>
          <w:rtl/>
        </w:rPr>
        <w:t>، الفقرات من 6 إلى 67.</w:t>
      </w:r>
    </w:p>
  </w:footnote>
  <w:footnote w:id="35">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Pr>
          <w:rtl/>
        </w:rPr>
        <w:t>(35)</w:t>
      </w:r>
      <w:r>
        <w:rPr>
          <w:rFonts w:hint="cs"/>
          <w:rtl/>
        </w:rPr>
        <w:tab/>
      </w:r>
      <w:r w:rsidRPr="00FC0CA9">
        <w:rPr>
          <w:rFonts w:hint="cs"/>
          <w:rtl/>
        </w:rPr>
        <w:t xml:space="preserve">انظر الوثيقة </w:t>
      </w:r>
      <w:r w:rsidRPr="00FC0CA9">
        <w:t>A/HRC/30/37</w:t>
      </w:r>
      <w:r w:rsidRPr="00FC0CA9">
        <w:rPr>
          <w:rFonts w:hint="cs"/>
          <w:rtl/>
        </w:rPr>
        <w:t>، المبادئ التوجيهية 4 و8 و14.</w:t>
      </w:r>
    </w:p>
  </w:footnote>
  <w:footnote w:id="36">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Pr>
          <w:rtl/>
        </w:rPr>
        <w:t>(36)</w:t>
      </w:r>
      <w:r>
        <w:rPr>
          <w:rFonts w:hint="cs"/>
          <w:rtl/>
        </w:rPr>
        <w:tab/>
      </w:r>
      <w:r w:rsidRPr="00FC0CA9">
        <w:rPr>
          <w:rFonts w:hint="cs"/>
          <w:rtl/>
        </w:rPr>
        <w:t xml:space="preserve">انظر الوثيقة </w:t>
      </w:r>
      <w:r w:rsidRPr="00FC0CA9">
        <w:t>CAT/C/TGO/CO/2</w:t>
      </w:r>
      <w:r w:rsidRPr="00FC0CA9">
        <w:rPr>
          <w:rFonts w:hint="cs"/>
          <w:rtl/>
        </w:rPr>
        <w:t>، الفقرة 13.</w:t>
      </w:r>
    </w:p>
  </w:footnote>
  <w:footnote w:id="37">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rPr>
          <w:rtl/>
        </w:rPr>
      </w:pPr>
      <w:r>
        <w:rPr>
          <w:rFonts w:hint="cs"/>
          <w:rtl/>
        </w:rPr>
        <w:tab/>
      </w:r>
      <w:r>
        <w:rPr>
          <w:rtl/>
        </w:rPr>
        <w:t>(37)</w:t>
      </w:r>
      <w:r>
        <w:rPr>
          <w:rFonts w:hint="cs"/>
          <w:rtl/>
        </w:rPr>
        <w:tab/>
      </w:r>
      <w:r w:rsidRPr="00FC0CA9">
        <w:rPr>
          <w:rFonts w:hint="cs"/>
          <w:rtl/>
        </w:rPr>
        <w:t xml:space="preserve">انظر </w:t>
      </w:r>
      <w:hyperlink r:id="rId3" w:history="1">
        <w:r w:rsidRPr="00FC0CA9">
          <w:rPr>
            <w:spacing w:val="-4"/>
          </w:rPr>
          <w:t>www.achpr.org/files/sessions/37th/mission-reports/ethiopia/misrep_specmec_priso_ethopia_2004_eng.pdf</w:t>
        </w:r>
      </w:hyperlink>
      <w:r w:rsidRPr="00FC0CA9">
        <w:rPr>
          <w:rFonts w:hint="cs"/>
          <w:rtl/>
        </w:rPr>
        <w:t xml:space="preserve">، </w:t>
      </w:r>
      <w:r>
        <w:rPr>
          <w:rFonts w:hint="cs"/>
          <w:rtl/>
        </w:rPr>
        <w:t xml:space="preserve">ص </w:t>
      </w:r>
      <w:r w:rsidRPr="00FC0CA9">
        <w:rPr>
          <w:rFonts w:hint="cs"/>
          <w:rtl/>
        </w:rPr>
        <w:t>24 و25.</w:t>
      </w:r>
    </w:p>
  </w:footnote>
  <w:footnote w:id="38">
    <w:p w:rsidR="005A1EB0" w:rsidRPr="00FC0CA9" w:rsidRDefault="005A1EB0" w:rsidP="005A1EB0">
      <w:pPr>
        <w:pStyle w:val="FootnoteText"/>
        <w:tabs>
          <w:tab w:val="clear" w:pos="418"/>
          <w:tab w:val="right" w:pos="1195"/>
          <w:tab w:val="left" w:pos="1267"/>
          <w:tab w:val="left" w:pos="1656"/>
          <w:tab w:val="left" w:pos="2088"/>
        </w:tabs>
        <w:spacing w:after="80"/>
        <w:ind w:left="1264" w:right="1264" w:hanging="544"/>
        <w:jc w:val="both"/>
        <w:rPr>
          <w:rtl/>
        </w:rPr>
      </w:pPr>
      <w:r>
        <w:rPr>
          <w:rFonts w:hint="cs"/>
          <w:rtl/>
        </w:rPr>
        <w:tab/>
      </w:r>
      <w:r w:rsidRPr="00FC0CA9">
        <w:rPr>
          <w:rtl/>
        </w:rPr>
        <w:t>(38)</w:t>
      </w:r>
      <w:r>
        <w:rPr>
          <w:rFonts w:hint="cs"/>
          <w:rtl/>
        </w:rPr>
        <w:tab/>
      </w:r>
      <w:r w:rsidRPr="00FC0CA9">
        <w:rPr>
          <w:rFonts w:hint="cs"/>
          <w:rtl/>
        </w:rPr>
        <w:t xml:space="preserve">انظر الوثيقة </w:t>
      </w:r>
      <w:r w:rsidRPr="00FC0CA9">
        <w:t>A/HRC/19/57</w:t>
      </w:r>
      <w:r w:rsidRPr="00FC0CA9">
        <w:rPr>
          <w:rFonts w:hint="cs"/>
          <w:rtl/>
        </w:rPr>
        <w:t xml:space="preserve">، الفقرة 53، </w:t>
      </w:r>
      <w:r>
        <w:rPr>
          <w:rFonts w:hint="cs"/>
          <w:rtl/>
        </w:rPr>
        <w:t>و</w:t>
      </w:r>
      <w:hyperlink r:id="rId4" w:history="1">
        <w:r w:rsidRPr="00FC0CA9">
          <w:rPr>
            <w:spacing w:val="-4"/>
          </w:rPr>
          <w:t>www.achpr.org/files/sessions/52nd/inter-act-reps/185/activty_report_</w:t>
        </w:r>
        <w:r>
          <w:rPr>
            <w:spacing w:val="-4"/>
          </w:rPr>
          <w:t xml:space="preserve"> </w:t>
        </w:r>
        <w:r w:rsidRPr="00FC0CA9">
          <w:rPr>
            <w:spacing w:val="-4"/>
          </w:rPr>
          <w:t>prisons_eng.pdf</w:t>
        </w:r>
      </w:hyperlink>
      <w:r w:rsidRPr="00FC0CA9">
        <w:rPr>
          <w:rFonts w:hint="cs"/>
          <w:rtl/>
        </w:rPr>
        <w:t xml:space="preserve">، </w:t>
      </w:r>
      <w:r>
        <w:rPr>
          <w:rFonts w:hint="cs"/>
          <w:rtl/>
        </w:rPr>
        <w:t xml:space="preserve">ص </w:t>
      </w:r>
      <w:r w:rsidRPr="00FC0CA9">
        <w:rPr>
          <w:rFonts w:hint="cs"/>
          <w:rtl/>
        </w:rPr>
        <w:t>21 و22.</w:t>
      </w:r>
    </w:p>
  </w:footnote>
  <w:footnote w:id="39">
    <w:p w:rsidR="005A1EB0" w:rsidRPr="00FC0CA9" w:rsidRDefault="005A1EB0" w:rsidP="00FC0CA9">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(39)</w:t>
      </w:r>
      <w:r>
        <w:rPr>
          <w:rFonts w:hint="cs"/>
          <w:rtl/>
        </w:rPr>
        <w:tab/>
      </w:r>
      <w:r w:rsidRPr="00FC0CA9">
        <w:rPr>
          <w:rFonts w:hint="cs"/>
          <w:rtl/>
        </w:rPr>
        <w:t xml:space="preserve">انظر الوثيقة </w:t>
      </w:r>
      <w:r w:rsidRPr="00FC0CA9">
        <w:t>CCPR/C/TUR/CO/1</w:t>
      </w:r>
      <w:r w:rsidRPr="00FC0CA9">
        <w:rPr>
          <w:rFonts w:hint="cs"/>
          <w:rtl/>
        </w:rPr>
        <w:t xml:space="preserve">، الفقرة 17؛ والوثيقة </w:t>
      </w:r>
      <w:r w:rsidRPr="00FC0CA9">
        <w:t>A/HRC/19/57</w:t>
      </w:r>
      <w:r w:rsidRPr="00FC0CA9">
        <w:rPr>
          <w:rFonts w:hint="cs"/>
          <w:rtl/>
        </w:rPr>
        <w:t xml:space="preserve">، الفقرة 63؛ والوثيقة </w:t>
      </w:r>
      <w:r w:rsidRPr="00FC0CA9">
        <w:t>A/HRC/10/21</w:t>
      </w:r>
      <w:r w:rsidRPr="00FC0CA9">
        <w:rPr>
          <w:rFonts w:hint="cs"/>
          <w:rtl/>
        </w:rPr>
        <w:t>، الفقرة 45؛ والوثيقة</w:t>
      </w:r>
      <w:r w:rsidRPr="00FC0CA9">
        <w:t xml:space="preserve">CAT/C/54/2 </w:t>
      </w:r>
      <w:r w:rsidRPr="00FC0CA9">
        <w:rPr>
          <w:rFonts w:hint="cs"/>
          <w:rtl/>
        </w:rPr>
        <w:t>، الفقرة 91؛ و</w:t>
      </w:r>
      <w:hyperlink r:id="rId5" w:history="1">
        <w:r w:rsidRPr="00FC0CA9">
          <w:t>www.achpr.org/files/sessions/52nd/inter-act-reps/185/activty_report_prisons_eng.pdf</w:t>
        </w:r>
      </w:hyperlink>
      <w:r w:rsidRPr="00FC0CA9">
        <w:rPr>
          <w:rFonts w:hint="cs"/>
          <w:rtl/>
        </w:rPr>
        <w:t xml:space="preserve">، </w:t>
      </w:r>
      <w:r>
        <w:rPr>
          <w:rFonts w:hint="cs"/>
          <w:rtl/>
        </w:rPr>
        <w:t xml:space="preserve">ص </w:t>
      </w:r>
      <w:r w:rsidRPr="00FC0CA9">
        <w:rPr>
          <w:rFonts w:hint="cs"/>
          <w:rtl/>
        </w:rPr>
        <w:t>10.</w:t>
      </w:r>
    </w:p>
  </w:footnote>
  <w:footnote w:id="40">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Fonts w:hint="cs"/>
          <w:rtl/>
        </w:rPr>
        <w:tab/>
      </w:r>
      <w:r>
        <w:rPr>
          <w:rtl/>
        </w:rPr>
        <w:t>(40)</w:t>
      </w:r>
      <w:r>
        <w:rPr>
          <w:rFonts w:hint="cs"/>
          <w:rtl/>
        </w:rPr>
        <w:tab/>
      </w:r>
      <w:r w:rsidRPr="00FC0CA9">
        <w:rPr>
          <w:rFonts w:hint="cs"/>
          <w:rtl/>
        </w:rPr>
        <w:t xml:space="preserve">انظر الوثيقة </w:t>
      </w:r>
      <w:r w:rsidRPr="00FC0CA9">
        <w:t>E/CN.4/2006/7</w:t>
      </w:r>
      <w:r w:rsidRPr="00FC0CA9">
        <w:rPr>
          <w:rFonts w:hint="cs"/>
          <w:rtl/>
        </w:rPr>
        <w:t>، الفقرة 64.</w:t>
      </w:r>
    </w:p>
  </w:footnote>
  <w:footnote w:id="41">
    <w:p w:rsidR="005A1EB0" w:rsidRPr="0089376B" w:rsidRDefault="005A1EB0" w:rsidP="0089376B">
      <w:pPr>
        <w:pStyle w:val="FootnoteText"/>
        <w:tabs>
          <w:tab w:val="clear" w:pos="418"/>
          <w:tab w:val="right" w:pos="1195"/>
          <w:tab w:val="left" w:pos="1267"/>
          <w:tab w:val="left" w:pos="1656"/>
          <w:tab w:val="left" w:pos="2088"/>
        </w:tabs>
        <w:spacing w:after="80"/>
        <w:ind w:left="1267" w:right="1267" w:hanging="547"/>
        <w:rPr>
          <w:spacing w:val="-4"/>
        </w:rPr>
      </w:pPr>
      <w:r w:rsidRPr="0089376B">
        <w:rPr>
          <w:rFonts w:hint="cs"/>
          <w:spacing w:val="-4"/>
          <w:rtl/>
        </w:rPr>
        <w:tab/>
      </w:r>
      <w:r w:rsidRPr="0089376B">
        <w:rPr>
          <w:spacing w:val="-4"/>
          <w:rtl/>
        </w:rPr>
        <w:t>(41)</w:t>
      </w:r>
      <w:r w:rsidRPr="0089376B">
        <w:rPr>
          <w:rFonts w:hint="cs"/>
          <w:spacing w:val="-4"/>
          <w:rtl/>
        </w:rPr>
        <w:tab/>
        <w:t xml:space="preserve">انظر الوثيقة </w:t>
      </w:r>
      <w:r w:rsidRPr="0089376B">
        <w:rPr>
          <w:spacing w:val="-4"/>
        </w:rPr>
        <w:t>A/HRC/19/57</w:t>
      </w:r>
      <w:r w:rsidRPr="0089376B">
        <w:rPr>
          <w:rFonts w:hint="cs"/>
          <w:spacing w:val="-4"/>
          <w:rtl/>
        </w:rPr>
        <w:t xml:space="preserve">، الفقرة 48؛ والوثيقة </w:t>
      </w:r>
      <w:r w:rsidRPr="0089376B">
        <w:rPr>
          <w:spacing w:val="-4"/>
        </w:rPr>
        <w:t>CAT/C/54/2</w:t>
      </w:r>
      <w:r w:rsidRPr="0089376B">
        <w:rPr>
          <w:rFonts w:hint="cs"/>
          <w:spacing w:val="-4"/>
          <w:rtl/>
        </w:rPr>
        <w:t xml:space="preserve">، الفقرة 76؛ والوثيقة </w:t>
      </w:r>
      <w:r w:rsidRPr="0089376B">
        <w:rPr>
          <w:spacing w:val="-4"/>
        </w:rPr>
        <w:t>CCPR/C/TUR/CO/1</w:t>
      </w:r>
      <w:r w:rsidRPr="0089376B">
        <w:rPr>
          <w:rFonts w:hint="cs"/>
          <w:spacing w:val="-4"/>
          <w:rtl/>
        </w:rPr>
        <w:t>، الفقرة 17.</w:t>
      </w:r>
    </w:p>
  </w:footnote>
  <w:footnote w:id="42">
    <w:p w:rsidR="005A1EB0" w:rsidRPr="00FC0CA9" w:rsidRDefault="005A1EB0" w:rsidP="0089376B">
      <w:pPr>
        <w:pStyle w:val="FootnoteText"/>
        <w:tabs>
          <w:tab w:val="clear" w:pos="418"/>
          <w:tab w:val="right" w:pos="1195"/>
          <w:tab w:val="left" w:pos="1267"/>
          <w:tab w:val="left" w:pos="1656"/>
          <w:tab w:val="left" w:pos="2088"/>
        </w:tabs>
        <w:spacing w:after="80"/>
        <w:ind w:left="1264" w:right="1264" w:hanging="544"/>
        <w:jc w:val="left"/>
      </w:pPr>
      <w:r>
        <w:rPr>
          <w:rFonts w:hint="cs"/>
          <w:rtl/>
        </w:rPr>
        <w:tab/>
      </w:r>
      <w:r w:rsidRPr="00FC0CA9">
        <w:rPr>
          <w:rtl/>
        </w:rPr>
        <w:t>(42)</w:t>
      </w:r>
      <w:r>
        <w:rPr>
          <w:rFonts w:hint="cs"/>
          <w:rtl/>
        </w:rPr>
        <w:tab/>
      </w:r>
      <w:r w:rsidRPr="00FC0CA9">
        <w:rPr>
          <w:rFonts w:hint="cs"/>
          <w:rtl/>
        </w:rPr>
        <w:t xml:space="preserve">انظر </w:t>
      </w:r>
      <w:hyperlink r:id="rId6" w:history="1">
        <w:r w:rsidRPr="00FC0CA9">
          <w:t>www.achpr.org/files/sessions/12th-eo/mission-reports/promotion_mission-2012/mission_report_mauritania_cpta_eng.pdf</w:t>
        </w:r>
      </w:hyperlink>
      <w:r w:rsidRPr="00FC0CA9">
        <w:rPr>
          <w:rFonts w:hint="cs"/>
          <w:rtl/>
        </w:rPr>
        <w:t xml:space="preserve">، الفقرة 38. وانظر أيضاً وثيقة مجلس أوروبا </w:t>
      </w:r>
      <w:r w:rsidRPr="00FC0CA9">
        <w:t>CPT/Inf (2014) 31</w:t>
      </w:r>
      <w:r w:rsidRPr="00FC0CA9">
        <w:rPr>
          <w:rFonts w:hint="cs"/>
          <w:rtl/>
        </w:rPr>
        <w:t>، الفقرة 56.</w:t>
      </w:r>
    </w:p>
  </w:footnote>
  <w:footnote w:id="43">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(43)</w:t>
      </w:r>
      <w:r>
        <w:rPr>
          <w:rFonts w:hint="cs"/>
          <w:rtl/>
        </w:rPr>
        <w:tab/>
      </w:r>
      <w:r w:rsidRPr="00FC0CA9">
        <w:rPr>
          <w:rFonts w:hint="cs"/>
          <w:rtl/>
        </w:rPr>
        <w:t xml:space="preserve">انظر الوثيقة </w:t>
      </w:r>
      <w:r w:rsidRPr="00FC0CA9">
        <w:t>CAT/C/TGO/CO/2</w:t>
      </w:r>
      <w:r w:rsidRPr="00FC0CA9">
        <w:rPr>
          <w:rFonts w:hint="cs"/>
          <w:rtl/>
        </w:rPr>
        <w:t xml:space="preserve">، الفقرة 12؛ والوثيقة </w:t>
      </w:r>
      <w:r w:rsidRPr="00FC0CA9">
        <w:t>CAT/OP/MLI/1</w:t>
      </w:r>
      <w:r w:rsidRPr="00FC0CA9">
        <w:rPr>
          <w:rFonts w:hint="cs"/>
          <w:rtl/>
        </w:rPr>
        <w:t>، الفقرة 29.</w:t>
      </w:r>
    </w:p>
  </w:footnote>
  <w:footnote w:id="44">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(44)</w:t>
      </w:r>
      <w:r>
        <w:rPr>
          <w:rFonts w:hint="cs"/>
          <w:rtl/>
        </w:rPr>
        <w:tab/>
      </w:r>
      <w:r w:rsidRPr="00FC0CA9">
        <w:rPr>
          <w:rFonts w:hint="cs"/>
          <w:rtl/>
        </w:rPr>
        <w:t xml:space="preserve">انظر الوثيقة </w:t>
      </w:r>
      <w:r w:rsidRPr="00FC0CA9">
        <w:t>CAT/C/46/2</w:t>
      </w:r>
      <w:r w:rsidRPr="00FC0CA9">
        <w:rPr>
          <w:rFonts w:hint="cs"/>
          <w:rtl/>
        </w:rPr>
        <w:t xml:space="preserve">، الفقرة 52؛ والوثيقة </w:t>
      </w:r>
      <w:r w:rsidRPr="00FC0CA9">
        <w:t>CAT/C/GTM/CO/5-6</w:t>
      </w:r>
      <w:r w:rsidRPr="00FC0CA9">
        <w:rPr>
          <w:rFonts w:hint="cs"/>
          <w:rtl/>
        </w:rPr>
        <w:t>، الفقرة 17.</w:t>
      </w:r>
    </w:p>
  </w:footnote>
  <w:footnote w:id="45">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(45)</w:t>
      </w:r>
      <w:r>
        <w:rPr>
          <w:rFonts w:hint="cs"/>
          <w:rtl/>
        </w:rPr>
        <w:tab/>
      </w:r>
      <w:r w:rsidRPr="00FC0CA9">
        <w:rPr>
          <w:rFonts w:hint="cs"/>
          <w:rtl/>
        </w:rPr>
        <w:t xml:space="preserve">انظر الوثيقة </w:t>
      </w:r>
      <w:r w:rsidRPr="00FC0CA9">
        <w:t>CAT/C/RWA/CO/1</w:t>
      </w:r>
      <w:r w:rsidRPr="00FC0CA9">
        <w:rPr>
          <w:rFonts w:hint="cs"/>
          <w:rtl/>
        </w:rPr>
        <w:t xml:space="preserve">، الفقرة 19؛ والوثيقة </w:t>
      </w:r>
      <w:r w:rsidRPr="00FC0CA9">
        <w:t>CAT/OP/PRY/1</w:t>
      </w:r>
      <w:r w:rsidRPr="00FC0CA9">
        <w:rPr>
          <w:rFonts w:hint="cs"/>
          <w:rtl/>
        </w:rPr>
        <w:t xml:space="preserve">، الفقرة 46. </w:t>
      </w:r>
    </w:p>
  </w:footnote>
  <w:footnote w:id="46">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(46)</w:t>
      </w:r>
      <w:r>
        <w:rPr>
          <w:rFonts w:hint="cs"/>
          <w:rtl/>
        </w:rPr>
        <w:tab/>
      </w:r>
      <w:r w:rsidRPr="00FC0CA9">
        <w:rPr>
          <w:rFonts w:hint="cs"/>
          <w:rtl/>
        </w:rPr>
        <w:t xml:space="preserve">انظر الوثيقة </w:t>
      </w:r>
      <w:r w:rsidRPr="00FC0CA9">
        <w:t>A/HRC/27/48</w:t>
      </w:r>
      <w:r w:rsidRPr="00FC0CA9">
        <w:rPr>
          <w:rFonts w:hint="cs"/>
          <w:rtl/>
        </w:rPr>
        <w:t>، الفقرتين 78 و79.</w:t>
      </w:r>
    </w:p>
  </w:footnote>
  <w:footnote w:id="47">
    <w:p w:rsidR="005A1EB0" w:rsidRPr="00FC0CA9" w:rsidRDefault="005A1EB0" w:rsidP="00D36921">
      <w:pPr>
        <w:pStyle w:val="FootnoteText"/>
        <w:tabs>
          <w:tab w:val="clear" w:pos="418"/>
          <w:tab w:val="right" w:pos="1195"/>
          <w:tab w:val="left" w:pos="1267"/>
          <w:tab w:val="left" w:pos="1656"/>
          <w:tab w:val="left" w:pos="2088"/>
        </w:tabs>
        <w:spacing w:after="80"/>
        <w:ind w:left="1267" w:right="1267" w:hanging="547"/>
      </w:pPr>
      <w:r>
        <w:rPr>
          <w:rFonts w:hint="cs"/>
          <w:rtl/>
        </w:rPr>
        <w:tab/>
      </w:r>
      <w:r>
        <w:rPr>
          <w:rtl/>
        </w:rPr>
        <w:t>(47)</w:t>
      </w:r>
      <w:r>
        <w:rPr>
          <w:rFonts w:hint="cs"/>
          <w:rtl/>
        </w:rPr>
        <w:tab/>
      </w:r>
      <w:r w:rsidRPr="00FC0CA9">
        <w:rPr>
          <w:rFonts w:hint="cs"/>
          <w:rtl/>
        </w:rPr>
        <w:t xml:space="preserve">انظر الوثيقة </w:t>
      </w:r>
      <w:r w:rsidRPr="00FC0CA9">
        <w:t>A/HRC/27/48</w:t>
      </w:r>
      <w:r w:rsidRPr="00FC0CA9">
        <w:rPr>
          <w:rFonts w:hint="cs"/>
          <w:rtl/>
        </w:rPr>
        <w:t>، الفقرة</w:t>
      </w:r>
      <w:r>
        <w:rPr>
          <w:rFonts w:hint="cs"/>
          <w:rtl/>
        </w:rPr>
        <w:t xml:space="preserve"> 75</w:t>
      </w:r>
      <w:r w:rsidRPr="00FC0CA9">
        <w:rPr>
          <w:rFonts w:hint="cs"/>
          <w:rtl/>
        </w:rPr>
        <w:t xml:space="preserve">؛ والوثيقة </w:t>
      </w:r>
      <w:r w:rsidRPr="00FC0CA9">
        <w:t>A/HRC/4/25/Add.3</w:t>
      </w:r>
      <w:r w:rsidRPr="00FC0CA9">
        <w:rPr>
          <w:rFonts w:hint="cs"/>
          <w:rtl/>
        </w:rPr>
        <w:t xml:space="preserve">، الفقرة 7(و)؛ والوثيقة </w:t>
      </w:r>
      <w:r w:rsidRPr="00FC0CA9">
        <w:t>CAT/OP/BEN/1</w:t>
      </w:r>
      <w:r w:rsidRPr="00FC0CA9">
        <w:rPr>
          <w:rFonts w:hint="cs"/>
          <w:rtl/>
        </w:rPr>
        <w:t>، الفقرة 151.</w:t>
      </w:r>
    </w:p>
  </w:footnote>
  <w:footnote w:id="48">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(48)</w:t>
      </w:r>
      <w:r>
        <w:rPr>
          <w:rFonts w:hint="cs"/>
          <w:rtl/>
        </w:rPr>
        <w:tab/>
      </w:r>
      <w:r w:rsidRPr="00FC0CA9">
        <w:rPr>
          <w:rFonts w:hint="cs"/>
          <w:rtl/>
        </w:rPr>
        <w:t xml:space="preserve">انظر وثيقة مجلس أوروبا </w:t>
      </w:r>
      <w:r w:rsidRPr="00FC0CA9">
        <w:t>CPT/Inf (2015) 12</w:t>
      </w:r>
      <w:r w:rsidRPr="00FC0CA9">
        <w:rPr>
          <w:rFonts w:hint="cs"/>
          <w:rtl/>
        </w:rPr>
        <w:t>، الفقرة 54.</w:t>
      </w:r>
    </w:p>
  </w:footnote>
  <w:footnote w:id="49">
    <w:p w:rsidR="005A1EB0" w:rsidRPr="002617C4" w:rsidRDefault="005A1EB0" w:rsidP="0089376B">
      <w:pPr>
        <w:pStyle w:val="FootnoteText"/>
        <w:tabs>
          <w:tab w:val="clear" w:pos="418"/>
          <w:tab w:val="right" w:pos="1195"/>
          <w:tab w:val="left" w:pos="1267"/>
          <w:tab w:val="left" w:pos="1656"/>
          <w:tab w:val="left" w:pos="2088"/>
        </w:tabs>
        <w:spacing w:after="80"/>
        <w:ind w:left="1267" w:right="1267" w:hanging="547"/>
        <w:rPr>
          <w:spacing w:val="-4"/>
          <w:rtl/>
        </w:rPr>
      </w:pPr>
      <w:r w:rsidRPr="0089376B">
        <w:rPr>
          <w:rFonts w:hint="cs"/>
          <w:spacing w:val="-6"/>
          <w:rtl/>
        </w:rPr>
        <w:tab/>
      </w:r>
      <w:r w:rsidRPr="0089376B">
        <w:rPr>
          <w:spacing w:val="-6"/>
          <w:rtl/>
        </w:rPr>
        <w:t>(49)</w:t>
      </w:r>
      <w:r w:rsidRPr="0089376B">
        <w:rPr>
          <w:rFonts w:hint="cs"/>
          <w:spacing w:val="-6"/>
          <w:rtl/>
        </w:rPr>
        <w:tab/>
        <w:t>انظر</w:t>
      </w:r>
      <w:r w:rsidRPr="00FC0CA9">
        <w:rPr>
          <w:rFonts w:hint="cs"/>
          <w:rtl/>
        </w:rPr>
        <w:t xml:space="preserve"> </w:t>
      </w:r>
      <w:hyperlink r:id="rId7" w:history="1">
        <w:r w:rsidRPr="0089376B">
          <w:rPr>
            <w:spacing w:val="-8"/>
          </w:rPr>
          <w:t>www.achpr.org/files/sessions/37th/mission-reports/prisons-2004/misrep_specmec_priso_southafrica_2004_eng.pdf</w:t>
        </w:r>
      </w:hyperlink>
      <w:r w:rsidRPr="00FC0CA9">
        <w:rPr>
          <w:rFonts w:hint="cs"/>
          <w:i/>
          <w:rtl/>
          <w:lang w:val="lv-LV" w:eastAsia="lv-LV"/>
        </w:rPr>
        <w:t xml:space="preserve">، </w:t>
      </w:r>
      <w:r>
        <w:rPr>
          <w:rFonts w:hint="cs"/>
          <w:i/>
          <w:rtl/>
          <w:lang w:val="lv-LV" w:eastAsia="lv-LV"/>
        </w:rPr>
        <w:t xml:space="preserve">ص </w:t>
      </w:r>
      <w:r w:rsidRPr="00FC0CA9">
        <w:rPr>
          <w:rFonts w:hint="cs"/>
          <w:i/>
          <w:rtl/>
          <w:lang w:val="lv-LV" w:eastAsia="lv-LV"/>
        </w:rPr>
        <w:t xml:space="preserve">53، وقضية </w:t>
      </w:r>
      <w:r w:rsidRPr="00FC0CA9">
        <w:rPr>
          <w:rFonts w:hint="cs"/>
          <w:iCs/>
          <w:rtl/>
          <w:lang w:val="lv-LV" w:eastAsia="lv-LV"/>
        </w:rPr>
        <w:t>نبتون ضد هايتي</w:t>
      </w:r>
      <w:r w:rsidRPr="00FC0CA9">
        <w:rPr>
          <w:rFonts w:hint="cs"/>
          <w:i/>
          <w:rtl/>
          <w:lang w:val="lv-LV" w:eastAsia="lv-LV"/>
        </w:rPr>
        <w:t xml:space="preserve">، </w:t>
      </w:r>
      <w:r w:rsidRPr="00FC0CA9">
        <w:rPr>
          <w:rFonts w:hint="cs"/>
          <w:b/>
          <w:rtl/>
          <w:lang w:eastAsia="en-GB"/>
        </w:rPr>
        <w:t xml:space="preserve">حكم صادر عن محكمة </w:t>
      </w:r>
      <w:r w:rsidRPr="00FC0CA9">
        <w:rPr>
          <w:rFonts w:hint="cs"/>
          <w:rtl/>
          <w:lang w:bidi="ar"/>
        </w:rPr>
        <w:t xml:space="preserve">البلدان الأمريكية لحقوق الإنسان (2008)، </w:t>
      </w:r>
      <w:r w:rsidRPr="00E9460D">
        <w:rPr>
          <w:rFonts w:hint="cs"/>
          <w:spacing w:val="-4"/>
          <w:rtl/>
          <w:lang w:bidi="ar"/>
        </w:rPr>
        <w:t>الفقرة</w:t>
      </w:r>
      <w:r w:rsidRPr="00E9460D">
        <w:rPr>
          <w:rFonts w:hint="eastAsia"/>
          <w:spacing w:val="-4"/>
          <w:rtl/>
          <w:lang w:bidi="ar"/>
        </w:rPr>
        <w:t> </w:t>
      </w:r>
      <w:r w:rsidRPr="00E9460D">
        <w:rPr>
          <w:rFonts w:hint="cs"/>
          <w:spacing w:val="-4"/>
          <w:rtl/>
          <w:lang w:bidi="ar"/>
        </w:rPr>
        <w:t xml:space="preserve">137؛ والوثيقة </w:t>
      </w:r>
      <w:r w:rsidRPr="00E9460D">
        <w:rPr>
          <w:spacing w:val="-4"/>
          <w:szCs w:val="18"/>
        </w:rPr>
        <w:t>CPT/Inf (2015) 12</w:t>
      </w:r>
      <w:r w:rsidRPr="00E9460D">
        <w:rPr>
          <w:rFonts w:hint="cs"/>
          <w:spacing w:val="-4"/>
          <w:rtl/>
        </w:rPr>
        <w:t>، الفقرة 106.</w:t>
      </w:r>
      <w:r w:rsidRPr="00E9460D">
        <w:rPr>
          <w:rFonts w:hint="cs"/>
          <w:spacing w:val="-4"/>
          <w:szCs w:val="18"/>
          <w:rtl/>
        </w:rPr>
        <w:t xml:space="preserve"> </w:t>
      </w:r>
      <w:r w:rsidRPr="00E9460D">
        <w:rPr>
          <w:rFonts w:hint="cs"/>
          <w:spacing w:val="-4"/>
          <w:rtl/>
        </w:rPr>
        <w:t>وانظر أيضاً وثيقة مجلس أوروبا</w:t>
      </w:r>
      <w:r w:rsidRPr="00E9460D">
        <w:rPr>
          <w:rFonts w:hint="cs"/>
          <w:spacing w:val="-4"/>
          <w:szCs w:val="18"/>
          <w:rtl/>
        </w:rPr>
        <w:t xml:space="preserve"> </w:t>
      </w:r>
      <w:r w:rsidRPr="00E9460D">
        <w:rPr>
          <w:spacing w:val="-4"/>
          <w:szCs w:val="18"/>
        </w:rPr>
        <w:t>CPT/Inf (2014) 26</w:t>
      </w:r>
      <w:r w:rsidRPr="00E9460D">
        <w:rPr>
          <w:rFonts w:hint="cs"/>
          <w:spacing w:val="-4"/>
          <w:szCs w:val="18"/>
          <w:rtl/>
        </w:rPr>
        <w:t xml:space="preserve">، </w:t>
      </w:r>
      <w:r w:rsidRPr="00E9460D">
        <w:rPr>
          <w:rFonts w:hint="cs"/>
          <w:spacing w:val="-4"/>
          <w:rtl/>
        </w:rPr>
        <w:t xml:space="preserve">الفقرة 110؛ والوثيقة </w:t>
      </w:r>
      <w:r w:rsidRPr="00E9460D">
        <w:rPr>
          <w:spacing w:val="-4"/>
          <w:szCs w:val="18"/>
          <w:lang w:val="es-ES"/>
        </w:rPr>
        <w:t>CAT/C/BGR/CO/4-5</w:t>
      </w:r>
      <w:r w:rsidRPr="00E9460D">
        <w:rPr>
          <w:rFonts w:hint="cs"/>
          <w:spacing w:val="-4"/>
          <w:szCs w:val="18"/>
          <w:rtl/>
          <w:lang w:val="es-ES"/>
        </w:rPr>
        <w:t xml:space="preserve">، </w:t>
      </w:r>
      <w:r w:rsidRPr="00E9460D">
        <w:rPr>
          <w:rFonts w:hint="cs"/>
          <w:spacing w:val="-4"/>
          <w:rtl/>
          <w:lang w:val="es-ES"/>
        </w:rPr>
        <w:t xml:space="preserve">الفقرة 23؛ والوثيقة </w:t>
      </w:r>
      <w:r w:rsidRPr="00E9460D">
        <w:rPr>
          <w:spacing w:val="-4"/>
          <w:szCs w:val="18"/>
          <w:lang w:val="es-ES"/>
        </w:rPr>
        <w:t>CAT/C/GTM/CO/5-6</w:t>
      </w:r>
      <w:r w:rsidRPr="00E9460D">
        <w:rPr>
          <w:rFonts w:hint="cs"/>
          <w:spacing w:val="-4"/>
          <w:szCs w:val="18"/>
          <w:rtl/>
          <w:lang w:val="es-ES"/>
        </w:rPr>
        <w:t xml:space="preserve">، </w:t>
      </w:r>
      <w:r w:rsidRPr="00E9460D">
        <w:rPr>
          <w:rFonts w:hint="cs"/>
          <w:spacing w:val="-4"/>
          <w:rtl/>
          <w:lang w:val="es-ES"/>
        </w:rPr>
        <w:t>الفقرة 18، والوثيقة</w:t>
      </w:r>
      <w:r w:rsidRPr="002617C4">
        <w:rPr>
          <w:rFonts w:hint="cs"/>
          <w:spacing w:val="-4"/>
          <w:szCs w:val="18"/>
          <w:rtl/>
          <w:lang w:val="es-ES"/>
        </w:rPr>
        <w:t xml:space="preserve"> </w:t>
      </w:r>
      <w:r w:rsidRPr="002617C4">
        <w:rPr>
          <w:spacing w:val="-4"/>
          <w:szCs w:val="18"/>
          <w:lang w:val="es-ES"/>
        </w:rPr>
        <w:t>CAT/C/MEX/CO.5-6</w:t>
      </w:r>
      <w:r w:rsidRPr="002617C4">
        <w:rPr>
          <w:rFonts w:hint="cs"/>
          <w:spacing w:val="-4"/>
          <w:szCs w:val="18"/>
          <w:rtl/>
          <w:lang w:val="es-ES"/>
        </w:rPr>
        <w:t xml:space="preserve">، </w:t>
      </w:r>
      <w:r w:rsidRPr="002617C4">
        <w:rPr>
          <w:rFonts w:hint="cs"/>
          <w:spacing w:val="-4"/>
          <w:rtl/>
          <w:lang w:val="es-ES"/>
        </w:rPr>
        <w:t>الفقرة 19؛ والوثيقة</w:t>
      </w:r>
      <w:r w:rsidRPr="002617C4">
        <w:rPr>
          <w:rFonts w:hint="cs"/>
          <w:spacing w:val="-4"/>
          <w:szCs w:val="18"/>
          <w:rtl/>
          <w:lang w:val="es-ES"/>
        </w:rPr>
        <w:t xml:space="preserve"> </w:t>
      </w:r>
      <w:r w:rsidRPr="002617C4">
        <w:rPr>
          <w:spacing w:val="-4"/>
          <w:szCs w:val="18"/>
        </w:rPr>
        <w:t>CCPR/C/BOL/CO/3</w:t>
      </w:r>
      <w:r w:rsidRPr="002617C4">
        <w:rPr>
          <w:rFonts w:hint="cs"/>
          <w:spacing w:val="-4"/>
          <w:rtl/>
        </w:rPr>
        <w:t>، الفقرة 20؛ والوثيقة</w:t>
      </w:r>
      <w:r w:rsidRPr="002617C4">
        <w:rPr>
          <w:rFonts w:hint="cs"/>
          <w:spacing w:val="-4"/>
          <w:szCs w:val="18"/>
          <w:rtl/>
        </w:rPr>
        <w:t xml:space="preserve"> </w:t>
      </w:r>
      <w:r w:rsidRPr="002617C4">
        <w:rPr>
          <w:spacing w:val="-4"/>
          <w:szCs w:val="18"/>
        </w:rPr>
        <w:t>CAT/OP/MEX/1</w:t>
      </w:r>
      <w:r w:rsidRPr="002617C4">
        <w:rPr>
          <w:rFonts w:hint="cs"/>
          <w:spacing w:val="-4"/>
          <w:rtl/>
        </w:rPr>
        <w:t>، الفقرة 178.</w:t>
      </w:r>
    </w:p>
  </w:footnote>
  <w:footnote w:id="50">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(50)</w:t>
      </w:r>
      <w:r>
        <w:rPr>
          <w:rFonts w:hint="cs"/>
          <w:rtl/>
        </w:rPr>
        <w:tab/>
      </w:r>
      <w:r w:rsidRPr="00FC0CA9">
        <w:rPr>
          <w:rFonts w:hint="cs"/>
          <w:rtl/>
        </w:rPr>
        <w:t xml:space="preserve">انظر وثيقة مجلس أوروبا </w:t>
      </w:r>
      <w:r w:rsidRPr="00FC0CA9">
        <w:rPr>
          <w:szCs w:val="18"/>
        </w:rPr>
        <w:t>CPT/Inf (2014) 31</w:t>
      </w:r>
      <w:r w:rsidRPr="00FC0CA9">
        <w:rPr>
          <w:rFonts w:hint="cs"/>
          <w:rtl/>
        </w:rPr>
        <w:t>، الفقرة 56؛ والوثيقة</w:t>
      </w:r>
      <w:r w:rsidRPr="00FC0CA9">
        <w:rPr>
          <w:rFonts w:hint="cs"/>
          <w:szCs w:val="18"/>
          <w:rtl/>
        </w:rPr>
        <w:t xml:space="preserve"> </w:t>
      </w:r>
      <w:r w:rsidRPr="00FC0CA9">
        <w:rPr>
          <w:szCs w:val="18"/>
        </w:rPr>
        <w:t>A/HRC/25/60/Add.1</w:t>
      </w:r>
      <w:r w:rsidRPr="00FC0CA9">
        <w:rPr>
          <w:rFonts w:hint="cs"/>
          <w:rtl/>
        </w:rPr>
        <w:t xml:space="preserve">، الفقرة 19؛ والوثيقة </w:t>
      </w:r>
      <w:r w:rsidRPr="00FC0CA9">
        <w:rPr>
          <w:szCs w:val="18"/>
        </w:rPr>
        <w:t>CAT/OP/BEN/1</w:t>
      </w:r>
      <w:r w:rsidRPr="00FC0CA9">
        <w:rPr>
          <w:rFonts w:hint="cs"/>
          <w:rtl/>
        </w:rPr>
        <w:t>، الفقرة 210.</w:t>
      </w:r>
    </w:p>
  </w:footnote>
  <w:footnote w:id="51">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(51)</w:t>
      </w:r>
      <w:r>
        <w:rPr>
          <w:rFonts w:hint="cs"/>
          <w:rtl/>
        </w:rPr>
        <w:tab/>
      </w:r>
      <w:r w:rsidRPr="00FC0CA9">
        <w:rPr>
          <w:rFonts w:hint="cs"/>
          <w:rtl/>
        </w:rPr>
        <w:t xml:space="preserve">انظر الوثيقة </w:t>
      </w:r>
      <w:r w:rsidRPr="00FC0CA9">
        <w:rPr>
          <w:szCs w:val="18"/>
        </w:rPr>
        <w:t>CAT/OP/MLI/1</w:t>
      </w:r>
      <w:r w:rsidRPr="00FC0CA9">
        <w:rPr>
          <w:rFonts w:hint="cs"/>
          <w:rtl/>
        </w:rPr>
        <w:t>، الفقرة 49.</w:t>
      </w:r>
    </w:p>
  </w:footnote>
  <w:footnote w:id="52">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(52)</w:t>
      </w:r>
      <w:r>
        <w:rPr>
          <w:rFonts w:hint="cs"/>
          <w:rtl/>
        </w:rPr>
        <w:tab/>
      </w:r>
      <w:r w:rsidRPr="00FC0CA9">
        <w:rPr>
          <w:rFonts w:hint="cs"/>
          <w:rtl/>
        </w:rPr>
        <w:t xml:space="preserve">انظر الوثيقة </w:t>
      </w:r>
      <w:r w:rsidRPr="00FC0CA9">
        <w:rPr>
          <w:szCs w:val="18"/>
        </w:rPr>
        <w:t>CAT/OP/MEX/1</w:t>
      </w:r>
      <w:r w:rsidRPr="00FC0CA9">
        <w:rPr>
          <w:rFonts w:hint="cs"/>
          <w:rtl/>
        </w:rPr>
        <w:t xml:space="preserve">، الفقرة 166؛ والوثيقة </w:t>
      </w:r>
      <w:r w:rsidRPr="00FC0CA9">
        <w:rPr>
          <w:szCs w:val="18"/>
        </w:rPr>
        <w:t>CAT/C/BGR/CO/4-5</w:t>
      </w:r>
      <w:r w:rsidRPr="00FC0CA9">
        <w:rPr>
          <w:rFonts w:hint="cs"/>
          <w:rtl/>
        </w:rPr>
        <w:t>، الفقرة 23؛</w:t>
      </w:r>
      <w:r w:rsidRPr="00FC0CA9">
        <w:rPr>
          <w:rFonts w:hint="cs"/>
          <w:szCs w:val="18"/>
          <w:rtl/>
        </w:rPr>
        <w:t xml:space="preserve"> </w:t>
      </w:r>
      <w:r w:rsidRPr="00FC0CA9">
        <w:rPr>
          <w:rFonts w:hint="cs"/>
          <w:rtl/>
        </w:rPr>
        <w:t xml:space="preserve">ووثيقة مجلس أوروبا </w:t>
      </w:r>
      <w:r w:rsidRPr="00FC0CA9">
        <w:rPr>
          <w:szCs w:val="18"/>
        </w:rPr>
        <w:t>CPT/Inf (2015) 12</w:t>
      </w:r>
      <w:r w:rsidRPr="00FC0CA9">
        <w:rPr>
          <w:rFonts w:hint="cs"/>
          <w:rtl/>
        </w:rPr>
        <w:t>، الفقرة 54.</w:t>
      </w:r>
    </w:p>
  </w:footnote>
  <w:footnote w:id="53">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(53)</w:t>
      </w:r>
      <w:r>
        <w:rPr>
          <w:rFonts w:hint="cs"/>
          <w:rtl/>
        </w:rPr>
        <w:tab/>
      </w:r>
      <w:r w:rsidRPr="00FC0CA9">
        <w:rPr>
          <w:rFonts w:hint="cs"/>
          <w:rtl/>
        </w:rPr>
        <w:t xml:space="preserve">انظر الوثيقة </w:t>
      </w:r>
      <w:r w:rsidRPr="00FC0CA9">
        <w:rPr>
          <w:szCs w:val="18"/>
        </w:rPr>
        <w:t>CAT/C/BOL/CO/2</w:t>
      </w:r>
      <w:r w:rsidRPr="00FC0CA9">
        <w:rPr>
          <w:rFonts w:hint="cs"/>
          <w:rtl/>
        </w:rPr>
        <w:t xml:space="preserve">، الفقرة 18؛ والوثيقة </w:t>
      </w:r>
      <w:r w:rsidRPr="00FC0CA9">
        <w:rPr>
          <w:szCs w:val="18"/>
        </w:rPr>
        <w:t>CAT/C/MAR/CO/4</w:t>
      </w:r>
      <w:r w:rsidRPr="00FC0CA9">
        <w:rPr>
          <w:rFonts w:hint="cs"/>
          <w:rtl/>
        </w:rPr>
        <w:t>، الفقرة 19.</w:t>
      </w:r>
    </w:p>
  </w:footnote>
  <w:footnote w:id="54">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(54)</w:t>
      </w:r>
      <w:r>
        <w:rPr>
          <w:rFonts w:hint="cs"/>
          <w:rtl/>
        </w:rPr>
        <w:tab/>
      </w:r>
      <w:r w:rsidRPr="00FC0CA9">
        <w:rPr>
          <w:rFonts w:hint="cs"/>
          <w:rtl/>
        </w:rPr>
        <w:t xml:space="preserve">انظر قضية </w:t>
      </w:r>
      <w:r w:rsidRPr="00FC0CA9">
        <w:rPr>
          <w:rFonts w:hint="cs"/>
          <w:i/>
          <w:iCs/>
          <w:rtl/>
        </w:rPr>
        <w:t>باتشيكو تيرويل وآخرين ضد هندوراس</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 xml:space="preserve">البلدان الأمريكية لحقوق الإنسان (2012)، الفقرة 96. وانظر أيضاً وثيقة مجلس أوروبا </w:t>
      </w:r>
      <w:r w:rsidRPr="00FC0CA9">
        <w:rPr>
          <w:szCs w:val="18"/>
        </w:rPr>
        <w:t>CPT/Inf (2014) 26</w:t>
      </w:r>
      <w:r w:rsidRPr="00FC0CA9">
        <w:rPr>
          <w:rFonts w:hint="cs"/>
          <w:rtl/>
        </w:rPr>
        <w:t>، الفقرة 102،</w:t>
      </w:r>
      <w:r w:rsidRPr="00FC0CA9">
        <w:rPr>
          <w:rFonts w:hint="cs"/>
          <w:rtl/>
          <w:lang w:bidi="ar"/>
        </w:rPr>
        <w:t xml:space="preserve"> و</w:t>
      </w:r>
      <w:r w:rsidRPr="00FC0CA9">
        <w:rPr>
          <w:rFonts w:hint="cs"/>
          <w:rtl/>
        </w:rPr>
        <w:t xml:space="preserve">الوثيقة </w:t>
      </w:r>
      <w:r w:rsidRPr="00FC0CA9">
        <w:rPr>
          <w:szCs w:val="18"/>
        </w:rPr>
        <w:t>CAT/OP/MEX/1</w:t>
      </w:r>
      <w:r w:rsidRPr="00FC0CA9">
        <w:rPr>
          <w:rFonts w:hint="cs"/>
          <w:rtl/>
        </w:rPr>
        <w:t>، الفقرة 176.</w:t>
      </w:r>
    </w:p>
  </w:footnote>
  <w:footnote w:id="55">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(55)</w:t>
      </w:r>
      <w:r>
        <w:rPr>
          <w:rFonts w:hint="cs"/>
          <w:rtl/>
        </w:rPr>
        <w:tab/>
      </w:r>
      <w:r w:rsidRPr="00FC0CA9">
        <w:rPr>
          <w:rFonts w:hint="cs"/>
          <w:rtl/>
        </w:rPr>
        <w:t xml:space="preserve">انظر قضية </w:t>
      </w:r>
      <w:r w:rsidRPr="00FC0CA9">
        <w:rPr>
          <w:rFonts w:hint="cs"/>
          <w:i/>
          <w:iCs/>
          <w:rtl/>
        </w:rPr>
        <w:t>باتشيكو تيرويل وآخرين ضد هندوراس</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البلدان الأمريكية لحقوق الإنسان (2012)، الفقرة 66.</w:t>
      </w:r>
    </w:p>
  </w:footnote>
  <w:footnote w:id="56">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(56)</w:t>
      </w:r>
      <w:r>
        <w:rPr>
          <w:rFonts w:hint="cs"/>
          <w:rtl/>
        </w:rPr>
        <w:tab/>
      </w:r>
      <w:r w:rsidRPr="00FC0CA9">
        <w:rPr>
          <w:rFonts w:hint="cs"/>
          <w:rtl/>
        </w:rPr>
        <w:t xml:space="preserve">انظر الوثيقة </w:t>
      </w:r>
      <w:r w:rsidRPr="00FC0CA9">
        <w:rPr>
          <w:szCs w:val="18"/>
        </w:rPr>
        <w:t>CAT/OP/BRA/1</w:t>
      </w:r>
      <w:r w:rsidRPr="00FC0CA9">
        <w:rPr>
          <w:rFonts w:hint="cs"/>
          <w:rtl/>
        </w:rPr>
        <w:t>، الفقرة 75.</w:t>
      </w:r>
    </w:p>
  </w:footnote>
  <w:footnote w:id="57">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(57)</w:t>
      </w:r>
      <w:r>
        <w:rPr>
          <w:rFonts w:hint="cs"/>
          <w:rtl/>
        </w:rPr>
        <w:tab/>
      </w:r>
      <w:r w:rsidRPr="00FC0CA9">
        <w:rPr>
          <w:rFonts w:hint="cs"/>
          <w:rtl/>
        </w:rPr>
        <w:t xml:space="preserve">انظر وثيقة مجلس أوروبا </w:t>
      </w:r>
      <w:r w:rsidRPr="00FC0CA9">
        <w:rPr>
          <w:szCs w:val="18"/>
        </w:rPr>
        <w:t>CPT/Inf (92) 3</w:t>
      </w:r>
      <w:r w:rsidRPr="00FC0CA9">
        <w:rPr>
          <w:rFonts w:hint="cs"/>
          <w:rtl/>
        </w:rPr>
        <w:t>، الفقرة 46؛ والوثيقة</w:t>
      </w:r>
      <w:r w:rsidRPr="00FC0CA9">
        <w:rPr>
          <w:rFonts w:hint="cs"/>
          <w:szCs w:val="18"/>
          <w:rtl/>
        </w:rPr>
        <w:t xml:space="preserve"> </w:t>
      </w:r>
      <w:r w:rsidRPr="00FC0CA9">
        <w:rPr>
          <w:szCs w:val="18"/>
        </w:rPr>
        <w:t>CPT/Inf (2014) 26</w:t>
      </w:r>
      <w:r w:rsidRPr="00FC0CA9">
        <w:rPr>
          <w:rFonts w:hint="cs"/>
          <w:rtl/>
        </w:rPr>
        <w:t xml:space="preserve">، الفقرة 100. وانظر أيضاً </w:t>
      </w:r>
      <w:hyperlink r:id="rId8" w:history="1">
        <w:r w:rsidRPr="0089376B">
          <w:rPr>
            <w:rStyle w:val="Hyperlink"/>
            <w:bCs/>
            <w:color w:val="auto"/>
            <w:spacing w:val="-8"/>
            <w:szCs w:val="18"/>
            <w:u w:val="none"/>
            <w:lang w:val="lv-LV" w:eastAsia="lv-LV"/>
          </w:rPr>
          <w:t>www.achpr.org/files/sessions/12th-eo/mission-reports/promotion_mission-2012/mission_report_mauritania_cpta_eng.pdf</w:t>
        </w:r>
      </w:hyperlink>
      <w:r w:rsidRPr="0089376B">
        <w:rPr>
          <w:rFonts w:hint="cs"/>
          <w:bCs/>
          <w:spacing w:val="-8"/>
          <w:szCs w:val="18"/>
          <w:rtl/>
          <w:lang w:val="lv-LV" w:eastAsia="lv-LV"/>
        </w:rPr>
        <w:t>،</w:t>
      </w:r>
      <w:r w:rsidRPr="0089376B">
        <w:rPr>
          <w:rFonts w:hint="cs"/>
          <w:bCs/>
          <w:szCs w:val="18"/>
          <w:rtl/>
          <w:lang w:val="lv-LV" w:eastAsia="lv-LV"/>
        </w:rPr>
        <w:t xml:space="preserve"> </w:t>
      </w:r>
      <w:r w:rsidRPr="0089376B">
        <w:rPr>
          <w:rFonts w:hint="cs"/>
          <w:b/>
          <w:rtl/>
          <w:lang w:val="lv-LV" w:eastAsia="lv-LV"/>
        </w:rPr>
        <w:t xml:space="preserve">الفقرة 112 (9)؛ وقضية </w:t>
      </w:r>
      <w:r w:rsidRPr="0089376B">
        <w:rPr>
          <w:rFonts w:hint="cs"/>
          <w:b/>
          <w:i/>
          <w:iCs/>
          <w:rtl/>
          <w:lang w:val="lv-LV" w:eastAsia="lv-LV"/>
        </w:rPr>
        <w:t>كلاشنيكوف ضد روسيا</w:t>
      </w:r>
      <w:r w:rsidRPr="0089376B">
        <w:rPr>
          <w:rFonts w:hint="cs"/>
          <w:b/>
          <w:rtl/>
          <w:lang w:val="lv-LV" w:eastAsia="lv-LV"/>
        </w:rPr>
        <w:t xml:space="preserve">، حكم صادر عن المحكمة الأوروبية لحقوق الإنسان (2002)، الفقرة 102؛ وقضية </w:t>
      </w:r>
      <w:r w:rsidRPr="0089376B">
        <w:rPr>
          <w:rFonts w:hint="cs"/>
          <w:b/>
          <w:i/>
          <w:iCs/>
          <w:rtl/>
          <w:lang w:val="lv-LV" w:eastAsia="lv-LV"/>
        </w:rPr>
        <w:t>أنانييف وآخرين ضد روسيا</w:t>
      </w:r>
      <w:r w:rsidRPr="0089376B">
        <w:rPr>
          <w:rFonts w:hint="cs"/>
          <w:b/>
          <w:rtl/>
          <w:lang w:val="lv-LV" w:eastAsia="lv-LV"/>
        </w:rPr>
        <w:t>، حكم</w:t>
      </w:r>
      <w:r w:rsidRPr="00FC0CA9">
        <w:rPr>
          <w:rFonts w:hint="cs"/>
          <w:b/>
          <w:rtl/>
          <w:lang w:val="lv-LV" w:eastAsia="lv-LV"/>
        </w:rPr>
        <w:t xml:space="preserve"> صادر عن المحكمة الأوروبية لحقوق الإنسان (2012)، الفقرات من 143 إلى 148. </w:t>
      </w:r>
    </w:p>
  </w:footnote>
  <w:footnote w:id="58">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(58)</w:t>
      </w:r>
      <w:r>
        <w:rPr>
          <w:rFonts w:hint="cs"/>
          <w:rtl/>
        </w:rPr>
        <w:tab/>
      </w:r>
      <w:r w:rsidRPr="00FC0CA9">
        <w:rPr>
          <w:rFonts w:hint="cs"/>
          <w:rtl/>
        </w:rPr>
        <w:t xml:space="preserve">انظر الوثيقة </w:t>
      </w:r>
      <w:r w:rsidRPr="00FC0CA9">
        <w:t>CAT/OP/MLI/1</w:t>
      </w:r>
      <w:r w:rsidRPr="00FC0CA9">
        <w:rPr>
          <w:rFonts w:hint="cs"/>
          <w:rtl/>
        </w:rPr>
        <w:t xml:space="preserve">، الفقرة 49، والوثيقة </w:t>
      </w:r>
      <w:r w:rsidRPr="00FC0CA9">
        <w:rPr>
          <w:szCs w:val="18"/>
          <w:lang w:val="lv-LV" w:eastAsia="lv-LV"/>
        </w:rPr>
        <w:t>E/CN.4/2004/56</w:t>
      </w:r>
      <w:r w:rsidRPr="00FC0CA9">
        <w:rPr>
          <w:rFonts w:hint="cs"/>
          <w:rtl/>
          <w:lang w:val="lv-LV" w:eastAsia="lv-LV"/>
        </w:rPr>
        <w:t>، الفقرة 49.</w:t>
      </w:r>
    </w:p>
  </w:footnote>
  <w:footnote w:id="59">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(59)</w:t>
      </w:r>
      <w:r>
        <w:rPr>
          <w:rFonts w:hint="cs"/>
          <w:rtl/>
        </w:rPr>
        <w:tab/>
      </w:r>
      <w:r w:rsidRPr="00FC0CA9">
        <w:rPr>
          <w:rFonts w:hint="cs"/>
          <w:rtl/>
        </w:rPr>
        <w:t xml:space="preserve">انظر الوثيقة </w:t>
      </w:r>
      <w:r w:rsidRPr="00FC0CA9">
        <w:rPr>
          <w:szCs w:val="18"/>
        </w:rPr>
        <w:t>CAT/OP/MDV/1</w:t>
      </w:r>
      <w:r w:rsidRPr="00FC0CA9">
        <w:rPr>
          <w:rFonts w:hint="cs"/>
          <w:rtl/>
        </w:rPr>
        <w:t>، الفقرة 210</w:t>
      </w:r>
      <w:r w:rsidRPr="00FC0CA9">
        <w:rPr>
          <w:rFonts w:hint="cs"/>
          <w:szCs w:val="18"/>
          <w:rtl/>
        </w:rPr>
        <w:t>.</w:t>
      </w:r>
    </w:p>
  </w:footnote>
  <w:footnote w:id="60">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(60)</w:t>
      </w:r>
      <w:r>
        <w:rPr>
          <w:rFonts w:hint="cs"/>
          <w:rtl/>
        </w:rPr>
        <w:tab/>
      </w:r>
      <w:r w:rsidRPr="00FC0CA9">
        <w:rPr>
          <w:rFonts w:hint="cs"/>
          <w:rtl/>
        </w:rPr>
        <w:t xml:space="preserve">انظر الوثيقة </w:t>
      </w:r>
      <w:r w:rsidRPr="00FC0CA9">
        <w:rPr>
          <w:szCs w:val="18"/>
        </w:rPr>
        <w:t>CAT/OP/MLI/1</w:t>
      </w:r>
      <w:r w:rsidRPr="00FC0CA9">
        <w:rPr>
          <w:rFonts w:hint="cs"/>
          <w:rtl/>
        </w:rPr>
        <w:t xml:space="preserve">، الفقرتين 49 و80؛ والوثيقة </w:t>
      </w:r>
      <w:r w:rsidRPr="00FC0CA9">
        <w:rPr>
          <w:szCs w:val="18"/>
          <w:lang w:val="es-ES"/>
        </w:rPr>
        <w:t>CCPR/C/ALB/CO/2</w:t>
      </w:r>
      <w:r w:rsidRPr="00FC0CA9">
        <w:rPr>
          <w:rFonts w:hint="cs"/>
          <w:rtl/>
        </w:rPr>
        <w:t>، الفقرة 16؛ والبلاغ رقم</w:t>
      </w:r>
      <w:r>
        <w:rPr>
          <w:rFonts w:hint="eastAsia"/>
          <w:rtl/>
        </w:rPr>
        <w:t> </w:t>
      </w:r>
      <w:r w:rsidRPr="00FC0CA9">
        <w:rPr>
          <w:rFonts w:hint="cs"/>
          <w:rtl/>
        </w:rPr>
        <w:t xml:space="preserve">2218/2012، </w:t>
      </w:r>
      <w:r w:rsidRPr="00FC0CA9">
        <w:rPr>
          <w:rFonts w:hint="cs"/>
          <w:i/>
          <w:iCs/>
          <w:rtl/>
        </w:rPr>
        <w:t>عبدللاييف ضد تركمنستان</w:t>
      </w:r>
      <w:r w:rsidRPr="00FC0CA9">
        <w:rPr>
          <w:rFonts w:hint="cs"/>
          <w:rtl/>
        </w:rPr>
        <w:t>، آراء اعتمدتها اللجنة المعنية بحقوق الإنسان في 25 آذار/</w:t>
      </w:r>
      <w:r>
        <w:rPr>
          <w:rFonts w:hint="cs"/>
          <w:rtl/>
        </w:rPr>
        <w:t xml:space="preserve">    </w:t>
      </w:r>
      <w:r w:rsidRPr="00FC0CA9">
        <w:rPr>
          <w:rFonts w:hint="cs"/>
          <w:rtl/>
        </w:rPr>
        <w:t xml:space="preserve">مارس 2015، الفقرتين 5-3 و7-3. وانظر أيضاً وثيقة مجلس أوروبا </w:t>
      </w:r>
      <w:r w:rsidRPr="00FC0CA9">
        <w:rPr>
          <w:szCs w:val="18"/>
        </w:rPr>
        <w:t>CPT/Inf (2014) 15</w:t>
      </w:r>
      <w:r w:rsidRPr="00FC0CA9">
        <w:rPr>
          <w:rFonts w:hint="cs"/>
          <w:rtl/>
        </w:rPr>
        <w:t>، الفقرة 126، وقضية</w:t>
      </w:r>
      <w:r w:rsidRPr="00FC0CA9">
        <w:rPr>
          <w:rFonts w:hint="cs"/>
          <w:i/>
          <w:iCs/>
          <w:rtl/>
        </w:rPr>
        <w:t xml:space="preserve"> بويس ضد</w:t>
      </w:r>
      <w:r w:rsidRPr="00FC0CA9">
        <w:rPr>
          <w:rFonts w:hint="cs"/>
          <w:i/>
          <w:iCs/>
          <w:szCs w:val="18"/>
          <w:rtl/>
        </w:rPr>
        <w:t xml:space="preserve"> </w:t>
      </w:r>
      <w:r w:rsidRPr="00FC0CA9">
        <w:rPr>
          <w:rFonts w:hint="cs"/>
          <w:i/>
          <w:iCs/>
          <w:rtl/>
        </w:rPr>
        <w:t>بربادوس</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البلدان الأمريكية لحقوق الإنسان (2007)، الفقرة 94.</w:t>
      </w:r>
    </w:p>
  </w:footnote>
  <w:footnote w:id="61">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(61)</w:t>
      </w:r>
      <w:r>
        <w:rPr>
          <w:rFonts w:hint="cs"/>
          <w:rtl/>
        </w:rPr>
        <w:tab/>
      </w:r>
      <w:r w:rsidRPr="00FC0CA9">
        <w:rPr>
          <w:rFonts w:hint="cs"/>
          <w:rtl/>
        </w:rPr>
        <w:t xml:space="preserve">انظر الوثيقة </w:t>
      </w:r>
      <w:r w:rsidRPr="00FC0CA9">
        <w:rPr>
          <w:szCs w:val="18"/>
          <w:lang w:val="lv-LV" w:eastAsia="lv-LV"/>
        </w:rPr>
        <w:t>A/68/295</w:t>
      </w:r>
      <w:r w:rsidRPr="00FC0CA9">
        <w:rPr>
          <w:rFonts w:hint="cs"/>
          <w:rtl/>
        </w:rPr>
        <w:t xml:space="preserve">، الفقرة 45، وقضية </w:t>
      </w:r>
      <w:r w:rsidRPr="00FC0CA9">
        <w:rPr>
          <w:rFonts w:hint="cs"/>
          <w:i/>
          <w:iCs/>
          <w:rtl/>
        </w:rPr>
        <w:t>مونتيرو</w:t>
      </w:r>
      <w:r>
        <w:rPr>
          <w:rFonts w:hint="cs"/>
          <w:i/>
          <w:iCs/>
          <w:rtl/>
        </w:rPr>
        <w:t xml:space="preserve"> </w:t>
      </w:r>
      <w:r w:rsidRPr="00FC0CA9">
        <w:rPr>
          <w:rFonts w:hint="cs"/>
          <w:i/>
          <w:iCs/>
          <w:rtl/>
        </w:rPr>
        <w:t>-</w:t>
      </w:r>
      <w:r>
        <w:rPr>
          <w:rFonts w:hint="cs"/>
          <w:i/>
          <w:iCs/>
          <w:rtl/>
        </w:rPr>
        <w:t xml:space="preserve"> </w:t>
      </w:r>
      <w:r w:rsidRPr="00FC0CA9">
        <w:rPr>
          <w:rFonts w:hint="cs"/>
          <w:i/>
          <w:iCs/>
          <w:rtl/>
        </w:rPr>
        <w:t>أرانغورن ضد فنزويلا</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البلدان الأمريكية لحقوق الإنسان (2006)، الفقرة 99.</w:t>
      </w:r>
    </w:p>
  </w:footnote>
  <w:footnote w:id="62">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(62)</w:t>
      </w:r>
      <w:r>
        <w:rPr>
          <w:rFonts w:hint="cs"/>
          <w:rtl/>
        </w:rPr>
        <w:tab/>
      </w:r>
      <w:r w:rsidRPr="00FC0CA9">
        <w:rPr>
          <w:rFonts w:hint="cs"/>
          <w:rtl/>
        </w:rPr>
        <w:t xml:space="preserve">انظر الوثيقة </w:t>
      </w:r>
      <w:r w:rsidRPr="00FC0CA9">
        <w:rPr>
          <w:szCs w:val="18"/>
        </w:rPr>
        <w:t>CAT/OP/MEX/1</w:t>
      </w:r>
      <w:r w:rsidRPr="00FC0CA9">
        <w:rPr>
          <w:rFonts w:hint="cs"/>
          <w:rtl/>
        </w:rPr>
        <w:t xml:space="preserve">، الفقرة 184، وقضية </w:t>
      </w:r>
      <w:r w:rsidRPr="00FC0CA9">
        <w:rPr>
          <w:rFonts w:hint="cs"/>
          <w:i/>
          <w:iCs/>
          <w:rtl/>
        </w:rPr>
        <w:t>بويس ضد بربادوس</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البلدان الأمريكية لحقوق الإنسان (2007)، الفقرة 94.</w:t>
      </w:r>
    </w:p>
  </w:footnote>
  <w:footnote w:id="63">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(63)</w:t>
      </w:r>
      <w:r>
        <w:rPr>
          <w:rFonts w:hint="cs"/>
          <w:rtl/>
        </w:rPr>
        <w:tab/>
      </w:r>
      <w:r w:rsidRPr="00FC0CA9">
        <w:rPr>
          <w:rFonts w:hint="cs"/>
          <w:rtl/>
        </w:rPr>
        <w:t xml:space="preserve">انظر الوثيقة </w:t>
      </w:r>
      <w:r w:rsidRPr="00FC0CA9">
        <w:rPr>
          <w:szCs w:val="18"/>
          <w:lang w:val="lv-LV"/>
        </w:rPr>
        <w:t>A/HRC/25/60/Add.1</w:t>
      </w:r>
      <w:r w:rsidRPr="00FC0CA9">
        <w:rPr>
          <w:rFonts w:hint="cs"/>
          <w:rtl/>
        </w:rPr>
        <w:t>، الفقرة 85.</w:t>
      </w:r>
    </w:p>
  </w:footnote>
  <w:footnote w:id="64">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(64)</w:t>
      </w:r>
      <w:r>
        <w:rPr>
          <w:rFonts w:hint="cs"/>
          <w:rtl/>
        </w:rPr>
        <w:tab/>
      </w:r>
      <w:r w:rsidRPr="00FC0CA9">
        <w:rPr>
          <w:rFonts w:hint="cs"/>
          <w:rtl/>
        </w:rPr>
        <w:t xml:space="preserve">انظر الوثيقة </w:t>
      </w:r>
      <w:r w:rsidRPr="00FC0CA9">
        <w:t>A/65/255</w:t>
      </w:r>
      <w:r w:rsidRPr="00FC0CA9">
        <w:rPr>
          <w:rFonts w:hint="cs"/>
          <w:rtl/>
        </w:rPr>
        <w:t>، الفقرة 59.</w:t>
      </w:r>
    </w:p>
  </w:footnote>
  <w:footnote w:id="65">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(65)</w:t>
      </w:r>
      <w:r>
        <w:rPr>
          <w:rFonts w:hint="cs"/>
          <w:rtl/>
        </w:rPr>
        <w:tab/>
      </w:r>
      <w:r w:rsidRPr="00FC0CA9">
        <w:rPr>
          <w:rFonts w:hint="cs"/>
          <w:rtl/>
        </w:rPr>
        <w:t xml:space="preserve">انظر الوثيقة </w:t>
      </w:r>
      <w:r w:rsidRPr="00FC0CA9">
        <w:t>A/65/255</w:t>
      </w:r>
      <w:r w:rsidRPr="00FC0CA9">
        <w:rPr>
          <w:rFonts w:hint="cs"/>
          <w:rtl/>
        </w:rPr>
        <w:t>، الفقرة 68.</w:t>
      </w:r>
    </w:p>
  </w:footnote>
  <w:footnote w:id="66">
    <w:p w:rsidR="005A1EB0" w:rsidRPr="00FC0CA9" w:rsidRDefault="005A1EB0" w:rsidP="0089376B">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(66)</w:t>
      </w:r>
      <w:r>
        <w:rPr>
          <w:rFonts w:hint="cs"/>
          <w:rtl/>
        </w:rPr>
        <w:tab/>
      </w:r>
      <w:r w:rsidRPr="00FC0CA9">
        <w:rPr>
          <w:rFonts w:hint="cs"/>
          <w:rtl/>
        </w:rPr>
        <w:t xml:space="preserve">انظر الوثيقة </w:t>
      </w:r>
      <w:r w:rsidRPr="00FC0CA9">
        <w:t>A/HRC/23/41/Add.1</w:t>
      </w:r>
      <w:r w:rsidRPr="00FC0CA9">
        <w:rPr>
          <w:rFonts w:hint="cs"/>
          <w:rtl/>
        </w:rPr>
        <w:t>، الفقرة 43.</w:t>
      </w:r>
    </w:p>
  </w:footnote>
  <w:footnote w:id="67">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Fonts w:hint="cs"/>
          <w:rtl/>
        </w:rPr>
        <w:tab/>
      </w:r>
      <w:r>
        <w:rPr>
          <w:rtl/>
        </w:rPr>
        <w:t>(67)</w:t>
      </w:r>
      <w:r>
        <w:rPr>
          <w:rFonts w:hint="cs"/>
          <w:rtl/>
        </w:rPr>
        <w:tab/>
      </w:r>
      <w:r w:rsidRPr="00FC0CA9">
        <w:rPr>
          <w:rFonts w:hint="cs"/>
          <w:rtl/>
        </w:rPr>
        <w:t xml:space="preserve">انظر الوثيقة </w:t>
      </w:r>
      <w:r w:rsidRPr="00FC0CA9">
        <w:t>A/HRC/23/41/Add.1</w:t>
      </w:r>
      <w:r w:rsidRPr="00FC0CA9">
        <w:rPr>
          <w:rFonts w:hint="cs"/>
          <w:rtl/>
        </w:rPr>
        <w:t>، الفقرة 52.</w:t>
      </w:r>
    </w:p>
  </w:footnote>
  <w:footnote w:id="68">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(68)</w:t>
      </w:r>
      <w:r>
        <w:rPr>
          <w:rFonts w:hint="cs"/>
          <w:rtl/>
        </w:rPr>
        <w:tab/>
      </w:r>
      <w:r w:rsidRPr="00FC0CA9">
        <w:rPr>
          <w:rFonts w:hint="cs"/>
          <w:rtl/>
        </w:rPr>
        <w:t xml:space="preserve">انظر الوثيقة </w:t>
      </w:r>
      <w:r w:rsidRPr="00FC0CA9">
        <w:t>A/65/255</w:t>
      </w:r>
      <w:r w:rsidRPr="00FC0CA9">
        <w:rPr>
          <w:rFonts w:hint="cs"/>
          <w:rtl/>
        </w:rPr>
        <w:t>، الفقرة 29.</w:t>
      </w:r>
    </w:p>
  </w:footnote>
  <w:footnote w:id="69">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(69)</w:t>
      </w:r>
      <w:r>
        <w:rPr>
          <w:rFonts w:hint="cs"/>
          <w:rtl/>
        </w:rPr>
        <w:tab/>
      </w:r>
      <w:r w:rsidRPr="00FC0CA9">
        <w:rPr>
          <w:rFonts w:hint="cs"/>
          <w:rtl/>
        </w:rPr>
        <w:t xml:space="preserve">انظر الوثيقة </w:t>
      </w:r>
      <w:r w:rsidRPr="00FC0CA9">
        <w:t>A/HRC/23/41/Add.2</w:t>
      </w:r>
      <w:r w:rsidRPr="00FC0CA9">
        <w:rPr>
          <w:rFonts w:hint="cs"/>
          <w:rtl/>
        </w:rPr>
        <w:t xml:space="preserve">، الفقرة 31؛ والوثيقة </w:t>
      </w:r>
      <w:r w:rsidRPr="00FC0CA9">
        <w:t>A/65/255</w:t>
      </w:r>
      <w:r w:rsidRPr="00FC0CA9">
        <w:rPr>
          <w:rFonts w:hint="cs"/>
          <w:rtl/>
        </w:rPr>
        <w:t xml:space="preserve">، الفقرة 29؛ والوثيقة </w:t>
      </w:r>
      <w:r w:rsidRPr="00FC0CA9">
        <w:t>CAT/C/54/2</w:t>
      </w:r>
      <w:r w:rsidRPr="00FC0CA9">
        <w:rPr>
          <w:rFonts w:hint="cs"/>
          <w:rtl/>
        </w:rPr>
        <w:t>، الفقرة 77.</w:t>
      </w:r>
    </w:p>
  </w:footnote>
  <w:footnote w:id="70">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(70)</w:t>
      </w:r>
      <w:r>
        <w:rPr>
          <w:rFonts w:hint="cs"/>
          <w:rtl/>
        </w:rPr>
        <w:tab/>
      </w:r>
      <w:r w:rsidRPr="00FC0CA9">
        <w:rPr>
          <w:rFonts w:hint="cs"/>
          <w:rtl/>
        </w:rPr>
        <w:t xml:space="preserve">انظر الوثيقة </w:t>
      </w:r>
      <w:r w:rsidRPr="00FC0CA9">
        <w:t>A/HRC/22/53/Add.2</w:t>
      </w:r>
      <w:r w:rsidRPr="00FC0CA9">
        <w:rPr>
          <w:rFonts w:hint="cs"/>
          <w:rtl/>
        </w:rPr>
        <w:t>، الفقرة 66.</w:t>
      </w:r>
    </w:p>
  </w:footnote>
  <w:footnote w:id="71">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(71)</w:t>
      </w:r>
      <w:r>
        <w:rPr>
          <w:rFonts w:hint="cs"/>
          <w:rtl/>
        </w:rPr>
        <w:tab/>
      </w:r>
      <w:r w:rsidRPr="00FC0CA9">
        <w:rPr>
          <w:rFonts w:hint="cs"/>
          <w:rtl/>
        </w:rPr>
        <w:t xml:space="preserve">انظر الوثيقة </w:t>
      </w:r>
      <w:r w:rsidRPr="00FC0CA9">
        <w:t>CEDAW/C/GRC/CO/7</w:t>
      </w:r>
      <w:r w:rsidRPr="00FC0CA9">
        <w:rPr>
          <w:rFonts w:hint="cs"/>
          <w:rtl/>
        </w:rPr>
        <w:t xml:space="preserve">، الفقرة 34؛ والوثيقة </w:t>
      </w:r>
      <w:r w:rsidRPr="00FC0CA9">
        <w:t>CAT/C/BLR/CO/4</w:t>
      </w:r>
      <w:r w:rsidRPr="00FC0CA9">
        <w:rPr>
          <w:rFonts w:hint="cs"/>
          <w:rtl/>
        </w:rPr>
        <w:t xml:space="preserve">، الفقرة 19؛ والوثيقة </w:t>
      </w:r>
      <w:r w:rsidRPr="00FC0CA9">
        <w:t>CAT/C/ECU/CO/3</w:t>
      </w:r>
      <w:r w:rsidRPr="00FC0CA9">
        <w:rPr>
          <w:rFonts w:hint="cs"/>
          <w:rtl/>
        </w:rPr>
        <w:t xml:space="preserve">، الفقرة 24؛ والوثيقة </w:t>
      </w:r>
      <w:r w:rsidRPr="00FC0CA9">
        <w:t>CAT/C/GAB/CO/1</w:t>
      </w:r>
      <w:r w:rsidRPr="00FC0CA9">
        <w:rPr>
          <w:rFonts w:hint="cs"/>
          <w:rtl/>
        </w:rPr>
        <w:t xml:space="preserve">، الفقرة 17؛ والوثيقة </w:t>
      </w:r>
      <w:r w:rsidRPr="00FC0CA9">
        <w:t>CAT/C/LKA/CO/3-4</w:t>
      </w:r>
      <w:r w:rsidRPr="00FC0CA9">
        <w:rPr>
          <w:rFonts w:hint="cs"/>
          <w:rtl/>
        </w:rPr>
        <w:t>، الفقرة</w:t>
      </w:r>
      <w:r>
        <w:rPr>
          <w:rFonts w:hint="eastAsia"/>
          <w:rtl/>
        </w:rPr>
        <w:t> </w:t>
      </w:r>
      <w:r w:rsidRPr="00FC0CA9">
        <w:rPr>
          <w:rFonts w:hint="cs"/>
          <w:rtl/>
        </w:rPr>
        <w:t>14.</w:t>
      </w:r>
    </w:p>
  </w:footnote>
  <w:footnote w:id="72">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(72)</w:t>
      </w:r>
      <w:r>
        <w:rPr>
          <w:rFonts w:hint="cs"/>
          <w:rtl/>
        </w:rPr>
        <w:tab/>
      </w:r>
      <w:r w:rsidRPr="00FC0CA9">
        <w:rPr>
          <w:rFonts w:hint="cs"/>
          <w:rtl/>
        </w:rPr>
        <w:t xml:space="preserve">انظر الوثيقة </w:t>
      </w:r>
      <w:r w:rsidRPr="00FC0CA9">
        <w:t>A/HRC/23/41/Add.2</w:t>
      </w:r>
      <w:r w:rsidRPr="00FC0CA9">
        <w:rPr>
          <w:rFonts w:hint="cs"/>
          <w:rtl/>
        </w:rPr>
        <w:t xml:space="preserve">، الفقرة 40؛ والوثيقة </w:t>
      </w:r>
      <w:r w:rsidRPr="00FC0CA9">
        <w:t>CAT/C/AUS/CO/4-5</w:t>
      </w:r>
      <w:r w:rsidRPr="00FC0CA9">
        <w:rPr>
          <w:rFonts w:hint="cs"/>
          <w:rtl/>
        </w:rPr>
        <w:t>، الفقرة 11.</w:t>
      </w:r>
    </w:p>
  </w:footnote>
  <w:footnote w:id="73">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(73)</w:t>
      </w:r>
      <w:r>
        <w:rPr>
          <w:rFonts w:hint="cs"/>
          <w:rtl/>
        </w:rPr>
        <w:tab/>
      </w:r>
      <w:r w:rsidRPr="00FC0CA9">
        <w:rPr>
          <w:rFonts w:hint="cs"/>
          <w:rtl/>
        </w:rPr>
        <w:t xml:space="preserve">انظر الوثيقة </w:t>
      </w:r>
      <w:r w:rsidRPr="00FC0CA9">
        <w:t>CAT/C/GRC/CO/5-6</w:t>
      </w:r>
      <w:r w:rsidRPr="00FC0CA9">
        <w:rPr>
          <w:rFonts w:hint="cs"/>
          <w:rtl/>
        </w:rPr>
        <w:t xml:space="preserve">، الفقرة 14؛ والوثيقة </w:t>
      </w:r>
      <w:r w:rsidRPr="00FC0CA9">
        <w:t>CAT/C/PER/CO/5-6</w:t>
      </w:r>
      <w:r w:rsidRPr="00FC0CA9">
        <w:rPr>
          <w:rFonts w:hint="cs"/>
          <w:rtl/>
        </w:rPr>
        <w:t>، الفقرة 10.</w:t>
      </w:r>
    </w:p>
  </w:footnote>
  <w:footnote w:id="74">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(74)</w:t>
      </w:r>
      <w:r>
        <w:rPr>
          <w:rFonts w:hint="cs"/>
          <w:rtl/>
        </w:rPr>
        <w:tab/>
      </w:r>
      <w:r w:rsidRPr="00FC0CA9">
        <w:rPr>
          <w:rFonts w:hint="cs"/>
          <w:rtl/>
        </w:rPr>
        <w:t xml:space="preserve">انظر الوثيقة </w:t>
      </w:r>
      <w:r w:rsidRPr="00FC0CA9">
        <w:t>A/65/255</w:t>
      </w:r>
      <w:r w:rsidRPr="00FC0CA9">
        <w:rPr>
          <w:rFonts w:hint="cs"/>
          <w:rtl/>
        </w:rPr>
        <w:t>، الفقرة 29.</w:t>
      </w:r>
    </w:p>
  </w:footnote>
  <w:footnote w:id="75">
    <w:p w:rsidR="005A1EB0" w:rsidRPr="00D36921" w:rsidRDefault="005A1EB0" w:rsidP="00D36921">
      <w:pPr>
        <w:pStyle w:val="FootnoteText"/>
        <w:tabs>
          <w:tab w:val="clear" w:pos="418"/>
          <w:tab w:val="right" w:pos="1195"/>
          <w:tab w:val="left" w:pos="1267"/>
          <w:tab w:val="left" w:pos="1656"/>
          <w:tab w:val="left" w:pos="2088"/>
        </w:tabs>
        <w:spacing w:after="80"/>
        <w:ind w:left="1267" w:right="1267" w:hanging="547"/>
        <w:jc w:val="left"/>
        <w:rPr>
          <w:spacing w:val="-4"/>
        </w:rPr>
      </w:pPr>
      <w:r w:rsidRPr="00D36921">
        <w:rPr>
          <w:rFonts w:hint="cs"/>
          <w:spacing w:val="-4"/>
          <w:rtl/>
        </w:rPr>
        <w:tab/>
      </w:r>
      <w:r w:rsidRPr="00D36921">
        <w:rPr>
          <w:spacing w:val="-4"/>
          <w:rtl/>
        </w:rPr>
        <w:t>(75)</w:t>
      </w:r>
      <w:r w:rsidRPr="00D36921">
        <w:rPr>
          <w:rFonts w:hint="cs"/>
          <w:spacing w:val="-4"/>
          <w:rtl/>
        </w:rPr>
        <w:tab/>
        <w:t xml:space="preserve">انظر الوثيقة </w:t>
      </w:r>
      <w:r w:rsidRPr="00D36921">
        <w:rPr>
          <w:spacing w:val="-4"/>
        </w:rPr>
        <w:t>A/</w:t>
      </w:r>
      <w:r w:rsidRPr="00D36921">
        <w:rPr>
          <w:rStyle w:val="FootnoteReference"/>
          <w:color w:val="auto"/>
          <w:vertAlign w:val="baseline"/>
        </w:rPr>
        <w:t>HRC</w:t>
      </w:r>
      <w:r w:rsidRPr="00D36921">
        <w:rPr>
          <w:spacing w:val="-4"/>
        </w:rPr>
        <w:t>/25/60/Add.1</w:t>
      </w:r>
      <w:r w:rsidRPr="00D36921">
        <w:rPr>
          <w:rFonts w:hint="cs"/>
          <w:spacing w:val="-4"/>
          <w:rtl/>
        </w:rPr>
        <w:t xml:space="preserve">، الفقرة 54، </w:t>
      </w:r>
      <w:r w:rsidRPr="00D36921">
        <w:rPr>
          <w:rStyle w:val="FootnoteReference"/>
          <w:rFonts w:hint="cs"/>
          <w:color w:val="auto"/>
          <w:vertAlign w:val="baseline"/>
          <w:rtl/>
        </w:rPr>
        <w:t>و</w:t>
      </w:r>
      <w:r w:rsidRPr="00D36921">
        <w:rPr>
          <w:rStyle w:val="FootnoteReference"/>
          <w:color w:val="auto"/>
          <w:vertAlign w:val="baseline"/>
        </w:rPr>
        <w:t xml:space="preserve"> </w:t>
      </w:r>
      <w:hyperlink r:id="rId9" w:history="1">
        <w:r w:rsidRPr="00D36921">
          <w:rPr>
            <w:rStyle w:val="FootnoteReference"/>
            <w:color w:val="auto"/>
            <w:vertAlign w:val="baseline"/>
          </w:rPr>
          <w:t>www.achpr.org/files/sessions/12th-eo/mission-reports/promotion_mission-2012/mission_report_mauritania_cpta_eng.pdf</w:t>
        </w:r>
      </w:hyperlink>
      <w:r w:rsidRPr="00D36921">
        <w:rPr>
          <w:rFonts w:hint="cs"/>
          <w:spacing w:val="-4"/>
          <w:rtl/>
        </w:rPr>
        <w:t>، الفقرة 76.</w:t>
      </w:r>
    </w:p>
  </w:footnote>
  <w:footnote w:id="76">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(76)</w:t>
      </w:r>
      <w:r>
        <w:rPr>
          <w:rFonts w:hint="cs"/>
          <w:rtl/>
        </w:rPr>
        <w:tab/>
      </w:r>
      <w:r w:rsidRPr="00FC0CA9">
        <w:rPr>
          <w:rFonts w:hint="cs"/>
          <w:rtl/>
        </w:rPr>
        <w:t xml:space="preserve">انظر الوثيقة </w:t>
      </w:r>
      <w:r w:rsidRPr="00FC0CA9">
        <w:rPr>
          <w:szCs w:val="18"/>
        </w:rPr>
        <w:t>CAT/C/MDA/CO/2</w:t>
      </w:r>
      <w:r w:rsidRPr="00FC0CA9">
        <w:rPr>
          <w:rFonts w:hint="cs"/>
          <w:rtl/>
        </w:rPr>
        <w:t xml:space="preserve">، الفقرة 18؛ والوثيقة </w:t>
      </w:r>
      <w:r w:rsidRPr="00FC0CA9">
        <w:rPr>
          <w:szCs w:val="18"/>
        </w:rPr>
        <w:t>A/HRC/22/53/Add.2</w:t>
      </w:r>
      <w:r w:rsidRPr="00FC0CA9">
        <w:rPr>
          <w:rFonts w:hint="cs"/>
          <w:rtl/>
        </w:rPr>
        <w:t xml:space="preserve">، الفقرة 47؛ وقضية </w:t>
      </w:r>
      <w:r w:rsidRPr="00FC0CA9">
        <w:rPr>
          <w:rFonts w:hint="cs"/>
          <w:i/>
          <w:iCs/>
          <w:rtl/>
        </w:rPr>
        <w:t>تيبي ضد إكوادور</w:t>
      </w:r>
      <w:r w:rsidRPr="00FC0CA9">
        <w:rPr>
          <w:rFonts w:hint="cs"/>
          <w:rtl/>
        </w:rPr>
        <w:t xml:space="preserve">، </w:t>
      </w:r>
      <w:r w:rsidRPr="00FC0CA9">
        <w:rPr>
          <w:rFonts w:hint="cs"/>
          <w:b/>
          <w:rtl/>
          <w:lang w:eastAsia="en-GB"/>
        </w:rPr>
        <w:t xml:space="preserve">حكم صادر عن محكمة </w:t>
      </w:r>
      <w:r w:rsidRPr="00FC0CA9">
        <w:rPr>
          <w:rFonts w:hint="cs"/>
          <w:rtl/>
          <w:lang w:bidi="ar"/>
        </w:rPr>
        <w:t>البلدان الأمريكية لحقوق الإنسان (2004)، الفقرة 150.</w:t>
      </w:r>
    </w:p>
  </w:footnote>
  <w:footnote w:id="77">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(77)</w:t>
      </w:r>
      <w:r>
        <w:rPr>
          <w:rFonts w:hint="cs"/>
          <w:rtl/>
        </w:rPr>
        <w:tab/>
      </w:r>
      <w:r w:rsidRPr="00FC0CA9">
        <w:rPr>
          <w:rFonts w:hint="cs"/>
          <w:rtl/>
        </w:rPr>
        <w:t xml:space="preserve">الوثيقة </w:t>
      </w:r>
      <w:r w:rsidRPr="00FC0CA9">
        <w:rPr>
          <w:szCs w:val="18"/>
          <w:lang w:val="lv-LV"/>
        </w:rPr>
        <w:t>A/HRC/25/60/Add.1</w:t>
      </w:r>
      <w:r w:rsidRPr="00FC0CA9">
        <w:rPr>
          <w:rFonts w:hint="cs"/>
          <w:rtl/>
        </w:rPr>
        <w:t xml:space="preserve">، الفقرة 44؛ والوثيقة </w:t>
      </w:r>
      <w:r w:rsidRPr="00FC0CA9">
        <w:rPr>
          <w:szCs w:val="18"/>
        </w:rPr>
        <w:t>CAT/OP/BEN/1</w:t>
      </w:r>
      <w:r w:rsidRPr="00FC0CA9">
        <w:rPr>
          <w:rFonts w:hint="cs"/>
          <w:rtl/>
        </w:rPr>
        <w:t>، الفقرة 180.</w:t>
      </w:r>
    </w:p>
  </w:footnote>
  <w:footnote w:id="78">
    <w:p w:rsidR="005A1EB0" w:rsidRPr="00FC0CA9" w:rsidRDefault="005A1EB0" w:rsidP="00D53A6C">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(78)</w:t>
      </w:r>
      <w:r w:rsidRPr="00D36921">
        <w:rPr>
          <w:rFonts w:hint="cs"/>
          <w:spacing w:val="-4"/>
          <w:rtl/>
        </w:rPr>
        <w:tab/>
        <w:t xml:space="preserve">انظر الوثيقة </w:t>
      </w:r>
      <w:r w:rsidRPr="00D36921">
        <w:rPr>
          <w:spacing w:val="-4"/>
          <w:szCs w:val="18"/>
        </w:rPr>
        <w:t>CAT/C/PER/CO/5-6</w:t>
      </w:r>
      <w:r w:rsidRPr="00D36921">
        <w:rPr>
          <w:rFonts w:hint="cs"/>
          <w:spacing w:val="-4"/>
          <w:rtl/>
        </w:rPr>
        <w:t xml:space="preserve">، الفقرة 10؛ والوثيقة </w:t>
      </w:r>
      <w:r w:rsidRPr="00D36921">
        <w:rPr>
          <w:spacing w:val="-4"/>
          <w:szCs w:val="18"/>
        </w:rPr>
        <w:t>CAT/C/SYR/CO/1</w:t>
      </w:r>
      <w:r w:rsidRPr="00D36921">
        <w:rPr>
          <w:rFonts w:hint="cs"/>
          <w:spacing w:val="-4"/>
          <w:rtl/>
        </w:rPr>
        <w:t xml:space="preserve">، الفقرة 30؛ والوثيقة </w:t>
      </w:r>
      <w:r w:rsidRPr="00D36921">
        <w:rPr>
          <w:spacing w:val="-4"/>
          <w:szCs w:val="18"/>
        </w:rPr>
        <w:t>CAT/C/LKA/CO/3-4</w:t>
      </w:r>
      <w:r w:rsidRPr="00FC0CA9">
        <w:rPr>
          <w:rFonts w:hint="cs"/>
          <w:rtl/>
        </w:rPr>
        <w:t>، الفقرة 14.</w:t>
      </w:r>
    </w:p>
  </w:footnote>
  <w:footnote w:id="79">
    <w:p w:rsidR="005A1EB0" w:rsidRPr="00FC0CA9" w:rsidRDefault="005A1EB0" w:rsidP="00E9460D">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(79)</w:t>
      </w:r>
      <w:r>
        <w:rPr>
          <w:rFonts w:hint="cs"/>
          <w:rtl/>
        </w:rPr>
        <w:tab/>
      </w:r>
      <w:r w:rsidRPr="00FC0CA9">
        <w:rPr>
          <w:rFonts w:hint="cs"/>
          <w:rtl/>
        </w:rPr>
        <w:t xml:space="preserve">انظر الوثيقة </w:t>
      </w:r>
      <w:r w:rsidRPr="00FC0CA9">
        <w:t>A/HRC/25/60/Add.1</w:t>
      </w:r>
      <w:r w:rsidRPr="00FC0CA9">
        <w:rPr>
          <w:rFonts w:hint="cs"/>
          <w:rtl/>
        </w:rPr>
        <w:t>، الفقرة 54.</w:t>
      </w:r>
    </w:p>
  </w:footnote>
  <w:footnote w:id="80">
    <w:p w:rsidR="005A1EB0" w:rsidRPr="00DC2B02" w:rsidRDefault="005A1EB0" w:rsidP="00E9460D">
      <w:pPr>
        <w:pStyle w:val="FootnoteText"/>
        <w:tabs>
          <w:tab w:val="clear" w:pos="418"/>
          <w:tab w:val="right" w:pos="1195"/>
          <w:tab w:val="left" w:pos="1267"/>
          <w:tab w:val="left" w:pos="1656"/>
          <w:tab w:val="left" w:pos="2088"/>
        </w:tabs>
        <w:spacing w:after="80"/>
        <w:ind w:left="1267" w:right="1267" w:hanging="547"/>
        <w:rPr>
          <w:spacing w:val="-4"/>
          <w:rtl/>
        </w:rPr>
      </w:pPr>
      <w:r w:rsidRPr="00D36921">
        <w:rPr>
          <w:rFonts w:hint="cs"/>
          <w:spacing w:val="-4"/>
          <w:rtl/>
        </w:rPr>
        <w:tab/>
      </w:r>
      <w:r w:rsidRPr="00D36921">
        <w:rPr>
          <w:spacing w:val="-4"/>
          <w:rtl/>
        </w:rPr>
        <w:t>(80)</w:t>
      </w:r>
      <w:r w:rsidRPr="00D36921">
        <w:rPr>
          <w:rFonts w:hint="cs"/>
          <w:spacing w:val="-4"/>
          <w:rtl/>
        </w:rPr>
        <w:tab/>
      </w:r>
      <w:r w:rsidRPr="00D36921">
        <w:rPr>
          <w:rFonts w:hint="cs"/>
          <w:spacing w:val="-8"/>
          <w:rtl/>
        </w:rPr>
        <w:t xml:space="preserve">انظر الوثيقة </w:t>
      </w:r>
      <w:r w:rsidRPr="00D36921">
        <w:rPr>
          <w:spacing w:val="-8"/>
        </w:rPr>
        <w:t>CAT/OP/BEN/1</w:t>
      </w:r>
      <w:r w:rsidRPr="00D36921">
        <w:rPr>
          <w:rFonts w:hint="cs"/>
          <w:spacing w:val="-8"/>
          <w:rtl/>
        </w:rPr>
        <w:t xml:space="preserve">، الفقرة 218؛ والوثيقة </w:t>
      </w:r>
      <w:r w:rsidRPr="00D36921">
        <w:rPr>
          <w:spacing w:val="-8"/>
        </w:rPr>
        <w:t>CAT/OP/BRA/1</w:t>
      </w:r>
      <w:r w:rsidRPr="00D36921">
        <w:rPr>
          <w:rFonts w:hint="cs"/>
          <w:spacing w:val="-8"/>
          <w:rtl/>
        </w:rPr>
        <w:t>، الفقرة 105؛</w:t>
      </w:r>
      <w:r w:rsidRPr="00D36921">
        <w:rPr>
          <w:rFonts w:hint="cs"/>
          <w:spacing w:val="-4"/>
          <w:rtl/>
        </w:rPr>
        <w:t xml:space="preserve"> و</w:t>
      </w:r>
      <w:hyperlink r:id="rId10" w:history="1">
        <w:r w:rsidRPr="00D36921">
          <w:rPr>
            <w:spacing w:val="-4"/>
          </w:rPr>
          <w:t>www.achpr.org/files/sessions/12th-eo/mission-reports/promotion_mission-2012/mission_report_mauritania_cpta_eng.pdf</w:t>
        </w:r>
      </w:hyperlink>
      <w:r w:rsidRPr="00FC0CA9">
        <w:rPr>
          <w:rFonts w:hint="cs"/>
          <w:rtl/>
        </w:rPr>
        <w:t xml:space="preserve">، </w:t>
      </w:r>
      <w:r w:rsidRPr="00DC2B02">
        <w:rPr>
          <w:rFonts w:hint="cs"/>
          <w:spacing w:val="-4"/>
          <w:rtl/>
        </w:rPr>
        <w:t xml:space="preserve">الفقرة 76؛ ووثيقة مجلس أوروبا </w:t>
      </w:r>
      <w:r w:rsidRPr="00DC2B02">
        <w:rPr>
          <w:spacing w:val="-4"/>
        </w:rPr>
        <w:t>CPT/Inf (2015) 12</w:t>
      </w:r>
      <w:r w:rsidRPr="00DC2B02">
        <w:rPr>
          <w:rFonts w:hint="cs"/>
          <w:spacing w:val="-4"/>
          <w:rtl/>
        </w:rPr>
        <w:t xml:space="preserve">، الفقرة 66. </w:t>
      </w:r>
    </w:p>
  </w:footnote>
  <w:footnote w:id="81">
    <w:p w:rsidR="005A1EB0" w:rsidRPr="00FC0CA9" w:rsidRDefault="005A1EB0" w:rsidP="00DC2B02">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(81)</w:t>
      </w:r>
      <w:r>
        <w:rPr>
          <w:rFonts w:hint="cs"/>
          <w:rtl/>
        </w:rPr>
        <w:tab/>
      </w:r>
      <w:r w:rsidRPr="00FC0CA9">
        <w:rPr>
          <w:rFonts w:hint="cs"/>
          <w:rtl/>
        </w:rPr>
        <w:t xml:space="preserve">انظر الوثيقة </w:t>
      </w:r>
      <w:r w:rsidRPr="00FC0CA9">
        <w:t>CAT/C/TGO/CO/2</w:t>
      </w:r>
      <w:r w:rsidRPr="00FC0CA9">
        <w:rPr>
          <w:rFonts w:hint="cs"/>
          <w:rtl/>
        </w:rPr>
        <w:t>، الفقرة 13.</w:t>
      </w:r>
    </w:p>
  </w:footnote>
  <w:footnote w:id="82">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(82)</w:t>
      </w:r>
      <w:r>
        <w:rPr>
          <w:rFonts w:hint="cs"/>
          <w:rtl/>
        </w:rPr>
        <w:tab/>
      </w:r>
      <w:r w:rsidRPr="00FC0CA9">
        <w:rPr>
          <w:rFonts w:hint="cs"/>
          <w:rtl/>
        </w:rPr>
        <w:t xml:space="preserve">انظر الوثيقة </w:t>
      </w:r>
      <w:r w:rsidRPr="00FC0CA9">
        <w:t>A/HRC/12/24</w:t>
      </w:r>
      <w:r w:rsidRPr="00FC0CA9">
        <w:rPr>
          <w:rFonts w:hint="cs"/>
          <w:rtl/>
        </w:rPr>
        <w:t>، الفقرات من 45 إلى 47.</w:t>
      </w:r>
    </w:p>
  </w:footnote>
  <w:footnote w:id="83">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(83)</w:t>
      </w:r>
      <w:r>
        <w:rPr>
          <w:rFonts w:hint="cs"/>
          <w:rtl/>
        </w:rPr>
        <w:tab/>
      </w:r>
      <w:r w:rsidRPr="00FC0CA9">
        <w:rPr>
          <w:rFonts w:hint="cs"/>
          <w:rtl/>
        </w:rPr>
        <w:t xml:space="preserve">انظر الوثيقة </w:t>
      </w:r>
      <w:r w:rsidRPr="00FC0CA9">
        <w:t>A/HRC/25/57/Add.1</w:t>
      </w:r>
      <w:r w:rsidRPr="00FC0CA9">
        <w:rPr>
          <w:rFonts w:hint="cs"/>
          <w:rtl/>
        </w:rPr>
        <w:t xml:space="preserve">، الفقرات من 70 إلى 72 و83(ن)، والوثيقة </w:t>
      </w:r>
      <w:r w:rsidRPr="00FC0CA9">
        <w:t>A/HRC/22/50/Add.2</w:t>
      </w:r>
      <w:r w:rsidRPr="00FC0CA9">
        <w:rPr>
          <w:rFonts w:hint="cs"/>
          <w:rtl/>
        </w:rPr>
        <w:t>، الفقرات من 12 إلى 14.</w:t>
      </w:r>
    </w:p>
  </w:footnote>
  <w:footnote w:id="84">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(84)</w:t>
      </w:r>
      <w:r>
        <w:rPr>
          <w:rFonts w:hint="cs"/>
          <w:rtl/>
        </w:rPr>
        <w:tab/>
      </w:r>
      <w:r w:rsidRPr="00FC0CA9">
        <w:rPr>
          <w:rFonts w:hint="cs"/>
          <w:rtl/>
        </w:rPr>
        <w:t xml:space="preserve">انظر الوثيقة </w:t>
      </w:r>
      <w:r w:rsidRPr="00FC0CA9">
        <w:t>A/HRC/22/50/Add.2</w:t>
      </w:r>
      <w:r w:rsidRPr="00FC0CA9">
        <w:rPr>
          <w:rFonts w:hint="cs"/>
          <w:rtl/>
        </w:rPr>
        <w:t xml:space="preserve">، الفقرة 13. وانظر أيضاً الوثيقة </w:t>
      </w:r>
      <w:r w:rsidRPr="00FC0CA9">
        <w:t>CAT/OP/MEX/1</w:t>
      </w:r>
      <w:r w:rsidRPr="00FC0CA9">
        <w:rPr>
          <w:rFonts w:hint="cs"/>
          <w:rtl/>
        </w:rPr>
        <w:t>، الفقرة 112.</w:t>
      </w:r>
    </w:p>
  </w:footnote>
  <w:footnote w:id="85">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(85)</w:t>
      </w:r>
      <w:r>
        <w:rPr>
          <w:rFonts w:hint="cs"/>
          <w:rtl/>
        </w:rPr>
        <w:tab/>
      </w:r>
      <w:r w:rsidRPr="00FC0CA9">
        <w:rPr>
          <w:rFonts w:hint="cs"/>
          <w:rtl/>
        </w:rPr>
        <w:t xml:space="preserve">انظر الوثيقة </w:t>
      </w:r>
      <w:r w:rsidRPr="00FC0CA9">
        <w:t>A/HRC/25/57/Add.1</w:t>
      </w:r>
      <w:r w:rsidRPr="00FC0CA9">
        <w:rPr>
          <w:rFonts w:hint="cs"/>
          <w:rtl/>
        </w:rPr>
        <w:t xml:space="preserve">، الفقرة 70، والوثيقة </w:t>
      </w:r>
      <w:r w:rsidRPr="00FC0CA9">
        <w:t>A/HRC/22/50/Add.2</w:t>
      </w:r>
      <w:r w:rsidRPr="00FC0CA9">
        <w:rPr>
          <w:rFonts w:hint="cs"/>
          <w:rtl/>
        </w:rPr>
        <w:t>، الفقرة 14.</w:t>
      </w:r>
    </w:p>
  </w:footnote>
  <w:footnote w:id="86">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(86)</w:t>
      </w:r>
      <w:r>
        <w:rPr>
          <w:rFonts w:hint="cs"/>
          <w:rtl/>
        </w:rPr>
        <w:tab/>
      </w:r>
      <w:r w:rsidRPr="00FC0CA9">
        <w:rPr>
          <w:rFonts w:hint="cs"/>
          <w:rtl/>
        </w:rPr>
        <w:t xml:space="preserve">انظر الوثيقة </w:t>
      </w:r>
      <w:r w:rsidRPr="00FC0CA9">
        <w:t>CAT/C/BLR/CO/4</w:t>
      </w:r>
      <w:r w:rsidRPr="00FC0CA9">
        <w:rPr>
          <w:rFonts w:hint="cs"/>
          <w:rtl/>
        </w:rPr>
        <w:t xml:space="preserve">، الفقرة 19؛ والوثيقة </w:t>
      </w:r>
      <w:r w:rsidRPr="00FC0CA9">
        <w:t>CAT/C/BGR/CO/4-5</w:t>
      </w:r>
      <w:r w:rsidRPr="00FC0CA9">
        <w:rPr>
          <w:rFonts w:hint="cs"/>
          <w:rtl/>
        </w:rPr>
        <w:t xml:space="preserve">، الفقرة 21؛ والوثيقة </w:t>
      </w:r>
      <w:r w:rsidRPr="00FC0CA9">
        <w:t>CAT/C/KHM/CO/2</w:t>
      </w:r>
      <w:r w:rsidRPr="00FC0CA9">
        <w:rPr>
          <w:rFonts w:hint="cs"/>
          <w:rtl/>
        </w:rPr>
        <w:t xml:space="preserve">، الفقرة 19؛ والوثيقة </w:t>
      </w:r>
      <w:r w:rsidRPr="00FC0CA9">
        <w:t>CAT/C/GAB/CO/1</w:t>
      </w:r>
      <w:r w:rsidRPr="00FC0CA9">
        <w:rPr>
          <w:rFonts w:hint="cs"/>
          <w:rtl/>
        </w:rPr>
        <w:t xml:space="preserve">، الفقرة 17؛ والوثيقة </w:t>
      </w:r>
      <w:r w:rsidRPr="00FC0CA9">
        <w:t>CAT/C/MAR/CO/4</w:t>
      </w:r>
      <w:r w:rsidRPr="00FC0CA9">
        <w:rPr>
          <w:rFonts w:hint="cs"/>
          <w:rtl/>
        </w:rPr>
        <w:t>، الفقرة</w:t>
      </w:r>
      <w:r>
        <w:rPr>
          <w:rFonts w:hint="eastAsia"/>
          <w:rtl/>
        </w:rPr>
        <w:t> </w:t>
      </w:r>
      <w:r w:rsidRPr="00FC0CA9">
        <w:rPr>
          <w:rFonts w:hint="cs"/>
          <w:rtl/>
        </w:rPr>
        <w:t xml:space="preserve">19؛ والوثيقة </w:t>
      </w:r>
      <w:r w:rsidRPr="00FC0CA9">
        <w:t>A/HRC/22/53/Add.2</w:t>
      </w:r>
      <w:r w:rsidRPr="00FC0CA9">
        <w:rPr>
          <w:rFonts w:hint="cs"/>
          <w:rtl/>
        </w:rPr>
        <w:t>، الفقرة 66.</w:t>
      </w:r>
    </w:p>
  </w:footnote>
  <w:footnote w:id="87">
    <w:p w:rsidR="005A1EB0" w:rsidRPr="00FC0CA9" w:rsidRDefault="005A1EB0" w:rsidP="00887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(87)</w:t>
      </w:r>
      <w:r>
        <w:rPr>
          <w:rFonts w:hint="cs"/>
          <w:rtl/>
        </w:rPr>
        <w:tab/>
      </w:r>
      <w:r w:rsidRPr="002617C4">
        <w:rPr>
          <w:rFonts w:hint="cs"/>
          <w:spacing w:val="-6"/>
          <w:rtl/>
        </w:rPr>
        <w:t xml:space="preserve">انظر </w:t>
      </w:r>
      <w:hyperlink r:id="rId11" w:history="1">
        <w:r w:rsidRPr="002617C4">
          <w:rPr>
            <w:spacing w:val="-4"/>
          </w:rPr>
          <w:t>www.achpr.org/files/sessions/37th/mission-reports/ethiopia/misrep_specmec_priso_ethopia_2004_eng.pdf</w:t>
        </w:r>
      </w:hyperlink>
      <w:r w:rsidRPr="002617C4">
        <w:rPr>
          <w:rFonts w:hint="cs"/>
          <w:spacing w:val="-4"/>
          <w:rtl/>
        </w:rPr>
        <w:t>،</w:t>
      </w:r>
      <w:r w:rsidRPr="00FC0CA9">
        <w:rPr>
          <w:rFonts w:hint="cs"/>
          <w:rtl/>
        </w:rPr>
        <w:t xml:space="preserve"> </w:t>
      </w:r>
      <w:r>
        <w:rPr>
          <w:rFonts w:hint="cs"/>
          <w:rtl/>
        </w:rPr>
        <w:t>ص</w:t>
      </w:r>
      <w:r>
        <w:rPr>
          <w:rFonts w:hint="eastAsia"/>
          <w:rtl/>
        </w:rPr>
        <w:t> </w:t>
      </w:r>
      <w:r w:rsidRPr="00FC0CA9">
        <w:rPr>
          <w:rFonts w:hint="cs"/>
          <w:rtl/>
        </w:rPr>
        <w:t xml:space="preserve">20؛ والوثيقة </w:t>
      </w:r>
      <w:r w:rsidRPr="00FC0CA9">
        <w:t>A/HRC/25/60/Add.1</w:t>
      </w:r>
      <w:r w:rsidRPr="00FC0CA9">
        <w:rPr>
          <w:rFonts w:hint="cs"/>
          <w:rtl/>
        </w:rPr>
        <w:t xml:space="preserve">، الفقرة 54؛ ووثيقة مجلس أوروبا </w:t>
      </w:r>
      <w:r w:rsidRPr="00FC0CA9">
        <w:t>CPT/Inf (2014) 26</w:t>
      </w:r>
      <w:r w:rsidRPr="00FC0CA9">
        <w:rPr>
          <w:rFonts w:hint="cs"/>
          <w:rtl/>
        </w:rPr>
        <w:t>، الفقرة 110.</w:t>
      </w:r>
    </w:p>
  </w:footnote>
  <w:footnote w:id="88">
    <w:p w:rsidR="005A1EB0" w:rsidRPr="00FC0CA9" w:rsidRDefault="005A1EB0" w:rsidP="008877C4">
      <w:pPr>
        <w:pStyle w:val="FootnoteText"/>
        <w:tabs>
          <w:tab w:val="clear" w:pos="418"/>
          <w:tab w:val="right" w:pos="1195"/>
          <w:tab w:val="left" w:pos="1267"/>
          <w:tab w:val="left" w:pos="1656"/>
          <w:tab w:val="left" w:pos="2088"/>
        </w:tabs>
        <w:spacing w:after="80"/>
        <w:ind w:left="1267" w:right="1267" w:hanging="547"/>
        <w:rPr>
          <w:b/>
        </w:rPr>
      </w:pPr>
      <w:r w:rsidRPr="00F16F2C">
        <w:rPr>
          <w:rFonts w:hint="cs"/>
          <w:spacing w:val="-4"/>
          <w:rtl/>
        </w:rPr>
        <w:tab/>
      </w:r>
      <w:r w:rsidRPr="00F16F2C">
        <w:rPr>
          <w:spacing w:val="-4"/>
          <w:rtl/>
        </w:rPr>
        <w:t>(88)</w:t>
      </w:r>
      <w:r w:rsidRPr="00F16F2C">
        <w:rPr>
          <w:rFonts w:hint="cs"/>
          <w:spacing w:val="-4"/>
          <w:rtl/>
        </w:rPr>
        <w:tab/>
        <w:t xml:space="preserve">انظر </w:t>
      </w:r>
      <w:hyperlink r:id="rId12" w:history="1">
        <w:r w:rsidRPr="00F16F2C">
          <w:rPr>
            <w:spacing w:val="-4"/>
          </w:rPr>
          <w:t>www.achpr.org/files/sessions/37th/mission-reports/ethiopia/misrep_specmec_priso_ethopia_2004_eng.pdf</w:t>
        </w:r>
      </w:hyperlink>
      <w:r w:rsidRPr="00F16F2C">
        <w:rPr>
          <w:rFonts w:hint="cs"/>
          <w:spacing w:val="-4"/>
          <w:rtl/>
        </w:rPr>
        <w:t xml:space="preserve">، </w:t>
      </w:r>
      <w:r>
        <w:rPr>
          <w:rFonts w:hint="cs"/>
          <w:spacing w:val="-4"/>
          <w:rtl/>
        </w:rPr>
        <w:t>ص</w:t>
      </w:r>
      <w:r>
        <w:rPr>
          <w:rFonts w:hint="eastAsia"/>
          <w:spacing w:val="-4"/>
          <w:rtl/>
        </w:rPr>
        <w:t> </w:t>
      </w:r>
      <w:r w:rsidRPr="00F16F2C">
        <w:rPr>
          <w:rFonts w:hint="cs"/>
          <w:spacing w:val="-4"/>
          <w:rtl/>
        </w:rPr>
        <w:t xml:space="preserve">33. وانظر أيضاً وثيقة مجلس أوروبا </w:t>
      </w:r>
      <w:r w:rsidRPr="00F16F2C">
        <w:rPr>
          <w:spacing w:val="-4"/>
        </w:rPr>
        <w:t>CPT/Inf (2014) 26</w:t>
      </w:r>
      <w:r w:rsidRPr="00F16F2C">
        <w:rPr>
          <w:rFonts w:hint="cs"/>
          <w:spacing w:val="-4"/>
          <w:rtl/>
        </w:rPr>
        <w:t xml:space="preserve">، الفقرة 110؛ والوثيقة </w:t>
      </w:r>
      <w:r w:rsidRPr="00F16F2C">
        <w:rPr>
          <w:spacing w:val="-4"/>
        </w:rPr>
        <w:t>A/HRC/25/71</w:t>
      </w:r>
      <w:r w:rsidRPr="00F16F2C">
        <w:rPr>
          <w:rFonts w:hint="cs"/>
          <w:spacing w:val="-4"/>
          <w:rtl/>
        </w:rPr>
        <w:t>، الفقرة 35؛</w:t>
      </w:r>
      <w:r w:rsidRPr="00FC0CA9">
        <w:rPr>
          <w:rFonts w:hint="cs"/>
          <w:rtl/>
        </w:rPr>
        <w:t xml:space="preserve"> والوثيقة </w:t>
      </w:r>
      <w:r w:rsidRPr="00FC0CA9">
        <w:rPr>
          <w:szCs w:val="18"/>
        </w:rPr>
        <w:t>CAT/OP/BEN/1</w:t>
      </w:r>
      <w:r w:rsidRPr="00FC0CA9">
        <w:rPr>
          <w:rFonts w:hint="cs"/>
          <w:rtl/>
        </w:rPr>
        <w:t xml:space="preserve">، </w:t>
      </w:r>
      <w:r w:rsidRPr="002617C4">
        <w:rPr>
          <w:rFonts w:hint="cs"/>
          <w:rtl/>
        </w:rPr>
        <w:t>الفقرة</w:t>
      </w:r>
      <w:r w:rsidRPr="002617C4">
        <w:rPr>
          <w:rStyle w:val="Hyperlink"/>
          <w:rFonts w:hint="cs"/>
          <w:b/>
          <w:color w:val="auto"/>
          <w:u w:val="none"/>
          <w:rtl/>
          <w:lang w:val="lv-LV" w:eastAsia="lv-LV"/>
        </w:rPr>
        <w:t xml:space="preserve"> 208.</w:t>
      </w:r>
    </w:p>
  </w:footnote>
  <w:footnote w:id="89">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(89)</w:t>
      </w:r>
      <w:r>
        <w:rPr>
          <w:rFonts w:hint="cs"/>
          <w:rtl/>
        </w:rPr>
        <w:tab/>
      </w:r>
      <w:r w:rsidRPr="00FC0CA9">
        <w:rPr>
          <w:rFonts w:hint="cs"/>
          <w:rtl/>
        </w:rPr>
        <w:t xml:space="preserve">انظر الوثيقة </w:t>
      </w:r>
      <w:r w:rsidRPr="00FC0CA9">
        <w:t>A/HRC/13/39/Add.5</w:t>
      </w:r>
      <w:r w:rsidRPr="00FC0CA9">
        <w:rPr>
          <w:rFonts w:hint="cs"/>
          <w:rtl/>
        </w:rPr>
        <w:t xml:space="preserve">، الفقرة 91؛ والوثيقة </w:t>
      </w:r>
      <w:r w:rsidRPr="00FC0CA9">
        <w:t>A/HRC/25/60/Add.1</w:t>
      </w:r>
      <w:r w:rsidRPr="00FC0CA9">
        <w:rPr>
          <w:rFonts w:hint="cs"/>
          <w:rtl/>
        </w:rPr>
        <w:t xml:space="preserve">، الفقرة 44؛ والوثيقة </w:t>
      </w:r>
      <w:r w:rsidRPr="00FC0CA9">
        <w:t>CCPR/C/BGR/CO/3</w:t>
      </w:r>
      <w:r w:rsidRPr="00FC0CA9">
        <w:rPr>
          <w:rFonts w:hint="cs"/>
          <w:rtl/>
        </w:rPr>
        <w:t xml:space="preserve">، الفقرة 18؛ والوثيقة </w:t>
      </w:r>
      <w:r w:rsidRPr="00FC0CA9">
        <w:t>CCPR/C/NIC/CO/3</w:t>
      </w:r>
      <w:r w:rsidRPr="00FC0CA9">
        <w:rPr>
          <w:rFonts w:hint="cs"/>
          <w:rtl/>
        </w:rPr>
        <w:t>، الفقرة 17.</w:t>
      </w:r>
    </w:p>
  </w:footnote>
  <w:footnote w:id="90">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(90)</w:t>
      </w:r>
      <w:r>
        <w:rPr>
          <w:rFonts w:hint="cs"/>
          <w:rtl/>
        </w:rPr>
        <w:tab/>
      </w:r>
      <w:r w:rsidRPr="00FC0CA9">
        <w:rPr>
          <w:rFonts w:hint="cs"/>
          <w:rtl/>
        </w:rPr>
        <w:t xml:space="preserve">انظر الوثيقة </w:t>
      </w:r>
      <w:r w:rsidRPr="00FC0CA9">
        <w:t>CAT/C/FIN/CO/5-6</w:t>
      </w:r>
      <w:r w:rsidRPr="00FC0CA9">
        <w:rPr>
          <w:rFonts w:hint="cs"/>
          <w:rtl/>
        </w:rPr>
        <w:t xml:space="preserve">، الفقرة 14؛ والوثيقة </w:t>
      </w:r>
      <w:r w:rsidRPr="00FC0CA9">
        <w:t>CAT/C/GRC/CO/5-6</w:t>
      </w:r>
      <w:r w:rsidRPr="00FC0CA9">
        <w:rPr>
          <w:rFonts w:hint="cs"/>
          <w:rtl/>
        </w:rPr>
        <w:t xml:space="preserve">، الفقرة 14؛ والوثيقة </w:t>
      </w:r>
      <w:r w:rsidRPr="00FC0CA9">
        <w:t>CAT/C/MDA/CO/2</w:t>
      </w:r>
      <w:r w:rsidRPr="00FC0CA9">
        <w:rPr>
          <w:rFonts w:hint="cs"/>
          <w:rtl/>
        </w:rPr>
        <w:t xml:space="preserve">، الفقرة 18؛ والوثيقة </w:t>
      </w:r>
      <w:r w:rsidRPr="00FC0CA9">
        <w:t>CCPR/C/JAM/CO/3</w:t>
      </w:r>
      <w:r w:rsidRPr="00FC0CA9">
        <w:rPr>
          <w:rFonts w:hint="cs"/>
          <w:rtl/>
        </w:rPr>
        <w:t xml:space="preserve">، الفقرة 23؛ والوثيقة </w:t>
      </w:r>
      <w:r w:rsidRPr="00FC0CA9">
        <w:t>CAT/OP/BEN/1</w:t>
      </w:r>
      <w:r w:rsidRPr="00FC0CA9">
        <w:rPr>
          <w:rFonts w:hint="cs"/>
          <w:rtl/>
        </w:rPr>
        <w:t>، الفقرة</w:t>
      </w:r>
      <w:r>
        <w:rPr>
          <w:rFonts w:hint="eastAsia"/>
          <w:rtl/>
        </w:rPr>
        <w:t> </w:t>
      </w:r>
      <w:r w:rsidRPr="00FC0CA9">
        <w:rPr>
          <w:rFonts w:hint="cs"/>
          <w:rtl/>
        </w:rPr>
        <w:t xml:space="preserve">208؛ والوثيقة </w:t>
      </w:r>
      <w:r w:rsidRPr="00FC0CA9">
        <w:t>CPT/Inf (2014) 26</w:t>
      </w:r>
      <w:r w:rsidRPr="00FC0CA9">
        <w:rPr>
          <w:rFonts w:hint="cs"/>
          <w:rtl/>
        </w:rPr>
        <w:t>، الفقرة 101.</w:t>
      </w:r>
      <w:r>
        <w:rPr>
          <w:rFonts w:hint="cs"/>
          <w:rtl/>
        </w:rPr>
        <w:t xml:space="preserve"> </w:t>
      </w:r>
    </w:p>
  </w:footnote>
  <w:footnote w:id="91">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Fonts w:hint="cs"/>
          <w:rtl/>
        </w:rPr>
        <w:tab/>
      </w:r>
      <w:r w:rsidRPr="00FC0CA9">
        <w:rPr>
          <w:rtl/>
        </w:rPr>
        <w:t>(91)</w:t>
      </w:r>
      <w:r>
        <w:rPr>
          <w:rFonts w:hint="cs"/>
          <w:rtl/>
        </w:rPr>
        <w:tab/>
      </w:r>
      <w:r w:rsidRPr="00FC0CA9">
        <w:rPr>
          <w:rFonts w:hint="cs"/>
          <w:rtl/>
        </w:rPr>
        <w:t xml:space="preserve">انظر الوثيقة </w:t>
      </w:r>
      <w:r w:rsidRPr="00FC0CA9">
        <w:t>CAT/OP/BRA/1</w:t>
      </w:r>
      <w:r w:rsidRPr="00FC0CA9">
        <w:rPr>
          <w:rFonts w:hint="cs"/>
          <w:rtl/>
        </w:rPr>
        <w:t xml:space="preserve">، الفقرة 106؛ والوثيقة </w:t>
      </w:r>
      <w:r w:rsidRPr="00FC0CA9">
        <w:t>CAT/OP/MEX/1</w:t>
      </w:r>
      <w:r w:rsidRPr="00FC0CA9">
        <w:rPr>
          <w:rFonts w:hint="cs"/>
          <w:rtl/>
        </w:rPr>
        <w:t>، الفقرة 187.</w:t>
      </w:r>
    </w:p>
  </w:footnote>
  <w:footnote w:id="92">
    <w:p w:rsidR="005A1EB0" w:rsidRPr="00FC0CA9" w:rsidRDefault="005A1EB0" w:rsidP="002617C4">
      <w:pPr>
        <w:pStyle w:val="FootnoteText"/>
        <w:tabs>
          <w:tab w:val="clear" w:pos="418"/>
          <w:tab w:val="right" w:pos="1195"/>
          <w:tab w:val="left" w:pos="1267"/>
          <w:tab w:val="left" w:pos="1656"/>
          <w:tab w:val="left" w:pos="2088"/>
        </w:tabs>
        <w:spacing w:after="80"/>
        <w:ind w:left="1267" w:right="1267" w:hanging="547"/>
      </w:pPr>
      <w:r>
        <w:rPr>
          <w:rStyle w:val="FootnoteReference"/>
          <w:rFonts w:hint="cs"/>
          <w:color w:val="auto"/>
          <w:vertAlign w:val="baseline"/>
          <w:rtl/>
        </w:rPr>
        <w:tab/>
      </w:r>
      <w:r w:rsidRPr="00FC0CA9">
        <w:rPr>
          <w:rStyle w:val="FootnoteReference"/>
          <w:color w:val="auto"/>
          <w:vertAlign w:val="baseline"/>
          <w:rtl/>
        </w:rPr>
        <w:t>(92)</w:t>
      </w:r>
      <w:r>
        <w:rPr>
          <w:rFonts w:hint="cs"/>
          <w:rtl/>
        </w:rPr>
        <w:tab/>
      </w:r>
      <w:r w:rsidRPr="00FC0CA9">
        <w:rPr>
          <w:rFonts w:hint="cs"/>
          <w:rtl/>
        </w:rPr>
        <w:t xml:space="preserve">انظر الوثيقة </w:t>
      </w:r>
      <w:r w:rsidRPr="00FC0CA9">
        <w:rPr>
          <w:szCs w:val="18"/>
        </w:rPr>
        <w:t>CAT/OP/PRY/1</w:t>
      </w:r>
      <w:r w:rsidRPr="00FC0CA9">
        <w:rPr>
          <w:rFonts w:hint="cs"/>
          <w:rtl/>
        </w:rPr>
        <w:t xml:space="preserve">، الفقرة 148؛ والوثيقة </w:t>
      </w:r>
      <w:r w:rsidRPr="00FC0CA9">
        <w:rPr>
          <w:szCs w:val="18"/>
          <w:lang w:val="es-ES"/>
        </w:rPr>
        <w:t>CAT/OP/BRA/1</w:t>
      </w:r>
      <w:r w:rsidRPr="00FC0CA9">
        <w:rPr>
          <w:rFonts w:hint="cs"/>
          <w:rtl/>
        </w:rPr>
        <w:t xml:space="preserve">، الفقرة 137؛ والوثيقة </w:t>
      </w:r>
      <w:r w:rsidRPr="00FC0CA9">
        <w:rPr>
          <w:szCs w:val="18"/>
          <w:lang w:val="es-ES"/>
        </w:rPr>
        <w:t>A/HRC/22/53/Add.2</w:t>
      </w:r>
      <w:r w:rsidRPr="00FC0CA9">
        <w:rPr>
          <w:rFonts w:hint="cs"/>
          <w:rtl/>
        </w:rPr>
        <w:t xml:space="preserve">، الفقرة 47؛ وقضية </w:t>
      </w:r>
      <w:r w:rsidRPr="00FC0CA9">
        <w:rPr>
          <w:rFonts w:hint="cs"/>
          <w:i/>
          <w:iCs/>
          <w:rtl/>
        </w:rPr>
        <w:t>تيبي ضد إكوادور</w:t>
      </w:r>
      <w:r w:rsidRPr="00FC0CA9">
        <w:rPr>
          <w:rFonts w:hint="cs"/>
          <w:rtl/>
        </w:rPr>
        <w:t>،</w:t>
      </w:r>
      <w:r w:rsidRPr="00FC0CA9">
        <w:rPr>
          <w:rFonts w:hint="cs"/>
          <w:b/>
          <w:rtl/>
          <w:lang w:eastAsia="en-GB"/>
        </w:rPr>
        <w:t xml:space="preserve"> حكم صادر عن محكمة </w:t>
      </w:r>
      <w:r w:rsidRPr="00FC0CA9">
        <w:rPr>
          <w:rFonts w:hint="cs"/>
          <w:rtl/>
          <w:lang w:bidi="ar"/>
        </w:rPr>
        <w:t xml:space="preserve">البلدان الأمريكية لحقوق </w:t>
      </w:r>
      <w:r w:rsidRPr="005A1EB0">
        <w:rPr>
          <w:rFonts w:hint="cs"/>
          <w:spacing w:val="-2"/>
          <w:rtl/>
          <w:lang w:bidi="ar"/>
        </w:rPr>
        <w:t xml:space="preserve">الإنسان (2004)، الفقرة </w:t>
      </w:r>
      <w:r w:rsidRPr="005A1EB0">
        <w:rPr>
          <w:rFonts w:hint="cs"/>
          <w:spacing w:val="-2"/>
          <w:rtl/>
        </w:rPr>
        <w:t>150؛ و</w:t>
      </w:r>
      <w:hyperlink r:id="rId13" w:history="1">
        <w:r w:rsidRPr="005A1EB0">
          <w:rPr>
            <w:spacing w:val="-2"/>
          </w:rPr>
          <w:t>www.achpr.org/files/sessions/12th-eo/mission-reports/promotion_mission-2012/mission_report_mauritania_cpta_eng.pdf</w:t>
        </w:r>
      </w:hyperlink>
      <w:r w:rsidRPr="005A1EB0">
        <w:rPr>
          <w:rFonts w:hint="cs"/>
          <w:spacing w:val="-2"/>
          <w:rtl/>
        </w:rPr>
        <w:t xml:space="preserve">، الفقرة 75؛ ووثيقة مجلس أوروبا </w:t>
      </w:r>
      <w:r w:rsidRPr="005A1EB0">
        <w:rPr>
          <w:spacing w:val="-2"/>
        </w:rPr>
        <w:t>CPT/Inf (2015) 12</w:t>
      </w:r>
      <w:r w:rsidRPr="005A1EB0">
        <w:rPr>
          <w:rFonts w:hint="cs"/>
          <w:spacing w:val="-2"/>
          <w:rtl/>
        </w:rPr>
        <w:t>، الفقرة</w:t>
      </w:r>
      <w:r w:rsidRPr="005A1EB0">
        <w:rPr>
          <w:rFonts w:hint="eastAsia"/>
          <w:spacing w:val="-2"/>
          <w:rtl/>
        </w:rPr>
        <w:t> </w:t>
      </w:r>
      <w:r w:rsidRPr="005A1EB0">
        <w:rPr>
          <w:rFonts w:hint="cs"/>
          <w:spacing w:val="-2"/>
          <w:rtl/>
        </w:rPr>
        <w:t>65.</w:t>
      </w:r>
    </w:p>
  </w:footnote>
  <w:footnote w:id="9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(93)</w:t>
      </w:r>
      <w:r>
        <w:rPr>
          <w:rFonts w:hint="cs"/>
          <w:w w:val="103"/>
          <w:rtl/>
        </w:rPr>
        <w:tab/>
      </w:r>
      <w:r w:rsidRPr="00967BA8">
        <w:rPr>
          <w:rFonts w:hint="cs"/>
          <w:w w:val="103"/>
          <w:rtl/>
        </w:rPr>
        <w:t xml:space="preserve">انظر الوثيقة </w:t>
      </w:r>
      <w:r w:rsidRPr="00967BA8">
        <w:rPr>
          <w:w w:val="103"/>
        </w:rPr>
        <w:t>CAT/C/TGO/CO/2</w:t>
      </w:r>
      <w:r w:rsidRPr="00967BA8">
        <w:rPr>
          <w:rFonts w:hint="cs"/>
          <w:w w:val="103"/>
          <w:rtl/>
        </w:rPr>
        <w:t xml:space="preserve">، الفقرة 13؛ والوثيقة </w:t>
      </w:r>
      <w:r w:rsidRPr="00967BA8">
        <w:rPr>
          <w:w w:val="103"/>
        </w:rPr>
        <w:t>CAT/OP/PRY/1</w:t>
      </w:r>
      <w:r w:rsidRPr="00967BA8">
        <w:rPr>
          <w:rFonts w:hint="cs"/>
          <w:w w:val="103"/>
          <w:rtl/>
        </w:rPr>
        <w:t>، الفقرة 183.</w:t>
      </w:r>
    </w:p>
  </w:footnote>
  <w:footnote w:id="9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(94)</w:t>
      </w:r>
      <w:r>
        <w:rPr>
          <w:rFonts w:hint="cs"/>
          <w:w w:val="103"/>
          <w:rtl/>
        </w:rPr>
        <w:tab/>
      </w:r>
      <w:r w:rsidRPr="00967BA8">
        <w:rPr>
          <w:rFonts w:hint="cs"/>
          <w:w w:val="103"/>
          <w:rtl/>
        </w:rPr>
        <w:t xml:space="preserve">انظر قضية </w:t>
      </w:r>
      <w:r w:rsidRPr="00E0054C">
        <w:rPr>
          <w:rFonts w:hint="cs"/>
          <w:i/>
          <w:iCs/>
          <w:w w:val="103"/>
          <w:rtl/>
        </w:rPr>
        <w:t>مونتيرو - أرانغورن ضد فنزويلا</w:t>
      </w:r>
      <w:r w:rsidRPr="00967BA8">
        <w:rPr>
          <w:rFonts w:hint="cs"/>
          <w:w w:val="103"/>
          <w:rtl/>
        </w:rPr>
        <w:t>، حكم صادر عن محكمة البلدان الأمريكية لحقوق الإنسان (2006)، الفقرة 99.</w:t>
      </w:r>
    </w:p>
  </w:footnote>
  <w:footnote w:id="9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(95)</w:t>
      </w:r>
      <w:r>
        <w:rPr>
          <w:rFonts w:hint="cs"/>
          <w:w w:val="103"/>
          <w:rtl/>
        </w:rPr>
        <w:tab/>
      </w:r>
      <w:r w:rsidRPr="00967BA8">
        <w:rPr>
          <w:rFonts w:hint="cs"/>
          <w:w w:val="103"/>
          <w:rtl/>
        </w:rPr>
        <w:t xml:space="preserve">انظر الوثيقة </w:t>
      </w:r>
      <w:r w:rsidRPr="00967BA8">
        <w:rPr>
          <w:w w:val="103"/>
        </w:rPr>
        <w:t>A/HRC/23/41/Add.1</w:t>
      </w:r>
      <w:r w:rsidRPr="00967BA8">
        <w:rPr>
          <w:rFonts w:hint="cs"/>
          <w:w w:val="103"/>
          <w:rtl/>
        </w:rPr>
        <w:t>، الفقرة 52.</w:t>
      </w:r>
    </w:p>
  </w:footnote>
  <w:footnote w:id="9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(96)</w:t>
      </w:r>
      <w:r>
        <w:rPr>
          <w:rFonts w:hint="cs"/>
          <w:w w:val="103"/>
          <w:rtl/>
        </w:rPr>
        <w:tab/>
      </w:r>
      <w:r w:rsidRPr="00967BA8">
        <w:rPr>
          <w:rFonts w:hint="cs"/>
          <w:w w:val="103"/>
          <w:rtl/>
        </w:rPr>
        <w:t xml:space="preserve">انظر الوثيقة </w:t>
      </w:r>
      <w:r w:rsidRPr="00967BA8">
        <w:rPr>
          <w:w w:val="103"/>
        </w:rPr>
        <w:t>CAT/C/PER/CO/5-6</w:t>
      </w:r>
      <w:r w:rsidRPr="00967BA8">
        <w:rPr>
          <w:rFonts w:hint="cs"/>
          <w:w w:val="103"/>
          <w:rtl/>
        </w:rPr>
        <w:t xml:space="preserve">، الفقرة 10؛ والوثيقة </w:t>
      </w:r>
      <w:r w:rsidRPr="00967BA8">
        <w:rPr>
          <w:w w:val="103"/>
        </w:rPr>
        <w:t>CAT/OP/BEN/1</w:t>
      </w:r>
      <w:r w:rsidRPr="00967BA8">
        <w:rPr>
          <w:rFonts w:hint="cs"/>
          <w:w w:val="103"/>
          <w:rtl/>
        </w:rPr>
        <w:t>، الفقرة 218؛ و</w:t>
      </w:r>
      <w:r w:rsidRPr="00E6222E">
        <w:rPr>
          <w:w w:val="103"/>
        </w:rPr>
        <w:t>www.achpr.org/files</w:t>
      </w:r>
      <w:r>
        <w:rPr>
          <w:w w:val="103"/>
        </w:rPr>
        <w:br/>
      </w:r>
      <w:r w:rsidRPr="00E6222E">
        <w:rPr>
          <w:w w:val="103"/>
        </w:rPr>
        <w:t>/sessions/37th/mission-reports/prisons-2004/misrep_specmec_priso_southafrica_2004_eng.pdf</w:t>
      </w:r>
      <w:r>
        <w:rPr>
          <w:rFonts w:hint="cs"/>
          <w:w w:val="103"/>
          <w:rtl/>
        </w:rPr>
        <w:t xml:space="preserve">، ص </w:t>
      </w:r>
      <w:r w:rsidRPr="00967BA8">
        <w:rPr>
          <w:rFonts w:hint="cs"/>
          <w:w w:val="103"/>
          <w:rtl/>
        </w:rPr>
        <w:t>3.</w:t>
      </w:r>
    </w:p>
  </w:footnote>
  <w:footnote w:id="9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(97)</w:t>
      </w:r>
      <w:r>
        <w:rPr>
          <w:rFonts w:hint="cs"/>
          <w:w w:val="103"/>
          <w:rtl/>
        </w:rPr>
        <w:tab/>
      </w:r>
      <w:r w:rsidRPr="00967BA8">
        <w:rPr>
          <w:rFonts w:hint="cs"/>
          <w:w w:val="103"/>
          <w:rtl/>
        </w:rPr>
        <w:t xml:space="preserve">انظر الوثيقة </w:t>
      </w:r>
      <w:r w:rsidRPr="00967BA8">
        <w:rPr>
          <w:w w:val="103"/>
        </w:rPr>
        <w:t>CAT/C/TGO/CO/2</w:t>
      </w:r>
      <w:r w:rsidRPr="00967BA8">
        <w:rPr>
          <w:rFonts w:hint="cs"/>
          <w:w w:val="103"/>
          <w:rtl/>
        </w:rPr>
        <w:t xml:space="preserve">، الفقرة 13؛ والوثيقة </w:t>
      </w:r>
      <w:r w:rsidRPr="00967BA8">
        <w:rPr>
          <w:w w:val="103"/>
        </w:rPr>
        <w:t>CCPR/C/MOZ/CO/1</w:t>
      </w:r>
      <w:r w:rsidRPr="00967BA8">
        <w:rPr>
          <w:rFonts w:hint="cs"/>
          <w:w w:val="103"/>
          <w:rtl/>
        </w:rPr>
        <w:t>، الفقرة 14.</w:t>
      </w:r>
    </w:p>
  </w:footnote>
  <w:footnote w:id="9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(98)</w:t>
      </w:r>
      <w:r>
        <w:rPr>
          <w:rFonts w:hint="cs"/>
          <w:w w:val="103"/>
          <w:rtl/>
        </w:rPr>
        <w:tab/>
      </w:r>
      <w:r w:rsidRPr="00967BA8">
        <w:rPr>
          <w:rFonts w:hint="cs"/>
          <w:w w:val="103"/>
          <w:rtl/>
        </w:rPr>
        <w:t xml:space="preserve">انظر الوثيقة </w:t>
      </w:r>
      <w:r w:rsidRPr="00967BA8">
        <w:rPr>
          <w:w w:val="103"/>
        </w:rPr>
        <w:t>A/HRC/11/8</w:t>
      </w:r>
      <w:r w:rsidRPr="00967BA8">
        <w:rPr>
          <w:rFonts w:hint="cs"/>
          <w:w w:val="103"/>
          <w:rtl/>
        </w:rPr>
        <w:t xml:space="preserve">، الفقرة 12، ووثيقة مجلس أوروبا </w:t>
      </w:r>
      <w:r w:rsidRPr="00967BA8">
        <w:rPr>
          <w:w w:val="103"/>
        </w:rPr>
        <w:t>CPT/Inf (97) 10</w:t>
      </w:r>
      <w:r w:rsidRPr="00967BA8">
        <w:rPr>
          <w:rFonts w:hint="cs"/>
          <w:w w:val="103"/>
          <w:rtl/>
        </w:rPr>
        <w:t>، الفقرة 13.</w:t>
      </w:r>
    </w:p>
  </w:footnote>
  <w:footnote w:id="9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(99)</w:t>
      </w:r>
      <w:r>
        <w:rPr>
          <w:rFonts w:hint="cs"/>
          <w:w w:val="103"/>
          <w:rtl/>
        </w:rPr>
        <w:tab/>
      </w:r>
      <w:r w:rsidRPr="00967BA8">
        <w:rPr>
          <w:rFonts w:hint="cs"/>
          <w:w w:val="103"/>
          <w:rtl/>
        </w:rPr>
        <w:t xml:space="preserve">انظر قضية </w:t>
      </w:r>
      <w:r w:rsidRPr="00E0054C">
        <w:rPr>
          <w:rFonts w:hint="cs"/>
          <w:i/>
          <w:iCs/>
          <w:w w:val="103"/>
          <w:rtl/>
        </w:rPr>
        <w:t>بويس ضد بربادوس</w:t>
      </w:r>
      <w:r w:rsidRPr="00967BA8">
        <w:rPr>
          <w:rFonts w:hint="cs"/>
          <w:w w:val="103"/>
          <w:rtl/>
        </w:rPr>
        <w:t>، حكم صادر عن محكمة البلدان الأمريكية لحقوق الإنسان (2007)، الفقرتين</w:t>
      </w:r>
      <w:r>
        <w:rPr>
          <w:rFonts w:hint="eastAsia"/>
          <w:w w:val="103"/>
          <w:rtl/>
        </w:rPr>
        <w:t> </w:t>
      </w:r>
      <w:r w:rsidRPr="00967BA8">
        <w:rPr>
          <w:rFonts w:hint="cs"/>
          <w:w w:val="103"/>
          <w:rtl/>
        </w:rPr>
        <w:t xml:space="preserve">93 و94؛ ووثيقة مجلس أوروبا </w:t>
      </w:r>
      <w:r w:rsidRPr="00967BA8">
        <w:rPr>
          <w:w w:val="103"/>
        </w:rPr>
        <w:t>CPT/Inf (2014) 26</w:t>
      </w:r>
      <w:r w:rsidRPr="00967BA8">
        <w:rPr>
          <w:rFonts w:hint="cs"/>
          <w:w w:val="103"/>
          <w:rtl/>
        </w:rPr>
        <w:t xml:space="preserve">، الفقرة 93؛ والوثيقة </w:t>
      </w:r>
      <w:r w:rsidRPr="00967BA8">
        <w:rPr>
          <w:w w:val="103"/>
        </w:rPr>
        <w:t>CAT/C/BGR/CO/4-5</w:t>
      </w:r>
      <w:r w:rsidRPr="00967BA8">
        <w:rPr>
          <w:rFonts w:hint="cs"/>
          <w:w w:val="103"/>
          <w:rtl/>
        </w:rPr>
        <w:t>، الفقرة</w:t>
      </w:r>
      <w:r>
        <w:rPr>
          <w:rFonts w:hint="eastAsia"/>
          <w:w w:val="103"/>
          <w:rtl/>
        </w:rPr>
        <w:t> </w:t>
      </w:r>
      <w:r w:rsidRPr="00967BA8">
        <w:rPr>
          <w:rFonts w:hint="cs"/>
          <w:w w:val="103"/>
          <w:rtl/>
        </w:rPr>
        <w:t xml:space="preserve">21؛ والوثيقة </w:t>
      </w:r>
      <w:r w:rsidRPr="00967BA8">
        <w:rPr>
          <w:w w:val="103"/>
        </w:rPr>
        <w:t>A/HRC/13/39/Add.5</w:t>
      </w:r>
      <w:r w:rsidRPr="00967BA8">
        <w:rPr>
          <w:rFonts w:hint="cs"/>
          <w:w w:val="103"/>
          <w:rtl/>
        </w:rPr>
        <w:t>، الفقرة 234.</w:t>
      </w:r>
    </w:p>
  </w:footnote>
  <w:footnote w:id="10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(100)</w:t>
      </w:r>
      <w:r>
        <w:rPr>
          <w:rFonts w:hint="cs"/>
          <w:w w:val="103"/>
          <w:rtl/>
        </w:rPr>
        <w:tab/>
      </w:r>
      <w:r w:rsidRPr="00967BA8">
        <w:rPr>
          <w:rFonts w:hint="cs"/>
          <w:w w:val="103"/>
          <w:rtl/>
        </w:rPr>
        <w:t xml:space="preserve">انظر قضية </w:t>
      </w:r>
      <w:r w:rsidRPr="00E0054C">
        <w:rPr>
          <w:rFonts w:hint="cs"/>
          <w:i/>
          <w:iCs/>
          <w:w w:val="103"/>
          <w:rtl/>
        </w:rPr>
        <w:t>معهد إعادة تأهيل الأحداث ضد باراغواي</w:t>
      </w:r>
      <w:r w:rsidRPr="00967BA8">
        <w:rPr>
          <w:rFonts w:hint="cs"/>
          <w:w w:val="103"/>
          <w:rtl/>
        </w:rPr>
        <w:t xml:space="preserve">، حكم صادر عن محكمة البلدان الأمريكية لحقوق الإنسان (2004)، الفقرة 134-24؛ ووثيقة مجلس أوروبا </w:t>
      </w:r>
      <w:r w:rsidRPr="00967BA8">
        <w:rPr>
          <w:w w:val="103"/>
        </w:rPr>
        <w:t>CPT/Inf (2014) 31</w:t>
      </w:r>
      <w:r w:rsidRPr="00967BA8">
        <w:rPr>
          <w:rFonts w:hint="cs"/>
          <w:w w:val="103"/>
          <w:rtl/>
        </w:rPr>
        <w:t xml:space="preserve">، الفقرة 56؛ والوثيقة </w:t>
      </w:r>
      <w:r w:rsidRPr="00967BA8">
        <w:rPr>
          <w:w w:val="103"/>
        </w:rPr>
        <w:t>A/HRC/25/60/Add.1</w:t>
      </w:r>
      <w:r w:rsidRPr="00967BA8">
        <w:rPr>
          <w:rFonts w:hint="cs"/>
          <w:w w:val="103"/>
          <w:rtl/>
        </w:rPr>
        <w:t xml:space="preserve">، الفقرة 85؛ والوثيقة </w:t>
      </w:r>
      <w:r w:rsidRPr="00967BA8">
        <w:rPr>
          <w:w w:val="103"/>
        </w:rPr>
        <w:t>A/HRC/22/53/Add.2</w:t>
      </w:r>
      <w:r w:rsidRPr="00967BA8">
        <w:rPr>
          <w:rFonts w:hint="cs"/>
          <w:w w:val="103"/>
          <w:rtl/>
        </w:rPr>
        <w:t>، الفقرة 47.</w:t>
      </w:r>
    </w:p>
  </w:footnote>
  <w:footnote w:id="10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(101)</w:t>
      </w:r>
      <w:r>
        <w:rPr>
          <w:rFonts w:hint="cs"/>
          <w:w w:val="103"/>
          <w:rtl/>
        </w:rPr>
        <w:tab/>
      </w:r>
      <w:r w:rsidRPr="00967BA8">
        <w:rPr>
          <w:rFonts w:hint="cs"/>
          <w:w w:val="103"/>
          <w:rtl/>
        </w:rPr>
        <w:t xml:space="preserve">انظر الوثيقة </w:t>
      </w:r>
      <w:r w:rsidRPr="00967BA8">
        <w:rPr>
          <w:w w:val="103"/>
        </w:rPr>
        <w:t>CAT/OP/MEX/1</w:t>
      </w:r>
      <w:r w:rsidRPr="00967BA8">
        <w:rPr>
          <w:rFonts w:hint="cs"/>
          <w:w w:val="103"/>
          <w:rtl/>
        </w:rPr>
        <w:t>، الفقرة 170.</w:t>
      </w:r>
    </w:p>
  </w:footnote>
  <w:footnote w:id="102">
    <w:p w:rsidR="005A1EB0" w:rsidRPr="00A82327" w:rsidRDefault="005A1EB0" w:rsidP="005A1EB0">
      <w:pPr>
        <w:pStyle w:val="FootnoteText"/>
        <w:tabs>
          <w:tab w:val="clear" w:pos="418"/>
          <w:tab w:val="right" w:pos="1195"/>
          <w:tab w:val="left" w:pos="1267"/>
          <w:tab w:val="left" w:pos="1656"/>
          <w:tab w:val="left" w:pos="2088"/>
        </w:tabs>
        <w:spacing w:after="80"/>
        <w:ind w:left="1267" w:right="1267" w:hanging="547"/>
      </w:pPr>
      <w:r w:rsidRPr="00A82327">
        <w:rPr>
          <w:rFonts w:hint="cs"/>
          <w:rtl/>
        </w:rPr>
        <w:tab/>
      </w:r>
      <w:r w:rsidRPr="00A82327">
        <w:rPr>
          <w:rtl/>
        </w:rPr>
        <w:t>(102)</w:t>
      </w:r>
      <w:r w:rsidRPr="00A82327">
        <w:rPr>
          <w:rFonts w:hint="cs"/>
          <w:rtl/>
        </w:rPr>
        <w:tab/>
        <w:t xml:space="preserve">انظر </w:t>
      </w:r>
      <w:r w:rsidRPr="00A82327">
        <w:t>www.achpr.org/files/sessions/37th/mission-reports/prisons-2004/misrep_specmec_priso_southafrica_</w:t>
      </w:r>
      <w:r>
        <w:br/>
      </w:r>
      <w:r w:rsidRPr="00A82327">
        <w:t>2004_eng.pdf</w:t>
      </w:r>
      <w:r w:rsidRPr="00A82327">
        <w:rPr>
          <w:rFonts w:hint="cs"/>
          <w:rtl/>
        </w:rPr>
        <w:t xml:space="preserve">، ص 54؛ ووثيقة مجلس أوروبا </w:t>
      </w:r>
      <w:r w:rsidRPr="00A82327">
        <w:t>CPT/Inf (2014) 21</w:t>
      </w:r>
      <w:r w:rsidRPr="00A82327">
        <w:rPr>
          <w:rFonts w:hint="cs"/>
          <w:rtl/>
        </w:rPr>
        <w:t>، الفقرة 43.</w:t>
      </w:r>
    </w:p>
  </w:footnote>
  <w:footnote w:id="10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(103)</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xml:space="preserve">، الفقرة 85؛ والوثيقة </w:t>
      </w:r>
      <w:r w:rsidRPr="00967BA8">
        <w:rPr>
          <w:w w:val="103"/>
        </w:rPr>
        <w:t>A/HRC/22/53/Add.2</w:t>
      </w:r>
      <w:r w:rsidRPr="00967BA8">
        <w:rPr>
          <w:rFonts w:hint="cs"/>
          <w:w w:val="103"/>
          <w:rtl/>
        </w:rPr>
        <w:t xml:space="preserve">، الفقرة 47؛ وقضية </w:t>
      </w:r>
      <w:r w:rsidRPr="00E0054C">
        <w:rPr>
          <w:rFonts w:hint="cs"/>
          <w:i/>
          <w:iCs/>
          <w:w w:val="103"/>
          <w:rtl/>
        </w:rPr>
        <w:t>باتشيكو تيرويل وآخرين ضد هندوراس</w:t>
      </w:r>
      <w:r w:rsidRPr="00967BA8">
        <w:rPr>
          <w:rFonts w:hint="cs"/>
          <w:w w:val="103"/>
          <w:rtl/>
        </w:rPr>
        <w:t xml:space="preserve">، حكم صادر عن محكمة البلدان الأمريكية لحقوق الإنسان (2012)، الفقرة </w:t>
      </w:r>
      <w:r>
        <w:rPr>
          <w:rFonts w:hint="cs"/>
          <w:w w:val="103"/>
          <w:rtl/>
        </w:rPr>
        <w:t>96</w:t>
      </w:r>
      <w:r w:rsidRPr="00967BA8">
        <w:rPr>
          <w:rFonts w:hint="cs"/>
          <w:w w:val="103"/>
          <w:rtl/>
        </w:rPr>
        <w:t>.</w:t>
      </w:r>
    </w:p>
  </w:footnote>
  <w:footnote w:id="10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(104)</w:t>
      </w:r>
      <w:r>
        <w:rPr>
          <w:rFonts w:hint="cs"/>
          <w:w w:val="103"/>
          <w:rtl/>
        </w:rPr>
        <w:tab/>
      </w:r>
      <w:r w:rsidRPr="00967BA8">
        <w:rPr>
          <w:rFonts w:hint="cs"/>
          <w:w w:val="103"/>
          <w:rtl/>
        </w:rPr>
        <w:t xml:space="preserve">انظر الوثيقة </w:t>
      </w:r>
      <w:r w:rsidRPr="00967BA8">
        <w:rPr>
          <w:w w:val="103"/>
        </w:rPr>
        <w:t>A/60/399</w:t>
      </w:r>
      <w:r w:rsidRPr="00967BA8">
        <w:rPr>
          <w:rFonts w:hint="cs"/>
          <w:w w:val="103"/>
          <w:rtl/>
        </w:rPr>
        <w:t>، الفقرة 73.</w:t>
      </w:r>
    </w:p>
  </w:footnote>
  <w:footnote w:id="105">
    <w:p w:rsidR="005A1EB0" w:rsidRPr="00A82327" w:rsidRDefault="005A1EB0" w:rsidP="005A1EB0">
      <w:pPr>
        <w:pStyle w:val="FootnoteText"/>
        <w:tabs>
          <w:tab w:val="clear" w:pos="418"/>
          <w:tab w:val="right" w:pos="1195"/>
          <w:tab w:val="left" w:pos="1267"/>
          <w:tab w:val="left" w:pos="1656"/>
          <w:tab w:val="left" w:pos="2088"/>
        </w:tabs>
        <w:spacing w:after="80"/>
        <w:ind w:left="1267" w:right="1267" w:hanging="547"/>
      </w:pPr>
      <w:r w:rsidRPr="00A82327">
        <w:rPr>
          <w:rFonts w:hint="cs"/>
          <w:rtl/>
        </w:rPr>
        <w:tab/>
      </w:r>
      <w:r w:rsidRPr="00A82327">
        <w:rPr>
          <w:rtl/>
        </w:rPr>
        <w:t>(105)</w:t>
      </w:r>
      <w:r w:rsidRPr="00A82327">
        <w:rPr>
          <w:rFonts w:hint="cs"/>
          <w:rtl/>
        </w:rPr>
        <w:tab/>
        <w:t xml:space="preserve">انظر </w:t>
      </w:r>
      <w:r w:rsidRPr="00A82327">
        <w:t>www.achpr.org/files/sessions/37th/mission-reports/prisons-2004/misrep_specmec_priso_southafrica_</w:t>
      </w:r>
      <w:r>
        <w:br/>
      </w:r>
      <w:r w:rsidRPr="00A82327">
        <w:t>2004_eng.pdf</w:t>
      </w:r>
      <w:r w:rsidRPr="00A82327">
        <w:rPr>
          <w:rFonts w:hint="cs"/>
          <w:rtl/>
        </w:rPr>
        <w:t>، ص 46.</w:t>
      </w:r>
    </w:p>
  </w:footnote>
  <w:footnote w:id="10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(106)</w:t>
      </w:r>
      <w:r>
        <w:rPr>
          <w:rFonts w:hint="cs"/>
          <w:w w:val="103"/>
          <w:rtl/>
        </w:rPr>
        <w:tab/>
      </w:r>
      <w:r w:rsidRPr="00967BA8">
        <w:rPr>
          <w:rFonts w:hint="cs"/>
          <w:w w:val="103"/>
          <w:rtl/>
        </w:rPr>
        <w:t xml:space="preserve">انظر الوثيقة </w:t>
      </w:r>
      <w:r w:rsidRPr="00967BA8">
        <w:rPr>
          <w:w w:val="103"/>
        </w:rPr>
        <w:t>A/HRC/10/8/Add.2</w:t>
      </w:r>
      <w:r w:rsidRPr="00967BA8">
        <w:rPr>
          <w:rFonts w:hint="cs"/>
          <w:w w:val="103"/>
          <w:rtl/>
        </w:rPr>
        <w:t>، الفقرة 53.</w:t>
      </w:r>
    </w:p>
  </w:footnote>
  <w:footnote w:id="10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(107)</w:t>
      </w:r>
      <w:r>
        <w:rPr>
          <w:rFonts w:hint="cs"/>
          <w:w w:val="103"/>
          <w:rtl/>
        </w:rPr>
        <w:tab/>
      </w:r>
      <w:r w:rsidRPr="00967BA8">
        <w:rPr>
          <w:rFonts w:hint="cs"/>
          <w:w w:val="103"/>
          <w:rtl/>
        </w:rPr>
        <w:t xml:space="preserve">انظر الوثيقة </w:t>
      </w:r>
      <w:r w:rsidRPr="00967BA8">
        <w:rPr>
          <w:w w:val="103"/>
        </w:rPr>
        <w:t>A/60/399</w:t>
      </w:r>
      <w:r w:rsidRPr="00967BA8">
        <w:rPr>
          <w:rFonts w:hint="cs"/>
          <w:w w:val="103"/>
          <w:rtl/>
        </w:rPr>
        <w:t>، الفقرة 70.</w:t>
      </w:r>
    </w:p>
  </w:footnote>
  <w:footnote w:id="10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(108)</w:t>
      </w:r>
      <w:r>
        <w:rPr>
          <w:rFonts w:hint="cs"/>
          <w:w w:val="103"/>
          <w:rtl/>
        </w:rPr>
        <w:tab/>
      </w:r>
      <w:r w:rsidRPr="00967BA8">
        <w:rPr>
          <w:rFonts w:hint="cs"/>
          <w:w w:val="103"/>
          <w:rtl/>
        </w:rPr>
        <w:t xml:space="preserve">انظر الوثيقة </w:t>
      </w:r>
      <w:r w:rsidRPr="00967BA8">
        <w:rPr>
          <w:w w:val="103"/>
        </w:rPr>
        <w:t>A/HRC/4/21/Add.1</w:t>
      </w:r>
      <w:r w:rsidRPr="00967BA8">
        <w:rPr>
          <w:rFonts w:hint="cs"/>
          <w:w w:val="103"/>
          <w:rtl/>
        </w:rPr>
        <w:t xml:space="preserve">، الفقرات 23 ومن 58 إلى 60؛ والوثيقة </w:t>
      </w:r>
      <w:r w:rsidRPr="00967BA8">
        <w:rPr>
          <w:w w:val="103"/>
        </w:rPr>
        <w:t>A/HRC/10/8/Add.2</w:t>
      </w:r>
      <w:r w:rsidRPr="00967BA8">
        <w:rPr>
          <w:rFonts w:hint="cs"/>
          <w:w w:val="103"/>
          <w:rtl/>
        </w:rPr>
        <w:t>، الفقرة 53.</w:t>
      </w:r>
    </w:p>
  </w:footnote>
  <w:footnote w:id="10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(109)</w:t>
      </w:r>
      <w:r>
        <w:rPr>
          <w:rFonts w:hint="cs"/>
          <w:w w:val="103"/>
          <w:rtl/>
        </w:rPr>
        <w:tab/>
      </w:r>
      <w:r w:rsidRPr="00967BA8">
        <w:rPr>
          <w:rFonts w:hint="cs"/>
          <w:w w:val="103"/>
          <w:rtl/>
        </w:rPr>
        <w:t xml:space="preserve">انظر الوثيقة </w:t>
      </w:r>
      <w:r w:rsidRPr="00967BA8">
        <w:rPr>
          <w:w w:val="103"/>
        </w:rPr>
        <w:t>A/HRC/25/71</w:t>
      </w:r>
      <w:r w:rsidRPr="00967BA8">
        <w:rPr>
          <w:rFonts w:hint="cs"/>
          <w:w w:val="103"/>
          <w:rtl/>
        </w:rPr>
        <w:t>، الفقرة 35.</w:t>
      </w:r>
    </w:p>
  </w:footnote>
  <w:footnote w:id="11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(110)</w:t>
      </w:r>
      <w:r>
        <w:rPr>
          <w:rFonts w:hint="cs"/>
          <w:w w:val="103"/>
          <w:rtl/>
        </w:rPr>
        <w:tab/>
      </w:r>
      <w:r w:rsidRPr="00967BA8">
        <w:rPr>
          <w:rFonts w:hint="cs"/>
          <w:w w:val="103"/>
          <w:rtl/>
        </w:rPr>
        <w:t xml:space="preserve">انظر الوثيقة </w:t>
      </w:r>
      <w:r w:rsidRPr="00967BA8">
        <w:rPr>
          <w:w w:val="103"/>
        </w:rPr>
        <w:t>A/HRC/25/71</w:t>
      </w:r>
      <w:r w:rsidRPr="00967BA8">
        <w:rPr>
          <w:rFonts w:hint="cs"/>
          <w:w w:val="103"/>
          <w:rtl/>
        </w:rPr>
        <w:t>، الفقرة 32.</w:t>
      </w:r>
    </w:p>
  </w:footnote>
  <w:footnote w:id="11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(111)</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43.</w:t>
      </w:r>
    </w:p>
  </w:footnote>
  <w:footnote w:id="11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(112)</w:t>
      </w:r>
      <w:r>
        <w:rPr>
          <w:rFonts w:hint="cs"/>
          <w:w w:val="103"/>
          <w:rtl/>
        </w:rPr>
        <w:tab/>
      </w:r>
      <w:r w:rsidRPr="00967BA8">
        <w:rPr>
          <w:rFonts w:hint="cs"/>
          <w:w w:val="103"/>
          <w:rtl/>
        </w:rPr>
        <w:t xml:space="preserve">انظر قضية </w:t>
      </w:r>
      <w:r w:rsidRPr="00E0054C">
        <w:rPr>
          <w:rFonts w:hint="cs"/>
          <w:i/>
          <w:iCs/>
          <w:w w:val="103"/>
          <w:rtl/>
        </w:rPr>
        <w:t>مونتيرو - أرانغورن ضد فنزويلا</w:t>
      </w:r>
      <w:r w:rsidRPr="00967BA8">
        <w:rPr>
          <w:rFonts w:hint="cs"/>
          <w:w w:val="103"/>
          <w:rtl/>
        </w:rPr>
        <w:t>، حكم صادر عن محكمة البلدان الأمريكية لحقوق الإنسان (2006)، الفقرة 99.</w:t>
      </w:r>
    </w:p>
  </w:footnote>
  <w:footnote w:id="11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(113)</w:t>
      </w:r>
      <w:r>
        <w:rPr>
          <w:rFonts w:hint="cs"/>
          <w:w w:val="103"/>
          <w:rtl/>
        </w:rPr>
        <w:tab/>
      </w:r>
      <w:r w:rsidRPr="00967BA8">
        <w:rPr>
          <w:rFonts w:hint="cs"/>
          <w:w w:val="103"/>
          <w:rtl/>
        </w:rPr>
        <w:t xml:space="preserve">انظر الوثيقة </w:t>
      </w:r>
      <w:r w:rsidRPr="00967BA8">
        <w:rPr>
          <w:w w:val="103"/>
        </w:rPr>
        <w:t>CPT/Inf (2014) 13</w:t>
      </w:r>
      <w:r w:rsidRPr="00967BA8">
        <w:rPr>
          <w:rFonts w:hint="cs"/>
          <w:w w:val="103"/>
          <w:rtl/>
        </w:rPr>
        <w:t>، الفقرة 111.</w:t>
      </w:r>
    </w:p>
  </w:footnote>
  <w:footnote w:id="11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(114)</w:t>
      </w:r>
      <w:r>
        <w:rPr>
          <w:rFonts w:hint="cs"/>
          <w:w w:val="103"/>
          <w:rtl/>
        </w:rPr>
        <w:tab/>
      </w:r>
      <w:r w:rsidRPr="00967BA8">
        <w:rPr>
          <w:rFonts w:hint="cs"/>
          <w:w w:val="103"/>
          <w:rtl/>
        </w:rPr>
        <w:t xml:space="preserve">انظر </w:t>
      </w:r>
      <w:r w:rsidRPr="00967BA8">
        <w:rPr>
          <w:w w:val="103"/>
        </w:rPr>
        <w:t>www.achpr.org/files/sessions/37th/mission-reports/prisons-2004/misrep_specmec_priso_southafrica_</w:t>
      </w:r>
      <w:r>
        <w:rPr>
          <w:w w:val="103"/>
        </w:rPr>
        <w:br/>
      </w:r>
      <w:r w:rsidRPr="00967BA8">
        <w:rPr>
          <w:w w:val="103"/>
        </w:rPr>
        <w:t>2004_eng.pdf</w:t>
      </w:r>
      <w:r w:rsidRPr="00967BA8">
        <w:rPr>
          <w:rFonts w:hint="cs"/>
          <w:w w:val="103"/>
          <w:rtl/>
        </w:rPr>
        <w:t xml:space="preserve">، الفصل </w:t>
      </w:r>
      <w:r w:rsidRPr="00967BA8">
        <w:rPr>
          <w:w w:val="103"/>
        </w:rPr>
        <w:t>F(i)</w:t>
      </w:r>
      <w:r w:rsidRPr="00967BA8">
        <w:rPr>
          <w:rFonts w:hint="cs"/>
          <w:w w:val="103"/>
          <w:rtl/>
        </w:rPr>
        <w:t xml:space="preserve">؛ وقضية </w:t>
      </w:r>
      <w:r w:rsidRPr="00E0054C">
        <w:rPr>
          <w:rFonts w:hint="cs"/>
          <w:i/>
          <w:iCs/>
          <w:w w:val="103"/>
          <w:rtl/>
        </w:rPr>
        <w:t>م. ضد الدولة</w:t>
      </w:r>
      <w:r w:rsidRPr="00967BA8">
        <w:rPr>
          <w:rFonts w:hint="cs"/>
          <w:w w:val="103"/>
          <w:rtl/>
        </w:rPr>
        <w:t xml:space="preserve">، حكم صادر عن المحكمة الدستورية لجنوب أفريقيا (2007). وانظر أيضاً الوثيقة </w:t>
      </w:r>
      <w:r w:rsidRPr="00967BA8">
        <w:rPr>
          <w:w w:val="103"/>
        </w:rPr>
        <w:t>CRC/C/GC/14</w:t>
      </w:r>
      <w:r w:rsidRPr="00967BA8">
        <w:rPr>
          <w:rFonts w:hint="cs"/>
          <w:w w:val="103"/>
          <w:rtl/>
        </w:rPr>
        <w:t>، الفقرة 69.</w:t>
      </w:r>
    </w:p>
  </w:footnote>
  <w:footnote w:id="11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(115)</w:t>
      </w:r>
      <w:r>
        <w:rPr>
          <w:rFonts w:hint="cs"/>
          <w:w w:val="103"/>
          <w:rtl/>
        </w:rPr>
        <w:tab/>
      </w:r>
      <w:r w:rsidRPr="00967BA8">
        <w:rPr>
          <w:rFonts w:hint="cs"/>
          <w:w w:val="103"/>
          <w:rtl/>
        </w:rPr>
        <w:t xml:space="preserve">انظر الوثيقة </w:t>
      </w:r>
      <w:r w:rsidRPr="00967BA8">
        <w:rPr>
          <w:w w:val="103"/>
        </w:rPr>
        <w:t>CEDAW/C/BRA/CO/7</w:t>
      </w:r>
      <w:r w:rsidRPr="00967BA8">
        <w:rPr>
          <w:rFonts w:hint="cs"/>
          <w:w w:val="103"/>
          <w:rtl/>
        </w:rPr>
        <w:t>، الفقرة 32.</w:t>
      </w:r>
    </w:p>
  </w:footnote>
  <w:footnote w:id="11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(116)</w:t>
      </w:r>
      <w:r>
        <w:rPr>
          <w:rFonts w:hint="cs"/>
          <w:w w:val="103"/>
          <w:rtl/>
        </w:rPr>
        <w:tab/>
      </w:r>
      <w:r w:rsidRPr="00967BA8">
        <w:rPr>
          <w:rFonts w:hint="cs"/>
          <w:w w:val="103"/>
          <w:rtl/>
        </w:rPr>
        <w:t xml:space="preserve">انظر الوثيقة </w:t>
      </w:r>
      <w:r w:rsidRPr="00967BA8">
        <w:rPr>
          <w:w w:val="103"/>
        </w:rPr>
        <w:t>CAT/C/LKA/CO/3-4</w:t>
      </w:r>
      <w:r w:rsidRPr="00967BA8">
        <w:rPr>
          <w:rFonts w:hint="cs"/>
          <w:w w:val="103"/>
          <w:rtl/>
        </w:rPr>
        <w:t xml:space="preserve">، الفقرة 14، والوثيقة </w:t>
      </w:r>
      <w:r w:rsidRPr="00967BA8">
        <w:rPr>
          <w:w w:val="103"/>
        </w:rPr>
        <w:t>A/HRC/28/68</w:t>
      </w:r>
      <w:r w:rsidRPr="00967BA8">
        <w:rPr>
          <w:rFonts w:hint="cs"/>
          <w:w w:val="103"/>
          <w:rtl/>
        </w:rPr>
        <w:t xml:space="preserve">، الفقرة 41. وانظر أيضاً قضية </w:t>
      </w:r>
      <w:r w:rsidRPr="00E0054C">
        <w:rPr>
          <w:rFonts w:hint="cs"/>
          <w:i/>
          <w:iCs/>
          <w:w w:val="103"/>
          <w:rtl/>
        </w:rPr>
        <w:t>معهد إعادة تأهيل الأحداث ضد باراغواي</w:t>
      </w:r>
      <w:r w:rsidRPr="00967BA8">
        <w:rPr>
          <w:rFonts w:hint="cs"/>
          <w:w w:val="103"/>
          <w:rtl/>
        </w:rPr>
        <w:t>، حكم صادر عن محكمة البلدان الأمريكية لحقوق الإنسان (2004)، الفقرة 175.</w:t>
      </w:r>
    </w:p>
  </w:footnote>
  <w:footnote w:id="11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(117)</w:t>
      </w:r>
      <w:r>
        <w:rPr>
          <w:rFonts w:hint="cs"/>
          <w:w w:val="103"/>
          <w:rtl/>
        </w:rPr>
        <w:tab/>
      </w:r>
      <w:r w:rsidRPr="00967BA8">
        <w:rPr>
          <w:rFonts w:hint="cs"/>
          <w:w w:val="103"/>
          <w:rtl/>
        </w:rPr>
        <w:t xml:space="preserve">انظر الوثيقة </w:t>
      </w:r>
      <w:r w:rsidRPr="00967BA8">
        <w:rPr>
          <w:w w:val="103"/>
        </w:rPr>
        <w:t>A/68/295</w:t>
      </w:r>
      <w:r w:rsidRPr="00967BA8">
        <w:rPr>
          <w:rFonts w:hint="cs"/>
          <w:w w:val="103"/>
          <w:rtl/>
        </w:rPr>
        <w:t>، الفقرة 45.</w:t>
      </w:r>
    </w:p>
  </w:footnote>
  <w:footnote w:id="11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(118)</w:t>
      </w:r>
      <w:r>
        <w:rPr>
          <w:rFonts w:hint="cs"/>
          <w:w w:val="103"/>
          <w:rtl/>
        </w:rPr>
        <w:tab/>
      </w:r>
      <w:r w:rsidRPr="00967BA8">
        <w:rPr>
          <w:rFonts w:hint="cs"/>
          <w:w w:val="103"/>
          <w:rtl/>
        </w:rPr>
        <w:t xml:space="preserve">انظر </w:t>
      </w:r>
      <w:r w:rsidRPr="00967BA8">
        <w:rPr>
          <w:w w:val="103"/>
        </w:rPr>
        <w:t>www.ohchr.org/EN/NewsEvents/Pages/DisplayNews.aspx?NewsID=16257&amp;LangID=E</w:t>
      </w:r>
      <w:r>
        <w:rPr>
          <w:rFonts w:hint="cs"/>
          <w:w w:val="103"/>
          <w:rtl/>
        </w:rPr>
        <w:t xml:space="preserve">. </w:t>
      </w:r>
    </w:p>
  </w:footnote>
  <w:footnote w:id="11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(119)</w:t>
      </w:r>
      <w:r>
        <w:rPr>
          <w:rFonts w:hint="cs"/>
          <w:w w:val="103"/>
          <w:rtl/>
        </w:rPr>
        <w:tab/>
      </w:r>
      <w:r w:rsidRPr="00967BA8">
        <w:rPr>
          <w:rFonts w:hint="cs"/>
          <w:w w:val="103"/>
          <w:rtl/>
        </w:rPr>
        <w:t xml:space="preserve">انظر الوثيقة </w:t>
      </w:r>
      <w:r w:rsidRPr="00967BA8">
        <w:rPr>
          <w:w w:val="103"/>
        </w:rPr>
        <w:t>CAT/OP/NZL/1</w:t>
      </w:r>
      <w:r w:rsidRPr="00967BA8">
        <w:rPr>
          <w:rFonts w:hint="cs"/>
          <w:w w:val="103"/>
          <w:rtl/>
        </w:rPr>
        <w:t>، الفقرة 33.</w:t>
      </w:r>
    </w:p>
  </w:footnote>
  <w:footnote w:id="12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(120)</w:t>
      </w:r>
      <w:r>
        <w:rPr>
          <w:rFonts w:hint="cs"/>
          <w:w w:val="103"/>
          <w:rtl/>
        </w:rPr>
        <w:tab/>
      </w:r>
      <w:r w:rsidRPr="00967BA8">
        <w:rPr>
          <w:rFonts w:hint="cs"/>
          <w:w w:val="103"/>
          <w:rtl/>
        </w:rPr>
        <w:t xml:space="preserve">انظر الوثيقة </w:t>
      </w:r>
      <w:r w:rsidRPr="00967BA8">
        <w:rPr>
          <w:w w:val="103"/>
        </w:rPr>
        <w:t>CAT/C/GAB/CO/1</w:t>
      </w:r>
      <w:r w:rsidRPr="00967BA8">
        <w:rPr>
          <w:rFonts w:hint="cs"/>
          <w:w w:val="103"/>
          <w:rtl/>
        </w:rPr>
        <w:t xml:space="preserve">، الفقرة 17؛ والوثيقة </w:t>
      </w:r>
      <w:r w:rsidRPr="00967BA8">
        <w:rPr>
          <w:w w:val="103"/>
        </w:rPr>
        <w:t>CAT/C/MUS/CO/3</w:t>
      </w:r>
      <w:r w:rsidRPr="00967BA8">
        <w:rPr>
          <w:rFonts w:hint="cs"/>
          <w:w w:val="103"/>
          <w:rtl/>
        </w:rPr>
        <w:t xml:space="preserve">، الفقرة 14؛ والوثيقة </w:t>
      </w:r>
      <w:r w:rsidRPr="00967BA8">
        <w:rPr>
          <w:w w:val="103"/>
        </w:rPr>
        <w:t>CAT/C/LKA/CO/3-4</w:t>
      </w:r>
      <w:r w:rsidRPr="00967BA8">
        <w:rPr>
          <w:rFonts w:hint="cs"/>
          <w:w w:val="103"/>
          <w:rtl/>
        </w:rPr>
        <w:t xml:space="preserve">، الفقرة 14؛ والوثيقة </w:t>
      </w:r>
      <w:r w:rsidRPr="00967BA8">
        <w:rPr>
          <w:w w:val="103"/>
        </w:rPr>
        <w:t>CCPR/C/MOZ/CO/1</w:t>
      </w:r>
      <w:r w:rsidRPr="00967BA8">
        <w:rPr>
          <w:rFonts w:hint="cs"/>
          <w:w w:val="103"/>
          <w:rtl/>
        </w:rPr>
        <w:t>، الفقرة 14.</w:t>
      </w:r>
    </w:p>
  </w:footnote>
  <w:footnote w:id="121">
    <w:p w:rsidR="005A1EB0" w:rsidRPr="00A82327" w:rsidRDefault="005A1EB0" w:rsidP="005A1EB0">
      <w:pPr>
        <w:pStyle w:val="FootnoteText"/>
        <w:tabs>
          <w:tab w:val="clear" w:pos="418"/>
          <w:tab w:val="right" w:pos="1195"/>
          <w:tab w:val="left" w:pos="1267"/>
          <w:tab w:val="left" w:pos="1656"/>
          <w:tab w:val="left" w:pos="2088"/>
        </w:tabs>
        <w:spacing w:after="80"/>
        <w:ind w:left="1264" w:right="1264" w:hanging="544"/>
      </w:pPr>
      <w:r w:rsidRPr="00A82327">
        <w:rPr>
          <w:rFonts w:hint="cs"/>
          <w:rtl/>
        </w:rPr>
        <w:tab/>
      </w:r>
      <w:r w:rsidRPr="00A82327">
        <w:rPr>
          <w:rtl/>
        </w:rPr>
        <w:t>(121)</w:t>
      </w:r>
      <w:r w:rsidRPr="00A82327">
        <w:rPr>
          <w:rFonts w:hint="cs"/>
          <w:rtl/>
        </w:rPr>
        <w:tab/>
        <w:t xml:space="preserve">انظر الوثيقة </w:t>
      </w:r>
      <w:r w:rsidRPr="00A82327">
        <w:t>E/C.12/LKA/CO/2-4</w:t>
      </w:r>
      <w:r w:rsidRPr="00A82327">
        <w:rPr>
          <w:rFonts w:hint="cs"/>
          <w:rtl/>
        </w:rPr>
        <w:t>، الفقرة 32؛ و</w:t>
      </w:r>
      <w:r w:rsidRPr="00A82327">
        <w:t>www.achpr.org/files/sessions/12th-eo/mission-reports/</w:t>
      </w:r>
      <w:r>
        <w:br/>
      </w:r>
      <w:r w:rsidRPr="00A82327">
        <w:t>promotion_mission-2012/mission_report_mauritania_cpta_eng.pdf</w:t>
      </w:r>
      <w:r w:rsidRPr="00A82327">
        <w:rPr>
          <w:rFonts w:hint="cs"/>
          <w:rtl/>
        </w:rPr>
        <w:t xml:space="preserve">، الفقرة 38؛ والوثيقة </w:t>
      </w:r>
      <w:r w:rsidRPr="00A82327">
        <w:t>CAT/C/BLR/CO/4</w:t>
      </w:r>
      <w:r w:rsidRPr="00A82327">
        <w:rPr>
          <w:rFonts w:hint="cs"/>
          <w:rtl/>
        </w:rPr>
        <w:t xml:space="preserve">، الفقرة 19؛ والوثيقة </w:t>
      </w:r>
      <w:r w:rsidRPr="00A82327">
        <w:t>CAT/C/SYR/CO/1</w:t>
      </w:r>
      <w:r w:rsidRPr="00A82327">
        <w:rPr>
          <w:rFonts w:hint="cs"/>
          <w:rtl/>
        </w:rPr>
        <w:t>، الفقرة 30.</w:t>
      </w:r>
    </w:p>
  </w:footnote>
  <w:footnote w:id="12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(122)</w:t>
      </w:r>
      <w:r>
        <w:rPr>
          <w:rFonts w:hint="cs"/>
          <w:w w:val="103"/>
          <w:rtl/>
        </w:rPr>
        <w:tab/>
      </w:r>
      <w:r w:rsidRPr="00967BA8">
        <w:rPr>
          <w:rFonts w:hint="cs"/>
          <w:w w:val="103"/>
          <w:rtl/>
        </w:rPr>
        <w:t xml:space="preserve">انظر الوثيقة </w:t>
      </w:r>
      <w:r w:rsidRPr="00967BA8">
        <w:rPr>
          <w:w w:val="103"/>
        </w:rPr>
        <w:t>CAT/C/KHM/CO/2</w:t>
      </w:r>
      <w:r w:rsidRPr="00967BA8">
        <w:rPr>
          <w:rFonts w:hint="cs"/>
          <w:w w:val="103"/>
          <w:rtl/>
        </w:rPr>
        <w:t xml:space="preserve">، الفقرة 19؛ والوثيقة </w:t>
      </w:r>
      <w:r w:rsidRPr="00967BA8">
        <w:rPr>
          <w:w w:val="103"/>
        </w:rPr>
        <w:t>CCPR/C/BDI/CO/2</w:t>
      </w:r>
      <w:r w:rsidRPr="00967BA8">
        <w:rPr>
          <w:rFonts w:hint="cs"/>
          <w:w w:val="103"/>
          <w:rtl/>
        </w:rPr>
        <w:t>، الفقرة 18.</w:t>
      </w:r>
    </w:p>
  </w:footnote>
  <w:footnote w:id="12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(123)</w:t>
      </w:r>
      <w:r>
        <w:rPr>
          <w:rFonts w:hint="cs"/>
          <w:w w:val="103"/>
          <w:rtl/>
        </w:rPr>
        <w:tab/>
      </w:r>
      <w:r w:rsidRPr="00967BA8">
        <w:rPr>
          <w:rFonts w:hint="cs"/>
          <w:w w:val="103"/>
          <w:rtl/>
        </w:rPr>
        <w:t xml:space="preserve">انظر وثيقة المقرر الخاص المعني بمسألة التعذيب </w:t>
      </w:r>
      <w:r w:rsidRPr="00967BA8">
        <w:rPr>
          <w:w w:val="103"/>
        </w:rPr>
        <w:t>A/HRC/28/68</w:t>
      </w:r>
      <w:r w:rsidRPr="00967BA8">
        <w:rPr>
          <w:rFonts w:hint="cs"/>
          <w:w w:val="103"/>
          <w:rtl/>
        </w:rPr>
        <w:t xml:space="preserve">، الفقرة 68؛ وقضية </w:t>
      </w:r>
      <w:r w:rsidRPr="00E0054C">
        <w:rPr>
          <w:rFonts w:hint="cs"/>
          <w:i/>
          <w:iCs/>
          <w:w w:val="103"/>
          <w:rtl/>
        </w:rPr>
        <w:t>معهد إعادة تأهيل الأحداث ضد باراغواي</w:t>
      </w:r>
      <w:r w:rsidRPr="00967BA8">
        <w:rPr>
          <w:rFonts w:hint="cs"/>
          <w:w w:val="103"/>
          <w:rtl/>
        </w:rPr>
        <w:t xml:space="preserve">، حكم صادر عن محكمة البلدان الأمريكية لحقوق الإنسان (2004)، الفقرة 175؛ والوثيقة </w:t>
      </w:r>
      <w:r w:rsidRPr="00967BA8">
        <w:rPr>
          <w:w w:val="103"/>
        </w:rPr>
        <w:t>CAT/C/BOL/CO/2</w:t>
      </w:r>
      <w:r w:rsidRPr="00967BA8">
        <w:rPr>
          <w:rFonts w:hint="cs"/>
          <w:w w:val="103"/>
          <w:rtl/>
        </w:rPr>
        <w:t xml:space="preserve">، الفقرة 18؛ والوثيقة </w:t>
      </w:r>
      <w:r w:rsidRPr="00967BA8">
        <w:rPr>
          <w:w w:val="103"/>
        </w:rPr>
        <w:t>A/HRC/28/68</w:t>
      </w:r>
      <w:r w:rsidRPr="00967BA8">
        <w:rPr>
          <w:rFonts w:hint="cs"/>
          <w:w w:val="103"/>
          <w:rtl/>
        </w:rPr>
        <w:t>، الفقرة 58.</w:t>
      </w:r>
    </w:p>
  </w:footnote>
  <w:footnote w:id="12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(124)</w:t>
      </w:r>
      <w:r>
        <w:rPr>
          <w:rFonts w:hint="cs"/>
          <w:w w:val="103"/>
          <w:rtl/>
        </w:rPr>
        <w:tab/>
      </w:r>
      <w:r w:rsidRPr="00967BA8">
        <w:rPr>
          <w:rFonts w:hint="cs"/>
          <w:w w:val="103"/>
          <w:rtl/>
        </w:rPr>
        <w:t xml:space="preserve">انظر الوثيقة </w:t>
      </w:r>
      <w:r w:rsidRPr="00967BA8">
        <w:rPr>
          <w:w w:val="103"/>
        </w:rPr>
        <w:t>A/HRC/22/50/Add.2</w:t>
      </w:r>
      <w:r w:rsidRPr="00967BA8">
        <w:rPr>
          <w:rFonts w:hint="cs"/>
          <w:w w:val="103"/>
          <w:rtl/>
        </w:rPr>
        <w:t xml:space="preserve">، الفقرة 13؛ والوثيقة </w:t>
      </w:r>
      <w:r w:rsidRPr="00967BA8">
        <w:rPr>
          <w:w w:val="103"/>
        </w:rPr>
        <w:t>CEDAW/C/BRA/CO/7</w:t>
      </w:r>
      <w:r w:rsidRPr="00967BA8">
        <w:rPr>
          <w:rFonts w:hint="cs"/>
          <w:w w:val="103"/>
          <w:rtl/>
        </w:rPr>
        <w:t>، الفقرة 32؛ و</w:t>
      </w:r>
      <w:r w:rsidRPr="00967BA8">
        <w:rPr>
          <w:w w:val="103"/>
        </w:rPr>
        <w:t>www.achpr.</w:t>
      </w:r>
      <w:r>
        <w:rPr>
          <w:w w:val="103"/>
        </w:rPr>
        <w:br/>
      </w:r>
      <w:r w:rsidRPr="00967BA8">
        <w:rPr>
          <w:w w:val="103"/>
        </w:rPr>
        <w:t>org/files/sessions/37th/mission-reports/ethiopia/misrep_specmec_priso_ethopia_2004_eng.pdf</w:t>
      </w:r>
      <w:r w:rsidRPr="00967BA8">
        <w:rPr>
          <w:rFonts w:hint="cs"/>
          <w:w w:val="103"/>
          <w:rtl/>
        </w:rPr>
        <w:t>، ص 33.</w:t>
      </w:r>
    </w:p>
  </w:footnote>
  <w:footnote w:id="12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(125)</w:t>
      </w:r>
      <w:r>
        <w:rPr>
          <w:rFonts w:hint="cs"/>
          <w:w w:val="103"/>
          <w:rtl/>
        </w:rPr>
        <w:tab/>
      </w:r>
      <w:r w:rsidRPr="00967BA8">
        <w:rPr>
          <w:rFonts w:hint="cs"/>
          <w:w w:val="103"/>
          <w:rtl/>
        </w:rPr>
        <w:t xml:space="preserve">انظر الوثيقة </w:t>
      </w:r>
      <w:r w:rsidRPr="00967BA8">
        <w:rPr>
          <w:w w:val="103"/>
        </w:rPr>
        <w:t>CEDAW/C/BRA/CO/7</w:t>
      </w:r>
      <w:r w:rsidRPr="00967BA8">
        <w:rPr>
          <w:rFonts w:hint="cs"/>
          <w:w w:val="103"/>
          <w:rtl/>
        </w:rPr>
        <w:t>، الفقرتين 32 و33.</w:t>
      </w:r>
    </w:p>
  </w:footnote>
  <w:footnote w:id="12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(126)</w:t>
      </w:r>
      <w:r>
        <w:rPr>
          <w:rFonts w:hint="cs"/>
          <w:w w:val="103"/>
          <w:rtl/>
        </w:rPr>
        <w:tab/>
      </w:r>
      <w:r w:rsidRPr="00967BA8">
        <w:rPr>
          <w:rFonts w:hint="cs"/>
          <w:w w:val="103"/>
          <w:rtl/>
        </w:rPr>
        <w:t xml:space="preserve">انظر الوثيقة </w:t>
      </w:r>
      <w:r w:rsidRPr="00967BA8">
        <w:rPr>
          <w:w w:val="103"/>
        </w:rPr>
        <w:t>CAT/C/KEN/CO/2</w:t>
      </w:r>
      <w:r w:rsidRPr="00967BA8">
        <w:rPr>
          <w:rFonts w:hint="cs"/>
          <w:w w:val="103"/>
          <w:rtl/>
        </w:rPr>
        <w:t xml:space="preserve">، الفقرة 12؛ والوثيقة </w:t>
      </w:r>
      <w:r w:rsidRPr="00967BA8">
        <w:rPr>
          <w:w w:val="103"/>
        </w:rPr>
        <w:t>CAT/C/RWA/CO/1</w:t>
      </w:r>
      <w:r w:rsidRPr="00967BA8">
        <w:rPr>
          <w:rFonts w:hint="cs"/>
          <w:w w:val="103"/>
          <w:rtl/>
        </w:rPr>
        <w:t>، الفقرة 19.</w:t>
      </w:r>
    </w:p>
  </w:footnote>
  <w:footnote w:id="12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(127)</w:t>
      </w:r>
      <w:r>
        <w:rPr>
          <w:rFonts w:hint="cs"/>
          <w:w w:val="103"/>
          <w:rtl/>
        </w:rPr>
        <w:tab/>
      </w:r>
      <w:r w:rsidRPr="00967BA8">
        <w:rPr>
          <w:rFonts w:hint="cs"/>
          <w:w w:val="103"/>
          <w:rtl/>
        </w:rPr>
        <w:t xml:space="preserve">انظر الوثيقة </w:t>
      </w:r>
      <w:r w:rsidRPr="00967BA8">
        <w:rPr>
          <w:w w:val="103"/>
        </w:rPr>
        <w:t>CAT/OP/MEX/1</w:t>
      </w:r>
      <w:r w:rsidRPr="00967BA8">
        <w:rPr>
          <w:rFonts w:hint="cs"/>
          <w:w w:val="103"/>
          <w:rtl/>
        </w:rPr>
        <w:t>، الفقرة 187.</w:t>
      </w:r>
    </w:p>
  </w:footnote>
  <w:footnote w:id="12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(128)</w:t>
      </w:r>
      <w:r>
        <w:rPr>
          <w:rFonts w:hint="cs"/>
          <w:w w:val="103"/>
          <w:rtl/>
        </w:rPr>
        <w:tab/>
      </w:r>
      <w:r w:rsidRPr="00967BA8">
        <w:rPr>
          <w:rFonts w:hint="cs"/>
          <w:w w:val="103"/>
          <w:rtl/>
        </w:rPr>
        <w:t xml:space="preserve">انظر الوثيقة </w:t>
      </w:r>
      <w:r w:rsidRPr="00967BA8">
        <w:rPr>
          <w:w w:val="103"/>
        </w:rPr>
        <w:t>CPT/Inf (2014) 13</w:t>
      </w:r>
      <w:r w:rsidRPr="00967BA8">
        <w:rPr>
          <w:rFonts w:hint="cs"/>
          <w:w w:val="103"/>
          <w:rtl/>
        </w:rPr>
        <w:t xml:space="preserve">، الفقرة 53؛ والوثيقة </w:t>
      </w:r>
      <w:r w:rsidRPr="00967BA8">
        <w:rPr>
          <w:w w:val="103"/>
        </w:rPr>
        <w:t>CAT/C/KHM/CO/2</w:t>
      </w:r>
      <w:r w:rsidRPr="00967BA8">
        <w:rPr>
          <w:rFonts w:hint="cs"/>
          <w:w w:val="103"/>
          <w:rtl/>
        </w:rPr>
        <w:t>، الفقرة 19.</w:t>
      </w:r>
    </w:p>
  </w:footnote>
  <w:footnote w:id="12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(129)</w:t>
      </w:r>
      <w:r>
        <w:rPr>
          <w:rFonts w:hint="cs"/>
          <w:w w:val="103"/>
          <w:rtl/>
        </w:rPr>
        <w:tab/>
      </w:r>
      <w:r w:rsidRPr="00967BA8">
        <w:rPr>
          <w:rFonts w:hint="cs"/>
          <w:w w:val="103"/>
          <w:rtl/>
        </w:rPr>
        <w:t xml:space="preserve">انظر الوثيقة </w:t>
      </w:r>
      <w:r w:rsidRPr="00967BA8">
        <w:rPr>
          <w:w w:val="103"/>
        </w:rPr>
        <w:t>CPT/Inf (2014) 13</w:t>
      </w:r>
      <w:r w:rsidRPr="00967BA8">
        <w:rPr>
          <w:rFonts w:hint="cs"/>
          <w:w w:val="103"/>
          <w:rtl/>
        </w:rPr>
        <w:t>، الفقرة 53.</w:t>
      </w:r>
    </w:p>
  </w:footnote>
  <w:footnote w:id="13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(130)</w:t>
      </w:r>
      <w:r>
        <w:rPr>
          <w:rFonts w:hint="cs"/>
          <w:w w:val="103"/>
          <w:rtl/>
        </w:rPr>
        <w:tab/>
      </w:r>
      <w:r w:rsidRPr="00967BA8">
        <w:rPr>
          <w:rFonts w:hint="cs"/>
          <w:w w:val="103"/>
          <w:rtl/>
        </w:rPr>
        <w:t xml:space="preserve">انظر الوثيقة </w:t>
      </w:r>
      <w:r w:rsidRPr="00967BA8">
        <w:rPr>
          <w:w w:val="103"/>
        </w:rPr>
        <w:t>CPT/Inf (2014) 13</w:t>
      </w:r>
      <w:r w:rsidRPr="00967BA8">
        <w:rPr>
          <w:rFonts w:hint="cs"/>
          <w:w w:val="103"/>
          <w:rtl/>
        </w:rPr>
        <w:t>، الفقرة 53.</w:t>
      </w:r>
    </w:p>
  </w:footnote>
  <w:footnote w:id="13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(131)</w:t>
      </w:r>
      <w:r>
        <w:rPr>
          <w:rFonts w:hint="cs"/>
          <w:w w:val="103"/>
          <w:rtl/>
        </w:rPr>
        <w:tab/>
      </w:r>
      <w:r w:rsidRPr="00967BA8">
        <w:rPr>
          <w:rFonts w:hint="cs"/>
          <w:w w:val="103"/>
          <w:rtl/>
        </w:rPr>
        <w:t xml:space="preserve">انظر الوثيقة </w:t>
      </w:r>
      <w:r w:rsidRPr="00967BA8">
        <w:rPr>
          <w:w w:val="103"/>
        </w:rPr>
        <w:t>A/68/295</w:t>
      </w:r>
      <w:r w:rsidRPr="00967BA8">
        <w:rPr>
          <w:rFonts w:hint="cs"/>
          <w:w w:val="103"/>
          <w:rtl/>
        </w:rPr>
        <w:t>، الفقرة 45.</w:t>
      </w:r>
    </w:p>
  </w:footnote>
  <w:footnote w:id="13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(132)</w:t>
      </w:r>
      <w:r>
        <w:rPr>
          <w:rFonts w:hint="cs"/>
          <w:w w:val="103"/>
          <w:rtl/>
        </w:rPr>
        <w:tab/>
      </w:r>
      <w:r w:rsidRPr="00967BA8">
        <w:rPr>
          <w:rFonts w:hint="cs"/>
          <w:w w:val="103"/>
          <w:rtl/>
        </w:rPr>
        <w:t xml:space="preserve">انظر الوثيقة </w:t>
      </w:r>
      <w:r w:rsidRPr="00967BA8">
        <w:rPr>
          <w:w w:val="103"/>
        </w:rPr>
        <w:t>CAT/OP/HND/1</w:t>
      </w:r>
      <w:r w:rsidRPr="00967BA8">
        <w:rPr>
          <w:rFonts w:hint="cs"/>
          <w:w w:val="103"/>
          <w:rtl/>
        </w:rPr>
        <w:t>، الفقرة 191.</w:t>
      </w:r>
    </w:p>
  </w:footnote>
  <w:footnote w:id="13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(133)</w:t>
      </w:r>
      <w:r>
        <w:rPr>
          <w:rFonts w:hint="cs"/>
          <w:w w:val="103"/>
          <w:rtl/>
        </w:rPr>
        <w:tab/>
      </w:r>
      <w:r w:rsidRPr="00967BA8">
        <w:rPr>
          <w:rFonts w:hint="cs"/>
          <w:w w:val="103"/>
          <w:rtl/>
        </w:rPr>
        <w:t xml:space="preserve">انظر الوثيقة </w:t>
      </w:r>
      <w:r w:rsidRPr="00967BA8">
        <w:rPr>
          <w:w w:val="103"/>
        </w:rPr>
        <w:t>CAT/OP/PRY/1</w:t>
      </w:r>
      <w:r w:rsidRPr="00967BA8">
        <w:rPr>
          <w:rFonts w:hint="cs"/>
          <w:w w:val="103"/>
          <w:rtl/>
        </w:rPr>
        <w:t xml:space="preserve">، الفقرة 148؛ ووثيقة مجلس أوروبا </w:t>
      </w:r>
      <w:r w:rsidRPr="00967BA8">
        <w:rPr>
          <w:w w:val="103"/>
        </w:rPr>
        <w:t>CPT/Inf (2015) 12</w:t>
      </w:r>
      <w:r w:rsidRPr="00967BA8">
        <w:rPr>
          <w:rFonts w:hint="cs"/>
          <w:w w:val="103"/>
          <w:rtl/>
        </w:rPr>
        <w:t xml:space="preserve">، الفقرة 54. وانظر أيضاً </w:t>
      </w:r>
      <w:r w:rsidRPr="00967BA8">
        <w:rPr>
          <w:w w:val="103"/>
        </w:rPr>
        <w:t>www.achpr.org/files/sessions/52nd/inter-act-reps/185/activty_report_prisons_eng.pdf</w:t>
      </w:r>
      <w:r w:rsidRPr="00967BA8">
        <w:rPr>
          <w:rFonts w:hint="cs"/>
          <w:w w:val="103"/>
          <w:rtl/>
        </w:rPr>
        <w:t>، ص 15.</w:t>
      </w:r>
    </w:p>
  </w:footnote>
  <w:footnote w:id="13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(134)</w:t>
      </w:r>
      <w:r>
        <w:rPr>
          <w:rFonts w:hint="cs"/>
          <w:w w:val="103"/>
          <w:rtl/>
        </w:rPr>
        <w:tab/>
      </w:r>
      <w:r w:rsidRPr="00967BA8">
        <w:rPr>
          <w:rFonts w:hint="cs"/>
          <w:w w:val="103"/>
          <w:rtl/>
        </w:rPr>
        <w:t xml:space="preserve">انظر الوثيقة </w:t>
      </w:r>
      <w:r w:rsidRPr="00967BA8">
        <w:rPr>
          <w:w w:val="103"/>
        </w:rPr>
        <w:t>CAT/C/AUS/CO/4-5</w:t>
      </w:r>
      <w:r w:rsidRPr="00967BA8">
        <w:rPr>
          <w:rFonts w:hint="cs"/>
          <w:w w:val="103"/>
          <w:rtl/>
        </w:rPr>
        <w:t>، الفقرة 11.</w:t>
      </w:r>
    </w:p>
  </w:footnote>
  <w:footnote w:id="13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(135)</w:t>
      </w:r>
      <w:r>
        <w:rPr>
          <w:rFonts w:hint="cs"/>
          <w:w w:val="103"/>
          <w:rtl/>
        </w:rPr>
        <w:tab/>
      </w:r>
      <w:r w:rsidRPr="00967BA8">
        <w:rPr>
          <w:rFonts w:hint="cs"/>
          <w:w w:val="103"/>
          <w:rtl/>
        </w:rPr>
        <w:t xml:space="preserve">انظر الوثيقة </w:t>
      </w:r>
      <w:r w:rsidRPr="00967BA8">
        <w:rPr>
          <w:w w:val="103"/>
        </w:rPr>
        <w:t>CAT/C/MEX/CO/5-6</w:t>
      </w:r>
      <w:r w:rsidRPr="00967BA8">
        <w:rPr>
          <w:rFonts w:hint="cs"/>
          <w:w w:val="103"/>
          <w:rtl/>
        </w:rPr>
        <w:t>، الفقرة 19.</w:t>
      </w:r>
    </w:p>
  </w:footnote>
  <w:footnote w:id="13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(136)</w:t>
      </w:r>
      <w:r>
        <w:rPr>
          <w:rFonts w:hint="cs"/>
          <w:w w:val="103"/>
          <w:rtl/>
        </w:rPr>
        <w:tab/>
      </w:r>
      <w:r w:rsidRPr="00967BA8">
        <w:rPr>
          <w:rFonts w:hint="cs"/>
          <w:w w:val="103"/>
          <w:rtl/>
        </w:rPr>
        <w:t xml:space="preserve">انظر الوثيقة </w:t>
      </w:r>
      <w:r w:rsidRPr="00967BA8">
        <w:rPr>
          <w:w w:val="103"/>
        </w:rPr>
        <w:t>A/HRC/13/39/Add.5</w:t>
      </w:r>
      <w:r w:rsidRPr="00967BA8">
        <w:rPr>
          <w:rFonts w:hint="cs"/>
          <w:w w:val="103"/>
          <w:rtl/>
        </w:rPr>
        <w:t>، الفقرة 234.</w:t>
      </w:r>
    </w:p>
  </w:footnote>
  <w:footnote w:id="13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(137)</w:t>
      </w:r>
      <w:r>
        <w:rPr>
          <w:rFonts w:hint="cs"/>
          <w:w w:val="103"/>
          <w:rtl/>
        </w:rPr>
        <w:tab/>
      </w:r>
      <w:r w:rsidRPr="00967BA8">
        <w:rPr>
          <w:rFonts w:hint="cs"/>
          <w:w w:val="103"/>
          <w:rtl/>
        </w:rPr>
        <w:t xml:space="preserve">انظر وثيقة مجلس أوروبا </w:t>
      </w:r>
      <w:r w:rsidRPr="00967BA8">
        <w:rPr>
          <w:w w:val="103"/>
        </w:rPr>
        <w:t>CPT/Inf/C (2002) 1 [Rev. 2015] Section: 7/86</w:t>
      </w:r>
      <w:r w:rsidRPr="00967BA8">
        <w:rPr>
          <w:rFonts w:hint="cs"/>
          <w:w w:val="103"/>
          <w:rtl/>
        </w:rPr>
        <w:t>، الفقرة 28.</w:t>
      </w:r>
    </w:p>
  </w:footnote>
  <w:footnote w:id="13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(138)</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84.</w:t>
      </w:r>
    </w:p>
  </w:footnote>
  <w:footnote w:id="139">
    <w:p w:rsidR="005A1EB0" w:rsidRPr="00A82327"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A82327">
        <w:rPr>
          <w:rFonts w:hint="cs"/>
          <w:rtl/>
        </w:rPr>
        <w:tab/>
      </w:r>
      <w:r w:rsidRPr="00A82327">
        <w:rPr>
          <w:rtl/>
        </w:rPr>
        <w:t>(139)</w:t>
      </w:r>
      <w:r w:rsidRPr="00A82327">
        <w:rPr>
          <w:rFonts w:hint="cs"/>
          <w:rtl/>
        </w:rPr>
        <w:tab/>
        <w:t xml:space="preserve">انظر وثيقة مجلس أوروبا </w:t>
      </w:r>
      <w:r w:rsidRPr="00A82327">
        <w:t>CPT/Inf (2014) 13</w:t>
      </w:r>
      <w:r w:rsidRPr="00A82327">
        <w:rPr>
          <w:rFonts w:hint="cs"/>
          <w:rtl/>
        </w:rPr>
        <w:t xml:space="preserve">، الفقرة 37؛ </w:t>
      </w:r>
      <w:r>
        <w:rPr>
          <w:rtl/>
        </w:rPr>
        <w:tab/>
      </w:r>
      <w:r>
        <w:rPr>
          <w:rtl/>
        </w:rPr>
        <w:br/>
      </w:r>
      <w:r w:rsidRPr="00A82327">
        <w:rPr>
          <w:rFonts w:hint="cs"/>
          <w:rtl/>
        </w:rPr>
        <w:t>و</w:t>
      </w:r>
      <w:r w:rsidRPr="00A82327">
        <w:t>www.ohchr.org/Documents/Issues/RuleOfLaw/Overincarceration/ACLU.pdf</w:t>
      </w:r>
      <w:r w:rsidRPr="00A82327">
        <w:rPr>
          <w:rFonts w:hint="cs"/>
          <w:rtl/>
        </w:rPr>
        <w:t>؛ و</w:t>
      </w:r>
      <w:r w:rsidRPr="00A82327">
        <w:t>www.ohchr.org/Documents/Issues/RuleOfLaw/Overincarceration/CNDH_Mexico.pdf</w:t>
      </w:r>
      <w:r w:rsidRPr="00A82327">
        <w:rPr>
          <w:rFonts w:hint="cs"/>
          <w:rtl/>
        </w:rPr>
        <w:t>؛ و</w:t>
      </w:r>
      <w:r w:rsidRPr="00A82327">
        <w:t>www.ohchr.org/Documents/Issues/RuleOfLaw/Overincarceration/PDDH_Nicaragua.pdf</w:t>
      </w:r>
      <w:r>
        <w:rPr>
          <w:rFonts w:hint="cs"/>
          <w:rtl/>
        </w:rPr>
        <w:t>.</w:t>
      </w:r>
    </w:p>
  </w:footnote>
  <w:footnote w:id="14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(140)</w:t>
      </w:r>
      <w:r>
        <w:rPr>
          <w:rFonts w:hint="cs"/>
          <w:w w:val="103"/>
          <w:rtl/>
        </w:rPr>
        <w:tab/>
      </w:r>
      <w:r w:rsidRPr="00967BA8">
        <w:rPr>
          <w:rFonts w:hint="cs"/>
          <w:w w:val="103"/>
          <w:rtl/>
        </w:rPr>
        <w:t xml:space="preserve">انظر </w:t>
      </w:r>
      <w:r w:rsidRPr="00967BA8">
        <w:rPr>
          <w:w w:val="103"/>
        </w:rPr>
        <w:t>www.achpr.org/files/sessions/37th/mission-reports/prisons-2004/misrep_specmec_priso_southafrica_</w:t>
      </w:r>
      <w:r>
        <w:rPr>
          <w:w w:val="103"/>
        </w:rPr>
        <w:br/>
      </w:r>
      <w:r w:rsidRPr="00967BA8">
        <w:rPr>
          <w:w w:val="103"/>
        </w:rPr>
        <w:t>2004_eng.pdf</w:t>
      </w:r>
      <w:r w:rsidRPr="00967BA8">
        <w:rPr>
          <w:rFonts w:hint="cs"/>
          <w:w w:val="103"/>
          <w:rtl/>
        </w:rPr>
        <w:t xml:space="preserve">، الفصل </w:t>
      </w:r>
      <w:r w:rsidRPr="00967BA8">
        <w:rPr>
          <w:w w:val="103"/>
        </w:rPr>
        <w:t>F(i)</w:t>
      </w:r>
      <w:r w:rsidRPr="00967BA8">
        <w:rPr>
          <w:rFonts w:hint="cs"/>
          <w:w w:val="103"/>
          <w:rtl/>
        </w:rPr>
        <w:t>.</w:t>
      </w:r>
    </w:p>
  </w:footnote>
  <w:footnote w:id="14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(141)</w:t>
      </w:r>
      <w:r>
        <w:rPr>
          <w:rFonts w:hint="cs"/>
          <w:w w:val="103"/>
          <w:rtl/>
        </w:rPr>
        <w:tab/>
      </w:r>
      <w:r w:rsidRPr="00967BA8">
        <w:rPr>
          <w:rFonts w:hint="cs"/>
          <w:w w:val="103"/>
          <w:rtl/>
        </w:rPr>
        <w:t xml:space="preserve">انظر الوثيقة </w:t>
      </w:r>
      <w:r w:rsidRPr="00967BA8">
        <w:rPr>
          <w:w w:val="103"/>
        </w:rPr>
        <w:t>A/HRC/19/57/Add.2</w:t>
      </w:r>
      <w:r w:rsidRPr="00967BA8">
        <w:rPr>
          <w:rFonts w:hint="cs"/>
          <w:w w:val="103"/>
          <w:rtl/>
        </w:rPr>
        <w:t>، الفقرة 38.</w:t>
      </w:r>
    </w:p>
  </w:footnote>
  <w:footnote w:id="14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(142)</w:t>
      </w:r>
      <w:r>
        <w:rPr>
          <w:rFonts w:hint="cs"/>
          <w:w w:val="103"/>
          <w:rtl/>
        </w:rPr>
        <w:tab/>
      </w:r>
      <w:r w:rsidRPr="00967BA8">
        <w:rPr>
          <w:rFonts w:hint="cs"/>
          <w:w w:val="103"/>
          <w:rtl/>
        </w:rPr>
        <w:t xml:space="preserve">انظر الوثيقة </w:t>
      </w:r>
      <w:r w:rsidRPr="00967BA8">
        <w:rPr>
          <w:w w:val="103"/>
        </w:rPr>
        <w:t>CAT/OP/MEX/1</w:t>
      </w:r>
      <w:r w:rsidRPr="00967BA8">
        <w:rPr>
          <w:rFonts w:hint="cs"/>
          <w:w w:val="103"/>
          <w:rtl/>
        </w:rPr>
        <w:t>، الفقرة 182.</w:t>
      </w:r>
    </w:p>
  </w:footnote>
  <w:footnote w:id="143">
    <w:p w:rsidR="005A1EB0" w:rsidRPr="00967BA8" w:rsidRDefault="005A1EB0" w:rsidP="007476B5">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(143)</w:t>
      </w:r>
      <w:r>
        <w:rPr>
          <w:rFonts w:hint="cs"/>
          <w:w w:val="103"/>
          <w:rtl/>
        </w:rPr>
        <w:tab/>
      </w:r>
      <w:r w:rsidRPr="00967BA8">
        <w:rPr>
          <w:rFonts w:hint="cs"/>
          <w:w w:val="103"/>
          <w:rtl/>
        </w:rPr>
        <w:t xml:space="preserve">انظر الوثيقة </w:t>
      </w:r>
      <w:r w:rsidRPr="00967BA8">
        <w:rPr>
          <w:w w:val="103"/>
        </w:rPr>
        <w:t>CCPR/C/HND/CO/1</w:t>
      </w:r>
      <w:r w:rsidRPr="00967BA8">
        <w:rPr>
          <w:rFonts w:hint="cs"/>
          <w:w w:val="103"/>
          <w:rtl/>
        </w:rPr>
        <w:t xml:space="preserve">، الفقرة 13؛ </w:t>
      </w:r>
      <w:r w:rsidRPr="00E0054C">
        <w:rPr>
          <w:rFonts w:hint="cs"/>
          <w:i/>
          <w:iCs/>
          <w:w w:val="103"/>
          <w:rtl/>
        </w:rPr>
        <w:t>وقضية باتشيكو تيرويل وآخرين ضد هندوراس</w:t>
      </w:r>
      <w:r w:rsidRPr="00967BA8">
        <w:rPr>
          <w:rFonts w:hint="cs"/>
          <w:w w:val="103"/>
          <w:rtl/>
        </w:rPr>
        <w:t>، حكم صادر عن محكمة البلدان الأمريكية لحقوق الإنسان (2012)، الفقرة 101؛ و</w:t>
      </w:r>
      <w:r w:rsidRPr="00967BA8">
        <w:rPr>
          <w:w w:val="103"/>
        </w:rPr>
        <w:t>www.ohchr.org/Documents/Issues/</w:t>
      </w:r>
      <w:r w:rsidR="007476B5">
        <w:rPr>
          <w:w w:val="103"/>
        </w:rPr>
        <w:t xml:space="preserve"> </w:t>
      </w:r>
      <w:r w:rsidRPr="00967BA8">
        <w:rPr>
          <w:w w:val="103"/>
        </w:rPr>
        <w:t>RuleOfLaw/Overincarceration/BCHR_BIRD_ADHRB.pdf</w:t>
      </w:r>
      <w:r w:rsidRPr="00967BA8">
        <w:rPr>
          <w:rFonts w:hint="cs"/>
          <w:w w:val="103"/>
          <w:rtl/>
        </w:rPr>
        <w:t>.</w:t>
      </w:r>
    </w:p>
  </w:footnote>
  <w:footnote w:id="144">
    <w:p w:rsidR="005A1EB0" w:rsidRPr="00902878"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902878">
        <w:rPr>
          <w:rFonts w:hint="cs"/>
          <w:rtl/>
        </w:rPr>
        <w:tab/>
      </w:r>
      <w:r w:rsidRPr="00902878">
        <w:rPr>
          <w:rtl/>
        </w:rPr>
        <w:t>(144)</w:t>
      </w:r>
      <w:r w:rsidRPr="00902878">
        <w:rPr>
          <w:rFonts w:hint="cs"/>
          <w:rtl/>
        </w:rPr>
        <w:tab/>
        <w:t xml:space="preserve">انظر الوثيقة </w:t>
      </w:r>
      <w:r w:rsidRPr="00902878">
        <w:t>CAT/C/KEN/CO/2</w:t>
      </w:r>
      <w:r w:rsidRPr="00902878">
        <w:rPr>
          <w:rFonts w:hint="cs"/>
          <w:rtl/>
        </w:rPr>
        <w:t xml:space="preserve">، الفقرة 15؛ والوثيقة </w:t>
      </w:r>
      <w:r w:rsidRPr="00902878">
        <w:t>CAT/C/TGO/CO/2</w:t>
      </w:r>
      <w:r w:rsidRPr="00902878">
        <w:rPr>
          <w:rFonts w:hint="cs"/>
          <w:rtl/>
        </w:rPr>
        <w:t xml:space="preserve">، الفقرة 12؛ والوثيقة </w:t>
      </w:r>
      <w:r w:rsidRPr="00902878">
        <w:t>A/HRC/19/57</w:t>
      </w:r>
      <w:r w:rsidRPr="00902878">
        <w:rPr>
          <w:rFonts w:hint="cs"/>
          <w:rtl/>
        </w:rPr>
        <w:t xml:space="preserve">، الفقرة 36؛ والوثيقة </w:t>
      </w:r>
      <w:r w:rsidRPr="00902878">
        <w:t>A/HRC/25/71</w:t>
      </w:r>
      <w:r w:rsidRPr="00902878">
        <w:rPr>
          <w:rFonts w:hint="cs"/>
          <w:rtl/>
        </w:rPr>
        <w:t>، الفقرتين 34 و41؛ و</w:t>
      </w:r>
      <w:r w:rsidRPr="00902878">
        <w:t>www.achpr.org/files/sessions/37th/mission-reports/ethiopia/misrep_specmec_priso_ethopia_2004_eng.pdf</w:t>
      </w:r>
      <w:r w:rsidRPr="00902878">
        <w:rPr>
          <w:rFonts w:hint="cs"/>
          <w:rtl/>
        </w:rPr>
        <w:t>، ص 52.</w:t>
      </w:r>
    </w:p>
  </w:footnote>
  <w:footnote w:id="145">
    <w:p w:rsidR="005A1EB0" w:rsidRPr="00902878"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902878">
        <w:rPr>
          <w:rFonts w:hint="cs"/>
          <w:rtl/>
        </w:rPr>
        <w:tab/>
      </w:r>
      <w:r w:rsidRPr="00902878">
        <w:rPr>
          <w:rtl/>
        </w:rPr>
        <w:t>(145)</w:t>
      </w:r>
      <w:r w:rsidRPr="00902878">
        <w:rPr>
          <w:rtl/>
        </w:rPr>
        <w:tab/>
      </w:r>
      <w:r w:rsidRPr="00902878">
        <w:rPr>
          <w:rFonts w:hint="cs"/>
          <w:rtl/>
        </w:rPr>
        <w:t xml:space="preserve">انظر الوثيقة </w:t>
      </w:r>
      <w:r w:rsidRPr="00902878">
        <w:t>A/HRC/25/60/Add.1</w:t>
      </w:r>
      <w:r w:rsidRPr="00902878">
        <w:rPr>
          <w:rFonts w:hint="cs"/>
          <w:rtl/>
        </w:rPr>
        <w:t>، الفقرتين 84 و99؛ و</w:t>
      </w:r>
      <w:r w:rsidRPr="00902878">
        <w:t>www.ohchr.org/Documents/Issues/RuleOfLaw/</w:t>
      </w:r>
      <w:r>
        <w:br/>
      </w:r>
      <w:r w:rsidRPr="00902878">
        <w:t>Overincarceration/PDH_Guatemala.pdf</w:t>
      </w:r>
      <w:r>
        <w:rPr>
          <w:rFonts w:hint="cs"/>
          <w:rtl/>
        </w:rPr>
        <w:t>.</w:t>
      </w:r>
    </w:p>
  </w:footnote>
  <w:footnote w:id="14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(146)</w:t>
      </w:r>
      <w:r>
        <w:rPr>
          <w:rFonts w:hint="cs"/>
          <w:w w:val="103"/>
          <w:rtl/>
        </w:rPr>
        <w:tab/>
      </w:r>
      <w:r w:rsidRPr="00967BA8">
        <w:rPr>
          <w:rFonts w:hint="cs"/>
          <w:w w:val="103"/>
          <w:rtl/>
        </w:rPr>
        <w:t xml:space="preserve">انظر الوثيقة </w:t>
      </w:r>
      <w:r w:rsidRPr="00967BA8">
        <w:rPr>
          <w:w w:val="103"/>
        </w:rPr>
        <w:t>CAT/OP/HND/1</w:t>
      </w:r>
      <w:r w:rsidRPr="00967BA8">
        <w:rPr>
          <w:rFonts w:hint="cs"/>
          <w:w w:val="103"/>
          <w:rtl/>
        </w:rPr>
        <w:t xml:space="preserve">، الفقرة 184؛ والوثيقة </w:t>
      </w:r>
      <w:r w:rsidRPr="00967BA8">
        <w:rPr>
          <w:w w:val="103"/>
        </w:rPr>
        <w:t>CAT/OP/PRY/2</w:t>
      </w:r>
      <w:r w:rsidRPr="00967BA8">
        <w:rPr>
          <w:rFonts w:hint="cs"/>
          <w:w w:val="103"/>
          <w:rtl/>
        </w:rPr>
        <w:t>، الفقرة 33.</w:t>
      </w:r>
    </w:p>
  </w:footnote>
  <w:footnote w:id="14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(147)</w:t>
      </w:r>
      <w:r>
        <w:rPr>
          <w:rFonts w:hint="cs"/>
          <w:w w:val="103"/>
          <w:rtl/>
        </w:rPr>
        <w:tab/>
      </w:r>
      <w:r w:rsidRPr="00967BA8">
        <w:rPr>
          <w:rFonts w:hint="cs"/>
          <w:w w:val="103"/>
          <w:rtl/>
        </w:rPr>
        <w:t xml:space="preserve">انظر الوثيقة </w:t>
      </w:r>
      <w:r w:rsidRPr="00967BA8">
        <w:rPr>
          <w:w w:val="103"/>
        </w:rPr>
        <w:t>CAT/OP/BEN/1</w:t>
      </w:r>
      <w:r w:rsidRPr="00967BA8">
        <w:rPr>
          <w:rFonts w:hint="cs"/>
          <w:w w:val="103"/>
          <w:rtl/>
        </w:rPr>
        <w:t xml:space="preserve">، الفقرة 160؛ والوثيقة </w:t>
      </w:r>
      <w:r w:rsidRPr="00967BA8">
        <w:rPr>
          <w:w w:val="103"/>
        </w:rPr>
        <w:t>CAT/OP/HND/1</w:t>
      </w:r>
      <w:r w:rsidRPr="00967BA8">
        <w:rPr>
          <w:rFonts w:hint="cs"/>
          <w:w w:val="103"/>
          <w:rtl/>
        </w:rPr>
        <w:t>، الفقرة 184.</w:t>
      </w:r>
    </w:p>
  </w:footnote>
  <w:footnote w:id="14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(148)</w:t>
      </w:r>
      <w:r>
        <w:rPr>
          <w:rFonts w:hint="cs"/>
          <w:w w:val="103"/>
          <w:rtl/>
        </w:rPr>
        <w:tab/>
      </w:r>
      <w:r w:rsidRPr="007476B5">
        <w:rPr>
          <w:rFonts w:hint="cs"/>
          <w:spacing w:val="-4"/>
          <w:w w:val="103"/>
          <w:rtl/>
        </w:rPr>
        <w:t xml:space="preserve">انظر قضية </w:t>
      </w:r>
      <w:r w:rsidRPr="007476B5">
        <w:rPr>
          <w:rFonts w:hint="cs"/>
          <w:i/>
          <w:iCs/>
          <w:spacing w:val="-4"/>
          <w:w w:val="103"/>
          <w:rtl/>
        </w:rPr>
        <w:t>مونتيرو - أرانغورن ضد فنزويلا</w:t>
      </w:r>
      <w:r w:rsidRPr="007476B5">
        <w:rPr>
          <w:rFonts w:hint="cs"/>
          <w:spacing w:val="-4"/>
          <w:w w:val="103"/>
          <w:rtl/>
        </w:rPr>
        <w:t>، حكم صادر عن محكمة البلدان الأمريكية لحقوق الإنسان (2006)،</w:t>
      </w:r>
      <w:r w:rsidRPr="00967BA8">
        <w:rPr>
          <w:rFonts w:hint="cs"/>
          <w:w w:val="103"/>
          <w:rtl/>
        </w:rPr>
        <w:t xml:space="preserve"> الفقرة 60(9)؛ والوثيقة </w:t>
      </w:r>
      <w:r w:rsidRPr="00967BA8">
        <w:rPr>
          <w:w w:val="103"/>
        </w:rPr>
        <w:t>CAT/C/KHM/CO/2</w:t>
      </w:r>
      <w:r w:rsidRPr="00967BA8">
        <w:rPr>
          <w:rFonts w:hint="cs"/>
          <w:w w:val="103"/>
          <w:rtl/>
        </w:rPr>
        <w:t>، الفقرة 19.</w:t>
      </w:r>
    </w:p>
  </w:footnote>
  <w:footnote w:id="14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(149)</w:t>
      </w:r>
      <w:r>
        <w:rPr>
          <w:rFonts w:hint="cs"/>
          <w:w w:val="103"/>
          <w:rtl/>
        </w:rPr>
        <w:tab/>
      </w:r>
      <w:r w:rsidRPr="00967BA8">
        <w:rPr>
          <w:rFonts w:hint="cs"/>
          <w:w w:val="103"/>
          <w:rtl/>
        </w:rPr>
        <w:t xml:space="preserve">انظر الوثيقة </w:t>
      </w:r>
      <w:r w:rsidRPr="00967BA8">
        <w:rPr>
          <w:w w:val="103"/>
        </w:rPr>
        <w:t>CAT/OP/PRY/2</w:t>
      </w:r>
      <w:r w:rsidRPr="00967BA8">
        <w:rPr>
          <w:rFonts w:hint="cs"/>
          <w:w w:val="103"/>
          <w:rtl/>
        </w:rPr>
        <w:t xml:space="preserve">، الفقرة 33؛ والوثيقة </w:t>
      </w:r>
      <w:r w:rsidRPr="00967BA8">
        <w:rPr>
          <w:w w:val="103"/>
        </w:rPr>
        <w:t>CAT/OP/HND/1</w:t>
      </w:r>
      <w:r w:rsidRPr="00967BA8">
        <w:rPr>
          <w:rFonts w:hint="cs"/>
          <w:w w:val="103"/>
          <w:rtl/>
        </w:rPr>
        <w:t>، الفقرة 184.</w:t>
      </w:r>
    </w:p>
  </w:footnote>
  <w:footnote w:id="15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(150)</w:t>
      </w:r>
      <w:r>
        <w:rPr>
          <w:rFonts w:hint="cs"/>
          <w:w w:val="103"/>
          <w:rtl/>
        </w:rPr>
        <w:tab/>
      </w:r>
      <w:r w:rsidRPr="007476B5">
        <w:rPr>
          <w:rFonts w:hint="cs"/>
          <w:spacing w:val="-4"/>
          <w:w w:val="103"/>
          <w:rtl/>
        </w:rPr>
        <w:t xml:space="preserve">انظر الوثيقة </w:t>
      </w:r>
      <w:r w:rsidRPr="007476B5">
        <w:rPr>
          <w:spacing w:val="-4"/>
          <w:w w:val="103"/>
        </w:rPr>
        <w:t>CAT/C/RWA/CO/1</w:t>
      </w:r>
      <w:r w:rsidRPr="007476B5">
        <w:rPr>
          <w:rFonts w:hint="cs"/>
          <w:spacing w:val="-4"/>
          <w:w w:val="103"/>
          <w:rtl/>
        </w:rPr>
        <w:t xml:space="preserve">، الفقرة 19؛ والوثيقة </w:t>
      </w:r>
      <w:r w:rsidRPr="007476B5">
        <w:rPr>
          <w:spacing w:val="-4"/>
          <w:w w:val="103"/>
        </w:rPr>
        <w:t>CAT/OP/BEN/1</w:t>
      </w:r>
      <w:r w:rsidRPr="007476B5">
        <w:rPr>
          <w:rFonts w:hint="cs"/>
          <w:spacing w:val="-4"/>
          <w:w w:val="103"/>
          <w:rtl/>
        </w:rPr>
        <w:t xml:space="preserve">، الفقرة 161؛ والوثيقة </w:t>
      </w:r>
      <w:r w:rsidRPr="007476B5">
        <w:rPr>
          <w:spacing w:val="-4"/>
          <w:w w:val="103"/>
        </w:rPr>
        <w:t>CAT/OP/PRY/1</w:t>
      </w:r>
      <w:r w:rsidRPr="007476B5">
        <w:rPr>
          <w:rFonts w:hint="cs"/>
          <w:spacing w:val="-4"/>
          <w:w w:val="103"/>
          <w:rtl/>
        </w:rPr>
        <w:t>،</w:t>
      </w:r>
      <w:r w:rsidRPr="00967BA8">
        <w:rPr>
          <w:rFonts w:hint="cs"/>
          <w:w w:val="103"/>
          <w:rtl/>
        </w:rPr>
        <w:t xml:space="preserve"> الفقرة 46.</w:t>
      </w:r>
    </w:p>
  </w:footnote>
  <w:footnote w:id="151">
    <w:p w:rsidR="005A1EB0" w:rsidRPr="00902878" w:rsidRDefault="005A1EB0" w:rsidP="005A1EB0">
      <w:pPr>
        <w:pStyle w:val="FootnoteText"/>
        <w:tabs>
          <w:tab w:val="clear" w:pos="418"/>
          <w:tab w:val="right" w:pos="1195"/>
          <w:tab w:val="left" w:pos="1267"/>
          <w:tab w:val="left" w:pos="1656"/>
          <w:tab w:val="left" w:pos="2088"/>
        </w:tabs>
        <w:spacing w:after="80"/>
        <w:ind w:left="1267" w:right="1267" w:hanging="547"/>
      </w:pPr>
      <w:r w:rsidRPr="00902878">
        <w:rPr>
          <w:rFonts w:hint="cs"/>
          <w:rtl/>
        </w:rPr>
        <w:tab/>
      </w:r>
      <w:r w:rsidRPr="00902878">
        <w:rPr>
          <w:rtl/>
        </w:rPr>
        <w:t>(151)</w:t>
      </w:r>
      <w:r w:rsidRPr="00902878">
        <w:rPr>
          <w:rFonts w:hint="cs"/>
          <w:rtl/>
        </w:rPr>
        <w:tab/>
        <w:t xml:space="preserve">انظر الوثيقة </w:t>
      </w:r>
      <w:r w:rsidRPr="00902878">
        <w:t>CAT/C/54/2</w:t>
      </w:r>
      <w:r w:rsidRPr="00902878">
        <w:rPr>
          <w:rFonts w:hint="cs"/>
          <w:rtl/>
        </w:rPr>
        <w:t>، الفقرة 77؛ و</w:t>
      </w:r>
      <w:r w:rsidRPr="00902878">
        <w:t>www.ohchr.org/Documents/Issues/RuleOfLaw/Overincarceration/</w:t>
      </w:r>
      <w:r>
        <w:br/>
      </w:r>
      <w:r w:rsidRPr="00902878">
        <w:t>CNCPPDH_Algeria.pdf</w:t>
      </w:r>
      <w:r w:rsidRPr="00902878">
        <w:rPr>
          <w:rFonts w:hint="cs"/>
          <w:rtl/>
        </w:rPr>
        <w:t>.</w:t>
      </w:r>
    </w:p>
  </w:footnote>
  <w:footnote w:id="15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(152)</w:t>
      </w:r>
      <w:r>
        <w:rPr>
          <w:rFonts w:hint="cs"/>
          <w:w w:val="103"/>
          <w:rtl/>
        </w:rPr>
        <w:tab/>
      </w:r>
      <w:r w:rsidRPr="00967BA8">
        <w:rPr>
          <w:rFonts w:hint="cs"/>
          <w:w w:val="103"/>
          <w:rtl/>
        </w:rPr>
        <w:t xml:space="preserve">انظر الوثيقة </w:t>
      </w:r>
      <w:r w:rsidRPr="00967BA8">
        <w:rPr>
          <w:w w:val="103"/>
        </w:rPr>
        <w:t>CAT/C/46/2</w:t>
      </w:r>
      <w:r w:rsidRPr="00967BA8">
        <w:rPr>
          <w:rFonts w:hint="cs"/>
          <w:w w:val="103"/>
          <w:rtl/>
        </w:rPr>
        <w:t xml:space="preserve">، الفقرة 52؛ والوثيقة </w:t>
      </w:r>
      <w:r w:rsidRPr="00967BA8">
        <w:rPr>
          <w:w w:val="103"/>
        </w:rPr>
        <w:t>CAT/C/54/2</w:t>
      </w:r>
      <w:r w:rsidRPr="00967BA8">
        <w:rPr>
          <w:rFonts w:hint="cs"/>
          <w:w w:val="103"/>
          <w:rtl/>
        </w:rPr>
        <w:t>، الفقرة 83.</w:t>
      </w:r>
    </w:p>
  </w:footnote>
  <w:footnote w:id="15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(153)</w:t>
      </w:r>
      <w:r>
        <w:rPr>
          <w:rFonts w:hint="cs"/>
          <w:w w:val="103"/>
          <w:rtl/>
        </w:rPr>
        <w:tab/>
      </w:r>
      <w:r w:rsidRPr="00967BA8">
        <w:rPr>
          <w:rFonts w:hint="cs"/>
          <w:w w:val="103"/>
          <w:rtl/>
        </w:rPr>
        <w:t xml:space="preserve">انظر الوثيقة </w:t>
      </w:r>
      <w:r w:rsidRPr="00967BA8">
        <w:rPr>
          <w:w w:val="103"/>
        </w:rPr>
        <w:t>CAT/C/TGO/CO/2</w:t>
      </w:r>
      <w:r w:rsidRPr="00967BA8">
        <w:rPr>
          <w:rFonts w:hint="cs"/>
          <w:w w:val="103"/>
          <w:rtl/>
        </w:rPr>
        <w:t xml:space="preserve">، الفقرة 12؛ والوثيقة </w:t>
      </w:r>
      <w:r w:rsidRPr="00967BA8">
        <w:rPr>
          <w:w w:val="103"/>
        </w:rPr>
        <w:t>A/HRC/25/60/Add.1</w:t>
      </w:r>
      <w:r w:rsidRPr="00967BA8">
        <w:rPr>
          <w:rFonts w:hint="cs"/>
          <w:w w:val="103"/>
          <w:rtl/>
        </w:rPr>
        <w:t xml:space="preserve">، الفقرة 84؛ والوثيقة </w:t>
      </w:r>
      <w:r w:rsidRPr="00967BA8">
        <w:rPr>
          <w:w w:val="103"/>
        </w:rPr>
        <w:t>E/CN.4/2004/56</w:t>
      </w:r>
      <w:r w:rsidRPr="00967BA8">
        <w:rPr>
          <w:rFonts w:hint="cs"/>
          <w:w w:val="103"/>
          <w:rtl/>
        </w:rPr>
        <w:t xml:space="preserve">، الفقرة 49؛ والوثيقة </w:t>
      </w:r>
      <w:r w:rsidRPr="00967BA8">
        <w:rPr>
          <w:w w:val="103"/>
        </w:rPr>
        <w:t>A/HRC/19/57</w:t>
      </w:r>
      <w:r w:rsidRPr="00967BA8">
        <w:rPr>
          <w:rFonts w:hint="cs"/>
          <w:w w:val="103"/>
          <w:rtl/>
        </w:rPr>
        <w:t xml:space="preserve">، الفقرة 48؛ والوثيقة </w:t>
      </w:r>
      <w:r w:rsidRPr="00967BA8">
        <w:rPr>
          <w:w w:val="103"/>
        </w:rPr>
        <w:t>CCPR/C/TUR/CO/1</w:t>
      </w:r>
      <w:r w:rsidRPr="00967BA8">
        <w:rPr>
          <w:rFonts w:hint="cs"/>
          <w:w w:val="103"/>
          <w:rtl/>
        </w:rPr>
        <w:t>، الفقرة 17.</w:t>
      </w:r>
    </w:p>
  </w:footnote>
  <w:footnote w:id="154">
    <w:p w:rsidR="005A1EB0" w:rsidRPr="00902878" w:rsidRDefault="005A1EB0" w:rsidP="005A1EB0">
      <w:pPr>
        <w:pStyle w:val="FootnoteText"/>
        <w:tabs>
          <w:tab w:val="clear" w:pos="418"/>
          <w:tab w:val="right" w:pos="1195"/>
          <w:tab w:val="left" w:pos="1267"/>
          <w:tab w:val="left" w:pos="1656"/>
          <w:tab w:val="left" w:pos="2088"/>
        </w:tabs>
        <w:spacing w:after="80"/>
        <w:ind w:left="1267" w:right="1267" w:hanging="547"/>
        <w:rPr>
          <w:spacing w:val="-2"/>
        </w:rPr>
      </w:pPr>
      <w:r w:rsidRPr="00902878">
        <w:rPr>
          <w:rFonts w:hint="cs"/>
          <w:spacing w:val="-2"/>
          <w:rtl/>
        </w:rPr>
        <w:tab/>
      </w:r>
      <w:r w:rsidRPr="00902878">
        <w:rPr>
          <w:spacing w:val="-2"/>
          <w:rtl/>
        </w:rPr>
        <w:t>(154)</w:t>
      </w:r>
      <w:r w:rsidRPr="00902878">
        <w:rPr>
          <w:rFonts w:hint="cs"/>
          <w:spacing w:val="-2"/>
          <w:rtl/>
        </w:rPr>
        <w:tab/>
        <w:t xml:space="preserve">انظر </w:t>
      </w:r>
      <w:r w:rsidRPr="00902878">
        <w:rPr>
          <w:spacing w:val="-2"/>
        </w:rPr>
        <w:t>www.achpr.org/files/sessions/37th/mission-reports/ethiopia/misrep_specmec_priso_ethopia_2004_eng.pdf</w:t>
      </w:r>
      <w:r w:rsidRPr="00902878">
        <w:rPr>
          <w:rFonts w:hint="cs"/>
          <w:spacing w:val="-2"/>
          <w:rtl/>
        </w:rPr>
        <w:t xml:space="preserve">، </w:t>
      </w:r>
      <w:r>
        <w:rPr>
          <w:rFonts w:hint="cs"/>
          <w:spacing w:val="-2"/>
          <w:rtl/>
        </w:rPr>
        <w:t xml:space="preserve">ص </w:t>
      </w:r>
      <w:r w:rsidRPr="00902878">
        <w:rPr>
          <w:rFonts w:hint="cs"/>
          <w:spacing w:val="-2"/>
          <w:rtl/>
        </w:rPr>
        <w:t>24؛</w:t>
      </w:r>
      <w:r>
        <w:rPr>
          <w:rFonts w:hint="cs"/>
          <w:spacing w:val="-2"/>
          <w:rtl/>
        </w:rPr>
        <w:t xml:space="preserve"> </w:t>
      </w:r>
      <w:r w:rsidRPr="00902878">
        <w:rPr>
          <w:rFonts w:hint="cs"/>
          <w:spacing w:val="-2"/>
          <w:rtl/>
        </w:rPr>
        <w:t>و</w:t>
      </w:r>
      <w:r w:rsidRPr="00902878">
        <w:rPr>
          <w:spacing w:val="-2"/>
        </w:rPr>
        <w:t>www.achpr.org/files/sessions/37th/mission-reports/prisons-004/misrep_specmec_priso_southafrica_</w:t>
      </w:r>
      <w:r>
        <w:rPr>
          <w:spacing w:val="-2"/>
        </w:rPr>
        <w:br/>
      </w:r>
      <w:r w:rsidRPr="00902878">
        <w:rPr>
          <w:spacing w:val="-2"/>
        </w:rPr>
        <w:t>2004_eng.pdf</w:t>
      </w:r>
      <w:r w:rsidRPr="00902878">
        <w:rPr>
          <w:rFonts w:hint="cs"/>
          <w:spacing w:val="-2"/>
          <w:rtl/>
        </w:rPr>
        <w:t xml:space="preserve">، الفصل </w:t>
      </w:r>
      <w:r w:rsidRPr="00902878">
        <w:rPr>
          <w:spacing w:val="-2"/>
        </w:rPr>
        <w:t>F</w:t>
      </w:r>
      <w:r w:rsidRPr="00902878">
        <w:rPr>
          <w:rFonts w:hint="cs"/>
          <w:spacing w:val="-2"/>
          <w:rtl/>
        </w:rPr>
        <w:t xml:space="preserve">؛ ووثيقة مجلس أوروبا </w:t>
      </w:r>
      <w:r w:rsidRPr="00902878">
        <w:rPr>
          <w:spacing w:val="-2"/>
        </w:rPr>
        <w:t>CPT/Inf (2014) 15</w:t>
      </w:r>
      <w:r w:rsidRPr="00902878">
        <w:rPr>
          <w:rFonts w:hint="cs"/>
          <w:spacing w:val="-2"/>
          <w:rtl/>
        </w:rPr>
        <w:t xml:space="preserve">، الفقرة 126؛ والوثيقة </w:t>
      </w:r>
      <w:r w:rsidRPr="00902878">
        <w:rPr>
          <w:spacing w:val="-2"/>
        </w:rPr>
        <w:t>CPT/Inf/C (2002) 1 [Rev.</w:t>
      </w:r>
      <w:r>
        <w:rPr>
          <w:spacing w:val="-2"/>
        </w:rPr>
        <w:t> </w:t>
      </w:r>
      <w:r w:rsidRPr="00902878">
        <w:rPr>
          <w:spacing w:val="-2"/>
        </w:rPr>
        <w:t>2015] Section: 7/86</w:t>
      </w:r>
      <w:r w:rsidRPr="00902878">
        <w:rPr>
          <w:rFonts w:hint="cs"/>
          <w:spacing w:val="-2"/>
          <w:rtl/>
        </w:rPr>
        <w:t>، الفقرة 28.</w:t>
      </w:r>
    </w:p>
  </w:footnote>
  <w:footnote w:id="15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(155)</w:t>
      </w:r>
      <w:r>
        <w:rPr>
          <w:rFonts w:hint="cs"/>
          <w:w w:val="103"/>
          <w:rtl/>
        </w:rPr>
        <w:tab/>
      </w:r>
      <w:r w:rsidRPr="00967BA8">
        <w:rPr>
          <w:rFonts w:hint="cs"/>
          <w:w w:val="103"/>
          <w:rtl/>
        </w:rPr>
        <w:t xml:space="preserve">انظر الوثيقة </w:t>
      </w:r>
      <w:r w:rsidRPr="00967BA8">
        <w:rPr>
          <w:w w:val="103"/>
        </w:rPr>
        <w:t>CAT/C/54/2</w:t>
      </w:r>
      <w:r w:rsidRPr="00967BA8">
        <w:rPr>
          <w:rFonts w:hint="cs"/>
          <w:w w:val="103"/>
          <w:rtl/>
        </w:rPr>
        <w:t xml:space="preserve">، الفقرة 84؛ ووثيقة مجلس أوروبا </w:t>
      </w:r>
      <w:r w:rsidRPr="00967BA8">
        <w:rPr>
          <w:w w:val="103"/>
        </w:rPr>
        <w:t>CPT/Inf (2014) 31</w:t>
      </w:r>
      <w:r w:rsidRPr="00967BA8">
        <w:rPr>
          <w:rFonts w:hint="cs"/>
          <w:w w:val="103"/>
          <w:rtl/>
        </w:rPr>
        <w:t>، الفقرة 56.</w:t>
      </w:r>
    </w:p>
  </w:footnote>
  <w:footnote w:id="15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333175">
        <w:rPr>
          <w:rtl/>
        </w:rPr>
        <w:t>(156)</w:t>
      </w:r>
      <w:r w:rsidRPr="00333175">
        <w:rPr>
          <w:rFonts w:hint="cs"/>
          <w:w w:val="103"/>
          <w:rtl/>
        </w:rPr>
        <w:tab/>
        <w:t xml:space="preserve">انظر الوثيقة </w:t>
      </w:r>
      <w:r w:rsidRPr="00333175">
        <w:rPr>
          <w:w w:val="103"/>
        </w:rPr>
        <w:t>CAT/OP/MLI/1</w:t>
      </w:r>
      <w:r w:rsidRPr="00333175">
        <w:rPr>
          <w:rFonts w:hint="cs"/>
          <w:w w:val="103"/>
          <w:rtl/>
        </w:rPr>
        <w:t>، الفقرة 29.</w:t>
      </w:r>
    </w:p>
  </w:footnote>
  <w:footnote w:id="15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(157)</w:t>
      </w:r>
      <w:r>
        <w:rPr>
          <w:rFonts w:hint="cs"/>
          <w:w w:val="103"/>
          <w:rtl/>
        </w:rPr>
        <w:tab/>
      </w:r>
      <w:r w:rsidRPr="00967BA8">
        <w:rPr>
          <w:rFonts w:hint="cs"/>
          <w:w w:val="103"/>
          <w:rtl/>
        </w:rPr>
        <w:t xml:space="preserve">انظر </w:t>
      </w:r>
      <w:hyperlink r:id="rId14" w:history="1">
        <w:r w:rsidRPr="00967BA8">
          <w:rPr>
            <w:w w:val="103"/>
          </w:rPr>
          <w:t>www.achpr.org/files/sessions/52nd/inter-act-reps/185/activty_report_prisons_eng.pdf</w:t>
        </w:r>
      </w:hyperlink>
      <w:r w:rsidRPr="00967BA8">
        <w:rPr>
          <w:rFonts w:hint="cs"/>
          <w:w w:val="103"/>
          <w:rtl/>
        </w:rPr>
        <w:t>، ص 10.</w:t>
      </w:r>
    </w:p>
  </w:footnote>
  <w:footnote w:id="158">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rPr>
          <w:spacing w:val="-1"/>
        </w:rPr>
      </w:pPr>
      <w:r w:rsidRPr="00333175">
        <w:rPr>
          <w:rFonts w:hint="cs"/>
          <w:spacing w:val="-1"/>
          <w:rtl/>
        </w:rPr>
        <w:tab/>
      </w:r>
      <w:r w:rsidRPr="00333175">
        <w:rPr>
          <w:spacing w:val="-1"/>
          <w:rtl/>
        </w:rPr>
        <w:t>(158)</w:t>
      </w:r>
      <w:r w:rsidRPr="00333175">
        <w:rPr>
          <w:rFonts w:hint="cs"/>
          <w:spacing w:val="-1"/>
          <w:rtl/>
        </w:rPr>
        <w:tab/>
        <w:t xml:space="preserve">انظر الوثيقة </w:t>
      </w:r>
      <w:r w:rsidRPr="00333175">
        <w:rPr>
          <w:spacing w:val="-1"/>
        </w:rPr>
        <w:t>CAT/C/TGO/CO/2</w:t>
      </w:r>
      <w:r w:rsidRPr="00333175">
        <w:rPr>
          <w:rFonts w:hint="cs"/>
          <w:spacing w:val="-1"/>
          <w:rtl/>
        </w:rPr>
        <w:t>، الفقرة 12، و</w:t>
      </w:r>
      <w:r w:rsidRPr="00333175">
        <w:rPr>
          <w:spacing w:val="-1"/>
        </w:rPr>
        <w:t>www.ohchr.org/Documents/Issues/RuleOfLaw/Overincarceration</w:t>
      </w:r>
      <w:r>
        <w:rPr>
          <w:spacing w:val="-1"/>
        </w:rPr>
        <w:br/>
      </w:r>
      <w:r w:rsidRPr="00333175">
        <w:rPr>
          <w:spacing w:val="-1"/>
        </w:rPr>
        <w:t>/OSJI.pdf</w:t>
      </w:r>
      <w:r w:rsidRPr="00333175">
        <w:rPr>
          <w:rFonts w:hint="cs"/>
          <w:spacing w:val="-1"/>
          <w:rtl/>
        </w:rPr>
        <w:t>.</w:t>
      </w:r>
    </w:p>
  </w:footnote>
  <w:footnote w:id="15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(159)</w:t>
      </w:r>
      <w:r>
        <w:rPr>
          <w:rFonts w:hint="cs"/>
          <w:w w:val="103"/>
          <w:rtl/>
        </w:rPr>
        <w:tab/>
      </w:r>
      <w:r w:rsidRPr="00967BA8">
        <w:rPr>
          <w:rFonts w:hint="cs"/>
          <w:w w:val="103"/>
          <w:rtl/>
        </w:rPr>
        <w:t xml:space="preserve">انظر الوثيقة </w:t>
      </w:r>
      <w:r w:rsidRPr="00967BA8">
        <w:rPr>
          <w:w w:val="103"/>
        </w:rPr>
        <w:t>A/HRC/25/71</w:t>
      </w:r>
      <w:r w:rsidRPr="00967BA8">
        <w:rPr>
          <w:rFonts w:hint="cs"/>
          <w:w w:val="103"/>
          <w:rtl/>
        </w:rPr>
        <w:t>، الفقرة 33.</w:t>
      </w:r>
    </w:p>
  </w:footnote>
  <w:footnote w:id="160">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(160)</w:t>
      </w:r>
      <w:r w:rsidRPr="00333175">
        <w:rPr>
          <w:rFonts w:hint="cs"/>
          <w:rtl/>
        </w:rPr>
        <w:tab/>
        <w:t xml:space="preserve">انظر </w:t>
      </w:r>
      <w:r w:rsidRPr="00333175">
        <w:t>www.achpr.org/files/sessions/37th/mission-reports/prisons-2004/misrep_specmec_priso_southafrica_</w:t>
      </w:r>
      <w:r>
        <w:br/>
      </w:r>
      <w:r w:rsidRPr="00333175">
        <w:t>2004_eng.pdf</w:t>
      </w:r>
      <w:r w:rsidRPr="00333175">
        <w:rPr>
          <w:rFonts w:hint="cs"/>
          <w:rtl/>
        </w:rPr>
        <w:t xml:space="preserve">، ص 2. </w:t>
      </w:r>
    </w:p>
  </w:footnote>
  <w:footnote w:id="161">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(161)</w:t>
      </w:r>
      <w:r w:rsidRPr="00333175">
        <w:rPr>
          <w:rFonts w:hint="cs"/>
          <w:rtl/>
        </w:rPr>
        <w:tab/>
        <w:t xml:space="preserve">انظر الوثيقة </w:t>
      </w:r>
      <w:r w:rsidRPr="00333175">
        <w:t>CAT/OP/BRA/1</w:t>
      </w:r>
      <w:r w:rsidRPr="00333175">
        <w:rPr>
          <w:rFonts w:hint="cs"/>
          <w:rtl/>
        </w:rPr>
        <w:t xml:space="preserve">، الفقرة 96؛ والوثيقة </w:t>
      </w:r>
      <w:r w:rsidRPr="00333175">
        <w:t>CCPR/C/AGO/CO/1</w:t>
      </w:r>
      <w:r w:rsidRPr="00333175">
        <w:rPr>
          <w:rFonts w:hint="cs"/>
          <w:rtl/>
        </w:rPr>
        <w:t xml:space="preserve">، الفقرة 19؛ والوثيقة </w:t>
      </w:r>
      <w:r w:rsidRPr="00333175">
        <w:t>A/HRC/25/60/Add.1</w:t>
      </w:r>
      <w:r w:rsidRPr="00333175">
        <w:rPr>
          <w:rFonts w:hint="cs"/>
          <w:rtl/>
        </w:rPr>
        <w:t xml:space="preserve">، الفقرة 84؛ والوثيقة </w:t>
      </w:r>
      <w:r w:rsidRPr="00333175">
        <w:t>CAT/C/KHM/CO/2</w:t>
      </w:r>
      <w:r w:rsidRPr="00333175">
        <w:rPr>
          <w:rFonts w:hint="cs"/>
          <w:rtl/>
        </w:rPr>
        <w:t>، الفقرة 19.</w:t>
      </w:r>
    </w:p>
  </w:footnote>
  <w:footnote w:id="16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(162)</w:t>
      </w:r>
      <w:r>
        <w:rPr>
          <w:rFonts w:hint="cs"/>
          <w:w w:val="103"/>
          <w:rtl/>
        </w:rPr>
        <w:tab/>
      </w:r>
      <w:r w:rsidRPr="00967BA8">
        <w:rPr>
          <w:rFonts w:hint="cs"/>
          <w:w w:val="103"/>
          <w:rtl/>
        </w:rPr>
        <w:t xml:space="preserve">انظر وثيقة مجلس أوروبا </w:t>
      </w:r>
      <w:r w:rsidRPr="00967BA8">
        <w:rPr>
          <w:w w:val="103"/>
        </w:rPr>
        <w:t>CPT/Inf (2014) 29</w:t>
      </w:r>
      <w:r w:rsidRPr="00967BA8">
        <w:rPr>
          <w:rFonts w:hint="cs"/>
          <w:w w:val="103"/>
          <w:rtl/>
        </w:rPr>
        <w:t>، الفقرة 33.</w:t>
      </w:r>
    </w:p>
  </w:footnote>
  <w:footnote w:id="163">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333175">
        <w:rPr>
          <w:rFonts w:hint="cs"/>
          <w:rtl/>
        </w:rPr>
        <w:tab/>
      </w:r>
      <w:r w:rsidRPr="00333175">
        <w:rPr>
          <w:rtl/>
        </w:rPr>
        <w:t>(163)</w:t>
      </w:r>
      <w:r w:rsidRPr="00333175">
        <w:rPr>
          <w:rFonts w:hint="cs"/>
          <w:rtl/>
        </w:rPr>
        <w:tab/>
        <w:t xml:space="preserve">انظر الوثيقة </w:t>
      </w:r>
      <w:r w:rsidRPr="00333175">
        <w:t>CAT/OP/MDV/1</w:t>
      </w:r>
      <w:r w:rsidRPr="00333175">
        <w:rPr>
          <w:rFonts w:hint="cs"/>
          <w:rtl/>
        </w:rPr>
        <w:t xml:space="preserve">، الفقرة 169؛ والوثيقة </w:t>
      </w:r>
      <w:r w:rsidRPr="00333175">
        <w:t>CAT/C/KEN/CO/2</w:t>
      </w:r>
      <w:r w:rsidRPr="00333175">
        <w:rPr>
          <w:rFonts w:hint="cs"/>
          <w:rtl/>
        </w:rPr>
        <w:t>، الفقرة 15؛ و</w:t>
      </w:r>
      <w:r w:rsidRPr="00333175">
        <w:t>www.achpr.org/files/</w:t>
      </w:r>
      <w:r>
        <w:br/>
      </w:r>
      <w:r w:rsidRPr="00333175">
        <w:t>sessions/37th/mission-reports/ethiopia/misrep_specmec_priso_ethopia_2004_eng.pdf</w:t>
      </w:r>
      <w:r w:rsidRPr="00333175">
        <w:rPr>
          <w:rFonts w:hint="cs"/>
          <w:rtl/>
        </w:rPr>
        <w:t>، ص 52.</w:t>
      </w:r>
    </w:p>
  </w:footnote>
  <w:footnote w:id="16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(164)</w:t>
      </w:r>
      <w:r>
        <w:rPr>
          <w:rFonts w:hint="cs"/>
          <w:w w:val="103"/>
          <w:rtl/>
        </w:rPr>
        <w:tab/>
      </w:r>
      <w:r w:rsidRPr="00967BA8">
        <w:rPr>
          <w:rFonts w:hint="cs"/>
          <w:w w:val="103"/>
          <w:rtl/>
        </w:rPr>
        <w:t xml:space="preserve">انظر الوثيقة </w:t>
      </w:r>
      <w:r w:rsidRPr="00967BA8">
        <w:rPr>
          <w:w w:val="103"/>
        </w:rPr>
        <w:t>CCPR/C/AGO/CO/1</w:t>
      </w:r>
      <w:r w:rsidRPr="00967BA8">
        <w:rPr>
          <w:rFonts w:hint="cs"/>
          <w:w w:val="103"/>
          <w:rtl/>
        </w:rPr>
        <w:t xml:space="preserve">، الفقرة 19؛ والوثيقة </w:t>
      </w:r>
      <w:r w:rsidRPr="00967BA8">
        <w:rPr>
          <w:w w:val="103"/>
        </w:rPr>
        <w:t>A/HRC/25/60/Add.1</w:t>
      </w:r>
      <w:r w:rsidRPr="00967BA8">
        <w:rPr>
          <w:rFonts w:hint="cs"/>
          <w:w w:val="103"/>
          <w:rtl/>
        </w:rPr>
        <w:t xml:space="preserve">، الفقرة 84؛ ووثيقة مجلس أوروبا </w:t>
      </w:r>
      <w:r w:rsidRPr="00967BA8">
        <w:rPr>
          <w:w w:val="103"/>
        </w:rPr>
        <w:t>CPT/Inf (2014) 18</w:t>
      </w:r>
      <w:r w:rsidRPr="00967BA8">
        <w:rPr>
          <w:rFonts w:hint="cs"/>
          <w:w w:val="103"/>
          <w:rtl/>
        </w:rPr>
        <w:t>، الفقرة 35.</w:t>
      </w:r>
    </w:p>
  </w:footnote>
  <w:footnote w:id="165">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333175">
        <w:rPr>
          <w:rFonts w:hint="cs"/>
          <w:rtl/>
        </w:rPr>
        <w:tab/>
      </w:r>
      <w:r w:rsidRPr="00333175">
        <w:rPr>
          <w:rtl/>
        </w:rPr>
        <w:t>(165)</w:t>
      </w:r>
      <w:r w:rsidRPr="00333175">
        <w:rPr>
          <w:rFonts w:hint="cs"/>
          <w:rtl/>
        </w:rPr>
        <w:tab/>
        <w:t xml:space="preserve">انظر </w:t>
      </w:r>
      <w:r w:rsidRPr="00333175">
        <w:t>www.achpr.org/files/sessions/37th/mission-reports/prisons-2004/misrep_specmec_priso_southafrica_</w:t>
      </w:r>
      <w:r>
        <w:br/>
      </w:r>
      <w:r w:rsidRPr="00333175">
        <w:t>2004_eng.pdf</w:t>
      </w:r>
      <w:r w:rsidRPr="00333175">
        <w:rPr>
          <w:rFonts w:hint="cs"/>
          <w:rtl/>
        </w:rPr>
        <w:t xml:space="preserve">، الفصل </w:t>
      </w:r>
      <w:r w:rsidRPr="00333175">
        <w:t>F(i)</w:t>
      </w:r>
      <w:r w:rsidRPr="00333175">
        <w:rPr>
          <w:rFonts w:hint="cs"/>
          <w:rtl/>
        </w:rPr>
        <w:t>.</w:t>
      </w:r>
    </w:p>
  </w:footnote>
  <w:footnote w:id="16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(166)</w:t>
      </w:r>
      <w:r>
        <w:rPr>
          <w:rFonts w:hint="cs"/>
          <w:w w:val="103"/>
          <w:rtl/>
        </w:rPr>
        <w:tab/>
      </w:r>
      <w:r w:rsidRPr="00967BA8">
        <w:rPr>
          <w:rFonts w:hint="cs"/>
          <w:w w:val="103"/>
          <w:rtl/>
        </w:rPr>
        <w:t xml:space="preserve">انظر الوثيقة </w:t>
      </w:r>
      <w:r w:rsidRPr="00967BA8">
        <w:rPr>
          <w:w w:val="103"/>
        </w:rPr>
        <w:t>CPT/Inf (2014) 29</w:t>
      </w:r>
      <w:r w:rsidRPr="00967BA8">
        <w:rPr>
          <w:rFonts w:hint="cs"/>
          <w:w w:val="103"/>
          <w:rtl/>
        </w:rPr>
        <w:t>، الفقرة 33.</w:t>
      </w:r>
    </w:p>
  </w:footnote>
  <w:footnote w:id="16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(167)</w:t>
      </w:r>
      <w:r>
        <w:rPr>
          <w:rFonts w:hint="cs"/>
          <w:w w:val="103"/>
          <w:rtl/>
        </w:rPr>
        <w:tab/>
      </w:r>
      <w:r w:rsidRPr="00967BA8">
        <w:rPr>
          <w:rFonts w:hint="cs"/>
          <w:w w:val="103"/>
          <w:rtl/>
        </w:rPr>
        <w:t xml:space="preserve">انظر الوثيقة </w:t>
      </w:r>
      <w:r w:rsidRPr="00967BA8">
        <w:rPr>
          <w:w w:val="103"/>
        </w:rPr>
        <w:t>CPT/Inf (2014) 18</w:t>
      </w:r>
      <w:r w:rsidRPr="00967BA8">
        <w:rPr>
          <w:rFonts w:hint="cs"/>
          <w:w w:val="103"/>
          <w:rtl/>
        </w:rPr>
        <w:t>، الفقرة 35.</w:t>
      </w:r>
    </w:p>
  </w:footnote>
  <w:footnote w:id="16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(168)</w:t>
      </w:r>
      <w:r>
        <w:rPr>
          <w:rFonts w:hint="cs"/>
          <w:w w:val="103"/>
          <w:rtl/>
        </w:rPr>
        <w:tab/>
      </w:r>
      <w:r w:rsidRPr="00967BA8">
        <w:rPr>
          <w:rFonts w:hint="cs"/>
          <w:w w:val="103"/>
          <w:rtl/>
        </w:rPr>
        <w:t xml:space="preserve">انظر الوثيقة </w:t>
      </w:r>
      <w:r w:rsidRPr="00967BA8">
        <w:rPr>
          <w:w w:val="103"/>
        </w:rPr>
        <w:t>CPT/Inf (2014) 21</w:t>
      </w:r>
      <w:r w:rsidRPr="00967BA8">
        <w:rPr>
          <w:rFonts w:hint="cs"/>
          <w:w w:val="103"/>
          <w:rtl/>
        </w:rPr>
        <w:t>، الفقرة 42.</w:t>
      </w:r>
    </w:p>
  </w:footnote>
  <w:footnote w:id="16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(169)</w:t>
      </w:r>
      <w:r>
        <w:rPr>
          <w:rFonts w:hint="cs"/>
          <w:w w:val="103"/>
          <w:rtl/>
        </w:rPr>
        <w:tab/>
      </w:r>
      <w:r w:rsidRPr="00967BA8">
        <w:rPr>
          <w:rFonts w:hint="cs"/>
          <w:w w:val="103"/>
          <w:rtl/>
        </w:rPr>
        <w:t xml:space="preserve">انظر الوثيقة </w:t>
      </w:r>
      <w:r w:rsidRPr="00967BA8">
        <w:rPr>
          <w:w w:val="103"/>
        </w:rPr>
        <w:t>A/HRC/19/57/Add.2</w:t>
      </w:r>
      <w:r w:rsidRPr="00967BA8">
        <w:rPr>
          <w:rFonts w:hint="cs"/>
          <w:w w:val="103"/>
          <w:rtl/>
        </w:rPr>
        <w:t>، الفقرة 38.</w:t>
      </w:r>
    </w:p>
  </w:footnote>
  <w:footnote w:id="17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(170)</w:t>
      </w:r>
      <w:r>
        <w:rPr>
          <w:rFonts w:hint="cs"/>
          <w:w w:val="103"/>
          <w:rtl/>
        </w:rPr>
        <w:tab/>
      </w:r>
      <w:r w:rsidRPr="00967BA8">
        <w:rPr>
          <w:rFonts w:hint="cs"/>
          <w:w w:val="103"/>
          <w:rtl/>
        </w:rPr>
        <w:t xml:space="preserve">انظر الوثيقة </w:t>
      </w:r>
      <w:r w:rsidRPr="00967BA8">
        <w:rPr>
          <w:w w:val="103"/>
        </w:rPr>
        <w:t>A/HRC/27/48</w:t>
      </w:r>
      <w:r w:rsidRPr="00967BA8">
        <w:rPr>
          <w:rFonts w:hint="cs"/>
          <w:w w:val="103"/>
          <w:rtl/>
        </w:rPr>
        <w:t>، الفقرة 73.</w:t>
      </w:r>
    </w:p>
  </w:footnote>
  <w:footnote w:id="17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(171)</w:t>
      </w:r>
      <w:r>
        <w:rPr>
          <w:rFonts w:hint="cs"/>
          <w:w w:val="103"/>
          <w:rtl/>
        </w:rPr>
        <w:tab/>
      </w:r>
      <w:r w:rsidRPr="00967BA8">
        <w:rPr>
          <w:rFonts w:hint="cs"/>
          <w:w w:val="103"/>
          <w:rtl/>
        </w:rPr>
        <w:t xml:space="preserve">انظر الوثيقة </w:t>
      </w:r>
      <w:r w:rsidRPr="00967BA8">
        <w:rPr>
          <w:w w:val="103"/>
        </w:rPr>
        <w:t>CAT/OP/MDV/1</w:t>
      </w:r>
      <w:r w:rsidRPr="00967BA8">
        <w:rPr>
          <w:rFonts w:hint="cs"/>
          <w:w w:val="103"/>
          <w:rtl/>
        </w:rPr>
        <w:t xml:space="preserve">، الفقرة 220. </w:t>
      </w:r>
    </w:p>
  </w:footnote>
  <w:footnote w:id="172">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71483E">
        <w:rPr>
          <w:rFonts w:hint="cs"/>
          <w:spacing w:val="-4"/>
          <w:rtl/>
        </w:rPr>
        <w:tab/>
      </w:r>
      <w:r w:rsidRPr="0071483E">
        <w:rPr>
          <w:spacing w:val="-4"/>
          <w:rtl/>
        </w:rPr>
        <w:t>(172)</w:t>
      </w:r>
      <w:r w:rsidRPr="0071483E">
        <w:rPr>
          <w:rFonts w:hint="cs"/>
          <w:spacing w:val="-4"/>
          <w:rtl/>
        </w:rPr>
        <w:tab/>
        <w:t xml:space="preserve">انظر الوثيقة </w:t>
      </w:r>
      <w:r w:rsidRPr="0071483E">
        <w:rPr>
          <w:spacing w:val="-4"/>
        </w:rPr>
        <w:t>A/HRC/25/60/Add.1</w:t>
      </w:r>
      <w:r w:rsidRPr="0071483E">
        <w:rPr>
          <w:rFonts w:hint="cs"/>
          <w:spacing w:val="-4"/>
          <w:rtl/>
        </w:rPr>
        <w:t>، الفقرة 99؛ و</w:t>
      </w:r>
      <w:r w:rsidRPr="0071483E">
        <w:rPr>
          <w:spacing w:val="-4"/>
        </w:rPr>
        <w:t xml:space="preserve">www.ohchr.org/Documents/Issues/RuleOfLaw/Overincarceration/ </w:t>
      </w:r>
      <w:r w:rsidRPr="00333175">
        <w:t>PRI.pdf</w:t>
      </w:r>
      <w:r w:rsidRPr="00333175">
        <w:rPr>
          <w:rFonts w:hint="cs"/>
          <w:rtl/>
        </w:rPr>
        <w:t>.</w:t>
      </w:r>
    </w:p>
  </w:footnote>
  <w:footnote w:id="173">
    <w:p w:rsidR="005A1EB0" w:rsidRPr="00D429C3"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(173)</w:t>
      </w:r>
      <w:r>
        <w:rPr>
          <w:rFonts w:hint="cs"/>
          <w:w w:val="103"/>
          <w:rtl/>
        </w:rPr>
        <w:tab/>
      </w:r>
      <w:r w:rsidRPr="00967BA8">
        <w:rPr>
          <w:rFonts w:hint="cs"/>
          <w:w w:val="103"/>
          <w:rtl/>
        </w:rPr>
        <w:t xml:space="preserve">انظر الوثيقة </w:t>
      </w:r>
      <w:r w:rsidRPr="00967BA8">
        <w:rPr>
          <w:w w:val="103"/>
        </w:rPr>
        <w:t>A/HRC/10/44</w:t>
      </w:r>
      <w:r w:rsidRPr="00967BA8">
        <w:rPr>
          <w:rFonts w:hint="cs"/>
          <w:w w:val="103"/>
          <w:rtl/>
        </w:rPr>
        <w:t>، الفقرة 55، و</w:t>
      </w:r>
      <w:r w:rsidRPr="00D429C3">
        <w:rPr>
          <w:w w:val="103"/>
          <w:lang w:val="en-GB"/>
        </w:rPr>
        <w:t>www.ohchr.org/Documents/Issues/RuleOfLaw/Overincarceration/</w:t>
      </w:r>
      <w:r>
        <w:rPr>
          <w:w w:val="103"/>
          <w:lang w:val="en-GB"/>
        </w:rPr>
        <w:br/>
      </w:r>
      <w:r w:rsidRPr="00D429C3">
        <w:rPr>
          <w:w w:val="103"/>
          <w:lang w:val="en-GB"/>
        </w:rPr>
        <w:t>ACLU.pdf</w:t>
      </w:r>
      <w:r>
        <w:rPr>
          <w:rFonts w:hint="cs"/>
          <w:w w:val="103"/>
          <w:rtl/>
          <w:lang w:val="en-GB"/>
        </w:rPr>
        <w:t>.</w:t>
      </w:r>
    </w:p>
  </w:footnote>
  <w:footnote w:id="174">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(174)</w:t>
      </w:r>
      <w:r w:rsidRPr="00333175">
        <w:rPr>
          <w:rFonts w:hint="cs"/>
          <w:rtl/>
        </w:rPr>
        <w:tab/>
        <w:t xml:space="preserve">انظر </w:t>
      </w:r>
      <w:r w:rsidRPr="00333175">
        <w:t>www.achpr.org/files/sessions/37th/mission-reports/prisons-2004/misrep_specmec_priso_southafrica_</w:t>
      </w:r>
      <w:r>
        <w:br/>
      </w:r>
      <w:r w:rsidRPr="00333175">
        <w:t>2004_eng.pdf</w:t>
      </w:r>
      <w:r w:rsidRPr="00333175">
        <w:rPr>
          <w:rFonts w:hint="cs"/>
          <w:rtl/>
        </w:rPr>
        <w:t xml:space="preserve">، الفصل </w:t>
      </w:r>
      <w:r w:rsidRPr="00333175">
        <w:t>F(i)</w:t>
      </w:r>
      <w:r w:rsidRPr="00333175">
        <w:rPr>
          <w:rFonts w:hint="cs"/>
          <w:rtl/>
        </w:rPr>
        <w:t>، و</w:t>
      </w:r>
      <w:r w:rsidRPr="00333175">
        <w:t>www.ohchr.org/Documents/Issues/RuleOfLaw/Overincarceration/PRI.pdf</w:t>
      </w:r>
      <w:r w:rsidRPr="00333175">
        <w:rPr>
          <w:rFonts w:hint="cs"/>
          <w:rtl/>
        </w:rPr>
        <w:t>.</w:t>
      </w:r>
    </w:p>
  </w:footnote>
  <w:footnote w:id="17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(175)</w:t>
      </w:r>
      <w:r>
        <w:rPr>
          <w:rFonts w:hint="cs"/>
          <w:w w:val="103"/>
          <w:rtl/>
        </w:rPr>
        <w:tab/>
      </w:r>
      <w:r w:rsidRPr="00967BA8">
        <w:rPr>
          <w:rFonts w:hint="cs"/>
          <w:w w:val="103"/>
          <w:rtl/>
        </w:rPr>
        <w:t xml:space="preserve">انظر الوثيقة </w:t>
      </w:r>
      <w:r w:rsidRPr="00967BA8">
        <w:rPr>
          <w:w w:val="103"/>
        </w:rPr>
        <w:t>CAT/OP/MDV/1</w:t>
      </w:r>
      <w:r w:rsidRPr="00967BA8">
        <w:rPr>
          <w:rFonts w:hint="cs"/>
          <w:w w:val="103"/>
          <w:rtl/>
        </w:rPr>
        <w:t>، الفقرة 220.</w:t>
      </w:r>
    </w:p>
  </w:footnote>
  <w:footnote w:id="17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(176)</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99.</w:t>
      </w:r>
    </w:p>
  </w:footnote>
  <w:footnote w:id="17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(177)</w:t>
      </w:r>
      <w:r>
        <w:rPr>
          <w:rFonts w:hint="cs"/>
          <w:w w:val="103"/>
          <w:rtl/>
        </w:rPr>
        <w:tab/>
      </w:r>
      <w:r w:rsidRPr="00967BA8">
        <w:rPr>
          <w:rFonts w:hint="cs"/>
          <w:w w:val="103"/>
          <w:rtl/>
        </w:rPr>
        <w:t xml:space="preserve">انظر الوثيقة </w:t>
      </w:r>
      <w:r w:rsidRPr="00967BA8">
        <w:rPr>
          <w:w w:val="103"/>
        </w:rPr>
        <w:t>A/HRC/27/48</w:t>
      </w:r>
      <w:r w:rsidRPr="00967BA8">
        <w:rPr>
          <w:rFonts w:hint="cs"/>
          <w:w w:val="103"/>
          <w:rtl/>
        </w:rPr>
        <w:t>، الفقرة 73.</w:t>
      </w:r>
    </w:p>
  </w:footnote>
  <w:footnote w:id="17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(178)</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84.</w:t>
      </w:r>
    </w:p>
  </w:footnote>
  <w:footnote w:id="17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(179)</w:t>
      </w:r>
      <w:r>
        <w:rPr>
          <w:rFonts w:hint="cs"/>
          <w:w w:val="103"/>
          <w:rtl/>
        </w:rPr>
        <w:tab/>
      </w:r>
      <w:r w:rsidRPr="00967BA8">
        <w:rPr>
          <w:rFonts w:hint="cs"/>
          <w:w w:val="103"/>
          <w:rtl/>
        </w:rPr>
        <w:t xml:space="preserve">انظر قضية </w:t>
      </w:r>
      <w:r w:rsidRPr="00333175">
        <w:rPr>
          <w:rFonts w:hint="cs"/>
          <w:i/>
          <w:iCs/>
          <w:w w:val="103"/>
          <w:rtl/>
        </w:rPr>
        <w:t>باتشيكو تيرويل وآخرين ضد هندوراس</w:t>
      </w:r>
      <w:r w:rsidRPr="00967BA8">
        <w:rPr>
          <w:rFonts w:hint="cs"/>
          <w:w w:val="103"/>
          <w:rtl/>
        </w:rPr>
        <w:t>، حكم صادر عن محكمة البلدان الأمريكية لحقوق الإنسان (2012)، الفقرة 105.</w:t>
      </w:r>
    </w:p>
  </w:footnote>
  <w:footnote w:id="18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(180)</w:t>
      </w:r>
      <w:r>
        <w:rPr>
          <w:rFonts w:hint="cs"/>
          <w:w w:val="103"/>
          <w:rtl/>
        </w:rPr>
        <w:tab/>
      </w:r>
      <w:r w:rsidRPr="00967BA8">
        <w:rPr>
          <w:rFonts w:hint="cs"/>
          <w:w w:val="103"/>
          <w:rtl/>
        </w:rPr>
        <w:t xml:space="preserve">انظر الوثيقة </w:t>
      </w:r>
      <w:r w:rsidRPr="00967BA8">
        <w:rPr>
          <w:w w:val="103"/>
        </w:rPr>
        <w:t>A/HRC/22/53/Add.2</w:t>
      </w:r>
      <w:r w:rsidRPr="00967BA8">
        <w:rPr>
          <w:rFonts w:hint="cs"/>
          <w:w w:val="103"/>
          <w:rtl/>
        </w:rPr>
        <w:t xml:space="preserve">، الفقرة 46، والوثيقة </w:t>
      </w:r>
      <w:r w:rsidRPr="00967BA8">
        <w:rPr>
          <w:w w:val="103"/>
        </w:rPr>
        <w:t>CAT/OP/BEN/1</w:t>
      </w:r>
      <w:r w:rsidRPr="00967BA8">
        <w:rPr>
          <w:rFonts w:hint="cs"/>
          <w:w w:val="103"/>
          <w:rtl/>
        </w:rPr>
        <w:t>، الفقرة 161.</w:t>
      </w:r>
    </w:p>
  </w:footnote>
  <w:footnote w:id="18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(181)</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40.</w:t>
      </w:r>
    </w:p>
  </w:footnote>
  <w:footnote w:id="18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(182)</w:t>
      </w:r>
      <w:r>
        <w:rPr>
          <w:rFonts w:hint="cs"/>
          <w:w w:val="103"/>
          <w:rtl/>
        </w:rPr>
        <w:tab/>
      </w:r>
      <w:r w:rsidRPr="00967BA8">
        <w:rPr>
          <w:rFonts w:hint="cs"/>
          <w:w w:val="103"/>
          <w:rtl/>
        </w:rPr>
        <w:t xml:space="preserve">انظر الوثيقة </w:t>
      </w:r>
      <w:r w:rsidRPr="00967BA8">
        <w:rPr>
          <w:w w:val="103"/>
        </w:rPr>
        <w:t>CAT/OP/MLI/1</w:t>
      </w:r>
      <w:r w:rsidRPr="00967BA8">
        <w:rPr>
          <w:rFonts w:hint="cs"/>
          <w:w w:val="103"/>
          <w:rtl/>
        </w:rPr>
        <w:t>، الفقرة 29.</w:t>
      </w:r>
    </w:p>
  </w:footnote>
  <w:footnote w:id="18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(183)</w:t>
      </w:r>
      <w:r>
        <w:rPr>
          <w:rFonts w:hint="cs"/>
          <w:w w:val="103"/>
          <w:rtl/>
        </w:rPr>
        <w:tab/>
      </w:r>
      <w:r w:rsidRPr="00967BA8">
        <w:rPr>
          <w:rFonts w:hint="cs"/>
          <w:w w:val="103"/>
          <w:rtl/>
        </w:rPr>
        <w:t xml:space="preserve">انظر </w:t>
      </w:r>
      <w:r w:rsidRPr="00967BA8">
        <w:rPr>
          <w:w w:val="103"/>
        </w:rPr>
        <w:t>www.ohchr.org/Documents/Issues/RuleOfLaw/Overincarceration/NCHR_Greece.pdf</w:t>
      </w:r>
      <w:r w:rsidRPr="00967BA8">
        <w:rPr>
          <w:rFonts w:hint="cs"/>
          <w:w w:val="103"/>
          <w:rtl/>
        </w:rPr>
        <w:t>.</w:t>
      </w:r>
    </w:p>
  </w:footnote>
  <w:footnote w:id="18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(184)</w:t>
      </w:r>
      <w:r>
        <w:rPr>
          <w:rFonts w:hint="cs"/>
          <w:w w:val="103"/>
          <w:rtl/>
        </w:rPr>
        <w:tab/>
      </w:r>
      <w:r w:rsidRPr="0071483E">
        <w:rPr>
          <w:rFonts w:hint="cs"/>
          <w:spacing w:val="-4"/>
          <w:w w:val="103"/>
          <w:rtl/>
        </w:rPr>
        <w:t xml:space="preserve">انظر قضية </w:t>
      </w:r>
      <w:r w:rsidRPr="0071483E">
        <w:rPr>
          <w:rFonts w:hint="cs"/>
          <w:i/>
          <w:iCs/>
          <w:spacing w:val="-4"/>
          <w:w w:val="103"/>
          <w:rtl/>
        </w:rPr>
        <w:t>نبتون ضد هايتي</w:t>
      </w:r>
      <w:r w:rsidRPr="0071483E">
        <w:rPr>
          <w:rFonts w:hint="cs"/>
          <w:spacing w:val="-4"/>
          <w:w w:val="103"/>
          <w:rtl/>
        </w:rPr>
        <w:t>، حكم صادر عن محكمة البلدان الأمريكية لحقوق الإنسان (2008)، الفقرة</w:t>
      </w:r>
      <w:r w:rsidRPr="0071483E">
        <w:rPr>
          <w:rFonts w:hint="eastAsia"/>
          <w:spacing w:val="-4"/>
          <w:w w:val="103"/>
          <w:rtl/>
        </w:rPr>
        <w:t> </w:t>
      </w:r>
      <w:r w:rsidRPr="0071483E">
        <w:rPr>
          <w:rFonts w:hint="cs"/>
          <w:spacing w:val="-4"/>
          <w:w w:val="103"/>
          <w:rtl/>
        </w:rPr>
        <w:t>183؛</w:t>
      </w:r>
      <w:r w:rsidRPr="00967BA8">
        <w:rPr>
          <w:rFonts w:hint="cs"/>
          <w:w w:val="103"/>
          <w:rtl/>
        </w:rPr>
        <w:t xml:space="preserve"> ووثيقة مجلس أوروبا </w:t>
      </w:r>
      <w:r w:rsidRPr="00967BA8">
        <w:rPr>
          <w:w w:val="103"/>
        </w:rPr>
        <w:t>CPT/Inf (2014) 31</w:t>
      </w:r>
      <w:r w:rsidRPr="00967BA8">
        <w:rPr>
          <w:rFonts w:hint="cs"/>
          <w:w w:val="103"/>
          <w:rtl/>
        </w:rPr>
        <w:t>، الفقرة 56؛ و</w:t>
      </w:r>
      <w:r w:rsidRPr="00967BA8">
        <w:rPr>
          <w:w w:val="103"/>
        </w:rPr>
        <w:t>www.achpr.org/files/sessions/52nd/inter-act-reps/185/</w:t>
      </w:r>
      <w:r>
        <w:rPr>
          <w:w w:val="103"/>
        </w:rPr>
        <w:t xml:space="preserve"> </w:t>
      </w:r>
      <w:r w:rsidRPr="00967BA8">
        <w:rPr>
          <w:w w:val="103"/>
        </w:rPr>
        <w:t>activty_report_prisons_eng.pdf</w:t>
      </w:r>
      <w:r w:rsidRPr="00967BA8">
        <w:rPr>
          <w:rFonts w:hint="cs"/>
          <w:w w:val="103"/>
          <w:rtl/>
        </w:rPr>
        <w:t xml:space="preserve">، ص 22. </w:t>
      </w:r>
    </w:p>
  </w:footnote>
  <w:footnote w:id="185">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71483E">
        <w:rPr>
          <w:rFonts w:hint="cs"/>
          <w:spacing w:val="-2"/>
          <w:rtl/>
        </w:rPr>
        <w:tab/>
      </w:r>
      <w:r w:rsidRPr="0071483E">
        <w:rPr>
          <w:spacing w:val="-2"/>
          <w:rtl/>
        </w:rPr>
        <w:t>(185)</w:t>
      </w:r>
      <w:r w:rsidRPr="0071483E">
        <w:rPr>
          <w:rFonts w:hint="cs"/>
          <w:spacing w:val="-2"/>
          <w:rtl/>
        </w:rPr>
        <w:tab/>
        <w:t xml:space="preserve">انظر الوثيقة </w:t>
      </w:r>
      <w:r w:rsidRPr="0071483E">
        <w:rPr>
          <w:spacing w:val="-2"/>
        </w:rPr>
        <w:t>S/2015/157</w:t>
      </w:r>
      <w:r w:rsidRPr="0071483E">
        <w:rPr>
          <w:rFonts w:hint="cs"/>
          <w:spacing w:val="-2"/>
          <w:rtl/>
        </w:rPr>
        <w:t xml:space="preserve">، الفقرة 26؛ والوثيقة </w:t>
      </w:r>
      <w:r w:rsidRPr="0071483E">
        <w:rPr>
          <w:spacing w:val="-2"/>
        </w:rPr>
        <w:t>A/HRC/25/71</w:t>
      </w:r>
      <w:r w:rsidRPr="0071483E">
        <w:rPr>
          <w:rFonts w:hint="cs"/>
          <w:spacing w:val="-2"/>
          <w:rtl/>
        </w:rPr>
        <w:t xml:space="preserve">، الفقرتين 41 و42؛ والوثيقة </w:t>
      </w:r>
      <w:r w:rsidRPr="0071483E">
        <w:rPr>
          <w:spacing w:val="-2"/>
        </w:rPr>
        <w:t>CAT/OP/BEN/1</w:t>
      </w:r>
      <w:r w:rsidRPr="0071483E">
        <w:rPr>
          <w:rFonts w:hint="cs"/>
          <w:spacing w:val="-2"/>
          <w:rtl/>
        </w:rPr>
        <w:t>، الفقرة</w:t>
      </w:r>
      <w:r>
        <w:rPr>
          <w:rFonts w:hint="eastAsia"/>
          <w:spacing w:val="-2"/>
          <w:rtl/>
        </w:rPr>
        <w:t> </w:t>
      </w:r>
      <w:r w:rsidRPr="0071483E">
        <w:rPr>
          <w:rFonts w:hint="cs"/>
          <w:spacing w:val="-2"/>
          <w:rtl/>
        </w:rPr>
        <w:t xml:space="preserve">158؛ والوثيقة </w:t>
      </w:r>
      <w:r w:rsidRPr="0071483E">
        <w:rPr>
          <w:spacing w:val="-2"/>
        </w:rPr>
        <w:t>CAT/OP/ARG/1</w:t>
      </w:r>
      <w:r w:rsidRPr="0071483E">
        <w:rPr>
          <w:rFonts w:hint="cs"/>
          <w:spacing w:val="-2"/>
          <w:rtl/>
        </w:rPr>
        <w:t>، الفقرة 59؛ و</w:t>
      </w:r>
      <w:r w:rsidRPr="0071483E">
        <w:rPr>
          <w:spacing w:val="-2"/>
        </w:rPr>
        <w:t>www.ohchr.org/Documents/Issues/RuleOfLaw/</w:t>
      </w:r>
      <w:r>
        <w:rPr>
          <w:spacing w:val="-2"/>
        </w:rPr>
        <w:t xml:space="preserve"> </w:t>
      </w:r>
      <w:r w:rsidRPr="0071483E">
        <w:rPr>
          <w:spacing w:val="-2"/>
        </w:rPr>
        <w:t>OverIncarceration/</w:t>
      </w:r>
      <w:r w:rsidRPr="00333175">
        <w:t>UNODC.pdf</w:t>
      </w:r>
      <w:r w:rsidRPr="00333175">
        <w:rPr>
          <w:rFonts w:hint="cs"/>
          <w:rtl/>
        </w:rPr>
        <w:t>.</w:t>
      </w:r>
    </w:p>
  </w:footnote>
  <w:footnote w:id="186">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(186)</w:t>
      </w:r>
      <w:r w:rsidRPr="00333175">
        <w:rPr>
          <w:rFonts w:hint="cs"/>
          <w:rtl/>
        </w:rPr>
        <w:tab/>
        <w:t xml:space="preserve">انظر </w:t>
      </w:r>
      <w:r w:rsidRPr="00333175">
        <w:t>www.achpr.org/files/sessions/37th/mission-reports/prisons-2004/misrep_specmec_priso_southafrica_</w:t>
      </w:r>
      <w:r>
        <w:br/>
      </w:r>
      <w:r w:rsidRPr="00333175">
        <w:t>2004_eng.pdf</w:t>
      </w:r>
      <w:r w:rsidRPr="00333175">
        <w:rPr>
          <w:rFonts w:hint="cs"/>
          <w:rtl/>
        </w:rPr>
        <w:t xml:space="preserve">، ص 64؛ والوثيقة </w:t>
      </w:r>
      <w:r w:rsidRPr="00333175">
        <w:t>CPT/Inf (2013) 35</w:t>
      </w:r>
      <w:r w:rsidRPr="00333175">
        <w:rPr>
          <w:rFonts w:hint="cs"/>
          <w:rtl/>
        </w:rPr>
        <w:t xml:space="preserve">، الفقرة 8؛ والوثيقة </w:t>
      </w:r>
      <w:r w:rsidRPr="00333175">
        <w:t>CPT/Inf (2014) 31</w:t>
      </w:r>
      <w:r w:rsidRPr="00333175">
        <w:rPr>
          <w:rFonts w:hint="cs"/>
          <w:rtl/>
        </w:rPr>
        <w:t xml:space="preserve">، الفقرة 35؛ والوثيقة </w:t>
      </w:r>
      <w:r w:rsidRPr="00333175">
        <w:t>CAT/C/IRL/CO/1</w:t>
      </w:r>
      <w:r w:rsidRPr="00333175">
        <w:rPr>
          <w:rFonts w:hint="cs"/>
          <w:rtl/>
        </w:rPr>
        <w:t xml:space="preserve">، الفقرة 11؛ والوثيقة </w:t>
      </w:r>
      <w:r w:rsidRPr="00333175">
        <w:t>CCPR/C/BIH/CO/2</w:t>
      </w:r>
      <w:r w:rsidRPr="00333175">
        <w:rPr>
          <w:rFonts w:hint="cs"/>
          <w:rtl/>
        </w:rPr>
        <w:t xml:space="preserve">، الفقرة 11؛ والوثيقة </w:t>
      </w:r>
      <w:r w:rsidRPr="00333175">
        <w:t>A/HRC/25/60/Add.1</w:t>
      </w:r>
      <w:r w:rsidRPr="00333175">
        <w:rPr>
          <w:rFonts w:hint="cs"/>
          <w:rtl/>
        </w:rPr>
        <w:t xml:space="preserve">، الفقرة 84؛ والوثيقة </w:t>
      </w:r>
      <w:r w:rsidRPr="00333175">
        <w:t>CCPR/C/URY/CO/3</w:t>
      </w:r>
      <w:r w:rsidRPr="00333175">
        <w:rPr>
          <w:rFonts w:hint="cs"/>
          <w:rtl/>
        </w:rPr>
        <w:t xml:space="preserve">، الفقرة 9؛ والوثيقة </w:t>
      </w:r>
      <w:r w:rsidRPr="00333175">
        <w:t>CAT/OP/MDV/1</w:t>
      </w:r>
      <w:r w:rsidRPr="00333175">
        <w:rPr>
          <w:rFonts w:hint="cs"/>
          <w:rtl/>
        </w:rPr>
        <w:t>، الفقرة 220.</w:t>
      </w:r>
    </w:p>
  </w:footnote>
  <w:footnote w:id="18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(187)</w:t>
      </w:r>
      <w:r>
        <w:rPr>
          <w:rFonts w:hint="cs"/>
          <w:w w:val="103"/>
          <w:rtl/>
        </w:rPr>
        <w:tab/>
      </w:r>
      <w:r w:rsidRPr="00967BA8">
        <w:rPr>
          <w:rFonts w:hint="cs"/>
          <w:w w:val="103"/>
          <w:rtl/>
        </w:rPr>
        <w:t xml:space="preserve">انظر وثيقة مجلس أوروبا </w:t>
      </w:r>
      <w:r w:rsidRPr="00967BA8">
        <w:rPr>
          <w:w w:val="103"/>
        </w:rPr>
        <w:t>CPT/Inf (2014) 13</w:t>
      </w:r>
      <w:r w:rsidRPr="00967BA8">
        <w:rPr>
          <w:rFonts w:hint="cs"/>
          <w:w w:val="103"/>
          <w:rtl/>
        </w:rPr>
        <w:t>، الفقرة 39.</w:t>
      </w:r>
    </w:p>
  </w:footnote>
  <w:footnote w:id="18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(188)</w:t>
      </w:r>
      <w:r>
        <w:rPr>
          <w:rFonts w:hint="cs"/>
          <w:w w:val="103"/>
          <w:rtl/>
        </w:rPr>
        <w:tab/>
      </w:r>
      <w:r w:rsidRPr="00967BA8">
        <w:rPr>
          <w:rFonts w:hint="cs"/>
          <w:w w:val="103"/>
          <w:rtl/>
        </w:rPr>
        <w:t>انظر المرجع نفسه، و</w:t>
      </w:r>
      <w:r w:rsidRPr="00967BA8">
        <w:rPr>
          <w:w w:val="103"/>
        </w:rPr>
        <w:t>www.ohchr.org/Documents/Issues/RuleOfLaw/Overincarceration/OSJI.pdf</w:t>
      </w:r>
      <w:r w:rsidRPr="00967BA8">
        <w:rPr>
          <w:rFonts w:hint="cs"/>
          <w:w w:val="103"/>
          <w:rtl/>
        </w:rPr>
        <w:t>.</w:t>
      </w:r>
    </w:p>
  </w:footnote>
  <w:footnote w:id="18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(189)</w:t>
      </w:r>
      <w:r>
        <w:rPr>
          <w:rFonts w:hint="cs"/>
          <w:w w:val="103"/>
          <w:rtl/>
        </w:rPr>
        <w:tab/>
      </w:r>
      <w:r w:rsidRPr="00967BA8">
        <w:rPr>
          <w:rFonts w:hint="cs"/>
          <w:w w:val="103"/>
          <w:rtl/>
        </w:rPr>
        <w:t xml:space="preserve">انظر الوثيقة </w:t>
      </w:r>
      <w:r w:rsidRPr="00967BA8">
        <w:rPr>
          <w:w w:val="103"/>
        </w:rPr>
        <w:t>A/HRC/30/37</w:t>
      </w:r>
      <w:r w:rsidRPr="00967BA8">
        <w:rPr>
          <w:rFonts w:hint="cs"/>
          <w:w w:val="103"/>
          <w:rtl/>
        </w:rPr>
        <w:t>، الفقرة 2 والمبدأ 4.</w:t>
      </w:r>
    </w:p>
  </w:footnote>
  <w:footnote w:id="190">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(190)</w:t>
      </w:r>
      <w:r w:rsidRPr="00333175">
        <w:rPr>
          <w:rFonts w:hint="cs"/>
          <w:rtl/>
        </w:rPr>
        <w:tab/>
        <w:t xml:space="preserve">انظر الوثيقة </w:t>
      </w:r>
      <w:r w:rsidRPr="00333175">
        <w:t>CCPR/C/TUR/CO/1</w:t>
      </w:r>
      <w:r w:rsidRPr="00333175">
        <w:rPr>
          <w:rFonts w:hint="cs"/>
          <w:rtl/>
        </w:rPr>
        <w:t>، الفقرة 17، و</w:t>
      </w:r>
      <w:r w:rsidRPr="00333175">
        <w:t>www.ohchr.org/Documents/Issues/RuleOfLaw/</w:t>
      </w:r>
      <w:r>
        <w:br/>
      </w:r>
      <w:r w:rsidRPr="00333175">
        <w:t>Overincarceration/QUNO.pdf</w:t>
      </w:r>
      <w:r w:rsidRPr="00333175">
        <w:rPr>
          <w:rFonts w:hint="cs"/>
          <w:rtl/>
        </w:rPr>
        <w:t>.</w:t>
      </w:r>
    </w:p>
  </w:footnote>
  <w:footnote w:id="19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(191)</w:t>
      </w:r>
      <w:r>
        <w:rPr>
          <w:rFonts w:hint="cs"/>
          <w:w w:val="103"/>
          <w:rtl/>
        </w:rPr>
        <w:tab/>
      </w:r>
      <w:r w:rsidRPr="00967BA8">
        <w:rPr>
          <w:rFonts w:hint="cs"/>
          <w:w w:val="103"/>
          <w:rtl/>
        </w:rPr>
        <w:t xml:space="preserve">انظر الوثيقة </w:t>
      </w:r>
      <w:r w:rsidRPr="00967BA8">
        <w:rPr>
          <w:w w:val="103"/>
        </w:rPr>
        <w:t>A/HRC/27/47</w:t>
      </w:r>
      <w:r w:rsidRPr="00967BA8">
        <w:rPr>
          <w:rFonts w:hint="cs"/>
          <w:w w:val="103"/>
          <w:rtl/>
        </w:rPr>
        <w:t>، الفقرة 16.</w:t>
      </w:r>
    </w:p>
  </w:footnote>
  <w:footnote w:id="19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(192)</w:t>
      </w:r>
      <w:r>
        <w:rPr>
          <w:rFonts w:hint="cs"/>
          <w:w w:val="103"/>
          <w:rtl/>
        </w:rPr>
        <w:tab/>
      </w:r>
      <w:r w:rsidRPr="00967BA8">
        <w:rPr>
          <w:rFonts w:hint="cs"/>
          <w:w w:val="103"/>
          <w:rtl/>
        </w:rPr>
        <w:t xml:space="preserve">انظر الوثيقة </w:t>
      </w:r>
      <w:r w:rsidRPr="00967BA8">
        <w:rPr>
          <w:w w:val="103"/>
        </w:rPr>
        <w:t>A/HRC/30/37</w:t>
      </w:r>
      <w:r w:rsidRPr="00967BA8">
        <w:rPr>
          <w:rFonts w:hint="cs"/>
          <w:w w:val="103"/>
          <w:rtl/>
        </w:rPr>
        <w:t>، المبدأ 13.</w:t>
      </w:r>
    </w:p>
  </w:footnote>
  <w:footnote w:id="19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(193)</w:t>
      </w:r>
      <w:r>
        <w:rPr>
          <w:rFonts w:hint="cs"/>
          <w:w w:val="103"/>
          <w:rtl/>
        </w:rPr>
        <w:tab/>
      </w:r>
      <w:r w:rsidRPr="00967BA8">
        <w:rPr>
          <w:rFonts w:hint="cs"/>
          <w:w w:val="103"/>
          <w:rtl/>
        </w:rPr>
        <w:t xml:space="preserve">انظر الوثيقة </w:t>
      </w:r>
      <w:r w:rsidRPr="00967BA8">
        <w:rPr>
          <w:w w:val="103"/>
        </w:rPr>
        <w:t>A/HRC/30/37</w:t>
      </w:r>
      <w:r w:rsidRPr="00967BA8">
        <w:rPr>
          <w:rFonts w:hint="cs"/>
          <w:w w:val="103"/>
          <w:rtl/>
        </w:rPr>
        <w:t>، المبدأ 9.</w:t>
      </w:r>
    </w:p>
  </w:footnote>
  <w:footnote w:id="194">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(194)</w:t>
      </w:r>
      <w:r w:rsidRPr="00333175">
        <w:rPr>
          <w:rFonts w:hint="cs"/>
          <w:rtl/>
        </w:rPr>
        <w:tab/>
        <w:t>انظر قرار الجمعية العامة 67/187، المرفق، الفقرتين 9 و10؛ و</w:t>
      </w:r>
      <w:r w:rsidRPr="00333175">
        <w:t>www.ohchr.org/Documents/Issues/RuleOfLaw/</w:t>
      </w:r>
      <w:r>
        <w:br/>
      </w:r>
      <w:r w:rsidRPr="00333175">
        <w:t>Overincarceration/OSJI.pdf</w:t>
      </w:r>
      <w:r>
        <w:rPr>
          <w:rFonts w:hint="cs"/>
          <w:rtl/>
        </w:rPr>
        <w:t xml:space="preserve">؛ </w:t>
      </w:r>
      <w:r w:rsidRPr="00333175">
        <w:rPr>
          <w:rFonts w:hint="cs"/>
          <w:rtl/>
        </w:rPr>
        <w:t>و</w:t>
      </w:r>
      <w:r w:rsidRPr="00333175">
        <w:t>www.ohchr.org/Documents/Issues/RuleOfLaw/Overincarceration/PRI.pdf</w:t>
      </w:r>
      <w:r w:rsidRPr="00333175">
        <w:rPr>
          <w:rFonts w:hint="cs"/>
          <w:rtl/>
        </w:rPr>
        <w:t>.</w:t>
      </w:r>
    </w:p>
  </w:footnote>
  <w:footnote w:id="19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(195)</w:t>
      </w:r>
      <w:r>
        <w:rPr>
          <w:rFonts w:hint="cs"/>
          <w:w w:val="103"/>
          <w:rtl/>
        </w:rPr>
        <w:tab/>
      </w:r>
      <w:r w:rsidRPr="00967BA8">
        <w:rPr>
          <w:rFonts w:hint="cs"/>
          <w:w w:val="103"/>
          <w:rtl/>
        </w:rPr>
        <w:t xml:space="preserve">لكن هناك أيضاً تقارير تتحدّث عن سجناء محتجزين في أماكن لم يكن من المقرّر يوماً استخدامها لأغراض الاحتجاز، ما يفاقم إلى حدّ كبير المشاكل التي يسبّبها اكتظاظ السجون. انظر </w:t>
      </w:r>
      <w:r w:rsidRPr="00967BA8">
        <w:rPr>
          <w:w w:val="103"/>
        </w:rPr>
        <w:t>www.achpr.org/files/sessions/</w:t>
      </w:r>
      <w:r>
        <w:rPr>
          <w:w w:val="103"/>
        </w:rPr>
        <w:br/>
      </w:r>
      <w:r w:rsidRPr="00967BA8">
        <w:rPr>
          <w:w w:val="103"/>
        </w:rPr>
        <w:t>12th-eo/mission-reports/promotion_mission-2012/mission_report_mauritania_cpta_eng.pdf</w:t>
      </w:r>
      <w:r w:rsidRPr="00967BA8">
        <w:rPr>
          <w:rFonts w:hint="cs"/>
          <w:w w:val="103"/>
          <w:rtl/>
        </w:rPr>
        <w:t>، الفقرة 75.</w:t>
      </w:r>
    </w:p>
  </w:footnote>
  <w:footnote w:id="19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(196)</w:t>
      </w:r>
      <w:r>
        <w:rPr>
          <w:rFonts w:hint="cs"/>
          <w:w w:val="103"/>
          <w:rtl/>
        </w:rPr>
        <w:tab/>
      </w:r>
      <w:r w:rsidRPr="00967BA8">
        <w:rPr>
          <w:rFonts w:hint="cs"/>
          <w:w w:val="103"/>
          <w:rtl/>
        </w:rPr>
        <w:t xml:space="preserve">انظر الوثيقة </w:t>
      </w:r>
      <w:r w:rsidRPr="00967BA8">
        <w:rPr>
          <w:w w:val="103"/>
        </w:rPr>
        <w:t>A/HRC/13/39/Add.5</w:t>
      </w:r>
      <w:r w:rsidRPr="00967BA8">
        <w:rPr>
          <w:rFonts w:hint="cs"/>
          <w:w w:val="103"/>
          <w:rtl/>
        </w:rPr>
        <w:t>، الفقرة 91.</w:t>
      </w:r>
    </w:p>
  </w:footnote>
  <w:footnote w:id="19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(197)</w:t>
      </w:r>
      <w:r>
        <w:rPr>
          <w:rFonts w:hint="cs"/>
          <w:w w:val="103"/>
          <w:rtl/>
        </w:rPr>
        <w:tab/>
      </w:r>
      <w:r w:rsidRPr="00967BA8">
        <w:rPr>
          <w:rFonts w:hint="cs"/>
          <w:w w:val="103"/>
          <w:rtl/>
        </w:rPr>
        <w:t xml:space="preserve">انظر الوثيقة </w:t>
      </w:r>
      <w:r w:rsidRPr="00967BA8">
        <w:rPr>
          <w:w w:val="103"/>
        </w:rPr>
        <w:t>A/HRC/22/53/Add.2</w:t>
      </w:r>
      <w:r w:rsidRPr="00967BA8">
        <w:rPr>
          <w:rFonts w:hint="cs"/>
          <w:w w:val="103"/>
          <w:rtl/>
        </w:rPr>
        <w:t xml:space="preserve">، الفقرة 46؛ والوثيقة </w:t>
      </w:r>
      <w:r w:rsidRPr="00967BA8">
        <w:rPr>
          <w:w w:val="103"/>
        </w:rPr>
        <w:t>A/HRC/25/60/Add.1</w:t>
      </w:r>
      <w:r w:rsidRPr="00967BA8">
        <w:rPr>
          <w:rFonts w:hint="cs"/>
          <w:w w:val="103"/>
          <w:rtl/>
        </w:rPr>
        <w:t>، الفقرة 40.</w:t>
      </w:r>
    </w:p>
  </w:footnote>
  <w:footnote w:id="19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(198)</w:t>
      </w:r>
      <w:r>
        <w:rPr>
          <w:rFonts w:hint="cs"/>
          <w:w w:val="103"/>
          <w:rtl/>
        </w:rPr>
        <w:tab/>
      </w:r>
      <w:r w:rsidRPr="00967BA8">
        <w:rPr>
          <w:rFonts w:hint="cs"/>
          <w:w w:val="103"/>
          <w:rtl/>
        </w:rPr>
        <w:t xml:space="preserve">انظر الوثيقة </w:t>
      </w:r>
      <w:r w:rsidRPr="00967BA8">
        <w:rPr>
          <w:w w:val="103"/>
        </w:rPr>
        <w:t>CAT/OP/PRY/1</w:t>
      </w:r>
      <w:r w:rsidRPr="00967BA8">
        <w:rPr>
          <w:rFonts w:hint="cs"/>
          <w:w w:val="103"/>
          <w:rtl/>
        </w:rPr>
        <w:t xml:space="preserve">، الفقرة 46؛ والوثيقة </w:t>
      </w:r>
      <w:r w:rsidRPr="00967BA8">
        <w:rPr>
          <w:w w:val="103"/>
        </w:rPr>
        <w:t>CAT/C/TGO/CO/2</w:t>
      </w:r>
      <w:r w:rsidRPr="00967BA8">
        <w:rPr>
          <w:rFonts w:hint="cs"/>
          <w:w w:val="103"/>
          <w:rtl/>
        </w:rPr>
        <w:t xml:space="preserve">، الفقرة 13؛ والوثيقة </w:t>
      </w:r>
      <w:r w:rsidRPr="00967BA8">
        <w:rPr>
          <w:w w:val="103"/>
        </w:rPr>
        <w:t>CAT/OP/BEN/1</w:t>
      </w:r>
      <w:r w:rsidRPr="00967BA8">
        <w:rPr>
          <w:rFonts w:hint="cs"/>
          <w:w w:val="103"/>
          <w:rtl/>
        </w:rPr>
        <w:t>، الفقرة 161.</w:t>
      </w:r>
    </w:p>
  </w:footnote>
  <w:footnote w:id="199">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(199)</w:t>
      </w:r>
      <w:r w:rsidRPr="00333175">
        <w:rPr>
          <w:rFonts w:hint="cs"/>
          <w:rtl/>
        </w:rPr>
        <w:tab/>
        <w:t xml:space="preserve">انظر الوثيقة </w:t>
      </w:r>
      <w:r w:rsidRPr="00333175">
        <w:t>CAT/C/GBR/CO/5</w:t>
      </w:r>
      <w:r w:rsidRPr="00333175">
        <w:rPr>
          <w:rFonts w:hint="cs"/>
          <w:rtl/>
        </w:rPr>
        <w:t xml:space="preserve">، الفقرة 31؛ والوثيقة </w:t>
      </w:r>
      <w:r w:rsidRPr="00333175">
        <w:t>CCPR/C/FIN/CO/6</w:t>
      </w:r>
      <w:r w:rsidRPr="00333175">
        <w:rPr>
          <w:rFonts w:hint="cs"/>
          <w:rtl/>
        </w:rPr>
        <w:t xml:space="preserve">، الفقرة 10؛ والوثيقة </w:t>
      </w:r>
      <w:r w:rsidRPr="00333175">
        <w:t>A/HRC/28/68</w:t>
      </w:r>
      <w:r w:rsidRPr="00333175">
        <w:rPr>
          <w:rFonts w:hint="cs"/>
          <w:rtl/>
        </w:rPr>
        <w:t xml:space="preserve">، الفقرة 41. وانظر أيضاً اللجنة الأفريقية لحقوق الإنسان والشعوب، </w:t>
      </w:r>
      <w:r w:rsidRPr="00333175">
        <w:rPr>
          <w:rtl/>
        </w:rPr>
        <w:t>تقرير</w:t>
      </w:r>
      <w:r w:rsidRPr="00333175">
        <w:rPr>
          <w:rFonts w:hint="cs"/>
          <w:rtl/>
        </w:rPr>
        <w:t xml:space="preserve"> </w:t>
      </w:r>
      <w:r w:rsidRPr="00333175">
        <w:rPr>
          <w:rtl/>
        </w:rPr>
        <w:t>بعثة الترويج لنيجيريا</w:t>
      </w:r>
      <w:r w:rsidRPr="00333175">
        <w:rPr>
          <w:rFonts w:hint="cs"/>
          <w:rtl/>
        </w:rPr>
        <w:t xml:space="preserve"> (2009)، المتاح على العنوان التالي: </w:t>
      </w:r>
      <w:r w:rsidRPr="00333175">
        <w:t>www.achpr.org/states/nigeria/missions/promo-2009/</w:t>
      </w:r>
      <w:r w:rsidRPr="00333175">
        <w:rPr>
          <w:rFonts w:hint="cs"/>
          <w:rtl/>
        </w:rPr>
        <w:t>؛ و</w:t>
      </w:r>
      <w:r w:rsidRPr="00333175">
        <w:t>www.ohchr.org/Documents/Issues/</w:t>
      </w:r>
      <w:r>
        <w:br/>
      </w:r>
      <w:r w:rsidRPr="00333175">
        <w:t>RuleOfLaw/Overincarceration/CRIN.pdf</w:t>
      </w:r>
      <w:r w:rsidRPr="00333175">
        <w:rPr>
          <w:rFonts w:hint="cs"/>
          <w:rtl/>
        </w:rPr>
        <w:t>.</w:t>
      </w:r>
    </w:p>
  </w:footnote>
  <w:footnote w:id="20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(200)</w:t>
      </w:r>
      <w:r>
        <w:rPr>
          <w:rFonts w:hint="cs"/>
          <w:w w:val="103"/>
          <w:rtl/>
        </w:rPr>
        <w:tab/>
      </w:r>
      <w:r w:rsidRPr="00967BA8">
        <w:rPr>
          <w:rFonts w:hint="cs"/>
          <w:w w:val="103"/>
          <w:rtl/>
        </w:rPr>
        <w:t xml:space="preserve">انظر وثيقة مجلس أوروبا </w:t>
      </w:r>
      <w:r w:rsidRPr="00967BA8">
        <w:rPr>
          <w:w w:val="103"/>
        </w:rPr>
        <w:t>CPT/Inf (2014) 26</w:t>
      </w:r>
      <w:r w:rsidRPr="00967BA8">
        <w:rPr>
          <w:rFonts w:hint="cs"/>
          <w:w w:val="103"/>
          <w:rtl/>
        </w:rPr>
        <w:t>، الفقرة 13.</w:t>
      </w:r>
    </w:p>
  </w:footnote>
  <w:footnote w:id="20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(201)</w:t>
      </w:r>
      <w:r>
        <w:rPr>
          <w:rFonts w:hint="cs"/>
          <w:w w:val="103"/>
          <w:rtl/>
        </w:rPr>
        <w:tab/>
      </w:r>
      <w:r w:rsidRPr="00967BA8">
        <w:rPr>
          <w:rFonts w:hint="cs"/>
          <w:w w:val="103"/>
          <w:rtl/>
        </w:rPr>
        <w:t xml:space="preserve">انظر وثيقة مجلس أوروبا </w:t>
      </w:r>
      <w:r w:rsidRPr="00967BA8">
        <w:rPr>
          <w:w w:val="103"/>
        </w:rPr>
        <w:t>CPT/Inf (2014) 13</w:t>
      </w:r>
      <w:r w:rsidRPr="00967BA8">
        <w:rPr>
          <w:rFonts w:hint="cs"/>
          <w:w w:val="103"/>
          <w:rtl/>
        </w:rPr>
        <w:t>، الفقرة 39.</w:t>
      </w:r>
    </w:p>
  </w:footnote>
  <w:footnote w:id="20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(202)</w:t>
      </w:r>
      <w:r>
        <w:rPr>
          <w:rFonts w:hint="cs"/>
          <w:w w:val="103"/>
          <w:rtl/>
        </w:rPr>
        <w:tab/>
      </w:r>
      <w:r w:rsidRPr="00967BA8">
        <w:rPr>
          <w:rFonts w:hint="cs"/>
          <w:w w:val="103"/>
          <w:rtl/>
        </w:rPr>
        <w:t xml:space="preserve">انظر </w:t>
      </w:r>
      <w:r w:rsidRPr="00967BA8">
        <w:rPr>
          <w:w w:val="103"/>
        </w:rPr>
        <w:t>www.ohchr.org/Documents/Issues/RuleOfLaw/Overincarceration/Germany.pdf</w:t>
      </w:r>
      <w:r w:rsidRPr="00967BA8">
        <w:rPr>
          <w:rFonts w:hint="cs"/>
          <w:w w:val="103"/>
          <w:rtl/>
        </w:rPr>
        <w:t>.</w:t>
      </w:r>
    </w:p>
  </w:footnote>
  <w:footnote w:id="20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(203)</w:t>
      </w:r>
      <w:r>
        <w:rPr>
          <w:rFonts w:hint="cs"/>
          <w:w w:val="103"/>
          <w:rtl/>
        </w:rPr>
        <w:tab/>
      </w:r>
      <w:r w:rsidRPr="00967BA8">
        <w:rPr>
          <w:rFonts w:hint="cs"/>
          <w:w w:val="103"/>
          <w:rtl/>
        </w:rPr>
        <w:t xml:space="preserve">انظر الوثيقة </w:t>
      </w:r>
      <w:r w:rsidRPr="00967BA8">
        <w:rPr>
          <w:w w:val="103"/>
        </w:rPr>
        <w:t>CAT/C/54/2</w:t>
      </w:r>
      <w:r w:rsidRPr="00967BA8">
        <w:rPr>
          <w:rFonts w:hint="cs"/>
          <w:w w:val="103"/>
          <w:rtl/>
        </w:rPr>
        <w:t>، الفقرة 83.</w:t>
      </w:r>
    </w:p>
  </w:footnote>
  <w:footnote w:id="20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(204)</w:t>
      </w:r>
      <w:r>
        <w:rPr>
          <w:rFonts w:hint="cs"/>
          <w:w w:val="103"/>
          <w:rtl/>
        </w:rPr>
        <w:tab/>
      </w:r>
      <w:r w:rsidRPr="00967BA8">
        <w:rPr>
          <w:rFonts w:hint="cs"/>
          <w:w w:val="103"/>
          <w:rtl/>
        </w:rPr>
        <w:t xml:space="preserve">انظر المادتين 9 و14 من العهد الدولي الخاص بالحقوق المدنية والسياسية. وانظر أيضاً المادتين 6-1 و6-2 من </w:t>
      </w:r>
      <w:r w:rsidRPr="00967BA8">
        <w:rPr>
          <w:w w:val="103"/>
          <w:rtl/>
        </w:rPr>
        <w:t>قواعد الأمم المتحدة النموذجية الدنيا للتدابير غيـر الاحتجازيـة (قواعد طوكيو)</w:t>
      </w:r>
      <w:r w:rsidRPr="00967BA8">
        <w:rPr>
          <w:rFonts w:hint="cs"/>
          <w:w w:val="103"/>
          <w:rtl/>
        </w:rPr>
        <w:t xml:space="preserve">، وانظر الوثيقة </w:t>
      </w:r>
      <w:hyperlink r:id="rId15" w:tgtFrame="_blank" w:history="1">
        <w:r w:rsidRPr="00967BA8">
          <w:rPr>
            <w:w w:val="103"/>
          </w:rPr>
          <w:t>CCPR/C/GC/35</w:t>
        </w:r>
      </w:hyperlink>
      <w:r w:rsidRPr="00967BA8">
        <w:rPr>
          <w:rFonts w:hint="cs"/>
          <w:w w:val="103"/>
          <w:rtl/>
        </w:rPr>
        <w:t xml:space="preserve">، الفقرة 38؛ والوثيقة </w:t>
      </w:r>
      <w:hyperlink r:id="rId16" w:tgtFrame="_blank" w:history="1">
        <w:r w:rsidRPr="00967BA8">
          <w:rPr>
            <w:w w:val="103"/>
          </w:rPr>
          <w:t>A/HRC/19/57</w:t>
        </w:r>
      </w:hyperlink>
      <w:r w:rsidRPr="00967BA8">
        <w:rPr>
          <w:rFonts w:hint="cs"/>
          <w:w w:val="103"/>
          <w:rtl/>
        </w:rPr>
        <w:t>، الفقرة 48.</w:t>
      </w:r>
    </w:p>
  </w:footnote>
  <w:footnote w:id="20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(205)</w:t>
      </w:r>
      <w:r>
        <w:rPr>
          <w:rFonts w:hint="cs"/>
          <w:w w:val="103"/>
          <w:rtl/>
        </w:rPr>
        <w:tab/>
      </w:r>
      <w:r w:rsidRPr="00967BA8">
        <w:rPr>
          <w:rFonts w:hint="cs"/>
          <w:w w:val="103"/>
          <w:rtl/>
        </w:rPr>
        <w:t xml:space="preserve">انظر الوثيقة </w:t>
      </w:r>
      <w:hyperlink r:id="rId17" w:tgtFrame="_blank" w:history="1">
        <w:r w:rsidRPr="00967BA8">
          <w:rPr>
            <w:w w:val="103"/>
          </w:rPr>
          <w:t>CCPR/C/GC/35</w:t>
        </w:r>
      </w:hyperlink>
      <w:r w:rsidRPr="00967BA8">
        <w:rPr>
          <w:rFonts w:hint="cs"/>
          <w:w w:val="103"/>
          <w:rtl/>
        </w:rPr>
        <w:t>، الفقرة 38.</w:t>
      </w:r>
    </w:p>
  </w:footnote>
  <w:footnote w:id="20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(206)</w:t>
      </w:r>
      <w:r>
        <w:rPr>
          <w:rFonts w:hint="cs"/>
          <w:w w:val="103"/>
          <w:rtl/>
        </w:rPr>
        <w:tab/>
      </w:r>
      <w:r w:rsidRPr="00967BA8">
        <w:rPr>
          <w:rFonts w:hint="cs"/>
          <w:w w:val="103"/>
          <w:rtl/>
        </w:rPr>
        <w:t xml:space="preserve">انظر الوثيقة </w:t>
      </w:r>
      <w:hyperlink r:id="rId18" w:tgtFrame="_blank" w:history="1">
        <w:r w:rsidRPr="00967BA8">
          <w:rPr>
            <w:w w:val="103"/>
          </w:rPr>
          <w:t>CCPR/C/GC/35</w:t>
        </w:r>
      </w:hyperlink>
      <w:r w:rsidRPr="00967BA8">
        <w:rPr>
          <w:rFonts w:hint="cs"/>
          <w:w w:val="103"/>
          <w:rtl/>
        </w:rPr>
        <w:t>، الفقرة 38.</w:t>
      </w:r>
    </w:p>
  </w:footnote>
  <w:footnote w:id="20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(207)</w:t>
      </w:r>
      <w:r>
        <w:rPr>
          <w:rFonts w:hint="cs"/>
          <w:w w:val="103"/>
          <w:rtl/>
        </w:rPr>
        <w:tab/>
      </w:r>
      <w:r w:rsidRPr="00967BA8">
        <w:rPr>
          <w:rFonts w:hint="cs"/>
          <w:w w:val="103"/>
          <w:rtl/>
        </w:rPr>
        <w:t xml:space="preserve">انظر الوثيقة </w:t>
      </w:r>
      <w:hyperlink r:id="rId19" w:tgtFrame="_blank" w:history="1">
        <w:r w:rsidRPr="00967BA8">
          <w:rPr>
            <w:w w:val="103"/>
          </w:rPr>
          <w:t>CCPR/C/GC/35</w:t>
        </w:r>
      </w:hyperlink>
      <w:r w:rsidRPr="00967BA8">
        <w:rPr>
          <w:rFonts w:hint="cs"/>
          <w:w w:val="103"/>
          <w:rtl/>
        </w:rPr>
        <w:t>، الفقرة 37.</w:t>
      </w:r>
    </w:p>
  </w:footnote>
  <w:footnote w:id="20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(208)</w:t>
      </w:r>
      <w:r>
        <w:rPr>
          <w:rFonts w:hint="cs"/>
          <w:w w:val="103"/>
          <w:rtl/>
        </w:rPr>
        <w:tab/>
      </w:r>
      <w:r w:rsidRPr="00967BA8">
        <w:rPr>
          <w:rFonts w:hint="cs"/>
          <w:w w:val="103"/>
          <w:rtl/>
        </w:rPr>
        <w:t xml:space="preserve">انظر </w:t>
      </w:r>
      <w:r w:rsidRPr="00967BA8">
        <w:rPr>
          <w:w w:val="103"/>
        </w:rPr>
        <w:t>www.ohchr.org/Documents/Issues/RuleOfLaw/Overincarceration/LICAMDH_Cameroon.pdf</w:t>
      </w:r>
      <w:r>
        <w:rPr>
          <w:rFonts w:hint="cs"/>
          <w:w w:val="103"/>
          <w:rtl/>
        </w:rPr>
        <w:t>.</w:t>
      </w:r>
    </w:p>
  </w:footnote>
  <w:footnote w:id="20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(209)</w:t>
      </w:r>
      <w:r>
        <w:rPr>
          <w:rFonts w:hint="cs"/>
          <w:w w:val="103"/>
          <w:rtl/>
        </w:rPr>
        <w:tab/>
      </w:r>
      <w:r w:rsidRPr="00967BA8">
        <w:rPr>
          <w:rFonts w:hint="cs"/>
          <w:w w:val="103"/>
          <w:rtl/>
        </w:rPr>
        <w:t xml:space="preserve">انظر الوثيقة </w:t>
      </w:r>
      <w:r w:rsidRPr="00967BA8">
        <w:rPr>
          <w:w w:val="103"/>
        </w:rPr>
        <w:t>CCPR/C/GC/35</w:t>
      </w:r>
      <w:r w:rsidRPr="00967BA8">
        <w:rPr>
          <w:rFonts w:hint="cs"/>
          <w:w w:val="103"/>
          <w:rtl/>
        </w:rPr>
        <w:t xml:space="preserve">، الفقرة 38؛ والوثيقة </w:t>
      </w:r>
      <w:r w:rsidRPr="00967BA8">
        <w:rPr>
          <w:w w:val="103"/>
        </w:rPr>
        <w:t>CAT/OP/MLI/1</w:t>
      </w:r>
      <w:r w:rsidRPr="00967BA8">
        <w:rPr>
          <w:rFonts w:hint="cs"/>
          <w:w w:val="103"/>
          <w:rtl/>
        </w:rPr>
        <w:t>، الفقرة 30.</w:t>
      </w:r>
    </w:p>
  </w:footnote>
  <w:footnote w:id="21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(210)</w:t>
      </w:r>
      <w:r>
        <w:rPr>
          <w:rFonts w:hint="cs"/>
          <w:w w:val="103"/>
          <w:rtl/>
        </w:rPr>
        <w:tab/>
      </w:r>
      <w:r w:rsidRPr="00967BA8">
        <w:rPr>
          <w:rFonts w:hint="cs"/>
          <w:w w:val="103"/>
          <w:rtl/>
        </w:rPr>
        <w:t xml:space="preserve">انظر </w:t>
      </w:r>
      <w:r w:rsidRPr="00967BA8">
        <w:rPr>
          <w:w w:val="103"/>
          <w:rtl/>
        </w:rPr>
        <w:t>قواعد الأمم المتحدة النموذجية الدنيا للتدابير غيـر الاحتجازيـة (قواعد طوكيو)</w:t>
      </w:r>
      <w:r w:rsidRPr="00967BA8">
        <w:rPr>
          <w:rFonts w:hint="cs"/>
          <w:w w:val="103"/>
          <w:rtl/>
        </w:rPr>
        <w:t xml:space="preserve">، الوثيقة </w:t>
      </w:r>
      <w:r w:rsidRPr="00967BA8">
        <w:rPr>
          <w:w w:val="103"/>
        </w:rPr>
        <w:t>A/RES/45/110</w:t>
      </w:r>
      <w:r w:rsidRPr="00967BA8">
        <w:rPr>
          <w:rFonts w:hint="cs"/>
          <w:w w:val="103"/>
          <w:rtl/>
        </w:rPr>
        <w:t xml:space="preserve">، المرفق؛ وقواعد الأمم المتحدة لمعاملة النساء السجينات والتدابير غير الاحتجازية للجانحات (قواعد بانكوك)، الوثيقة </w:t>
      </w:r>
      <w:r w:rsidRPr="00967BA8">
        <w:rPr>
          <w:w w:val="103"/>
        </w:rPr>
        <w:t>A/RES/65/229</w:t>
      </w:r>
      <w:r w:rsidRPr="00967BA8">
        <w:rPr>
          <w:rFonts w:hint="cs"/>
          <w:w w:val="103"/>
          <w:rtl/>
        </w:rPr>
        <w:t xml:space="preserve">، المرفق. </w:t>
      </w:r>
    </w:p>
  </w:footnote>
  <w:footnote w:id="21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(211)</w:t>
      </w:r>
      <w:r>
        <w:rPr>
          <w:rFonts w:hint="cs"/>
          <w:w w:val="103"/>
          <w:rtl/>
        </w:rPr>
        <w:tab/>
      </w:r>
      <w:r w:rsidRPr="00967BA8">
        <w:rPr>
          <w:rFonts w:hint="cs"/>
          <w:w w:val="103"/>
          <w:rtl/>
        </w:rPr>
        <w:t xml:space="preserve">انظر الوثيقة </w:t>
      </w:r>
      <w:r w:rsidRPr="00967BA8">
        <w:rPr>
          <w:w w:val="103"/>
        </w:rPr>
        <w:t>CAT/C/ARM/CO/3</w:t>
      </w:r>
      <w:r w:rsidRPr="00967BA8">
        <w:rPr>
          <w:rFonts w:hint="cs"/>
          <w:w w:val="103"/>
          <w:rtl/>
        </w:rPr>
        <w:t xml:space="preserve">، الفقرة 19؛ والوثيقة </w:t>
      </w:r>
      <w:r w:rsidRPr="00967BA8">
        <w:rPr>
          <w:w w:val="103"/>
        </w:rPr>
        <w:t>CAT/C/BLR/CO/4</w:t>
      </w:r>
      <w:r w:rsidRPr="00967BA8">
        <w:rPr>
          <w:rFonts w:hint="cs"/>
          <w:w w:val="103"/>
          <w:rtl/>
        </w:rPr>
        <w:t xml:space="preserve">، الفقرة 19؛ والوثيقة </w:t>
      </w:r>
      <w:r w:rsidRPr="00967BA8">
        <w:rPr>
          <w:w w:val="103"/>
        </w:rPr>
        <w:t>CAT/C/FIN/CO/5-6</w:t>
      </w:r>
      <w:r w:rsidRPr="00967BA8">
        <w:rPr>
          <w:rFonts w:hint="cs"/>
          <w:w w:val="103"/>
          <w:rtl/>
        </w:rPr>
        <w:t xml:space="preserve">، الفقرة 14؛ والوثيقة </w:t>
      </w:r>
      <w:r w:rsidRPr="00967BA8">
        <w:rPr>
          <w:w w:val="103"/>
        </w:rPr>
        <w:t>CAT/C/GTM/CO/5-6</w:t>
      </w:r>
      <w:r w:rsidRPr="00967BA8">
        <w:rPr>
          <w:rFonts w:hint="cs"/>
          <w:w w:val="103"/>
          <w:rtl/>
        </w:rPr>
        <w:t xml:space="preserve">، الفقرة 18؛ والوثيقة </w:t>
      </w:r>
      <w:r w:rsidRPr="00967BA8">
        <w:rPr>
          <w:w w:val="103"/>
        </w:rPr>
        <w:t>CAT/C/KEN/CO/2</w:t>
      </w:r>
      <w:r w:rsidRPr="00967BA8">
        <w:rPr>
          <w:rFonts w:hint="cs"/>
          <w:w w:val="103"/>
          <w:rtl/>
        </w:rPr>
        <w:t xml:space="preserve">، الفقرة 12؛ والوثيقة </w:t>
      </w:r>
      <w:r w:rsidRPr="00967BA8">
        <w:rPr>
          <w:w w:val="103"/>
        </w:rPr>
        <w:t>CAT/C/SYR/CO/1</w:t>
      </w:r>
      <w:r w:rsidRPr="00967BA8">
        <w:rPr>
          <w:rFonts w:hint="cs"/>
          <w:w w:val="103"/>
          <w:rtl/>
        </w:rPr>
        <w:t xml:space="preserve">، الفقرة 30؛ والوثيقة </w:t>
      </w:r>
      <w:r w:rsidRPr="00967BA8">
        <w:rPr>
          <w:w w:val="103"/>
        </w:rPr>
        <w:t>E/CN.4/2004/56</w:t>
      </w:r>
      <w:r w:rsidRPr="00967BA8">
        <w:rPr>
          <w:rFonts w:hint="cs"/>
          <w:w w:val="103"/>
          <w:rtl/>
        </w:rPr>
        <w:t xml:space="preserve">، الفقرة 49؛ والوثيقة </w:t>
      </w:r>
      <w:r w:rsidRPr="00967BA8">
        <w:rPr>
          <w:w w:val="103"/>
        </w:rPr>
        <w:t>CCPR/C/IND/CO/1</w:t>
      </w:r>
      <w:r w:rsidRPr="00967BA8">
        <w:rPr>
          <w:rFonts w:hint="cs"/>
          <w:w w:val="103"/>
          <w:rtl/>
        </w:rPr>
        <w:t xml:space="preserve">، الفقرة 21؛ والوثيقة </w:t>
      </w:r>
      <w:r w:rsidRPr="00967BA8">
        <w:rPr>
          <w:w w:val="103"/>
        </w:rPr>
        <w:t>CCPR/C/PHL/CO/4</w:t>
      </w:r>
      <w:r w:rsidRPr="00967BA8">
        <w:rPr>
          <w:rFonts w:hint="cs"/>
          <w:w w:val="103"/>
          <w:rtl/>
        </w:rPr>
        <w:t>، الفقرة 19.</w:t>
      </w:r>
    </w:p>
  </w:footnote>
  <w:footnote w:id="21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sidRPr="005A0FBE">
        <w:rPr>
          <w:rFonts w:hint="cs"/>
          <w:spacing w:val="-4"/>
          <w:rtl/>
        </w:rPr>
        <w:tab/>
      </w:r>
      <w:r w:rsidRPr="005A0FBE">
        <w:rPr>
          <w:spacing w:val="-4"/>
          <w:rtl/>
        </w:rPr>
        <w:t>(212)</w:t>
      </w:r>
      <w:r w:rsidRPr="005A0FBE">
        <w:rPr>
          <w:rFonts w:hint="cs"/>
          <w:spacing w:val="-4"/>
          <w:w w:val="103"/>
          <w:rtl/>
        </w:rPr>
        <w:tab/>
        <w:t xml:space="preserve">انظر وثيقة مجلس أوروبا </w:t>
      </w:r>
      <w:r w:rsidRPr="005A0FBE">
        <w:rPr>
          <w:spacing w:val="-4"/>
          <w:w w:val="103"/>
        </w:rPr>
        <w:t>CPT/Inf (2015) 12</w:t>
      </w:r>
      <w:r w:rsidRPr="005A0FBE">
        <w:rPr>
          <w:rFonts w:hint="cs"/>
          <w:spacing w:val="-4"/>
          <w:w w:val="103"/>
          <w:rtl/>
        </w:rPr>
        <w:t>، الفقرة 44؛ و</w:t>
      </w:r>
      <w:r w:rsidRPr="005A0FBE">
        <w:rPr>
          <w:spacing w:val="-4"/>
          <w:w w:val="103"/>
        </w:rPr>
        <w:t xml:space="preserve">www.achpr.org/files/sessions/37th/mission-reports/ </w:t>
      </w:r>
      <w:r w:rsidRPr="00967BA8">
        <w:rPr>
          <w:w w:val="103"/>
        </w:rPr>
        <w:t>ethiopia/misrep_specmec_priso_ethopia_2004_eng.pdf</w:t>
      </w:r>
      <w:r w:rsidRPr="00967BA8">
        <w:rPr>
          <w:rFonts w:hint="cs"/>
          <w:w w:val="103"/>
          <w:rtl/>
        </w:rPr>
        <w:t>، ص 45.</w:t>
      </w:r>
    </w:p>
  </w:footnote>
  <w:footnote w:id="213">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(213)</w:t>
      </w:r>
      <w:r w:rsidRPr="00333175">
        <w:rPr>
          <w:rFonts w:hint="cs"/>
          <w:rtl/>
        </w:rPr>
        <w:tab/>
        <w:t xml:space="preserve">انظر </w:t>
      </w:r>
      <w:r w:rsidRPr="00333175">
        <w:t>www.ohchr.org/Documents/Issues/RuleOfL</w:t>
      </w:r>
      <w:r>
        <w:t>aw/Overincarceration/Serbia.pdf</w:t>
      </w:r>
      <w:r>
        <w:rPr>
          <w:rFonts w:hint="cs"/>
          <w:rtl/>
        </w:rPr>
        <w:t xml:space="preserve">؛ </w:t>
      </w:r>
      <w:r w:rsidRPr="00333175">
        <w:rPr>
          <w:rFonts w:hint="cs"/>
          <w:rtl/>
        </w:rPr>
        <w:t>و</w:t>
      </w:r>
      <w:r w:rsidRPr="00333175">
        <w:t>www.ohchr.org/</w:t>
      </w:r>
      <w:r>
        <w:br/>
      </w:r>
      <w:r w:rsidRPr="00333175">
        <w:t>Documents/Issues/RuleOfLaw/Overincarceration/SUHAKAM_Malaysia.pdf</w:t>
      </w:r>
      <w:r w:rsidRPr="00333175">
        <w:rPr>
          <w:rFonts w:hint="cs"/>
          <w:rtl/>
        </w:rPr>
        <w:t>.</w:t>
      </w:r>
    </w:p>
  </w:footnote>
  <w:footnote w:id="21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(214)</w:t>
      </w:r>
      <w:r>
        <w:rPr>
          <w:rFonts w:hint="cs"/>
          <w:w w:val="103"/>
          <w:rtl/>
        </w:rPr>
        <w:tab/>
      </w:r>
      <w:r w:rsidRPr="00967BA8">
        <w:rPr>
          <w:rFonts w:hint="cs"/>
          <w:w w:val="103"/>
          <w:rtl/>
        </w:rPr>
        <w:t xml:space="preserve">انظر وثيقة مجلس أوروبا </w:t>
      </w:r>
      <w:r w:rsidRPr="00967BA8">
        <w:rPr>
          <w:w w:val="103"/>
        </w:rPr>
        <w:t>CPT/Inf (2014) 31</w:t>
      </w:r>
      <w:r w:rsidRPr="00967BA8">
        <w:rPr>
          <w:rFonts w:hint="cs"/>
          <w:w w:val="103"/>
          <w:rtl/>
        </w:rPr>
        <w:t xml:space="preserve">، الفقرة 56. وانظر أيضاً الوثيقة </w:t>
      </w:r>
      <w:r w:rsidRPr="00967BA8">
        <w:rPr>
          <w:w w:val="103"/>
        </w:rPr>
        <w:t>CAT/OP/NZL/1</w:t>
      </w:r>
      <w:r w:rsidRPr="00967BA8">
        <w:rPr>
          <w:rFonts w:hint="cs"/>
          <w:w w:val="103"/>
          <w:rtl/>
        </w:rPr>
        <w:t>، الفقرة 33.</w:t>
      </w:r>
    </w:p>
  </w:footnote>
  <w:footnote w:id="21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(215)</w:t>
      </w:r>
      <w:r>
        <w:rPr>
          <w:rFonts w:hint="cs"/>
          <w:w w:val="103"/>
          <w:rtl/>
        </w:rPr>
        <w:tab/>
      </w:r>
      <w:r w:rsidRPr="00967BA8">
        <w:rPr>
          <w:rFonts w:hint="cs"/>
          <w:w w:val="103"/>
          <w:rtl/>
        </w:rPr>
        <w:t xml:space="preserve">انظر </w:t>
      </w:r>
      <w:r w:rsidRPr="00967BA8">
        <w:rPr>
          <w:w w:val="103"/>
        </w:rPr>
        <w:t>www.achpr.org/files/sessions/52nd/inter-act-reps/185/activty_report_prisons_eng.pdf</w:t>
      </w:r>
      <w:r w:rsidRPr="00967BA8">
        <w:rPr>
          <w:rFonts w:hint="cs"/>
          <w:w w:val="103"/>
          <w:rtl/>
        </w:rPr>
        <w:t>، ص 22.</w:t>
      </w:r>
    </w:p>
  </w:footnote>
  <w:footnote w:id="21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(216)</w:t>
      </w:r>
      <w:r>
        <w:rPr>
          <w:rFonts w:hint="cs"/>
          <w:w w:val="103"/>
          <w:rtl/>
        </w:rPr>
        <w:tab/>
      </w:r>
      <w:r w:rsidRPr="00967BA8">
        <w:rPr>
          <w:rFonts w:hint="cs"/>
          <w:w w:val="103"/>
          <w:rtl/>
        </w:rPr>
        <w:t xml:space="preserve">انظر وثيقة مجلس أوروبا </w:t>
      </w:r>
      <w:r w:rsidRPr="00967BA8">
        <w:rPr>
          <w:w w:val="103"/>
        </w:rPr>
        <w:t>CPT/Inf(2014) 15</w:t>
      </w:r>
      <w:r w:rsidRPr="00967BA8">
        <w:rPr>
          <w:rFonts w:hint="cs"/>
          <w:w w:val="103"/>
          <w:rtl/>
        </w:rPr>
        <w:t>، الفقرة 98.</w:t>
      </w:r>
    </w:p>
  </w:footnote>
  <w:footnote w:id="21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(217)</w:t>
      </w:r>
      <w:r>
        <w:rPr>
          <w:rFonts w:hint="cs"/>
          <w:w w:val="103"/>
          <w:rtl/>
        </w:rPr>
        <w:tab/>
      </w:r>
      <w:r w:rsidRPr="00967BA8">
        <w:rPr>
          <w:rFonts w:hint="cs"/>
          <w:w w:val="103"/>
          <w:rtl/>
        </w:rPr>
        <w:t xml:space="preserve">انظر </w:t>
      </w:r>
      <w:r w:rsidRPr="00967BA8">
        <w:rPr>
          <w:w w:val="103"/>
        </w:rPr>
        <w:t>www.ohchr.org/Documents/Issues/RuleOfLaw/Overincarceration/Germany.pdf</w:t>
      </w:r>
      <w:r w:rsidRPr="00967BA8">
        <w:rPr>
          <w:rFonts w:hint="cs"/>
          <w:w w:val="103"/>
          <w:rtl/>
        </w:rPr>
        <w:t>.</w:t>
      </w:r>
    </w:p>
  </w:footnote>
  <w:footnote w:id="21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(218)</w:t>
      </w:r>
      <w:r>
        <w:rPr>
          <w:rFonts w:hint="cs"/>
          <w:w w:val="103"/>
          <w:rtl/>
        </w:rPr>
        <w:tab/>
      </w:r>
      <w:r w:rsidRPr="00967BA8">
        <w:rPr>
          <w:rFonts w:hint="cs"/>
          <w:w w:val="103"/>
          <w:rtl/>
        </w:rPr>
        <w:t xml:space="preserve">انظر </w:t>
      </w:r>
      <w:r w:rsidRPr="00967BA8">
        <w:rPr>
          <w:w w:val="103"/>
        </w:rPr>
        <w:t>www.ohchr.org/Documents/Issues/RuleOfLaw/Overincarceration/OPO_Finland.pdf</w:t>
      </w:r>
      <w:r w:rsidRPr="00967BA8">
        <w:rPr>
          <w:rFonts w:hint="cs"/>
          <w:w w:val="103"/>
          <w:rtl/>
        </w:rPr>
        <w:t>.</w:t>
      </w:r>
    </w:p>
  </w:footnote>
  <w:footnote w:id="21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(219)</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99.</w:t>
      </w:r>
    </w:p>
  </w:footnote>
  <w:footnote w:id="22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(220)</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99.</w:t>
      </w:r>
    </w:p>
  </w:footnote>
  <w:footnote w:id="221">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(221)</w:t>
      </w:r>
      <w:r w:rsidRPr="00333175">
        <w:rPr>
          <w:rFonts w:hint="cs"/>
          <w:rtl/>
        </w:rPr>
        <w:tab/>
        <w:t xml:space="preserve">انظر الوثيقة </w:t>
      </w:r>
      <w:r w:rsidRPr="00333175">
        <w:t>CRC/C/AZE/CO/3-4</w:t>
      </w:r>
      <w:r w:rsidRPr="00333175">
        <w:rPr>
          <w:rFonts w:hint="cs"/>
          <w:rtl/>
        </w:rPr>
        <w:t xml:space="preserve">، الفقرة 75؛ والوثيقة </w:t>
      </w:r>
      <w:r w:rsidRPr="00333175">
        <w:t>A/HRC/22/53/Add.2</w:t>
      </w:r>
      <w:r w:rsidRPr="00333175">
        <w:rPr>
          <w:rFonts w:hint="cs"/>
          <w:rtl/>
        </w:rPr>
        <w:t xml:space="preserve">، الفقرة 92؛ والوثيقة </w:t>
      </w:r>
      <w:r w:rsidRPr="00333175">
        <w:t>A/HRC/28/68</w:t>
      </w:r>
      <w:r w:rsidRPr="00333175">
        <w:rPr>
          <w:rFonts w:hint="cs"/>
          <w:rtl/>
        </w:rPr>
        <w:t>، الفقرة 39، و</w:t>
      </w:r>
      <w:r w:rsidRPr="00333175">
        <w:t>www.ohchr.org/Documents/Issues/RuleOfLaw/Overincarceration/QUNO.pdf</w:t>
      </w:r>
      <w:r w:rsidRPr="00333175">
        <w:rPr>
          <w:rFonts w:hint="cs"/>
          <w:rtl/>
        </w:rPr>
        <w:t>.</w:t>
      </w:r>
    </w:p>
  </w:footnote>
  <w:footnote w:id="22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(222)</w:t>
      </w:r>
      <w:r>
        <w:rPr>
          <w:rFonts w:hint="cs"/>
          <w:w w:val="103"/>
          <w:rtl/>
        </w:rPr>
        <w:tab/>
      </w:r>
      <w:r w:rsidRPr="00967BA8">
        <w:rPr>
          <w:rFonts w:hint="cs"/>
          <w:w w:val="103"/>
          <w:rtl/>
        </w:rPr>
        <w:t>انظر</w:t>
      </w:r>
      <w:r>
        <w:rPr>
          <w:rFonts w:hint="cs"/>
          <w:w w:val="103"/>
          <w:rtl/>
        </w:rPr>
        <w:t xml:space="preserve"> </w:t>
      </w:r>
      <w:r w:rsidRPr="00967BA8">
        <w:rPr>
          <w:w w:val="103"/>
        </w:rPr>
        <w:t>www.ohchr.org/Documents/Issues/RuleOfLaw/Overincarceration/CNDH_Mexico.pdf</w:t>
      </w:r>
      <w:r w:rsidRPr="00967BA8">
        <w:rPr>
          <w:rFonts w:hint="cs"/>
          <w:w w:val="103"/>
          <w:rtl/>
        </w:rPr>
        <w:t>.</w:t>
      </w:r>
    </w:p>
  </w:footnote>
  <w:footnote w:id="22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(223)</w:t>
      </w:r>
      <w:r>
        <w:rPr>
          <w:rFonts w:hint="cs"/>
          <w:w w:val="103"/>
          <w:rtl/>
        </w:rPr>
        <w:tab/>
      </w:r>
      <w:r w:rsidRPr="00967BA8">
        <w:rPr>
          <w:rFonts w:hint="cs"/>
          <w:w w:val="103"/>
          <w:rtl/>
        </w:rPr>
        <w:t xml:space="preserve">انظر </w:t>
      </w:r>
      <w:r w:rsidRPr="00967BA8">
        <w:rPr>
          <w:w w:val="103"/>
        </w:rPr>
        <w:t>www.ohchr.org/Documents/Issues/RuleOfLaw/Overincarceration/NCHR_Slovakia.pdf</w:t>
      </w:r>
      <w:r w:rsidRPr="00967BA8">
        <w:rPr>
          <w:rFonts w:hint="cs"/>
          <w:w w:val="103"/>
          <w:rtl/>
        </w:rPr>
        <w:t>.</w:t>
      </w:r>
    </w:p>
  </w:footnote>
  <w:footnote w:id="22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(224)</w:t>
      </w:r>
      <w:r>
        <w:rPr>
          <w:rFonts w:hint="cs"/>
          <w:w w:val="103"/>
          <w:rtl/>
        </w:rPr>
        <w:tab/>
      </w:r>
      <w:r w:rsidRPr="00967BA8">
        <w:rPr>
          <w:rFonts w:hint="cs"/>
          <w:w w:val="103"/>
          <w:rtl/>
        </w:rPr>
        <w:t xml:space="preserve">انظر الوثيقة </w:t>
      </w:r>
      <w:r w:rsidRPr="00967BA8">
        <w:rPr>
          <w:w w:val="103"/>
        </w:rPr>
        <w:t>E/CN.4/2006/7</w:t>
      </w:r>
      <w:r w:rsidRPr="00967BA8">
        <w:rPr>
          <w:rFonts w:hint="cs"/>
          <w:w w:val="103"/>
          <w:rtl/>
        </w:rPr>
        <w:t xml:space="preserve">، الفقرة 63؛ والوثيقة </w:t>
      </w:r>
      <w:r w:rsidRPr="00967BA8">
        <w:rPr>
          <w:w w:val="103"/>
        </w:rPr>
        <w:t>CAT/OP/MDV/1</w:t>
      </w:r>
      <w:r w:rsidRPr="00967BA8">
        <w:rPr>
          <w:rFonts w:hint="cs"/>
          <w:w w:val="103"/>
          <w:rtl/>
        </w:rPr>
        <w:t>، الفقرة 220.</w:t>
      </w:r>
    </w:p>
  </w:footnote>
  <w:footnote w:id="22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(225)</w:t>
      </w:r>
      <w:r>
        <w:rPr>
          <w:rFonts w:hint="cs"/>
          <w:w w:val="103"/>
          <w:rtl/>
        </w:rPr>
        <w:tab/>
      </w:r>
      <w:r w:rsidRPr="00967BA8">
        <w:rPr>
          <w:rFonts w:hint="cs"/>
          <w:w w:val="103"/>
          <w:rtl/>
        </w:rPr>
        <w:t xml:space="preserve">انظر الوثيقة </w:t>
      </w:r>
      <w:r w:rsidRPr="00967BA8">
        <w:rPr>
          <w:w w:val="103"/>
        </w:rPr>
        <w:t>CAT/C/MDA/CO/2</w:t>
      </w:r>
      <w:r w:rsidRPr="00967BA8">
        <w:rPr>
          <w:rFonts w:hint="cs"/>
          <w:w w:val="103"/>
          <w:rtl/>
        </w:rPr>
        <w:t>، الفقرة 18.</w:t>
      </w:r>
    </w:p>
  </w:footnote>
  <w:footnote w:id="22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(226)</w:t>
      </w:r>
      <w:r>
        <w:rPr>
          <w:rFonts w:hint="cs"/>
          <w:w w:val="103"/>
          <w:rtl/>
        </w:rPr>
        <w:tab/>
      </w:r>
      <w:r w:rsidRPr="00967BA8">
        <w:rPr>
          <w:rFonts w:hint="cs"/>
          <w:w w:val="103"/>
          <w:rtl/>
        </w:rPr>
        <w:t xml:space="preserve">انظر وثيقة مجلس أوروبا </w:t>
      </w:r>
      <w:r w:rsidRPr="00967BA8">
        <w:rPr>
          <w:w w:val="103"/>
        </w:rPr>
        <w:t>CPT/Inf (2014) 15</w:t>
      </w:r>
      <w:r w:rsidRPr="00967BA8">
        <w:rPr>
          <w:rFonts w:hint="cs"/>
          <w:w w:val="103"/>
          <w:rtl/>
        </w:rPr>
        <w:t>، الفقرة 98.</w:t>
      </w:r>
    </w:p>
  </w:footnote>
  <w:footnote w:id="227">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(227)</w:t>
      </w:r>
      <w:r w:rsidRPr="00333175">
        <w:rPr>
          <w:rFonts w:hint="cs"/>
          <w:rtl/>
        </w:rPr>
        <w:tab/>
        <w:t xml:space="preserve">انظر </w:t>
      </w:r>
      <w:hyperlink r:id="rId20" w:history="1">
        <w:r w:rsidRPr="00333175">
          <w:t>www.ohchr.org/Documents/Issues/RuleOfLaw/Overincarceration/RussianFederation.pdf</w:t>
        </w:r>
      </w:hyperlink>
      <w:r w:rsidRPr="00333175">
        <w:rPr>
          <w:rFonts w:hint="cs"/>
          <w:rtl/>
        </w:rPr>
        <w:t>، و</w:t>
      </w:r>
      <w:r w:rsidRPr="00333175">
        <w:t>www.ohchr.</w:t>
      </w:r>
      <w:r>
        <w:br/>
      </w:r>
      <w:r w:rsidRPr="00333175">
        <w:t>org/Documents/Issues/RuleOfLaw/Overincarceration/Kazakhstan.pdf</w:t>
      </w:r>
      <w:r w:rsidRPr="00333175">
        <w:rPr>
          <w:rFonts w:hint="cs"/>
          <w:rtl/>
        </w:rPr>
        <w:t>.</w:t>
      </w:r>
    </w:p>
  </w:footnote>
  <w:footnote w:id="22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(228)</w:t>
      </w:r>
      <w:r>
        <w:rPr>
          <w:rFonts w:hint="cs"/>
          <w:w w:val="103"/>
          <w:rtl/>
        </w:rPr>
        <w:tab/>
      </w:r>
      <w:r w:rsidRPr="00967BA8">
        <w:rPr>
          <w:rFonts w:hint="cs"/>
          <w:w w:val="103"/>
          <w:rtl/>
        </w:rPr>
        <w:t xml:space="preserve">انظر الوثيقة </w:t>
      </w:r>
      <w:r w:rsidRPr="00967BA8">
        <w:rPr>
          <w:w w:val="103"/>
        </w:rPr>
        <w:t>A/HRC/25/60/Add.1</w:t>
      </w:r>
      <w:r w:rsidRPr="00967BA8">
        <w:rPr>
          <w:rFonts w:hint="cs"/>
          <w:w w:val="103"/>
          <w:rtl/>
        </w:rPr>
        <w:t>، الفقرة 84.</w:t>
      </w:r>
    </w:p>
  </w:footnote>
  <w:footnote w:id="229">
    <w:p w:rsidR="005A1EB0" w:rsidRPr="00333175" w:rsidRDefault="005A1EB0" w:rsidP="005A1EB0">
      <w:pPr>
        <w:pStyle w:val="FootnoteText"/>
        <w:tabs>
          <w:tab w:val="clear" w:pos="418"/>
          <w:tab w:val="right" w:pos="1195"/>
          <w:tab w:val="left" w:pos="1267"/>
          <w:tab w:val="left" w:pos="1656"/>
          <w:tab w:val="left" w:pos="2088"/>
        </w:tabs>
        <w:spacing w:after="80"/>
        <w:ind w:left="1267" w:right="1267" w:hanging="547"/>
      </w:pPr>
      <w:r w:rsidRPr="00333175">
        <w:rPr>
          <w:rFonts w:hint="cs"/>
          <w:rtl/>
        </w:rPr>
        <w:tab/>
      </w:r>
      <w:r w:rsidRPr="00333175">
        <w:rPr>
          <w:rtl/>
        </w:rPr>
        <w:t>(229)</w:t>
      </w:r>
      <w:r w:rsidRPr="00333175">
        <w:rPr>
          <w:rFonts w:hint="cs"/>
          <w:rtl/>
        </w:rPr>
        <w:tab/>
        <w:t xml:space="preserve">انظر الوثيقة </w:t>
      </w:r>
      <w:r w:rsidRPr="00333175">
        <w:t>A/HRC/25/60/Add.1</w:t>
      </w:r>
      <w:r w:rsidRPr="00333175">
        <w:rPr>
          <w:rFonts w:hint="cs"/>
          <w:rtl/>
        </w:rPr>
        <w:t xml:space="preserve">، الفقرة 99؛ ووثيقة مجلس أوروبا </w:t>
      </w:r>
      <w:r w:rsidRPr="00333175">
        <w:t>CPT/Inf (2015) 12</w:t>
      </w:r>
      <w:r w:rsidRPr="00333175">
        <w:rPr>
          <w:rFonts w:hint="cs"/>
          <w:rtl/>
        </w:rPr>
        <w:t xml:space="preserve">، الفقرة 44. وانظر أيضاً </w:t>
      </w:r>
      <w:r w:rsidRPr="00333175">
        <w:t>www.achpr.org/files/sessions/37th/mission-reports/prisons-2004/misrep_specmec_priso_southafrica_2004_</w:t>
      </w:r>
      <w:r>
        <w:br/>
      </w:r>
      <w:r w:rsidRPr="00333175">
        <w:t>eng.pdf</w:t>
      </w:r>
      <w:r w:rsidRPr="00333175">
        <w:rPr>
          <w:rFonts w:hint="cs"/>
          <w:rtl/>
        </w:rPr>
        <w:t xml:space="preserve">، الفقرة </w:t>
      </w:r>
      <w:r w:rsidRPr="00333175">
        <w:t>F(i)</w:t>
      </w:r>
      <w:r w:rsidRPr="00333175">
        <w:rPr>
          <w:rFonts w:hint="cs"/>
          <w:rtl/>
        </w:rPr>
        <w:t>.</w:t>
      </w:r>
    </w:p>
  </w:footnote>
  <w:footnote w:id="23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(230)</w:t>
      </w:r>
      <w:r>
        <w:rPr>
          <w:rFonts w:hint="cs"/>
          <w:w w:val="103"/>
          <w:rtl/>
        </w:rPr>
        <w:tab/>
      </w:r>
      <w:r w:rsidRPr="00967BA8">
        <w:rPr>
          <w:rFonts w:hint="cs"/>
          <w:w w:val="103"/>
          <w:rtl/>
        </w:rPr>
        <w:t xml:space="preserve">انظر قضية </w:t>
      </w:r>
      <w:r w:rsidRPr="00444365">
        <w:rPr>
          <w:rFonts w:hint="cs"/>
          <w:i/>
          <w:iCs/>
          <w:w w:val="103"/>
          <w:rtl/>
        </w:rPr>
        <w:t>فنتر وآخرين ضد المملكة المتحدة</w:t>
      </w:r>
      <w:r w:rsidRPr="00967BA8">
        <w:rPr>
          <w:rFonts w:hint="cs"/>
          <w:w w:val="103"/>
          <w:rtl/>
        </w:rPr>
        <w:t>، حكم صادر عن المحكمة الأوروبية لحقوق الإنسان (2013).</w:t>
      </w:r>
    </w:p>
  </w:footnote>
  <w:footnote w:id="231">
    <w:p w:rsidR="005A1EB0" w:rsidRPr="00444365" w:rsidRDefault="005A1EB0" w:rsidP="005A1EB0">
      <w:pPr>
        <w:pStyle w:val="FootnoteText"/>
        <w:tabs>
          <w:tab w:val="clear" w:pos="418"/>
          <w:tab w:val="right" w:pos="1195"/>
          <w:tab w:val="left" w:pos="1267"/>
          <w:tab w:val="left" w:pos="1656"/>
          <w:tab w:val="left" w:pos="2088"/>
        </w:tabs>
        <w:spacing w:after="80"/>
        <w:ind w:left="1267" w:right="1267" w:hanging="547"/>
        <w:jc w:val="both"/>
        <w:rPr>
          <w:rtl/>
        </w:rPr>
      </w:pPr>
      <w:r w:rsidRPr="008B1FAB">
        <w:rPr>
          <w:rFonts w:hint="cs"/>
          <w:rtl/>
        </w:rPr>
        <w:tab/>
      </w:r>
      <w:r w:rsidRPr="008B1FAB">
        <w:rPr>
          <w:rtl/>
        </w:rPr>
        <w:t>(231)</w:t>
      </w:r>
      <w:r w:rsidRPr="008B1FAB">
        <w:rPr>
          <w:rFonts w:hint="cs"/>
          <w:rtl/>
        </w:rPr>
        <w:tab/>
        <w:t xml:space="preserve">انظر الوثيقة </w:t>
      </w:r>
      <w:r w:rsidRPr="008B1FAB">
        <w:t>CAT/OP/MLI/1</w:t>
      </w:r>
      <w:r w:rsidRPr="008B1FAB">
        <w:rPr>
          <w:rFonts w:hint="cs"/>
          <w:rtl/>
        </w:rPr>
        <w:t xml:space="preserve">، الفقرة 67؛ والوثيقة </w:t>
      </w:r>
      <w:r w:rsidRPr="008B1FAB">
        <w:t>CAT/OP/BEN/1</w:t>
      </w:r>
      <w:r w:rsidRPr="008B1FAB">
        <w:rPr>
          <w:rFonts w:hint="cs"/>
          <w:rtl/>
        </w:rPr>
        <w:t xml:space="preserve">، الفقرة 151؛ والوثيقة </w:t>
      </w:r>
      <w:r w:rsidRPr="008B1FAB">
        <w:t>CAT/C/GBR/CO/5</w:t>
      </w:r>
      <w:r w:rsidRPr="008B1FAB">
        <w:rPr>
          <w:rFonts w:hint="cs"/>
          <w:rtl/>
        </w:rPr>
        <w:t xml:space="preserve">، الفقرة 31. وانظر أيضاً </w:t>
      </w:r>
      <w:r w:rsidRPr="008B1FAB">
        <w:t>www.achpr.org/files/sessions/52nd/inter-act-reps/185/activty_report_prisons_eng.pdf</w:t>
      </w:r>
      <w:r w:rsidRPr="008B1FAB">
        <w:rPr>
          <w:rFonts w:hint="cs"/>
          <w:rtl/>
        </w:rPr>
        <w:t>، ص</w:t>
      </w:r>
      <w:r>
        <w:rPr>
          <w:rFonts w:hint="cs"/>
          <w:rtl/>
        </w:rPr>
        <w:t xml:space="preserve"> </w:t>
      </w:r>
      <w:r w:rsidRPr="008B1FAB">
        <w:rPr>
          <w:rFonts w:hint="cs"/>
          <w:rtl/>
        </w:rPr>
        <w:t>21</w:t>
      </w:r>
      <w:r>
        <w:rPr>
          <w:rFonts w:hint="cs"/>
          <w:rtl/>
        </w:rPr>
        <w:t xml:space="preserve"> </w:t>
      </w:r>
      <w:r w:rsidRPr="008B1FAB">
        <w:rPr>
          <w:rFonts w:hint="cs"/>
          <w:rtl/>
        </w:rPr>
        <w:t>و22؛ و</w:t>
      </w:r>
      <w:r w:rsidRPr="008B1FAB">
        <w:t>www.ohchr.org/Documents/Issues/RuleOfLaw/Overincarceration/CHR_Philippines.pdf</w:t>
      </w:r>
      <w:r w:rsidRPr="008B1FAB">
        <w:rPr>
          <w:rFonts w:hint="cs"/>
          <w:rtl/>
        </w:rPr>
        <w:t>؛ و</w:t>
      </w:r>
      <w:r w:rsidRPr="008B1FAB">
        <w:t>www.ohchr.org/Documents/Issues/RuleOfLaw/Overincarceration/SUHAKAM_Malaysia.pdf</w:t>
      </w:r>
      <w:r w:rsidRPr="008B1FAB">
        <w:rPr>
          <w:rFonts w:hint="cs"/>
          <w:rtl/>
        </w:rPr>
        <w:t>؛ و</w:t>
      </w:r>
      <w:r w:rsidRPr="008B1FAB">
        <w:t>www.ohchr.</w:t>
      </w:r>
      <w:r>
        <w:br/>
      </w:r>
      <w:r w:rsidRPr="008B1FAB">
        <w:t>org/Documents/Issues/RuleOfLaw/Overincarceration/RussianFederation</w:t>
      </w:r>
      <w:r>
        <w:t>.pdf</w:t>
      </w:r>
      <w:r>
        <w:rPr>
          <w:rFonts w:hint="cs"/>
          <w:rtl/>
        </w:rPr>
        <w:t>.</w:t>
      </w:r>
    </w:p>
  </w:footnote>
  <w:footnote w:id="232">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tl/>
        </w:rPr>
      </w:pPr>
      <w:r>
        <w:rPr>
          <w:rFonts w:hint="cs"/>
          <w:rtl/>
        </w:rPr>
        <w:tab/>
      </w:r>
      <w:r w:rsidRPr="00967BA8">
        <w:rPr>
          <w:rtl/>
        </w:rPr>
        <w:t>(232)</w:t>
      </w:r>
      <w:r>
        <w:rPr>
          <w:rFonts w:hint="cs"/>
          <w:w w:val="103"/>
          <w:rtl/>
        </w:rPr>
        <w:tab/>
      </w:r>
      <w:r w:rsidRPr="00967BA8">
        <w:rPr>
          <w:rFonts w:hint="cs"/>
          <w:w w:val="103"/>
          <w:rtl/>
        </w:rPr>
        <w:t xml:space="preserve">انظر الوثيقة </w:t>
      </w:r>
      <w:r w:rsidRPr="00967BA8">
        <w:rPr>
          <w:w w:val="103"/>
        </w:rPr>
        <w:t>CEDAW/C/BRA/CO/7</w:t>
      </w:r>
      <w:r w:rsidRPr="00967BA8">
        <w:rPr>
          <w:rFonts w:hint="cs"/>
          <w:w w:val="103"/>
          <w:rtl/>
        </w:rPr>
        <w:t>، الفقرة 32.</w:t>
      </w:r>
    </w:p>
  </w:footnote>
  <w:footnote w:id="233">
    <w:p w:rsidR="005A1EB0" w:rsidRPr="008B1FAB" w:rsidRDefault="005A1EB0" w:rsidP="005A1EB0">
      <w:pPr>
        <w:pStyle w:val="FootnoteText"/>
        <w:tabs>
          <w:tab w:val="clear" w:pos="418"/>
          <w:tab w:val="right" w:pos="1195"/>
          <w:tab w:val="left" w:pos="1267"/>
          <w:tab w:val="left" w:pos="1656"/>
          <w:tab w:val="left" w:pos="2088"/>
        </w:tabs>
        <w:spacing w:after="80"/>
        <w:ind w:left="1267" w:right="1267" w:hanging="547"/>
      </w:pPr>
      <w:r w:rsidRPr="008B1FAB">
        <w:rPr>
          <w:rFonts w:hint="cs"/>
          <w:rtl/>
        </w:rPr>
        <w:tab/>
      </w:r>
      <w:r w:rsidRPr="008B1FAB">
        <w:rPr>
          <w:rtl/>
        </w:rPr>
        <w:t>(233)</w:t>
      </w:r>
      <w:r w:rsidRPr="008B1FAB">
        <w:rPr>
          <w:rFonts w:hint="cs"/>
          <w:rtl/>
        </w:rPr>
        <w:tab/>
        <w:t xml:space="preserve">انظر وثيقة مجلس أوروبا </w:t>
      </w:r>
      <w:r w:rsidRPr="008B1FAB">
        <w:t>CPT/Inf (2015) 12</w:t>
      </w:r>
      <w:r w:rsidRPr="008B1FAB">
        <w:rPr>
          <w:rFonts w:hint="cs"/>
          <w:rtl/>
        </w:rPr>
        <w:t xml:space="preserve">، الفقرة 44؛ والوثيقة </w:t>
      </w:r>
      <w:r w:rsidRPr="008B1FAB">
        <w:t>CPT/Inf (2015) 6</w:t>
      </w:r>
      <w:r w:rsidRPr="008B1FAB">
        <w:rPr>
          <w:rFonts w:hint="cs"/>
          <w:rtl/>
        </w:rPr>
        <w:t>، الفقرة 46؛ و</w:t>
      </w:r>
      <w:r w:rsidRPr="008B1FAB">
        <w:t>www.ohchr.</w:t>
      </w:r>
      <w:r>
        <w:br/>
      </w:r>
      <w:r w:rsidRPr="008B1FAB">
        <w:t>org/Documents/Issues/RuleOfLaw/Overincarceration/ElSalvador.pdf</w:t>
      </w:r>
      <w:r w:rsidRPr="008B1FAB">
        <w:rPr>
          <w:rFonts w:hint="cs"/>
          <w:rtl/>
        </w:rPr>
        <w:t>.</w:t>
      </w:r>
    </w:p>
  </w:footnote>
  <w:footnote w:id="23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(234)</w:t>
      </w:r>
      <w:r>
        <w:rPr>
          <w:rFonts w:hint="cs"/>
          <w:w w:val="103"/>
          <w:rtl/>
        </w:rPr>
        <w:tab/>
      </w:r>
      <w:r w:rsidRPr="00967BA8">
        <w:rPr>
          <w:rFonts w:hint="cs"/>
          <w:w w:val="103"/>
          <w:rtl/>
        </w:rPr>
        <w:t xml:space="preserve">انظر </w:t>
      </w:r>
      <w:r w:rsidRPr="00967BA8">
        <w:rPr>
          <w:w w:val="103"/>
        </w:rPr>
        <w:t>www.ohchr.org/Documents/Issues/RuleOfLaw/OverIncarceration/UNODC.pdf</w:t>
      </w:r>
      <w:r w:rsidRPr="00967BA8">
        <w:rPr>
          <w:rFonts w:hint="cs"/>
          <w:w w:val="103"/>
          <w:rtl/>
        </w:rPr>
        <w:t>.</w:t>
      </w:r>
    </w:p>
  </w:footnote>
  <w:footnote w:id="235">
    <w:p w:rsidR="005A1EB0" w:rsidRPr="008B1FAB" w:rsidRDefault="005A1EB0" w:rsidP="00230B04">
      <w:pPr>
        <w:pStyle w:val="FootnoteText"/>
        <w:tabs>
          <w:tab w:val="clear" w:pos="418"/>
          <w:tab w:val="right" w:pos="1195"/>
          <w:tab w:val="left" w:pos="1267"/>
          <w:tab w:val="left" w:pos="1656"/>
          <w:tab w:val="left" w:pos="2088"/>
        </w:tabs>
        <w:spacing w:after="80"/>
        <w:ind w:left="1267" w:right="1267" w:hanging="547"/>
      </w:pPr>
      <w:r w:rsidRPr="00230B04">
        <w:rPr>
          <w:rFonts w:hint="cs"/>
          <w:spacing w:val="-6"/>
          <w:rtl/>
        </w:rPr>
        <w:tab/>
      </w:r>
      <w:r w:rsidRPr="00230B04">
        <w:rPr>
          <w:spacing w:val="-6"/>
          <w:rtl/>
        </w:rPr>
        <w:t>(235)</w:t>
      </w:r>
      <w:r w:rsidRPr="00230B04">
        <w:rPr>
          <w:rFonts w:hint="cs"/>
          <w:spacing w:val="-6"/>
          <w:rtl/>
        </w:rPr>
        <w:tab/>
        <w:t xml:space="preserve">انظر الوثيقة </w:t>
      </w:r>
      <w:r w:rsidRPr="00230B04">
        <w:rPr>
          <w:spacing w:val="-6"/>
        </w:rPr>
        <w:t>CAT/OP/NZL/1</w:t>
      </w:r>
      <w:r w:rsidRPr="00230B04">
        <w:rPr>
          <w:rFonts w:hint="cs"/>
          <w:spacing w:val="-6"/>
          <w:rtl/>
        </w:rPr>
        <w:t>، الفقرتين 33 و34، و</w:t>
      </w:r>
      <w:r w:rsidRPr="00230B04">
        <w:rPr>
          <w:spacing w:val="-6"/>
        </w:rPr>
        <w:t>www.ohchr.org/Documents/Issues/RuleOfLaw/OverIncarceration/</w:t>
      </w:r>
      <w:r w:rsidR="00230B04" w:rsidRPr="00230B04">
        <w:rPr>
          <w:spacing w:val="-6"/>
        </w:rPr>
        <w:t xml:space="preserve"> </w:t>
      </w:r>
      <w:r w:rsidRPr="008B1FAB">
        <w:t>UNODC.pdf</w:t>
      </w:r>
      <w:r w:rsidRPr="008B1FAB">
        <w:rPr>
          <w:rFonts w:hint="cs"/>
          <w:rtl/>
        </w:rPr>
        <w:t>.</w:t>
      </w:r>
    </w:p>
  </w:footnote>
  <w:footnote w:id="23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(236)</w:t>
      </w:r>
      <w:r>
        <w:rPr>
          <w:rFonts w:hint="cs"/>
          <w:w w:val="103"/>
          <w:rtl/>
        </w:rPr>
        <w:tab/>
      </w:r>
      <w:r w:rsidRPr="00967BA8">
        <w:rPr>
          <w:rFonts w:hint="cs"/>
          <w:w w:val="103"/>
          <w:rtl/>
        </w:rPr>
        <w:t xml:space="preserve">انظر الوثيقة </w:t>
      </w:r>
      <w:r w:rsidRPr="00967BA8">
        <w:rPr>
          <w:w w:val="103"/>
        </w:rPr>
        <w:t>CAT/OP/MDV/1</w:t>
      </w:r>
      <w:r w:rsidRPr="00967BA8">
        <w:rPr>
          <w:rFonts w:hint="cs"/>
          <w:w w:val="103"/>
          <w:rtl/>
        </w:rPr>
        <w:t>، الفقرة 220.</w:t>
      </w:r>
    </w:p>
  </w:footnote>
  <w:footnote w:id="237">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(237)</w:t>
      </w:r>
      <w:r>
        <w:rPr>
          <w:rFonts w:hint="cs"/>
          <w:w w:val="103"/>
          <w:rtl/>
        </w:rPr>
        <w:tab/>
      </w:r>
      <w:r w:rsidRPr="00967BA8">
        <w:rPr>
          <w:rFonts w:hint="cs"/>
          <w:w w:val="103"/>
          <w:rtl/>
        </w:rPr>
        <w:t xml:space="preserve">انظر </w:t>
      </w:r>
      <w:hyperlink r:id="rId21" w:history="1">
        <w:r w:rsidRPr="00967BA8">
          <w:rPr>
            <w:w w:val="103"/>
          </w:rPr>
          <w:t>www.achpr.org/files/sessions/52nd/inter-act-reps/185/activty_report_prisons_eng.pdf</w:t>
        </w:r>
      </w:hyperlink>
      <w:r w:rsidRPr="00967BA8">
        <w:rPr>
          <w:rFonts w:hint="cs"/>
          <w:w w:val="103"/>
          <w:rtl/>
        </w:rPr>
        <w:t>، ص 23.</w:t>
      </w:r>
    </w:p>
  </w:footnote>
  <w:footnote w:id="238">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(238)</w:t>
      </w:r>
      <w:r>
        <w:rPr>
          <w:rFonts w:hint="cs"/>
          <w:w w:val="103"/>
          <w:rtl/>
        </w:rPr>
        <w:tab/>
      </w:r>
      <w:r w:rsidRPr="00967BA8">
        <w:rPr>
          <w:rFonts w:hint="cs"/>
          <w:w w:val="103"/>
          <w:rtl/>
        </w:rPr>
        <w:t xml:space="preserve">انظر وثيقة مجلس أوروبا </w:t>
      </w:r>
      <w:r w:rsidRPr="00967BA8">
        <w:rPr>
          <w:w w:val="103"/>
        </w:rPr>
        <w:t>CPT/Inf (2014) 15</w:t>
      </w:r>
      <w:r w:rsidRPr="00967BA8">
        <w:rPr>
          <w:rFonts w:hint="cs"/>
          <w:w w:val="103"/>
          <w:rtl/>
        </w:rPr>
        <w:t>، الفقرة 100.</w:t>
      </w:r>
    </w:p>
  </w:footnote>
  <w:footnote w:id="239">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(239)</w:t>
      </w:r>
      <w:r>
        <w:rPr>
          <w:rFonts w:hint="cs"/>
          <w:w w:val="103"/>
          <w:rtl/>
        </w:rPr>
        <w:tab/>
      </w:r>
      <w:r w:rsidRPr="00967BA8">
        <w:rPr>
          <w:rFonts w:hint="cs"/>
          <w:w w:val="103"/>
          <w:rtl/>
        </w:rPr>
        <w:t xml:space="preserve">انظر الوثيقة </w:t>
      </w:r>
      <w:r w:rsidRPr="00967BA8">
        <w:rPr>
          <w:w w:val="103"/>
        </w:rPr>
        <w:t>CAT/OP/MLI/1</w:t>
      </w:r>
      <w:r w:rsidRPr="00967BA8">
        <w:rPr>
          <w:rFonts w:hint="cs"/>
          <w:w w:val="103"/>
          <w:rtl/>
        </w:rPr>
        <w:t xml:space="preserve">، الفقرة 29، والوثيقة </w:t>
      </w:r>
      <w:r w:rsidRPr="00967BA8">
        <w:rPr>
          <w:w w:val="103"/>
        </w:rPr>
        <w:t>A/HRC/19/57</w:t>
      </w:r>
      <w:r w:rsidRPr="00967BA8">
        <w:rPr>
          <w:rFonts w:hint="cs"/>
          <w:w w:val="103"/>
          <w:rtl/>
        </w:rPr>
        <w:t>، الفقرة 36.</w:t>
      </w:r>
    </w:p>
  </w:footnote>
  <w:footnote w:id="240">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(240)</w:t>
      </w:r>
      <w:r>
        <w:rPr>
          <w:rFonts w:hint="cs"/>
          <w:w w:val="103"/>
          <w:rtl/>
        </w:rPr>
        <w:tab/>
      </w:r>
      <w:r w:rsidRPr="00967BA8">
        <w:rPr>
          <w:rFonts w:hint="cs"/>
          <w:w w:val="103"/>
          <w:rtl/>
        </w:rPr>
        <w:t xml:space="preserve">انظر </w:t>
      </w:r>
      <w:r w:rsidRPr="00967BA8">
        <w:rPr>
          <w:w w:val="103"/>
        </w:rPr>
        <w:t>www.ohchr.org/EN/NewsEvents/Pages/DisplayNews.aspx?NewsID=16257&amp;LangID=E</w:t>
      </w:r>
      <w:r>
        <w:rPr>
          <w:rFonts w:hint="cs"/>
          <w:w w:val="103"/>
          <w:rtl/>
        </w:rPr>
        <w:t>.</w:t>
      </w:r>
    </w:p>
  </w:footnote>
  <w:footnote w:id="241">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(241)</w:t>
      </w:r>
      <w:r>
        <w:rPr>
          <w:rFonts w:hint="cs"/>
          <w:w w:val="103"/>
          <w:rtl/>
        </w:rPr>
        <w:tab/>
      </w:r>
      <w:r w:rsidRPr="00967BA8">
        <w:rPr>
          <w:rFonts w:hint="cs"/>
          <w:w w:val="103"/>
          <w:rtl/>
        </w:rPr>
        <w:t xml:space="preserve">انظر </w:t>
      </w:r>
      <w:r w:rsidRPr="00967BA8">
        <w:rPr>
          <w:w w:val="103"/>
        </w:rPr>
        <w:t>www.ohchr.org/Documents/Issues/RuleOfLaw/OverIncarceration/UNODC.pdf</w:t>
      </w:r>
      <w:r w:rsidRPr="00967BA8">
        <w:rPr>
          <w:rFonts w:hint="cs"/>
          <w:w w:val="103"/>
          <w:rtl/>
        </w:rPr>
        <w:t>.</w:t>
      </w:r>
    </w:p>
  </w:footnote>
  <w:footnote w:id="242">
    <w:p w:rsidR="005A1EB0" w:rsidRPr="008B1FAB" w:rsidRDefault="005A1EB0" w:rsidP="005A1EB0">
      <w:pPr>
        <w:pStyle w:val="FootnoteText"/>
        <w:tabs>
          <w:tab w:val="clear" w:pos="418"/>
          <w:tab w:val="right" w:pos="1195"/>
          <w:tab w:val="left" w:pos="1267"/>
          <w:tab w:val="left" w:pos="1656"/>
          <w:tab w:val="left" w:pos="2088"/>
        </w:tabs>
        <w:spacing w:after="80"/>
        <w:ind w:left="1267" w:right="1267" w:hanging="547"/>
        <w:rPr>
          <w:rtl/>
        </w:rPr>
      </w:pPr>
      <w:r w:rsidRPr="005A0FBE">
        <w:rPr>
          <w:rFonts w:hint="cs"/>
          <w:spacing w:val="-4"/>
          <w:rtl/>
        </w:rPr>
        <w:tab/>
      </w:r>
      <w:r w:rsidRPr="005A0FBE">
        <w:rPr>
          <w:spacing w:val="-4"/>
          <w:rtl/>
        </w:rPr>
        <w:t>(242)</w:t>
      </w:r>
      <w:r w:rsidRPr="005A0FBE">
        <w:rPr>
          <w:rFonts w:hint="cs"/>
          <w:spacing w:val="-4"/>
          <w:rtl/>
        </w:rPr>
        <w:tab/>
        <w:t xml:space="preserve">انظر الوثيقة </w:t>
      </w:r>
      <w:r w:rsidRPr="005A0FBE">
        <w:rPr>
          <w:spacing w:val="-4"/>
        </w:rPr>
        <w:t>A/HRC/25/60/Add.1</w:t>
      </w:r>
      <w:r w:rsidRPr="005A0FBE">
        <w:rPr>
          <w:rFonts w:hint="cs"/>
          <w:spacing w:val="-4"/>
          <w:rtl/>
        </w:rPr>
        <w:t xml:space="preserve">، الفقرة 39؛ والوثيقة </w:t>
      </w:r>
      <w:r w:rsidRPr="005A0FBE">
        <w:rPr>
          <w:spacing w:val="-4"/>
        </w:rPr>
        <w:t>CAT/C/IRL/CO/1</w:t>
      </w:r>
      <w:r w:rsidRPr="005A0FBE">
        <w:rPr>
          <w:rFonts w:hint="cs"/>
          <w:spacing w:val="-4"/>
          <w:rtl/>
        </w:rPr>
        <w:t xml:space="preserve">، الفقرة 11؛ والوثيقة </w:t>
      </w:r>
      <w:r w:rsidRPr="005A0FBE">
        <w:rPr>
          <w:spacing w:val="-4"/>
        </w:rPr>
        <w:t>CCPR/C/KAZ/CO/1</w:t>
      </w:r>
      <w:r w:rsidRPr="005A0FBE">
        <w:rPr>
          <w:rFonts w:hint="cs"/>
          <w:spacing w:val="-4"/>
          <w:rtl/>
        </w:rPr>
        <w:t xml:space="preserve">، الفقرة 17. وانظر أيضاً </w:t>
      </w:r>
      <w:r w:rsidRPr="005A0FBE">
        <w:rPr>
          <w:spacing w:val="-4"/>
        </w:rPr>
        <w:t xml:space="preserve">www.ohchr.org/Documents/Issues/RuleOfLaw/Overincarceration/ </w:t>
      </w:r>
      <w:r w:rsidRPr="008B1FAB">
        <w:t>LICAMDH_</w:t>
      </w:r>
      <w:r w:rsidR="00230B04">
        <w:t xml:space="preserve"> </w:t>
      </w:r>
      <w:r w:rsidRPr="008B1FAB">
        <w:t>Cameroon.pdf</w:t>
      </w:r>
      <w:r>
        <w:rPr>
          <w:rFonts w:hint="cs"/>
          <w:rtl/>
        </w:rPr>
        <w:t>.</w:t>
      </w:r>
    </w:p>
  </w:footnote>
  <w:footnote w:id="243">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(243)</w:t>
      </w:r>
      <w:r>
        <w:rPr>
          <w:rFonts w:hint="cs"/>
          <w:w w:val="103"/>
          <w:rtl/>
        </w:rPr>
        <w:tab/>
      </w:r>
      <w:r w:rsidRPr="00967BA8">
        <w:rPr>
          <w:rFonts w:hint="cs"/>
          <w:w w:val="103"/>
          <w:rtl/>
        </w:rPr>
        <w:t xml:space="preserve">انظر الوثيقة </w:t>
      </w:r>
      <w:r w:rsidRPr="00967BA8">
        <w:rPr>
          <w:w w:val="103"/>
        </w:rPr>
        <w:t>CCPR/C/AGO/CO/1</w:t>
      </w:r>
      <w:r w:rsidRPr="00967BA8">
        <w:rPr>
          <w:rFonts w:hint="cs"/>
          <w:w w:val="103"/>
          <w:rtl/>
        </w:rPr>
        <w:t xml:space="preserve">، الفقرة 19؛ والوثيقة </w:t>
      </w:r>
      <w:r w:rsidRPr="00967BA8">
        <w:rPr>
          <w:w w:val="103"/>
        </w:rPr>
        <w:t>CCPR/C/BDI/CO/2</w:t>
      </w:r>
      <w:r w:rsidRPr="00967BA8">
        <w:rPr>
          <w:rFonts w:hint="cs"/>
          <w:w w:val="103"/>
          <w:rtl/>
        </w:rPr>
        <w:t xml:space="preserve">، الفقرة 18؛ والوثيقة </w:t>
      </w:r>
      <w:r w:rsidRPr="00967BA8">
        <w:rPr>
          <w:w w:val="103"/>
        </w:rPr>
        <w:t>CCPR/C/TCD/CO/2</w:t>
      </w:r>
      <w:r w:rsidRPr="00967BA8">
        <w:rPr>
          <w:rFonts w:hint="cs"/>
          <w:w w:val="103"/>
          <w:rtl/>
        </w:rPr>
        <w:t>، الفقرة 18.</w:t>
      </w:r>
    </w:p>
  </w:footnote>
  <w:footnote w:id="244">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(244)</w:t>
      </w:r>
      <w:r>
        <w:rPr>
          <w:rFonts w:hint="cs"/>
          <w:w w:val="103"/>
          <w:rtl/>
        </w:rPr>
        <w:tab/>
      </w:r>
      <w:r w:rsidRPr="00967BA8">
        <w:rPr>
          <w:rFonts w:hint="cs"/>
          <w:w w:val="103"/>
          <w:rtl/>
        </w:rPr>
        <w:t xml:space="preserve">الوثيقة </w:t>
      </w:r>
      <w:r w:rsidRPr="00967BA8">
        <w:rPr>
          <w:w w:val="103"/>
        </w:rPr>
        <w:t>E/CN.15/2015/L.6/Rev.1</w:t>
      </w:r>
      <w:r w:rsidRPr="00967BA8">
        <w:rPr>
          <w:rFonts w:hint="cs"/>
          <w:w w:val="103"/>
          <w:rtl/>
        </w:rPr>
        <w:t xml:space="preserve">، المرفق، القاعدة 1. </w:t>
      </w:r>
    </w:p>
  </w:footnote>
  <w:footnote w:id="245">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(245)</w:t>
      </w:r>
      <w:r>
        <w:rPr>
          <w:rFonts w:hint="cs"/>
          <w:w w:val="103"/>
          <w:rtl/>
        </w:rPr>
        <w:tab/>
      </w:r>
      <w:r w:rsidRPr="00967BA8">
        <w:rPr>
          <w:rFonts w:hint="cs"/>
          <w:w w:val="103"/>
          <w:rtl/>
        </w:rPr>
        <w:t xml:space="preserve">الوثيقة </w:t>
      </w:r>
      <w:r w:rsidRPr="00967BA8">
        <w:rPr>
          <w:w w:val="103"/>
        </w:rPr>
        <w:t>A/68/295</w:t>
      </w:r>
      <w:r w:rsidRPr="00967BA8">
        <w:rPr>
          <w:rFonts w:hint="cs"/>
          <w:w w:val="103"/>
          <w:rtl/>
        </w:rPr>
        <w:t>، الفقرة 86.</w:t>
      </w:r>
    </w:p>
  </w:footnote>
  <w:footnote w:id="246">
    <w:p w:rsidR="005A1EB0" w:rsidRPr="00967BA8" w:rsidRDefault="005A1EB0" w:rsidP="005A1EB0">
      <w:pPr>
        <w:pStyle w:val="FootnoteText"/>
        <w:tabs>
          <w:tab w:val="clear" w:pos="418"/>
          <w:tab w:val="right" w:pos="1195"/>
          <w:tab w:val="left" w:pos="1267"/>
          <w:tab w:val="left" w:pos="1656"/>
          <w:tab w:val="left" w:pos="2088"/>
        </w:tabs>
        <w:spacing w:after="80"/>
        <w:ind w:left="1267" w:right="1267" w:hanging="547"/>
        <w:rPr>
          <w:w w:val="103"/>
        </w:rPr>
      </w:pPr>
      <w:r>
        <w:rPr>
          <w:rFonts w:hint="cs"/>
          <w:rtl/>
        </w:rPr>
        <w:tab/>
      </w:r>
      <w:r w:rsidRPr="00967BA8">
        <w:rPr>
          <w:rtl/>
        </w:rPr>
        <w:t>(246)</w:t>
      </w:r>
      <w:r>
        <w:rPr>
          <w:rFonts w:hint="cs"/>
          <w:w w:val="103"/>
          <w:rtl/>
        </w:rPr>
        <w:tab/>
      </w:r>
      <w:r w:rsidRPr="00967BA8">
        <w:rPr>
          <w:rFonts w:hint="cs"/>
          <w:w w:val="103"/>
          <w:rtl/>
        </w:rPr>
        <w:t xml:space="preserve">الوثيقة </w:t>
      </w:r>
      <w:r w:rsidRPr="00967BA8">
        <w:rPr>
          <w:w w:val="103"/>
        </w:rPr>
        <w:t>A/HRC/11/8</w:t>
      </w:r>
      <w:r w:rsidRPr="00967BA8">
        <w:rPr>
          <w:rFonts w:hint="cs"/>
          <w:w w:val="103"/>
          <w:rtl/>
        </w:rPr>
        <w:t>، الفقرة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A1EB0" w:rsidTr="00645A40">
      <w:trPr>
        <w:trHeight w:hRule="exact" w:val="864"/>
        <w:jc w:val="center"/>
      </w:trPr>
      <w:tc>
        <w:tcPr>
          <w:tcW w:w="4882" w:type="dxa"/>
          <w:shd w:val="clear" w:color="auto" w:fill="auto"/>
          <w:vAlign w:val="bottom"/>
        </w:tcPr>
        <w:p w:rsidR="005A1EB0" w:rsidRDefault="005A1EB0" w:rsidP="00645A40">
          <w:pPr>
            <w:pStyle w:val="Header"/>
            <w:bidi/>
          </w:pPr>
        </w:p>
      </w:tc>
      <w:tc>
        <w:tcPr>
          <w:tcW w:w="5127" w:type="dxa"/>
          <w:shd w:val="clear" w:color="auto" w:fill="auto"/>
          <w:vAlign w:val="bottom"/>
        </w:tcPr>
        <w:p w:rsidR="005A1EB0" w:rsidRPr="00645A40" w:rsidRDefault="005A1EB0" w:rsidP="00645A40">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E2448B">
            <w:rPr>
              <w:w w:val="103"/>
            </w:rPr>
            <w:t>A/HRC/30/19</w:t>
          </w:r>
          <w:r>
            <w:rPr>
              <w:w w:val="103"/>
            </w:rPr>
            <w:fldChar w:fldCharType="end"/>
          </w:r>
        </w:p>
      </w:tc>
    </w:tr>
  </w:tbl>
  <w:p w:rsidR="005A1EB0" w:rsidRPr="00645A40" w:rsidRDefault="005A1EB0" w:rsidP="00645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A1EB0" w:rsidTr="00645A40">
      <w:trPr>
        <w:trHeight w:hRule="exact" w:val="864"/>
        <w:jc w:val="center"/>
      </w:trPr>
      <w:tc>
        <w:tcPr>
          <w:tcW w:w="4882" w:type="dxa"/>
          <w:shd w:val="clear" w:color="auto" w:fill="auto"/>
          <w:vAlign w:val="bottom"/>
        </w:tcPr>
        <w:p w:rsidR="005A1EB0" w:rsidRPr="00645A40" w:rsidRDefault="005A1EB0" w:rsidP="00645A40">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E2448B">
            <w:rPr>
              <w:w w:val="103"/>
            </w:rPr>
            <w:t>A/HRC/30/19</w:t>
          </w:r>
          <w:r>
            <w:rPr>
              <w:w w:val="103"/>
            </w:rPr>
            <w:fldChar w:fldCharType="end"/>
          </w:r>
        </w:p>
      </w:tc>
      <w:tc>
        <w:tcPr>
          <w:tcW w:w="5127" w:type="dxa"/>
          <w:shd w:val="clear" w:color="auto" w:fill="auto"/>
          <w:vAlign w:val="bottom"/>
        </w:tcPr>
        <w:p w:rsidR="005A1EB0" w:rsidRDefault="005A1EB0" w:rsidP="00645A40">
          <w:pPr>
            <w:pStyle w:val="Header"/>
          </w:pPr>
        </w:p>
      </w:tc>
    </w:tr>
  </w:tbl>
  <w:p w:rsidR="005A1EB0" w:rsidRPr="00645A40" w:rsidRDefault="005A1EB0" w:rsidP="00645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5A1EB0" w:rsidTr="00645A40">
      <w:trPr>
        <w:gridAfter w:val="1"/>
        <w:wAfter w:w="25" w:type="dxa"/>
        <w:trHeight w:hRule="exact" w:val="864"/>
      </w:trPr>
      <w:tc>
        <w:tcPr>
          <w:tcW w:w="1282" w:type="dxa"/>
          <w:tcBorders>
            <w:bottom w:val="single" w:sz="4" w:space="0" w:color="auto"/>
          </w:tcBorders>
          <w:shd w:val="clear" w:color="auto" w:fill="auto"/>
          <w:vAlign w:val="bottom"/>
        </w:tcPr>
        <w:p w:rsidR="005A1EB0" w:rsidRDefault="005A1EB0" w:rsidP="00645A40">
          <w:pPr>
            <w:pStyle w:val="Header"/>
            <w:spacing w:after="120"/>
          </w:pPr>
        </w:p>
      </w:tc>
      <w:tc>
        <w:tcPr>
          <w:tcW w:w="1786" w:type="dxa"/>
          <w:tcBorders>
            <w:bottom w:val="single" w:sz="4" w:space="0" w:color="auto"/>
          </w:tcBorders>
          <w:shd w:val="clear" w:color="auto" w:fill="auto"/>
          <w:vAlign w:val="bottom"/>
        </w:tcPr>
        <w:p w:rsidR="005A1EB0" w:rsidRPr="00645A40" w:rsidRDefault="005A1EB0" w:rsidP="00645A40">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5A1EB0" w:rsidRDefault="005A1EB0" w:rsidP="00645A40">
          <w:pPr>
            <w:pStyle w:val="Header"/>
            <w:spacing w:after="120"/>
          </w:pPr>
        </w:p>
      </w:tc>
      <w:tc>
        <w:tcPr>
          <w:tcW w:w="6696" w:type="dxa"/>
          <w:gridSpan w:val="3"/>
          <w:tcBorders>
            <w:bottom w:val="single" w:sz="4" w:space="0" w:color="auto"/>
          </w:tcBorders>
          <w:shd w:val="clear" w:color="auto" w:fill="auto"/>
          <w:vAlign w:val="bottom"/>
        </w:tcPr>
        <w:p w:rsidR="005A1EB0" w:rsidRPr="00645A40" w:rsidRDefault="005A1EB0" w:rsidP="00645A40">
          <w:pPr>
            <w:spacing w:line="380" w:lineRule="exact"/>
            <w:jc w:val="right"/>
          </w:pPr>
          <w:r>
            <w:rPr>
              <w:sz w:val="40"/>
            </w:rPr>
            <w:t>A</w:t>
          </w:r>
          <w:r>
            <w:t>/HRC/30/19</w:t>
          </w:r>
        </w:p>
      </w:tc>
    </w:tr>
    <w:tr w:rsidR="005A1EB0" w:rsidRPr="00645A40" w:rsidTr="00645A40">
      <w:trPr>
        <w:trHeight w:hRule="exact" w:val="2880"/>
      </w:trPr>
      <w:tc>
        <w:tcPr>
          <w:tcW w:w="1282" w:type="dxa"/>
          <w:tcBorders>
            <w:top w:val="single" w:sz="4" w:space="0" w:color="auto"/>
            <w:bottom w:val="single" w:sz="12" w:space="0" w:color="auto"/>
          </w:tcBorders>
          <w:shd w:val="clear" w:color="auto" w:fill="auto"/>
        </w:tcPr>
        <w:p w:rsidR="005A1EB0" w:rsidRDefault="005A1EB0" w:rsidP="00645A40">
          <w:pPr>
            <w:pStyle w:val="Header"/>
            <w:spacing w:before="120"/>
            <w:jc w:val="center"/>
          </w:pPr>
          <w:r>
            <w:t xml:space="preserve"> </w:t>
          </w:r>
          <w:r>
            <w:rPr>
              <w:noProof/>
            </w:rPr>
            <w:drawing>
              <wp:inline distT="0" distB="0" distL="0" distR="0" wp14:anchorId="604BE278" wp14:editId="5A3C096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5A1EB0" w:rsidRPr="00645A40" w:rsidRDefault="005A1EB0" w:rsidP="00645A40">
          <w:pPr>
            <w:pStyle w:val="Header"/>
            <w:spacing w:before="120"/>
            <w:jc w:val="center"/>
          </w:pPr>
        </w:p>
      </w:tc>
      <w:tc>
        <w:tcPr>
          <w:tcW w:w="5227" w:type="dxa"/>
          <w:gridSpan w:val="3"/>
          <w:tcBorders>
            <w:top w:val="single" w:sz="4" w:space="0" w:color="auto"/>
            <w:bottom w:val="single" w:sz="12" w:space="0" w:color="auto"/>
          </w:tcBorders>
          <w:shd w:val="clear" w:color="auto" w:fill="auto"/>
        </w:tcPr>
        <w:p w:rsidR="005A1EB0" w:rsidRPr="00645A40" w:rsidRDefault="005A1EB0" w:rsidP="00645A40">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5A1EB0" w:rsidRPr="00645A40" w:rsidRDefault="005A1EB0" w:rsidP="00645A40">
          <w:pPr>
            <w:pStyle w:val="Header"/>
            <w:spacing w:before="109"/>
          </w:pPr>
        </w:p>
      </w:tc>
      <w:tc>
        <w:tcPr>
          <w:tcW w:w="3280" w:type="dxa"/>
          <w:gridSpan w:val="2"/>
          <w:tcBorders>
            <w:top w:val="single" w:sz="4" w:space="0" w:color="auto"/>
            <w:bottom w:val="single" w:sz="12" w:space="0" w:color="auto"/>
          </w:tcBorders>
          <w:shd w:val="clear" w:color="auto" w:fill="auto"/>
        </w:tcPr>
        <w:p w:rsidR="005A1EB0" w:rsidRDefault="005A1EB0" w:rsidP="00645A40">
          <w:pPr>
            <w:pStyle w:val="Distribution"/>
            <w:bidi w:val="0"/>
            <w:spacing w:before="240"/>
          </w:pPr>
          <w:r>
            <w:t>Distr.: General</w:t>
          </w:r>
        </w:p>
        <w:p w:rsidR="005A1EB0" w:rsidRDefault="005A1EB0" w:rsidP="00CE0006">
          <w:pPr>
            <w:pStyle w:val="Publication"/>
            <w:bidi w:val="0"/>
          </w:pPr>
          <w:r>
            <w:t>10 August 2015</w:t>
          </w:r>
        </w:p>
        <w:p w:rsidR="005A1EB0" w:rsidRDefault="005A1EB0" w:rsidP="00645A40">
          <w:pPr>
            <w:bidi w:val="0"/>
            <w:spacing w:line="240" w:lineRule="exact"/>
            <w:jc w:val="left"/>
          </w:pPr>
          <w:r>
            <w:t>Arabic</w:t>
          </w:r>
        </w:p>
        <w:p w:rsidR="005A1EB0" w:rsidRDefault="005A1EB0" w:rsidP="00645A40">
          <w:pPr>
            <w:pStyle w:val="Original"/>
            <w:bidi w:val="0"/>
          </w:pPr>
          <w:r>
            <w:t>Original: English</w:t>
          </w:r>
        </w:p>
        <w:p w:rsidR="005A1EB0" w:rsidRPr="00645A40" w:rsidRDefault="005A1EB0" w:rsidP="00645A40">
          <w:pPr>
            <w:bidi w:val="0"/>
            <w:spacing w:line="240" w:lineRule="exact"/>
            <w:jc w:val="left"/>
          </w:pPr>
        </w:p>
      </w:tc>
    </w:tr>
  </w:tbl>
  <w:p w:rsidR="005A1EB0" w:rsidRPr="00645A40" w:rsidRDefault="005A1EB0" w:rsidP="00645A4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5521E9A">
      <w:start w:val="1"/>
      <w:numFmt w:val="bullet"/>
      <w:pStyle w:val="Bullet1GA"/>
      <w:lvlText w:val=""/>
      <w:lvlJc w:val="left"/>
      <w:pPr>
        <w:tabs>
          <w:tab w:val="num" w:pos="2041"/>
        </w:tabs>
        <w:ind w:left="2041"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8">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F272F0"/>
    <w:multiLevelType w:val="hybridMultilevel"/>
    <w:tmpl w:val="F88E26C4"/>
    <w:lvl w:ilvl="0" w:tplc="D39CC4D2">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4D76195C" w:tentative="1">
      <w:start w:val="1"/>
      <w:numFmt w:val="bullet"/>
      <w:lvlText w:val="o"/>
      <w:lvlJc w:val="left"/>
      <w:pPr>
        <w:tabs>
          <w:tab w:val="num" w:pos="3028"/>
        </w:tabs>
        <w:ind w:left="3028" w:hanging="360"/>
      </w:pPr>
      <w:rPr>
        <w:rFonts w:ascii="Courier New" w:hAnsi="Courier New" w:cs="Courier New" w:hint="default"/>
      </w:rPr>
    </w:lvl>
    <w:lvl w:ilvl="2" w:tplc="4EE65C82" w:tentative="1">
      <w:start w:val="1"/>
      <w:numFmt w:val="bullet"/>
      <w:lvlText w:val=""/>
      <w:lvlJc w:val="left"/>
      <w:pPr>
        <w:tabs>
          <w:tab w:val="num" w:pos="3748"/>
        </w:tabs>
        <w:ind w:left="3748" w:hanging="360"/>
      </w:pPr>
      <w:rPr>
        <w:rFonts w:ascii="Wingdings" w:hAnsi="Wingdings" w:hint="default"/>
      </w:rPr>
    </w:lvl>
    <w:lvl w:ilvl="3" w:tplc="6848062A" w:tentative="1">
      <w:start w:val="1"/>
      <w:numFmt w:val="bullet"/>
      <w:lvlText w:val=""/>
      <w:lvlJc w:val="left"/>
      <w:pPr>
        <w:tabs>
          <w:tab w:val="num" w:pos="4468"/>
        </w:tabs>
        <w:ind w:left="4468" w:hanging="360"/>
      </w:pPr>
      <w:rPr>
        <w:rFonts w:ascii="Symbol" w:hAnsi="Symbol" w:hint="default"/>
      </w:rPr>
    </w:lvl>
    <w:lvl w:ilvl="4" w:tplc="EA8242D0" w:tentative="1">
      <w:start w:val="1"/>
      <w:numFmt w:val="bullet"/>
      <w:lvlText w:val="o"/>
      <w:lvlJc w:val="left"/>
      <w:pPr>
        <w:tabs>
          <w:tab w:val="num" w:pos="5188"/>
        </w:tabs>
        <w:ind w:left="5188" w:hanging="360"/>
      </w:pPr>
      <w:rPr>
        <w:rFonts w:ascii="Courier New" w:hAnsi="Courier New" w:cs="Courier New" w:hint="default"/>
      </w:rPr>
    </w:lvl>
    <w:lvl w:ilvl="5" w:tplc="78664178" w:tentative="1">
      <w:start w:val="1"/>
      <w:numFmt w:val="bullet"/>
      <w:lvlText w:val=""/>
      <w:lvlJc w:val="left"/>
      <w:pPr>
        <w:tabs>
          <w:tab w:val="num" w:pos="5908"/>
        </w:tabs>
        <w:ind w:left="5908" w:hanging="360"/>
      </w:pPr>
      <w:rPr>
        <w:rFonts w:ascii="Wingdings" w:hAnsi="Wingdings" w:hint="default"/>
      </w:rPr>
    </w:lvl>
    <w:lvl w:ilvl="6" w:tplc="2AC41E58" w:tentative="1">
      <w:start w:val="1"/>
      <w:numFmt w:val="bullet"/>
      <w:lvlText w:val=""/>
      <w:lvlJc w:val="left"/>
      <w:pPr>
        <w:tabs>
          <w:tab w:val="num" w:pos="6628"/>
        </w:tabs>
        <w:ind w:left="6628" w:hanging="360"/>
      </w:pPr>
      <w:rPr>
        <w:rFonts w:ascii="Symbol" w:hAnsi="Symbol" w:hint="default"/>
      </w:rPr>
    </w:lvl>
    <w:lvl w:ilvl="7" w:tplc="7EB2FEF4" w:tentative="1">
      <w:start w:val="1"/>
      <w:numFmt w:val="bullet"/>
      <w:lvlText w:val="o"/>
      <w:lvlJc w:val="left"/>
      <w:pPr>
        <w:tabs>
          <w:tab w:val="num" w:pos="7348"/>
        </w:tabs>
        <w:ind w:left="7348" w:hanging="360"/>
      </w:pPr>
      <w:rPr>
        <w:rFonts w:ascii="Courier New" w:hAnsi="Courier New" w:cs="Courier New" w:hint="default"/>
      </w:rPr>
    </w:lvl>
    <w:lvl w:ilvl="8" w:tplc="7DD8381E" w:tentative="1">
      <w:start w:val="1"/>
      <w:numFmt w:val="bullet"/>
      <w:lvlText w:val=""/>
      <w:lvlJc w:val="left"/>
      <w:pPr>
        <w:tabs>
          <w:tab w:val="num" w:pos="8068"/>
        </w:tabs>
        <w:ind w:left="8068" w:hanging="360"/>
      </w:pPr>
      <w:rPr>
        <w:rFonts w:ascii="Wingdings" w:hAnsi="Wingdings" w:hint="default"/>
      </w:rPr>
    </w:lvl>
  </w:abstractNum>
  <w:abstractNum w:abstractNumId="10">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2">
    <w:nsid w:val="32A75D52"/>
    <w:multiLevelType w:val="hybridMultilevel"/>
    <w:tmpl w:val="AF6C6348"/>
    <w:lvl w:ilvl="0" w:tplc="3472462E">
      <w:start w:val="1"/>
      <w:numFmt w:val="decimal"/>
      <w:pStyle w:val="ParaNoGA"/>
      <w:lvlText w:val="%1-"/>
      <w:lvlJc w:val="left"/>
      <w:pPr>
        <w:tabs>
          <w:tab w:val="num" w:pos="1361"/>
        </w:tabs>
        <w:ind w:left="1247" w:firstLine="0"/>
      </w:pPr>
      <w:rPr>
        <w:rFonts w:hint="default"/>
      </w:rPr>
    </w:lvl>
    <w:lvl w:ilvl="1" w:tplc="9EA8168A" w:tentative="1">
      <w:start w:val="1"/>
      <w:numFmt w:val="lowerLetter"/>
      <w:lvlText w:val="%2."/>
      <w:lvlJc w:val="left"/>
      <w:pPr>
        <w:tabs>
          <w:tab w:val="num" w:pos="1440"/>
        </w:tabs>
        <w:ind w:left="1440" w:hanging="360"/>
      </w:pPr>
    </w:lvl>
    <w:lvl w:ilvl="2" w:tplc="11506B12" w:tentative="1">
      <w:start w:val="1"/>
      <w:numFmt w:val="lowerRoman"/>
      <w:lvlText w:val="%3."/>
      <w:lvlJc w:val="right"/>
      <w:pPr>
        <w:tabs>
          <w:tab w:val="num" w:pos="2160"/>
        </w:tabs>
        <w:ind w:left="2160" w:hanging="180"/>
      </w:pPr>
    </w:lvl>
    <w:lvl w:ilvl="3" w:tplc="0C486256" w:tentative="1">
      <w:start w:val="1"/>
      <w:numFmt w:val="decimal"/>
      <w:lvlText w:val="%4."/>
      <w:lvlJc w:val="left"/>
      <w:pPr>
        <w:tabs>
          <w:tab w:val="num" w:pos="2880"/>
        </w:tabs>
        <w:ind w:left="2880" w:hanging="360"/>
      </w:pPr>
    </w:lvl>
    <w:lvl w:ilvl="4" w:tplc="008AFB64" w:tentative="1">
      <w:start w:val="1"/>
      <w:numFmt w:val="lowerLetter"/>
      <w:lvlText w:val="%5."/>
      <w:lvlJc w:val="left"/>
      <w:pPr>
        <w:tabs>
          <w:tab w:val="num" w:pos="3600"/>
        </w:tabs>
        <w:ind w:left="3600" w:hanging="360"/>
      </w:pPr>
    </w:lvl>
    <w:lvl w:ilvl="5" w:tplc="CD607858" w:tentative="1">
      <w:start w:val="1"/>
      <w:numFmt w:val="lowerRoman"/>
      <w:lvlText w:val="%6."/>
      <w:lvlJc w:val="right"/>
      <w:pPr>
        <w:tabs>
          <w:tab w:val="num" w:pos="4320"/>
        </w:tabs>
        <w:ind w:left="4320" w:hanging="180"/>
      </w:pPr>
    </w:lvl>
    <w:lvl w:ilvl="6" w:tplc="442E20D2" w:tentative="1">
      <w:start w:val="1"/>
      <w:numFmt w:val="decimal"/>
      <w:lvlText w:val="%7."/>
      <w:lvlJc w:val="left"/>
      <w:pPr>
        <w:tabs>
          <w:tab w:val="num" w:pos="5040"/>
        </w:tabs>
        <w:ind w:left="5040" w:hanging="360"/>
      </w:pPr>
    </w:lvl>
    <w:lvl w:ilvl="7" w:tplc="9FC86586" w:tentative="1">
      <w:start w:val="1"/>
      <w:numFmt w:val="lowerLetter"/>
      <w:lvlText w:val="%8."/>
      <w:lvlJc w:val="left"/>
      <w:pPr>
        <w:tabs>
          <w:tab w:val="num" w:pos="5760"/>
        </w:tabs>
        <w:ind w:left="5760" w:hanging="360"/>
      </w:pPr>
    </w:lvl>
    <w:lvl w:ilvl="8" w:tplc="32961A60" w:tentative="1">
      <w:start w:val="1"/>
      <w:numFmt w:val="lowerRoman"/>
      <w:lvlText w:val="%9."/>
      <w:lvlJc w:val="right"/>
      <w:pPr>
        <w:tabs>
          <w:tab w:val="num" w:pos="6480"/>
        </w:tabs>
        <w:ind w:left="6480" w:hanging="180"/>
      </w:pPr>
    </w:lvl>
  </w:abstractNum>
  <w:abstractNum w:abstractNumId="13">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B2370"/>
    <w:multiLevelType w:val="hybridMultilevel"/>
    <w:tmpl w:val="278EE6AE"/>
    <w:lvl w:ilvl="0" w:tplc="6B08ACFA">
      <w:start w:val="1"/>
      <w:numFmt w:val="bullet"/>
      <w:pStyle w:val="Bullet2GA"/>
      <w:lvlText w:val=""/>
      <w:lvlJc w:val="left"/>
      <w:pPr>
        <w:tabs>
          <w:tab w:val="num" w:pos="1644"/>
        </w:tabs>
        <w:ind w:left="2041" w:firstLine="0"/>
      </w:pPr>
      <w:rPr>
        <w:rFonts w:ascii="Symbol" w:hAnsi="Symbol" w:hint="default"/>
      </w:rPr>
    </w:lvl>
    <w:lvl w:ilvl="1" w:tplc="7C16FF82" w:tentative="1">
      <w:start w:val="1"/>
      <w:numFmt w:val="bullet"/>
      <w:lvlText w:val="o"/>
      <w:lvlJc w:val="left"/>
      <w:pPr>
        <w:tabs>
          <w:tab w:val="num" w:pos="3935"/>
        </w:tabs>
        <w:ind w:left="3935" w:hanging="360"/>
      </w:pPr>
      <w:rPr>
        <w:rFonts w:ascii="Courier New" w:hAnsi="Courier New" w:cs="Courier New" w:hint="default"/>
      </w:rPr>
    </w:lvl>
    <w:lvl w:ilvl="2" w:tplc="EB2C88CC" w:tentative="1">
      <w:start w:val="1"/>
      <w:numFmt w:val="bullet"/>
      <w:lvlText w:val=""/>
      <w:lvlJc w:val="left"/>
      <w:pPr>
        <w:tabs>
          <w:tab w:val="num" w:pos="4655"/>
        </w:tabs>
        <w:ind w:left="4655" w:hanging="360"/>
      </w:pPr>
      <w:rPr>
        <w:rFonts w:ascii="Wingdings" w:hAnsi="Wingdings" w:hint="default"/>
      </w:rPr>
    </w:lvl>
    <w:lvl w:ilvl="3" w:tplc="75CEC316" w:tentative="1">
      <w:start w:val="1"/>
      <w:numFmt w:val="bullet"/>
      <w:lvlText w:val=""/>
      <w:lvlJc w:val="left"/>
      <w:pPr>
        <w:tabs>
          <w:tab w:val="num" w:pos="5375"/>
        </w:tabs>
        <w:ind w:left="5375" w:hanging="360"/>
      </w:pPr>
      <w:rPr>
        <w:rFonts w:ascii="Symbol" w:hAnsi="Symbol" w:hint="default"/>
      </w:rPr>
    </w:lvl>
    <w:lvl w:ilvl="4" w:tplc="A080FFB0" w:tentative="1">
      <w:start w:val="1"/>
      <w:numFmt w:val="bullet"/>
      <w:lvlText w:val="o"/>
      <w:lvlJc w:val="left"/>
      <w:pPr>
        <w:tabs>
          <w:tab w:val="num" w:pos="6095"/>
        </w:tabs>
        <w:ind w:left="6095" w:hanging="360"/>
      </w:pPr>
      <w:rPr>
        <w:rFonts w:ascii="Courier New" w:hAnsi="Courier New" w:cs="Courier New" w:hint="default"/>
      </w:rPr>
    </w:lvl>
    <w:lvl w:ilvl="5" w:tplc="ABDC8E20" w:tentative="1">
      <w:start w:val="1"/>
      <w:numFmt w:val="bullet"/>
      <w:lvlText w:val=""/>
      <w:lvlJc w:val="left"/>
      <w:pPr>
        <w:tabs>
          <w:tab w:val="num" w:pos="6815"/>
        </w:tabs>
        <w:ind w:left="6815" w:hanging="360"/>
      </w:pPr>
      <w:rPr>
        <w:rFonts w:ascii="Wingdings" w:hAnsi="Wingdings" w:hint="default"/>
      </w:rPr>
    </w:lvl>
    <w:lvl w:ilvl="6" w:tplc="F36E5F2A" w:tentative="1">
      <w:start w:val="1"/>
      <w:numFmt w:val="bullet"/>
      <w:lvlText w:val=""/>
      <w:lvlJc w:val="left"/>
      <w:pPr>
        <w:tabs>
          <w:tab w:val="num" w:pos="7535"/>
        </w:tabs>
        <w:ind w:left="7535" w:hanging="360"/>
      </w:pPr>
      <w:rPr>
        <w:rFonts w:ascii="Symbol" w:hAnsi="Symbol" w:hint="default"/>
      </w:rPr>
    </w:lvl>
    <w:lvl w:ilvl="7" w:tplc="3AAC3D44" w:tentative="1">
      <w:start w:val="1"/>
      <w:numFmt w:val="bullet"/>
      <w:lvlText w:val="o"/>
      <w:lvlJc w:val="left"/>
      <w:pPr>
        <w:tabs>
          <w:tab w:val="num" w:pos="8255"/>
        </w:tabs>
        <w:ind w:left="8255" w:hanging="360"/>
      </w:pPr>
      <w:rPr>
        <w:rFonts w:ascii="Courier New" w:hAnsi="Courier New" w:cs="Courier New" w:hint="default"/>
      </w:rPr>
    </w:lvl>
    <w:lvl w:ilvl="8" w:tplc="EB5819F6" w:tentative="1">
      <w:start w:val="1"/>
      <w:numFmt w:val="bullet"/>
      <w:lvlText w:val=""/>
      <w:lvlJc w:val="left"/>
      <w:pPr>
        <w:tabs>
          <w:tab w:val="num" w:pos="8975"/>
        </w:tabs>
        <w:ind w:left="8975" w:hanging="360"/>
      </w:pPr>
      <w:rPr>
        <w:rFonts w:ascii="Wingdings" w:hAnsi="Wingdings" w:hint="default"/>
      </w:rPr>
    </w:lvl>
  </w:abstractNum>
  <w:abstractNum w:abstractNumId="15">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97E7BE8"/>
    <w:multiLevelType w:val="hybridMultilevel"/>
    <w:tmpl w:val="BABA24F0"/>
    <w:lvl w:ilvl="0" w:tplc="47DE7D9E">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98E86648" w:tentative="1">
      <w:start w:val="1"/>
      <w:numFmt w:val="lowerLetter"/>
      <w:lvlText w:val="%2."/>
      <w:lvlJc w:val="left"/>
      <w:pPr>
        <w:tabs>
          <w:tab w:val="num" w:pos="1500"/>
        </w:tabs>
        <w:ind w:left="1500" w:hanging="360"/>
      </w:pPr>
    </w:lvl>
    <w:lvl w:ilvl="2" w:tplc="44D04D2E" w:tentative="1">
      <w:start w:val="1"/>
      <w:numFmt w:val="lowerRoman"/>
      <w:lvlText w:val="%3."/>
      <w:lvlJc w:val="right"/>
      <w:pPr>
        <w:tabs>
          <w:tab w:val="num" w:pos="2220"/>
        </w:tabs>
        <w:ind w:left="2220" w:hanging="180"/>
      </w:pPr>
    </w:lvl>
    <w:lvl w:ilvl="3" w:tplc="5FA82808" w:tentative="1">
      <w:start w:val="1"/>
      <w:numFmt w:val="decimal"/>
      <w:lvlText w:val="%4."/>
      <w:lvlJc w:val="left"/>
      <w:pPr>
        <w:tabs>
          <w:tab w:val="num" w:pos="2940"/>
        </w:tabs>
        <w:ind w:left="2940" w:hanging="360"/>
      </w:pPr>
    </w:lvl>
    <w:lvl w:ilvl="4" w:tplc="FDE2578C" w:tentative="1">
      <w:start w:val="1"/>
      <w:numFmt w:val="lowerLetter"/>
      <w:lvlText w:val="%5."/>
      <w:lvlJc w:val="left"/>
      <w:pPr>
        <w:tabs>
          <w:tab w:val="num" w:pos="3660"/>
        </w:tabs>
        <w:ind w:left="3660" w:hanging="360"/>
      </w:pPr>
    </w:lvl>
    <w:lvl w:ilvl="5" w:tplc="1040ED44" w:tentative="1">
      <w:start w:val="1"/>
      <w:numFmt w:val="lowerRoman"/>
      <w:lvlText w:val="%6."/>
      <w:lvlJc w:val="right"/>
      <w:pPr>
        <w:tabs>
          <w:tab w:val="num" w:pos="4380"/>
        </w:tabs>
        <w:ind w:left="4380" w:hanging="180"/>
      </w:pPr>
    </w:lvl>
    <w:lvl w:ilvl="6" w:tplc="EA7057B4" w:tentative="1">
      <w:start w:val="1"/>
      <w:numFmt w:val="decimal"/>
      <w:lvlText w:val="%7."/>
      <w:lvlJc w:val="left"/>
      <w:pPr>
        <w:tabs>
          <w:tab w:val="num" w:pos="5100"/>
        </w:tabs>
        <w:ind w:left="5100" w:hanging="360"/>
      </w:pPr>
    </w:lvl>
    <w:lvl w:ilvl="7" w:tplc="07B4D09A" w:tentative="1">
      <w:start w:val="1"/>
      <w:numFmt w:val="lowerLetter"/>
      <w:lvlText w:val="%8."/>
      <w:lvlJc w:val="left"/>
      <w:pPr>
        <w:tabs>
          <w:tab w:val="num" w:pos="5820"/>
        </w:tabs>
        <w:ind w:left="5820" w:hanging="360"/>
      </w:pPr>
    </w:lvl>
    <w:lvl w:ilvl="8" w:tplc="3580E7DC" w:tentative="1">
      <w:start w:val="1"/>
      <w:numFmt w:val="lowerRoman"/>
      <w:lvlText w:val="%9."/>
      <w:lvlJc w:val="right"/>
      <w:pPr>
        <w:tabs>
          <w:tab w:val="num" w:pos="6540"/>
        </w:tabs>
        <w:ind w:left="6540" w:hanging="180"/>
      </w:pPr>
    </w:lvl>
  </w:abstractNum>
  <w:abstractNum w:abstractNumId="18">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9">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FC818B7"/>
    <w:multiLevelType w:val="hybridMultilevel"/>
    <w:tmpl w:val="D3749CB6"/>
    <w:lvl w:ilvl="0" w:tplc="01F2F060">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49EA22EA" w:tentative="1">
      <w:start w:val="1"/>
      <w:numFmt w:val="lowerLetter"/>
      <w:lvlText w:val="%2."/>
      <w:lvlJc w:val="left"/>
      <w:pPr>
        <w:tabs>
          <w:tab w:val="num" w:pos="1485"/>
        </w:tabs>
        <w:ind w:left="1485" w:hanging="360"/>
      </w:pPr>
    </w:lvl>
    <w:lvl w:ilvl="2" w:tplc="C7BAE3DC" w:tentative="1">
      <w:start w:val="1"/>
      <w:numFmt w:val="lowerRoman"/>
      <w:lvlText w:val="%3."/>
      <w:lvlJc w:val="right"/>
      <w:pPr>
        <w:tabs>
          <w:tab w:val="num" w:pos="2205"/>
        </w:tabs>
        <w:ind w:left="2205" w:hanging="180"/>
      </w:pPr>
    </w:lvl>
    <w:lvl w:ilvl="3" w:tplc="0074DCB8" w:tentative="1">
      <w:start w:val="1"/>
      <w:numFmt w:val="decimal"/>
      <w:lvlText w:val="%4."/>
      <w:lvlJc w:val="left"/>
      <w:pPr>
        <w:tabs>
          <w:tab w:val="num" w:pos="2925"/>
        </w:tabs>
        <w:ind w:left="2925" w:hanging="360"/>
      </w:pPr>
    </w:lvl>
    <w:lvl w:ilvl="4" w:tplc="318C2152" w:tentative="1">
      <w:start w:val="1"/>
      <w:numFmt w:val="lowerLetter"/>
      <w:lvlText w:val="%5."/>
      <w:lvlJc w:val="left"/>
      <w:pPr>
        <w:tabs>
          <w:tab w:val="num" w:pos="3645"/>
        </w:tabs>
        <w:ind w:left="3645" w:hanging="360"/>
      </w:pPr>
    </w:lvl>
    <w:lvl w:ilvl="5" w:tplc="AADC6118" w:tentative="1">
      <w:start w:val="1"/>
      <w:numFmt w:val="lowerRoman"/>
      <w:lvlText w:val="%6."/>
      <w:lvlJc w:val="right"/>
      <w:pPr>
        <w:tabs>
          <w:tab w:val="num" w:pos="4365"/>
        </w:tabs>
        <w:ind w:left="4365" w:hanging="180"/>
      </w:pPr>
    </w:lvl>
    <w:lvl w:ilvl="6" w:tplc="40961E4A" w:tentative="1">
      <w:start w:val="1"/>
      <w:numFmt w:val="decimal"/>
      <w:lvlText w:val="%7."/>
      <w:lvlJc w:val="left"/>
      <w:pPr>
        <w:tabs>
          <w:tab w:val="num" w:pos="5085"/>
        </w:tabs>
        <w:ind w:left="5085" w:hanging="360"/>
      </w:pPr>
    </w:lvl>
    <w:lvl w:ilvl="7" w:tplc="4CE0AB1C" w:tentative="1">
      <w:start w:val="1"/>
      <w:numFmt w:val="lowerLetter"/>
      <w:lvlText w:val="%8."/>
      <w:lvlJc w:val="left"/>
      <w:pPr>
        <w:tabs>
          <w:tab w:val="num" w:pos="5805"/>
        </w:tabs>
        <w:ind w:left="5805" w:hanging="360"/>
      </w:pPr>
    </w:lvl>
    <w:lvl w:ilvl="8" w:tplc="CE74D69C" w:tentative="1">
      <w:start w:val="1"/>
      <w:numFmt w:val="lowerRoman"/>
      <w:lvlText w:val="%9."/>
      <w:lvlJc w:val="right"/>
      <w:pPr>
        <w:tabs>
          <w:tab w:val="num" w:pos="6525"/>
        </w:tabs>
        <w:ind w:left="6525" w:hanging="180"/>
      </w:pPr>
    </w:lvl>
  </w:abstractNum>
  <w:abstractNum w:abstractNumId="21">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AE32A09"/>
    <w:multiLevelType w:val="hybridMultilevel"/>
    <w:tmpl w:val="9C5295AC"/>
    <w:lvl w:ilvl="0" w:tplc="36860B6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BEFA26CE" w:tentative="1">
      <w:start w:val="1"/>
      <w:numFmt w:val="bullet"/>
      <w:lvlText w:val="o"/>
      <w:lvlJc w:val="left"/>
      <w:pPr>
        <w:tabs>
          <w:tab w:val="num" w:pos="3595"/>
        </w:tabs>
        <w:ind w:left="3595" w:hanging="360"/>
      </w:pPr>
      <w:rPr>
        <w:rFonts w:ascii="Courier New" w:hAnsi="Courier New" w:cs="Courier New" w:hint="default"/>
      </w:rPr>
    </w:lvl>
    <w:lvl w:ilvl="2" w:tplc="13865E60" w:tentative="1">
      <w:start w:val="1"/>
      <w:numFmt w:val="bullet"/>
      <w:lvlText w:val=""/>
      <w:lvlJc w:val="left"/>
      <w:pPr>
        <w:tabs>
          <w:tab w:val="num" w:pos="4315"/>
        </w:tabs>
        <w:ind w:left="4315" w:hanging="360"/>
      </w:pPr>
      <w:rPr>
        <w:rFonts w:ascii="Wingdings" w:hAnsi="Wingdings" w:hint="default"/>
      </w:rPr>
    </w:lvl>
    <w:lvl w:ilvl="3" w:tplc="0D36233A" w:tentative="1">
      <w:start w:val="1"/>
      <w:numFmt w:val="bullet"/>
      <w:lvlText w:val=""/>
      <w:lvlJc w:val="left"/>
      <w:pPr>
        <w:tabs>
          <w:tab w:val="num" w:pos="5035"/>
        </w:tabs>
        <w:ind w:left="5035" w:hanging="360"/>
      </w:pPr>
      <w:rPr>
        <w:rFonts w:ascii="Symbol" w:hAnsi="Symbol" w:hint="default"/>
      </w:rPr>
    </w:lvl>
    <w:lvl w:ilvl="4" w:tplc="E94ED95A" w:tentative="1">
      <w:start w:val="1"/>
      <w:numFmt w:val="bullet"/>
      <w:lvlText w:val="o"/>
      <w:lvlJc w:val="left"/>
      <w:pPr>
        <w:tabs>
          <w:tab w:val="num" w:pos="5755"/>
        </w:tabs>
        <w:ind w:left="5755" w:hanging="360"/>
      </w:pPr>
      <w:rPr>
        <w:rFonts w:ascii="Courier New" w:hAnsi="Courier New" w:cs="Courier New" w:hint="default"/>
      </w:rPr>
    </w:lvl>
    <w:lvl w:ilvl="5" w:tplc="14D0AC8A" w:tentative="1">
      <w:start w:val="1"/>
      <w:numFmt w:val="bullet"/>
      <w:lvlText w:val=""/>
      <w:lvlJc w:val="left"/>
      <w:pPr>
        <w:tabs>
          <w:tab w:val="num" w:pos="6475"/>
        </w:tabs>
        <w:ind w:left="6475" w:hanging="360"/>
      </w:pPr>
      <w:rPr>
        <w:rFonts w:ascii="Wingdings" w:hAnsi="Wingdings" w:hint="default"/>
      </w:rPr>
    </w:lvl>
    <w:lvl w:ilvl="6" w:tplc="993AEBC6" w:tentative="1">
      <w:start w:val="1"/>
      <w:numFmt w:val="bullet"/>
      <w:lvlText w:val=""/>
      <w:lvlJc w:val="left"/>
      <w:pPr>
        <w:tabs>
          <w:tab w:val="num" w:pos="7195"/>
        </w:tabs>
        <w:ind w:left="7195" w:hanging="360"/>
      </w:pPr>
      <w:rPr>
        <w:rFonts w:ascii="Symbol" w:hAnsi="Symbol" w:hint="default"/>
      </w:rPr>
    </w:lvl>
    <w:lvl w:ilvl="7" w:tplc="BB1EDF52" w:tentative="1">
      <w:start w:val="1"/>
      <w:numFmt w:val="bullet"/>
      <w:lvlText w:val="o"/>
      <w:lvlJc w:val="left"/>
      <w:pPr>
        <w:tabs>
          <w:tab w:val="num" w:pos="7915"/>
        </w:tabs>
        <w:ind w:left="7915" w:hanging="360"/>
      </w:pPr>
      <w:rPr>
        <w:rFonts w:ascii="Courier New" w:hAnsi="Courier New" w:cs="Courier New" w:hint="default"/>
      </w:rPr>
    </w:lvl>
    <w:lvl w:ilvl="8" w:tplc="F7D89C3E" w:tentative="1">
      <w:start w:val="1"/>
      <w:numFmt w:val="bullet"/>
      <w:lvlText w:val=""/>
      <w:lvlJc w:val="left"/>
      <w:pPr>
        <w:tabs>
          <w:tab w:val="num" w:pos="8635"/>
        </w:tabs>
        <w:ind w:left="8635" w:hanging="360"/>
      </w:pPr>
      <w:rPr>
        <w:rFonts w:ascii="Wingdings" w:hAnsi="Wingdings" w:hint="default"/>
      </w:rPr>
    </w:lvl>
  </w:abstractNum>
  <w:abstractNum w:abstractNumId="24">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1"/>
  </w:num>
  <w:num w:numId="3">
    <w:abstractNumId w:val="18"/>
  </w:num>
  <w:num w:numId="4">
    <w:abstractNumId w:val="12"/>
  </w:num>
  <w:num w:numId="5">
    <w:abstractNumId w:val="1"/>
  </w:num>
  <w:num w:numId="6">
    <w:abstractNumId w:val="14"/>
  </w:num>
  <w:num w:numId="7">
    <w:abstractNumId w:val="9"/>
  </w:num>
  <w:num w:numId="8">
    <w:abstractNumId w:val="23"/>
  </w:num>
  <w:num w:numId="9">
    <w:abstractNumId w:val="11"/>
  </w:num>
  <w:num w:numId="10">
    <w:abstractNumId w:val="10"/>
  </w:num>
  <w:num w:numId="11">
    <w:abstractNumId w:val="13"/>
  </w:num>
  <w:num w:numId="12">
    <w:abstractNumId w:val="22"/>
  </w:num>
  <w:num w:numId="13">
    <w:abstractNumId w:val="4"/>
  </w:num>
  <w:num w:numId="14">
    <w:abstractNumId w:val="3"/>
  </w:num>
  <w:num w:numId="15">
    <w:abstractNumId w:val="16"/>
  </w:num>
  <w:num w:numId="16">
    <w:abstractNumId w:val="5"/>
  </w:num>
  <w:num w:numId="17">
    <w:abstractNumId w:val="8"/>
  </w:num>
  <w:num w:numId="18">
    <w:abstractNumId w:val="15"/>
  </w:num>
  <w:num w:numId="19">
    <w:abstractNumId w:val="19"/>
  </w:num>
  <w:num w:numId="20">
    <w:abstractNumId w:val="24"/>
  </w:num>
  <w:num w:numId="21">
    <w:abstractNumId w:val="6"/>
  </w:num>
  <w:num w:numId="22">
    <w:abstractNumId w:val="17"/>
  </w:num>
  <w:num w:numId="23">
    <w:abstractNumId w:val="20"/>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63*"/>
    <w:docVar w:name="CreationDt" w:val="9/11/2015 9:31: AM"/>
    <w:docVar w:name="DocCategory" w:val="Doc"/>
    <w:docVar w:name="DocType" w:val="Final"/>
    <w:docVar w:name="DutyStation" w:val="Geneva"/>
    <w:docVar w:name="FooterJN" w:val="GE.15-13463"/>
    <w:docVar w:name="jobn" w:val="GE.15-13463 (A)"/>
    <w:docVar w:name="jobnDT" w:val="GE.15-13463 (A)   110915"/>
    <w:docVar w:name="jobnDTDT" w:val="GE.15-13463 (A)   110915   110915"/>
    <w:docVar w:name="JobNo" w:val="GE.1513463A"/>
    <w:docVar w:name="LocalDrive" w:val="0"/>
    <w:docVar w:name="OandT" w:val="buhnam"/>
    <w:docVar w:name="PaperSize" w:val="A4"/>
    <w:docVar w:name="sss1" w:val="A/HRC/30/19"/>
    <w:docVar w:name="sss2" w:val="-"/>
    <w:docVar w:name="Symbol1" w:val="A/HRC/30/19"/>
    <w:docVar w:name="Symbol2" w:val="-"/>
  </w:docVars>
  <w:rsids>
    <w:rsidRoot w:val="0054494A"/>
    <w:rsid w:val="0000693B"/>
    <w:rsid w:val="000116C7"/>
    <w:rsid w:val="000170D3"/>
    <w:rsid w:val="0002744A"/>
    <w:rsid w:val="000311C9"/>
    <w:rsid w:val="00042425"/>
    <w:rsid w:val="00047F6A"/>
    <w:rsid w:val="0005137B"/>
    <w:rsid w:val="00056AA7"/>
    <w:rsid w:val="0006648F"/>
    <w:rsid w:val="00070E09"/>
    <w:rsid w:val="00082408"/>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09A1"/>
    <w:rsid w:val="00143096"/>
    <w:rsid w:val="001519A9"/>
    <w:rsid w:val="001568A8"/>
    <w:rsid w:val="00165F18"/>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41DD"/>
    <w:rsid w:val="00230B04"/>
    <w:rsid w:val="00233E2A"/>
    <w:rsid w:val="00236A29"/>
    <w:rsid w:val="00237A82"/>
    <w:rsid w:val="002416C5"/>
    <w:rsid w:val="0025002E"/>
    <w:rsid w:val="0025075C"/>
    <w:rsid w:val="0025236C"/>
    <w:rsid w:val="00252B9B"/>
    <w:rsid w:val="00252D19"/>
    <w:rsid w:val="0025486A"/>
    <w:rsid w:val="002606E6"/>
    <w:rsid w:val="002617C4"/>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501D5"/>
    <w:rsid w:val="00351324"/>
    <w:rsid w:val="00356F64"/>
    <w:rsid w:val="0036512C"/>
    <w:rsid w:val="00366E5B"/>
    <w:rsid w:val="003676A8"/>
    <w:rsid w:val="00371AC4"/>
    <w:rsid w:val="00376CFA"/>
    <w:rsid w:val="003772FC"/>
    <w:rsid w:val="00383A67"/>
    <w:rsid w:val="00383CA8"/>
    <w:rsid w:val="00383EF3"/>
    <w:rsid w:val="003A65ED"/>
    <w:rsid w:val="003B2A81"/>
    <w:rsid w:val="003C4B86"/>
    <w:rsid w:val="003D4612"/>
    <w:rsid w:val="003E1BB9"/>
    <w:rsid w:val="003E26D7"/>
    <w:rsid w:val="003E4110"/>
    <w:rsid w:val="003E4647"/>
    <w:rsid w:val="003E6DF8"/>
    <w:rsid w:val="003F4B8C"/>
    <w:rsid w:val="003F6561"/>
    <w:rsid w:val="00401BDF"/>
    <w:rsid w:val="004053F7"/>
    <w:rsid w:val="00411BBD"/>
    <w:rsid w:val="00415922"/>
    <w:rsid w:val="00421658"/>
    <w:rsid w:val="00423BD7"/>
    <w:rsid w:val="0042757D"/>
    <w:rsid w:val="004377B5"/>
    <w:rsid w:val="00437C14"/>
    <w:rsid w:val="004527C9"/>
    <w:rsid w:val="00453069"/>
    <w:rsid w:val="004628C6"/>
    <w:rsid w:val="00465B26"/>
    <w:rsid w:val="00467905"/>
    <w:rsid w:val="00471C89"/>
    <w:rsid w:val="00475FF6"/>
    <w:rsid w:val="004769FF"/>
    <w:rsid w:val="0048330E"/>
    <w:rsid w:val="00483F5B"/>
    <w:rsid w:val="00490874"/>
    <w:rsid w:val="0049408F"/>
    <w:rsid w:val="00494EE2"/>
    <w:rsid w:val="00496E83"/>
    <w:rsid w:val="00497193"/>
    <w:rsid w:val="00497680"/>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494A"/>
    <w:rsid w:val="00545F76"/>
    <w:rsid w:val="00551E87"/>
    <w:rsid w:val="005545BB"/>
    <w:rsid w:val="00556882"/>
    <w:rsid w:val="00561E43"/>
    <w:rsid w:val="0057078E"/>
    <w:rsid w:val="00571C2C"/>
    <w:rsid w:val="005823F9"/>
    <w:rsid w:val="00582B0A"/>
    <w:rsid w:val="005838F5"/>
    <w:rsid w:val="00590CD4"/>
    <w:rsid w:val="00591B45"/>
    <w:rsid w:val="005943EA"/>
    <w:rsid w:val="005956D2"/>
    <w:rsid w:val="00596606"/>
    <w:rsid w:val="005A0F27"/>
    <w:rsid w:val="005A0F73"/>
    <w:rsid w:val="005A1EB0"/>
    <w:rsid w:val="005A2EA3"/>
    <w:rsid w:val="005B2267"/>
    <w:rsid w:val="005B4C28"/>
    <w:rsid w:val="005C07BD"/>
    <w:rsid w:val="005C2ECE"/>
    <w:rsid w:val="005C7ED8"/>
    <w:rsid w:val="005D5B76"/>
    <w:rsid w:val="005E46BF"/>
    <w:rsid w:val="006007BD"/>
    <w:rsid w:val="006046A6"/>
    <w:rsid w:val="00616E82"/>
    <w:rsid w:val="006218A3"/>
    <w:rsid w:val="00631D41"/>
    <w:rsid w:val="00645A40"/>
    <w:rsid w:val="006564CE"/>
    <w:rsid w:val="00663F64"/>
    <w:rsid w:val="0066578E"/>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2E36"/>
    <w:rsid w:val="007476B5"/>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1FED"/>
    <w:rsid w:val="00845A14"/>
    <w:rsid w:val="0085331D"/>
    <w:rsid w:val="00853F0F"/>
    <w:rsid w:val="008569BB"/>
    <w:rsid w:val="008624AF"/>
    <w:rsid w:val="0086407C"/>
    <w:rsid w:val="00873A11"/>
    <w:rsid w:val="00873AF9"/>
    <w:rsid w:val="00881022"/>
    <w:rsid w:val="0088317F"/>
    <w:rsid w:val="008877C4"/>
    <w:rsid w:val="008913BC"/>
    <w:rsid w:val="0089376B"/>
    <w:rsid w:val="008A3FCA"/>
    <w:rsid w:val="008D1C04"/>
    <w:rsid w:val="008E3966"/>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344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D7D69"/>
    <w:rsid w:val="009E23AC"/>
    <w:rsid w:val="009E2A1F"/>
    <w:rsid w:val="009E5241"/>
    <w:rsid w:val="009F231F"/>
    <w:rsid w:val="009F5698"/>
    <w:rsid w:val="009F60C8"/>
    <w:rsid w:val="00A1210E"/>
    <w:rsid w:val="00A140D9"/>
    <w:rsid w:val="00A14195"/>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69F"/>
    <w:rsid w:val="00C449C6"/>
    <w:rsid w:val="00C52142"/>
    <w:rsid w:val="00C564B0"/>
    <w:rsid w:val="00C566D7"/>
    <w:rsid w:val="00C61F0B"/>
    <w:rsid w:val="00C6283F"/>
    <w:rsid w:val="00C71487"/>
    <w:rsid w:val="00C7606D"/>
    <w:rsid w:val="00C814A5"/>
    <w:rsid w:val="00C84B2B"/>
    <w:rsid w:val="00C855F6"/>
    <w:rsid w:val="00C96573"/>
    <w:rsid w:val="00C97B34"/>
    <w:rsid w:val="00CA286A"/>
    <w:rsid w:val="00CA4791"/>
    <w:rsid w:val="00CC04B5"/>
    <w:rsid w:val="00CD03C6"/>
    <w:rsid w:val="00CD0BB8"/>
    <w:rsid w:val="00CD3849"/>
    <w:rsid w:val="00CE0006"/>
    <w:rsid w:val="00CE0509"/>
    <w:rsid w:val="00CF4D77"/>
    <w:rsid w:val="00CF7384"/>
    <w:rsid w:val="00D00717"/>
    <w:rsid w:val="00D0526B"/>
    <w:rsid w:val="00D2343D"/>
    <w:rsid w:val="00D30EAE"/>
    <w:rsid w:val="00D318F1"/>
    <w:rsid w:val="00D36921"/>
    <w:rsid w:val="00D40B0E"/>
    <w:rsid w:val="00D40B7C"/>
    <w:rsid w:val="00D44FE0"/>
    <w:rsid w:val="00D4694F"/>
    <w:rsid w:val="00D53A6C"/>
    <w:rsid w:val="00D5423E"/>
    <w:rsid w:val="00D66413"/>
    <w:rsid w:val="00DA66B7"/>
    <w:rsid w:val="00DB0865"/>
    <w:rsid w:val="00DB0C91"/>
    <w:rsid w:val="00DB7206"/>
    <w:rsid w:val="00DC2B02"/>
    <w:rsid w:val="00DC5C1E"/>
    <w:rsid w:val="00DE5433"/>
    <w:rsid w:val="00DE68A7"/>
    <w:rsid w:val="00DF2A65"/>
    <w:rsid w:val="00DF2AE6"/>
    <w:rsid w:val="00DF5A43"/>
    <w:rsid w:val="00DF5F38"/>
    <w:rsid w:val="00DF6AA9"/>
    <w:rsid w:val="00E03631"/>
    <w:rsid w:val="00E04526"/>
    <w:rsid w:val="00E1179E"/>
    <w:rsid w:val="00E14180"/>
    <w:rsid w:val="00E16C94"/>
    <w:rsid w:val="00E172CD"/>
    <w:rsid w:val="00E21491"/>
    <w:rsid w:val="00E21D3D"/>
    <w:rsid w:val="00E23336"/>
    <w:rsid w:val="00E2448B"/>
    <w:rsid w:val="00E31661"/>
    <w:rsid w:val="00E32B52"/>
    <w:rsid w:val="00E34040"/>
    <w:rsid w:val="00E35D91"/>
    <w:rsid w:val="00E3652F"/>
    <w:rsid w:val="00E46D06"/>
    <w:rsid w:val="00E47EB8"/>
    <w:rsid w:val="00E52F1E"/>
    <w:rsid w:val="00E632BD"/>
    <w:rsid w:val="00E704FD"/>
    <w:rsid w:val="00E71F5F"/>
    <w:rsid w:val="00E750E1"/>
    <w:rsid w:val="00E7795A"/>
    <w:rsid w:val="00E829A3"/>
    <w:rsid w:val="00E9114A"/>
    <w:rsid w:val="00E9460D"/>
    <w:rsid w:val="00EA0D5B"/>
    <w:rsid w:val="00EA3948"/>
    <w:rsid w:val="00EA489C"/>
    <w:rsid w:val="00EA7B59"/>
    <w:rsid w:val="00EB0CA7"/>
    <w:rsid w:val="00EB4992"/>
    <w:rsid w:val="00EC2B29"/>
    <w:rsid w:val="00ED251D"/>
    <w:rsid w:val="00ED3C2E"/>
    <w:rsid w:val="00EF0947"/>
    <w:rsid w:val="00EF2E52"/>
    <w:rsid w:val="00EF4F85"/>
    <w:rsid w:val="00F031FB"/>
    <w:rsid w:val="00F16F2C"/>
    <w:rsid w:val="00F247BA"/>
    <w:rsid w:val="00F32228"/>
    <w:rsid w:val="00F32E4A"/>
    <w:rsid w:val="00F36D8C"/>
    <w:rsid w:val="00F4710F"/>
    <w:rsid w:val="00F53DA5"/>
    <w:rsid w:val="00F57DED"/>
    <w:rsid w:val="00F907B4"/>
    <w:rsid w:val="00F90A71"/>
    <w:rsid w:val="00F923A5"/>
    <w:rsid w:val="00F93545"/>
    <w:rsid w:val="00F96337"/>
    <w:rsid w:val="00F96FBA"/>
    <w:rsid w:val="00FB0C1B"/>
    <w:rsid w:val="00FB2B5B"/>
    <w:rsid w:val="00FB4E06"/>
    <w:rsid w:val="00FC0CA9"/>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45A40"/>
    <w:pPr>
      <w:spacing w:line="240" w:lineRule="auto"/>
    </w:pPr>
    <w:rPr>
      <w:szCs w:val="20"/>
    </w:rPr>
  </w:style>
  <w:style w:type="character" w:customStyle="1" w:styleId="CommentTextChar">
    <w:name w:val="Comment Text Char"/>
    <w:basedOn w:val="DefaultParagraphFont"/>
    <w:link w:val="CommentText"/>
    <w:rsid w:val="00645A40"/>
    <w:rPr>
      <w:w w:val="103"/>
      <w:kern w:val="14"/>
    </w:rPr>
  </w:style>
  <w:style w:type="paragraph" w:styleId="CommentSubject">
    <w:name w:val="annotation subject"/>
    <w:basedOn w:val="CommentText"/>
    <w:next w:val="CommentText"/>
    <w:link w:val="CommentSubjectChar"/>
    <w:rsid w:val="00645A40"/>
    <w:rPr>
      <w:b/>
      <w:bCs/>
    </w:rPr>
  </w:style>
  <w:style w:type="character" w:customStyle="1" w:styleId="CommentSubjectChar">
    <w:name w:val="Comment Subject Char"/>
    <w:basedOn w:val="CommentTextChar"/>
    <w:link w:val="CommentSubject"/>
    <w:rsid w:val="00645A40"/>
    <w:rPr>
      <w:b/>
      <w:bCs/>
      <w:w w:val="103"/>
      <w:kern w:val="14"/>
    </w:rPr>
  </w:style>
  <w:style w:type="table" w:styleId="TableGrid">
    <w:name w:val="Table Grid"/>
    <w:basedOn w:val="TableNormal"/>
    <w:rsid w:val="00CE0006"/>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E0006"/>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E000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E0006"/>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CE0006"/>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CE0006"/>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CE0006"/>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rsid w:val="00CE0006"/>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CE0006"/>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CE0006"/>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CE0006"/>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CE0006"/>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CE0006"/>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CE0006"/>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CE0006"/>
    <w:pPr>
      <w:numPr>
        <w:numId w:val="4"/>
      </w:numPr>
      <w:tabs>
        <w:tab w:val="clear" w:pos="1361"/>
        <w:tab w:val="num" w:pos="360"/>
      </w:tabs>
      <w:suppressAutoHyphens/>
      <w:bidi w:val="0"/>
    </w:pPr>
  </w:style>
  <w:style w:type="character" w:customStyle="1" w:styleId="EndtnoteReference">
    <w:name w:val="Endtnote Reference"/>
    <w:aliases w:val="1_GA"/>
    <w:rsid w:val="00CE0006"/>
    <w:rPr>
      <w:rFonts w:ascii="Times New Roman" w:hAnsi="Times New Roman" w:cs="Traditional Arabic"/>
      <w:b/>
      <w:kern w:val="0"/>
      <w:sz w:val="18"/>
      <w:szCs w:val="28"/>
      <w:vertAlign w:val="superscript"/>
    </w:rPr>
  </w:style>
  <w:style w:type="paragraph" w:customStyle="1" w:styleId="Notedebasdepage1">
    <w:name w:val="Note de bas de page1"/>
    <w:aliases w:val="5_GA"/>
    <w:basedOn w:val="Normal"/>
    <w:rsid w:val="00CE0006"/>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CE0006"/>
    <w:rPr>
      <w:rFonts w:ascii="Times New Roman" w:hAnsi="Times New Roman"/>
      <w:b/>
      <w:sz w:val="18"/>
    </w:rPr>
  </w:style>
  <w:style w:type="paragraph" w:customStyle="1" w:styleId="XXLargeGA">
    <w:name w:val="XXLarge_GA"/>
    <w:basedOn w:val="XLargeGA"/>
    <w:next w:val="Normal"/>
    <w:rsid w:val="00CE0006"/>
    <w:pPr>
      <w:spacing w:line="820" w:lineRule="exact"/>
    </w:pPr>
    <w:rPr>
      <w:spacing w:val="-8"/>
      <w:w w:val="96"/>
      <w:sz w:val="57"/>
      <w:szCs w:val="86"/>
    </w:rPr>
  </w:style>
  <w:style w:type="paragraph" w:customStyle="1" w:styleId="Roman1GA">
    <w:name w:val="_Roman 1_GA"/>
    <w:basedOn w:val="Normal"/>
    <w:rsid w:val="00CE0006"/>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CE0006"/>
    <w:pPr>
      <w:numPr>
        <w:numId w:val="8"/>
      </w:numPr>
      <w:spacing w:after="120" w:line="380" w:lineRule="exact"/>
      <w:ind w:right="1247"/>
    </w:pPr>
    <w:rPr>
      <w:rFonts w:eastAsia="Times New Roman"/>
      <w:w w:val="100"/>
      <w:kern w:val="0"/>
    </w:rPr>
  </w:style>
  <w:style w:type="numbering" w:styleId="111111">
    <w:name w:val="Outline List 2"/>
    <w:basedOn w:val="NoList"/>
    <w:rsid w:val="00CE0006"/>
    <w:pPr>
      <w:numPr>
        <w:numId w:val="9"/>
      </w:numPr>
    </w:pPr>
  </w:style>
  <w:style w:type="numbering" w:styleId="1ai">
    <w:name w:val="Outline List 1"/>
    <w:basedOn w:val="NoList"/>
    <w:rsid w:val="00CE0006"/>
    <w:pPr>
      <w:numPr>
        <w:numId w:val="12"/>
      </w:numPr>
    </w:pPr>
  </w:style>
  <w:style w:type="paragraph" w:customStyle="1" w:styleId="SingleTxtG">
    <w:name w:val="_ Single Txt_G"/>
    <w:basedOn w:val="Normal"/>
    <w:rsid w:val="00CE0006"/>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CE0006"/>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CE000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character" w:customStyle="1" w:styleId="SingleTxtGAChar">
    <w:name w:val="_ Single Txt_GA Char"/>
    <w:link w:val="SingleTxtGA"/>
    <w:rsid w:val="00CE0006"/>
    <w:rPr>
      <w:rFonts w:eastAsia="Times New Roman"/>
      <w:szCs w:val="30"/>
    </w:rPr>
  </w:style>
  <w:style w:type="character" w:customStyle="1" w:styleId="BalloonTextChar">
    <w:name w:val="Balloon Text Char"/>
    <w:basedOn w:val="DefaultParagraphFont"/>
    <w:link w:val="BalloonText"/>
    <w:rsid w:val="00CE0006"/>
    <w:rPr>
      <w:rFonts w:ascii="Tahoma" w:hAnsi="Tahoma" w:cs="Tahoma"/>
      <w:w w:val="103"/>
      <w:kern w:val="14"/>
      <w:sz w:val="16"/>
      <w:szCs w:val="16"/>
    </w:rPr>
  </w:style>
  <w:style w:type="paragraph" w:styleId="TOC1">
    <w:name w:val="toc 1"/>
    <w:basedOn w:val="Normal"/>
    <w:next w:val="Normal"/>
    <w:autoRedefine/>
    <w:uiPriority w:val="39"/>
    <w:rsid w:val="000116C7"/>
    <w:pPr>
      <w:spacing w:after="100"/>
    </w:pPr>
  </w:style>
  <w:style w:type="paragraph" w:styleId="TOC2">
    <w:name w:val="toc 2"/>
    <w:basedOn w:val="Normal"/>
    <w:next w:val="Normal"/>
    <w:autoRedefine/>
    <w:uiPriority w:val="39"/>
    <w:rsid w:val="000116C7"/>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line number"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45A40"/>
    <w:pPr>
      <w:spacing w:line="240" w:lineRule="auto"/>
    </w:pPr>
    <w:rPr>
      <w:szCs w:val="20"/>
    </w:rPr>
  </w:style>
  <w:style w:type="character" w:customStyle="1" w:styleId="CommentTextChar">
    <w:name w:val="Comment Text Char"/>
    <w:basedOn w:val="DefaultParagraphFont"/>
    <w:link w:val="CommentText"/>
    <w:rsid w:val="00645A40"/>
    <w:rPr>
      <w:w w:val="103"/>
      <w:kern w:val="14"/>
    </w:rPr>
  </w:style>
  <w:style w:type="paragraph" w:styleId="CommentSubject">
    <w:name w:val="annotation subject"/>
    <w:basedOn w:val="CommentText"/>
    <w:next w:val="CommentText"/>
    <w:link w:val="CommentSubjectChar"/>
    <w:rsid w:val="00645A40"/>
    <w:rPr>
      <w:b/>
      <w:bCs/>
    </w:rPr>
  </w:style>
  <w:style w:type="character" w:customStyle="1" w:styleId="CommentSubjectChar">
    <w:name w:val="Comment Subject Char"/>
    <w:basedOn w:val="CommentTextChar"/>
    <w:link w:val="CommentSubject"/>
    <w:rsid w:val="00645A40"/>
    <w:rPr>
      <w:b/>
      <w:bCs/>
      <w:w w:val="103"/>
      <w:kern w:val="14"/>
    </w:rPr>
  </w:style>
  <w:style w:type="table" w:styleId="TableGrid">
    <w:name w:val="Table Grid"/>
    <w:basedOn w:val="TableNormal"/>
    <w:rsid w:val="00CE0006"/>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CE0006"/>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CE0006"/>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CE0006"/>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CE0006"/>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CE0006"/>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CE0006"/>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link w:val="SingleTxtGAChar"/>
    <w:rsid w:val="00CE0006"/>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CE0006"/>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CE0006"/>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CE0006"/>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CE0006"/>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CE0006"/>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CE0006"/>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CE0006"/>
    <w:pPr>
      <w:numPr>
        <w:numId w:val="4"/>
      </w:numPr>
      <w:tabs>
        <w:tab w:val="clear" w:pos="1361"/>
        <w:tab w:val="num" w:pos="360"/>
      </w:tabs>
      <w:suppressAutoHyphens/>
      <w:bidi w:val="0"/>
    </w:pPr>
  </w:style>
  <w:style w:type="character" w:customStyle="1" w:styleId="EndtnoteReference">
    <w:name w:val="Endtnote Reference"/>
    <w:aliases w:val="1_GA"/>
    <w:rsid w:val="00CE0006"/>
    <w:rPr>
      <w:rFonts w:ascii="Times New Roman" w:hAnsi="Times New Roman" w:cs="Traditional Arabic"/>
      <w:b/>
      <w:kern w:val="0"/>
      <w:sz w:val="18"/>
      <w:szCs w:val="28"/>
      <w:vertAlign w:val="superscript"/>
    </w:rPr>
  </w:style>
  <w:style w:type="paragraph" w:customStyle="1" w:styleId="Notedebasdepage1">
    <w:name w:val="Note de bas de page1"/>
    <w:aliases w:val="5_GA"/>
    <w:basedOn w:val="Normal"/>
    <w:rsid w:val="00CE0006"/>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CE0006"/>
    <w:rPr>
      <w:rFonts w:ascii="Times New Roman" w:hAnsi="Times New Roman"/>
      <w:b/>
      <w:sz w:val="18"/>
    </w:rPr>
  </w:style>
  <w:style w:type="paragraph" w:customStyle="1" w:styleId="XXLargeGA">
    <w:name w:val="XXLarge_GA"/>
    <w:basedOn w:val="XLargeGA"/>
    <w:next w:val="Normal"/>
    <w:rsid w:val="00CE0006"/>
    <w:pPr>
      <w:spacing w:line="820" w:lineRule="exact"/>
    </w:pPr>
    <w:rPr>
      <w:spacing w:val="-8"/>
      <w:w w:val="96"/>
      <w:sz w:val="57"/>
      <w:szCs w:val="86"/>
    </w:rPr>
  </w:style>
  <w:style w:type="paragraph" w:customStyle="1" w:styleId="Roman1GA">
    <w:name w:val="_Roman 1_GA"/>
    <w:basedOn w:val="Normal"/>
    <w:rsid w:val="00CE0006"/>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CE0006"/>
    <w:pPr>
      <w:numPr>
        <w:numId w:val="8"/>
      </w:numPr>
      <w:spacing w:after="120" w:line="380" w:lineRule="exact"/>
      <w:ind w:right="1247"/>
    </w:pPr>
    <w:rPr>
      <w:rFonts w:eastAsia="Times New Roman"/>
      <w:w w:val="100"/>
      <w:kern w:val="0"/>
    </w:rPr>
  </w:style>
  <w:style w:type="numbering" w:styleId="111111">
    <w:name w:val="Outline List 2"/>
    <w:basedOn w:val="NoList"/>
    <w:rsid w:val="00CE0006"/>
    <w:pPr>
      <w:numPr>
        <w:numId w:val="9"/>
      </w:numPr>
    </w:pPr>
  </w:style>
  <w:style w:type="numbering" w:styleId="1ai">
    <w:name w:val="Outline List 1"/>
    <w:basedOn w:val="NoList"/>
    <w:rsid w:val="00CE0006"/>
    <w:pPr>
      <w:numPr>
        <w:numId w:val="12"/>
      </w:numPr>
    </w:pPr>
  </w:style>
  <w:style w:type="paragraph" w:customStyle="1" w:styleId="SingleTxtG">
    <w:name w:val="_ Single Txt_G"/>
    <w:basedOn w:val="Normal"/>
    <w:rsid w:val="00CE0006"/>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HChG">
    <w:name w:val="_ H _Ch_G"/>
    <w:basedOn w:val="Normal"/>
    <w:next w:val="Normal"/>
    <w:rsid w:val="00CE0006"/>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lang w:val="en-GB"/>
    </w:rPr>
  </w:style>
  <w:style w:type="paragraph" w:customStyle="1" w:styleId="H1G">
    <w:name w:val="_ H_1_G"/>
    <w:basedOn w:val="Normal"/>
    <w:next w:val="Normal"/>
    <w:rsid w:val="00CE000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lang w:val="en-GB"/>
    </w:rPr>
  </w:style>
  <w:style w:type="character" w:customStyle="1" w:styleId="SingleTxtGAChar">
    <w:name w:val="_ Single Txt_GA Char"/>
    <w:link w:val="SingleTxtGA"/>
    <w:rsid w:val="00CE0006"/>
    <w:rPr>
      <w:rFonts w:eastAsia="Times New Roman"/>
      <w:szCs w:val="30"/>
    </w:rPr>
  </w:style>
  <w:style w:type="character" w:customStyle="1" w:styleId="BalloonTextChar">
    <w:name w:val="Balloon Text Char"/>
    <w:basedOn w:val="DefaultParagraphFont"/>
    <w:link w:val="BalloonText"/>
    <w:rsid w:val="00CE0006"/>
    <w:rPr>
      <w:rFonts w:ascii="Tahoma" w:hAnsi="Tahoma" w:cs="Tahoma"/>
      <w:w w:val="103"/>
      <w:kern w:val="14"/>
      <w:sz w:val="16"/>
      <w:szCs w:val="16"/>
    </w:rPr>
  </w:style>
  <w:style w:type="paragraph" w:styleId="TOC1">
    <w:name w:val="toc 1"/>
    <w:basedOn w:val="Normal"/>
    <w:next w:val="Normal"/>
    <w:autoRedefine/>
    <w:uiPriority w:val="39"/>
    <w:rsid w:val="000116C7"/>
    <w:pPr>
      <w:spacing w:after="100"/>
    </w:pPr>
  </w:style>
  <w:style w:type="paragraph" w:styleId="TOC2">
    <w:name w:val="toc 2"/>
    <w:basedOn w:val="Normal"/>
    <w:next w:val="Normal"/>
    <w:autoRedefine/>
    <w:uiPriority w:val="39"/>
    <w:rsid w:val="000116C7"/>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achpr.org/files/sessions/12th-eo/mission-reports/promotion_mission-2012/mission_report_mauritania_cpta_eng.pdf" TargetMode="External"/><Relationship Id="rId13" Type="http://schemas.openxmlformats.org/officeDocument/2006/relationships/hyperlink" Target="http://www.achpr.org/files/sessions/12th-eo/mission-reports/promotion_mission-2012/mission_report_mauritania_cpta_eng.pdf" TargetMode="External"/><Relationship Id="rId18" Type="http://schemas.openxmlformats.org/officeDocument/2006/relationships/hyperlink" Target="http://www.un.org/Docs/journal/asp/ws.asp?m=CCPR/C/GC/35" TargetMode="External"/><Relationship Id="rId3" Type="http://schemas.openxmlformats.org/officeDocument/2006/relationships/hyperlink" Target="http://www.achpr.org/files/sessions/37th/mission-reports/ethiopia/misrep_specmec_priso_ethopia_2004_eng.pdf" TargetMode="External"/><Relationship Id="rId21" Type="http://schemas.openxmlformats.org/officeDocument/2006/relationships/hyperlink" Target="http://www.achpr.org/files/sessions/52nd/inter-act-reps/185/activty_report_prisons_eng.pdf" TargetMode="External"/><Relationship Id="rId7" Type="http://schemas.openxmlformats.org/officeDocument/2006/relationships/hyperlink" Target="http://www.achpr.org/files/sessions/37th/mission-reports/prisons-2004/misrep_specmec_priso_southafrica_2004_eng.pdf" TargetMode="External"/><Relationship Id="rId12" Type="http://schemas.openxmlformats.org/officeDocument/2006/relationships/hyperlink" Target="http://www.achpr.org/files/sessions/37th/mission-reports/ethiopia/misrep_specmec_priso_ethopia_2004_eng.pdf" TargetMode="External"/><Relationship Id="rId17" Type="http://schemas.openxmlformats.org/officeDocument/2006/relationships/hyperlink" Target="http://www.un.org/Docs/journal/asp/ws.asp?m=CCPR/C/GC/35" TargetMode="External"/><Relationship Id="rId2" Type="http://schemas.openxmlformats.org/officeDocument/2006/relationships/hyperlink" Target="http://www.achpr.org/files/sessions/37th/mission-reports/prisons-2004/misrep_specmec_priso_southafrica_2004_eng.pdf" TargetMode="External"/><Relationship Id="rId16" Type="http://schemas.openxmlformats.org/officeDocument/2006/relationships/hyperlink" Target="http://www.un.org/Docs/journal/asp/ws.asp?m=A/HRC/19/57" TargetMode="External"/><Relationship Id="rId20" Type="http://schemas.openxmlformats.org/officeDocument/2006/relationships/hyperlink" Target="http://www.ohchr.org/Documents/Issues/RuleOfLaw/Overincarceration/RussianFederation.pdf" TargetMode="External"/><Relationship Id="rId1" Type="http://schemas.openxmlformats.org/officeDocument/2006/relationships/hyperlink" Target="http://www.achpr.org/files/activity-reports/36/achpr54eos15_actrep36_2014_eng.pdf" TargetMode="External"/><Relationship Id="rId6" Type="http://schemas.openxmlformats.org/officeDocument/2006/relationships/hyperlink" Target="http://www.achpr.org/files/sessions/12th-eo/mission-reports/promotion_mission-2012/mission_report_mauritania_cpta_eng.pdf" TargetMode="External"/><Relationship Id="rId11" Type="http://schemas.openxmlformats.org/officeDocument/2006/relationships/hyperlink" Target="http://www.achpr.org/files/sessions/37th/mission-reports/ethiopia/misrep_specmec_priso_ethopia_2004_eng.pdf" TargetMode="External"/><Relationship Id="rId5" Type="http://schemas.openxmlformats.org/officeDocument/2006/relationships/hyperlink" Target="http://www.achpr.org/files/sessions/52nd/inter-act-reps/185/activty_report_prisons_eng.pdf" TargetMode="External"/><Relationship Id="rId15" Type="http://schemas.openxmlformats.org/officeDocument/2006/relationships/hyperlink" Target="http://www.un.org/Docs/journal/asp/ws.asp?m=CCPR/C/GC/35" TargetMode="External"/><Relationship Id="rId10" Type="http://schemas.openxmlformats.org/officeDocument/2006/relationships/hyperlink" Target="http://www.achpr.org/files/sessions/12th-eo/mission-reports/promotion_mission-2012/mission_report_mauritania_cpta_eng.pdf" TargetMode="External"/><Relationship Id="rId19" Type="http://schemas.openxmlformats.org/officeDocument/2006/relationships/hyperlink" Target="http://www.un.org/Docs/journal/asp/ws.asp?m=CCPR/C/GC/35" TargetMode="External"/><Relationship Id="rId4" Type="http://schemas.openxmlformats.org/officeDocument/2006/relationships/hyperlink" Target="http://www.achpr.org/files/sessions/52nd/inter-act-reps/185/activty_report_prisons_eng.pdf" TargetMode="External"/><Relationship Id="rId9" Type="http://schemas.openxmlformats.org/officeDocument/2006/relationships/hyperlink" Target="http://www.achpr.org/files/sessions/12th-eo/mission-reports/promotion_mission-2012/mission_report_mauritania_cpta_eng.pdf" TargetMode="External"/><Relationship Id="rId14" Type="http://schemas.openxmlformats.org/officeDocument/2006/relationships/hyperlink" Target="http://www.achpr.org/files/sessions/52nd/inter-act-reps/185/activty_report_prisons_eng.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1E5A-BBF0-4582-841D-B51ED99A1D9C}"/>
</file>

<file path=customXml/itemProps2.xml><?xml version="1.0" encoding="utf-8"?>
<ds:datastoreItem xmlns:ds="http://schemas.openxmlformats.org/officeDocument/2006/customXml" ds:itemID="{CEAAF691-720E-40D2-9305-A1C54FB0E31D}"/>
</file>

<file path=customXml/itemProps3.xml><?xml version="1.0" encoding="utf-8"?>
<ds:datastoreItem xmlns:ds="http://schemas.openxmlformats.org/officeDocument/2006/customXml" ds:itemID="{FAF5941C-C246-4324-8338-F82679C05794}"/>
</file>

<file path=customXml/itemProps4.xml><?xml version="1.0" encoding="utf-8"?>
<ds:datastoreItem xmlns:ds="http://schemas.openxmlformats.org/officeDocument/2006/customXml" ds:itemID="{A1A3ABBA-C95E-47D7-8755-D8574CC3D41A}"/>
</file>

<file path=docProps/app.xml><?xml version="1.0" encoding="utf-8"?>
<Properties xmlns="http://schemas.openxmlformats.org/officeDocument/2006/extended-properties" xmlns:vt="http://schemas.openxmlformats.org/officeDocument/2006/docPropsVTypes">
  <Template>Normal.dotm</Template>
  <TotalTime>0</TotalTime>
  <Pages>29</Pages>
  <Words>6241</Words>
  <Characters>32769</Characters>
  <Application>Microsoft Office Word</Application>
  <DocSecurity>0</DocSecurity>
  <Lines>606</Lines>
  <Paragraphs>190</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implications of overincarceration and overcrowding in Arabic</dc:title>
  <dc:subject/>
  <dc:creator>Buhnam</dc:creator>
  <cp:keywords/>
  <dc:description/>
  <cp:lastModifiedBy>Tpsara</cp:lastModifiedBy>
  <cp:revision>3</cp:revision>
  <cp:lastPrinted>2015-09-14T14:46:00Z</cp:lastPrinted>
  <dcterms:created xsi:type="dcterms:W3CDTF">2015-09-14T14:46:00Z</dcterms:created>
  <dcterms:modified xsi:type="dcterms:W3CDTF">2015-09-14T14:46:00Z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1513463</vt:lpwstr>
  </property>
  <property fmtid="{D5CDD505-2E9C-101B-9397-08002B2CF9AE}" pid="3" name="ODSRefJobNo">
    <vt:lpwstr>1517715A</vt:lpwstr>
  </property>
  <property fmtid="{D5CDD505-2E9C-101B-9397-08002B2CF9AE}" pid="4" name="Symbol1">
    <vt:lpwstr>A/HRC/30/19</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11 September 2015</vt:lpwstr>
  </property>
  <property fmtid="{D5CDD505-2E9C-101B-9397-08002B2CF9AE}" pid="9" name="Original">
    <vt:lpwstr>English</vt:lpwstr>
  </property>
  <property fmtid="{D5CDD505-2E9C-101B-9397-08002B2CF9AE}" pid="10" name="Release Date">
    <vt:lpwstr>110915</vt:lpwstr>
  </property>
  <property fmtid="{D5CDD505-2E9C-101B-9397-08002B2CF9AE}" pid="11" name="Comment">
    <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38500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